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78482B">
      <w:pPr>
        <w:pStyle w:val="6"/>
        <w:rPr>
          <w:rFonts w:hint="eastAsia" w:ascii="Times New Roman" w:hAnsi="Times New Roman" w:eastAsia="方正小标宋简体" w:cs="Times New Roman"/>
          <w:color w:val="auto"/>
          <w:kern w:val="2"/>
          <w:sz w:val="72"/>
          <w:szCs w:val="72"/>
          <w:highlight w:val="none"/>
          <w:lang w:val="en-US" w:eastAsia="zh-CN"/>
        </w:rPr>
      </w:pPr>
      <w:bookmarkStart w:id="0" w:name="_Toc15378441"/>
      <w:bookmarkStart w:id="1" w:name="_Toc15396475"/>
      <w:bookmarkStart w:id="2" w:name="_Toc15396597"/>
      <w:bookmarkStart w:id="3" w:name="_Toc15377193"/>
      <w:bookmarkStart w:id="4" w:name="_Toc15377425"/>
      <w:bookmarkStart w:id="5" w:name="_Toc15306267"/>
      <w:bookmarkStart w:id="72" w:name="_GoBack"/>
      <w:bookmarkEnd w:id="72"/>
    </w:p>
    <w:p w14:paraId="15921E63">
      <w:pPr>
        <w:pStyle w:val="6"/>
        <w:rPr>
          <w:rFonts w:hint="eastAsia" w:ascii="Times New Roman" w:hAnsi="Times New Roman" w:eastAsia="方正小标宋简体" w:cs="Times New Roman"/>
          <w:color w:val="auto"/>
          <w:kern w:val="2"/>
          <w:sz w:val="72"/>
          <w:szCs w:val="72"/>
          <w:highlight w:val="none"/>
          <w:lang w:val="en-US" w:eastAsia="zh-CN"/>
        </w:rPr>
      </w:pPr>
    </w:p>
    <w:p w14:paraId="5BBCD4B4">
      <w:pPr>
        <w:pStyle w:val="6"/>
        <w:rPr>
          <w:rFonts w:hint="eastAsia" w:ascii="Times New Roman" w:hAnsi="Times New Roman" w:eastAsia="方正小标宋简体" w:cs="Times New Roman"/>
          <w:color w:val="auto"/>
          <w:kern w:val="2"/>
          <w:sz w:val="72"/>
          <w:szCs w:val="72"/>
          <w:highlight w:val="none"/>
          <w:lang w:val="en-US" w:eastAsia="zh-CN"/>
        </w:rPr>
      </w:pPr>
    </w:p>
    <w:p w14:paraId="6E70312E">
      <w:pPr>
        <w:pStyle w:val="6"/>
        <w:jc w:val="center"/>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2024年度</w:t>
      </w:r>
      <w:r>
        <w:rPr>
          <w:rFonts w:hint="eastAsia" w:ascii="Times New Roman" w:eastAsia="方正小标宋简体" w:cs="Times New Roman"/>
          <w:color w:val="auto"/>
          <w:kern w:val="2"/>
          <w:sz w:val="44"/>
          <w:szCs w:val="44"/>
          <w:highlight w:val="none"/>
          <w:lang w:val="en-US" w:eastAsia="zh-CN"/>
        </w:rPr>
        <w:t>松潘县民政局</w:t>
      </w:r>
      <w:r>
        <w:rPr>
          <w:rFonts w:hint="eastAsia" w:ascii="Times New Roman" w:hAnsi="Times New Roman" w:eastAsia="方正小标宋简体" w:cs="Times New Roman"/>
          <w:color w:val="auto"/>
          <w:kern w:val="2"/>
          <w:sz w:val="44"/>
          <w:szCs w:val="44"/>
          <w:highlight w:val="none"/>
          <w:lang w:val="en-US" w:eastAsia="zh-CN"/>
        </w:rPr>
        <w:t>单位决算</w:t>
      </w:r>
    </w:p>
    <w:p w14:paraId="2D4662E9">
      <w:pPr>
        <w:pStyle w:val="6"/>
        <w:jc w:val="center"/>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公开文字说明</w:t>
      </w:r>
    </w:p>
    <w:p w14:paraId="66107D5B">
      <w:pPr>
        <w:spacing w:line="600" w:lineRule="exact"/>
        <w:jc w:val="center"/>
        <w:outlineLvl w:val="0"/>
        <w:rPr>
          <w:rFonts w:ascii="Times New Roman" w:hAnsi="Times New Roman" w:eastAsia="方正小标宋简体"/>
          <w:color w:val="auto"/>
          <w:sz w:val="72"/>
          <w:szCs w:val="72"/>
          <w:highlight w:val="none"/>
        </w:rPr>
      </w:pPr>
    </w:p>
    <w:p w14:paraId="3B1B0EC6">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14:paraId="6A7939FE">
      <w:pPr>
        <w:rPr>
          <w:rFonts w:ascii="Times New Roman" w:hAnsi="Times New Roman"/>
        </w:rPr>
      </w:pPr>
    </w:p>
    <w:p w14:paraId="5A895842">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012F5DD8">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1F848CB5">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4B9CD51A">
      <w:pPr>
        <w:pStyle w:val="6"/>
        <w:jc w:val="center"/>
        <w:rPr>
          <w:rFonts w:hint="eastAsia" w:ascii="Times New Roman" w:hAnsi="Times New Roman" w:eastAsia="方正小标宋简体" w:cs="Times New Roman"/>
          <w:color w:val="auto"/>
          <w:kern w:val="2"/>
          <w:sz w:val="44"/>
          <w:szCs w:val="44"/>
          <w:highlight w:val="none"/>
          <w:lang w:val="en-US" w:eastAsia="zh-CN"/>
        </w:rPr>
      </w:pPr>
    </w:p>
    <w:bookmarkEnd w:id="0"/>
    <w:bookmarkEnd w:id="1"/>
    <w:bookmarkEnd w:id="2"/>
    <w:bookmarkEnd w:id="3"/>
    <w:bookmarkEnd w:id="4"/>
    <w:p w14:paraId="0AAF667A">
      <w:pPr>
        <w:pStyle w:val="6"/>
        <w:jc w:val="center"/>
        <w:rPr>
          <w:rFonts w:hint="eastAsia" w:ascii="Times New Roman" w:eastAsia="方正小标宋简体" w:cs="Times New Roman"/>
          <w:color w:val="auto"/>
          <w:kern w:val="2"/>
          <w:sz w:val="44"/>
          <w:szCs w:val="44"/>
          <w:highlight w:val="none"/>
          <w:lang w:val="en-US" w:eastAsia="zh-CN"/>
        </w:rPr>
      </w:pPr>
      <w:bookmarkStart w:id="6" w:name="_Toc15396598"/>
      <w:bookmarkStart w:id="7" w:name="_Toc15396476"/>
      <w:bookmarkStart w:id="8" w:name="_Toc15377426"/>
      <w:bookmarkStart w:id="9" w:name="_Toc15378442"/>
      <w:bookmarkStart w:id="10" w:name="_Toc15377194"/>
      <w:r>
        <w:rPr>
          <w:rFonts w:hint="eastAsia" w:ascii="Times New Roman" w:hAnsi="Times New Roman" w:eastAsia="方正小标宋简体" w:cs="Times New Roman"/>
          <w:color w:val="auto"/>
          <w:kern w:val="2"/>
          <w:sz w:val="44"/>
          <w:szCs w:val="44"/>
          <w:highlight w:val="none"/>
          <w:lang w:val="en-US" w:eastAsia="zh-CN"/>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rPr>
        <w:t>阿坝州松潘县民政局</w:t>
      </w:r>
    </w:p>
    <w:p w14:paraId="243F89D9">
      <w:pPr>
        <w:pStyle w:val="6"/>
        <w:jc w:val="center"/>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部门决算</w:t>
      </w:r>
      <w:bookmarkEnd w:id="6"/>
      <w:bookmarkEnd w:id="7"/>
      <w:bookmarkEnd w:id="8"/>
      <w:bookmarkEnd w:id="9"/>
      <w:bookmarkEnd w:id="10"/>
      <w:bookmarkEnd w:id="11"/>
    </w:p>
    <w:p w14:paraId="74D445F7">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FF1A913">
      <w:pPr>
        <w:widowControl/>
        <w:jc w:val="center"/>
        <w:rPr>
          <w:rFonts w:ascii="Times New Roman" w:hAnsi="Times New Roman" w:eastAsia="黑体" w:cs="黑体"/>
          <w:color w:val="auto"/>
          <w:sz w:val="28"/>
          <w:szCs w:val="28"/>
          <w:highlight w:val="none"/>
        </w:rPr>
      </w:pPr>
    </w:p>
    <w:p w14:paraId="58C517D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14 </w:t>
      </w:r>
      <w:r>
        <w:rPr>
          <w:rFonts w:hint="eastAsia" w:ascii="Times New Roman" w:hAnsi="Times New Roman" w:eastAsia="仿宋_GB2312" w:cs="仿宋_GB2312"/>
          <w:color w:val="auto"/>
          <w:sz w:val="32"/>
          <w:szCs w:val="32"/>
          <w:highlight w:val="none"/>
        </w:rPr>
        <w:t>日</w:t>
      </w:r>
    </w:p>
    <w:p w14:paraId="7CA5F641">
      <w:pPr>
        <w:rPr>
          <w:rFonts w:ascii="Times New Roman" w:hAnsi="Times New Roman"/>
          <w:color w:val="auto"/>
          <w:highlight w:val="none"/>
        </w:rPr>
      </w:pPr>
    </w:p>
    <w:p w14:paraId="56F212CC">
      <w:pPr>
        <w:pStyle w:val="13"/>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eastAsia" w:ascii="Times New Roman" w:hAnsi="Times New Roman" w:eastAsia="黑体" w:cs="黑体"/>
          <w:color w:val="auto"/>
          <w:sz w:val="32"/>
          <w:szCs w:val="32"/>
          <w:highlight w:val="none"/>
        </w:rPr>
      </w:pPr>
      <w:bookmarkStart w:id="12" w:name="_Toc15396599"/>
      <w:bookmarkStart w:id="13" w:name="_Toc15377196"/>
      <w:r>
        <w:rPr>
          <w:rFonts w:hint="eastAsia" w:ascii="Times New Roman" w:hAnsi="Times New Roman" w:eastAsia="黑体" w:cs="黑体"/>
          <w:color w:val="auto"/>
          <w:sz w:val="32"/>
          <w:szCs w:val="32"/>
          <w:highlight w:val="none"/>
        </w:rPr>
        <w:t>第一部分 部门概况</w:t>
      </w:r>
    </w:p>
    <w:p w14:paraId="46CB29D2">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- 5 -</w:t>
      </w:r>
    </w:p>
    <w:p w14:paraId="7A7E86F7">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- 7 -</w:t>
      </w:r>
    </w:p>
    <w:p w14:paraId="44A62E85">
      <w:pPr>
        <w:pStyle w:val="13"/>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0719007">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- 8 -</w:t>
      </w:r>
    </w:p>
    <w:p w14:paraId="46E0BE66">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- 8 -</w:t>
      </w:r>
    </w:p>
    <w:p w14:paraId="0BEC6071">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- 9 -</w:t>
      </w:r>
    </w:p>
    <w:p w14:paraId="20B75667">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- 9 -</w:t>
      </w:r>
    </w:p>
    <w:p w14:paraId="1A2F4389">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- 10 -</w:t>
      </w:r>
    </w:p>
    <w:p w14:paraId="10DC765B">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-15-</w:t>
      </w:r>
    </w:p>
    <w:p w14:paraId="11098246">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- 16 -</w:t>
      </w:r>
    </w:p>
    <w:p w14:paraId="3500C261">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- 17 -</w:t>
      </w:r>
    </w:p>
    <w:p w14:paraId="67E7FE9C">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472156ED">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6E9A4D36">
      <w:pPr>
        <w:pStyle w:val="13"/>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- 19 -</w:t>
      </w:r>
    </w:p>
    <w:p w14:paraId="7C477B37">
      <w:pPr>
        <w:pStyle w:val="13"/>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- 23 -</w:t>
      </w:r>
    </w:p>
    <w:p w14:paraId="1A3051AD">
      <w:pPr>
        <w:pStyle w:val="13"/>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1FA7F534">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3036FAC7">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4174B61C">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4E8DC740">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4DD47A93">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09E36649">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6936BF65">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5FF38358">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005EBF39">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1B04A09A">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1644515E">
      <w:pPr>
        <w:pStyle w:val="18"/>
        <w:keepNext w:val="0"/>
        <w:keepLines w:val="0"/>
        <w:pageBreakBefore w:val="0"/>
        <w:widowControl w:val="0"/>
        <w:kinsoku/>
        <w:wordWrap/>
        <w:overflowPunct/>
        <w:topLinePunct w:val="0"/>
        <w:autoSpaceDE/>
        <w:autoSpaceDN/>
        <w:bidi w:val="0"/>
        <w:adjustRightInd w:val="0"/>
        <w:snapToGrid w:val="0"/>
        <w:spacing w:line="560" w:lineRule="exact"/>
        <w:ind w:left="958" w:leftChars="304" w:hanging="320" w:hangingChars="1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-47-</w:t>
      </w:r>
    </w:p>
    <w:p w14:paraId="31E15844">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53C22101">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- 47-</w:t>
      </w:r>
    </w:p>
    <w:p w14:paraId="792AFCA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F63D17B">
      <w:pPr>
        <w:pStyle w:val="3"/>
        <w:jc w:val="center"/>
        <w:rPr>
          <w:rStyle w:val="24"/>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4"/>
          <w:rFonts w:hint="eastAsia" w:ascii="Times New Roman" w:hAnsi="Times New Roman" w:eastAsia="方正小标宋简体" w:cs="方正小标宋简体"/>
          <w:b w:val="0"/>
          <w:bCs w:val="0"/>
          <w:color w:val="auto"/>
          <w:highlight w:val="none"/>
        </w:rPr>
        <w:t>部门概况</w:t>
      </w:r>
      <w:bookmarkEnd w:id="12"/>
      <w:bookmarkEnd w:id="13"/>
    </w:p>
    <w:p w14:paraId="526E8620">
      <w:pPr>
        <w:widowControl/>
        <w:jc w:val="left"/>
        <w:rPr>
          <w:rFonts w:ascii="Times New Roman" w:hAnsi="Times New Roman" w:eastAsia="黑体"/>
          <w:color w:val="auto"/>
          <w:sz w:val="32"/>
          <w:szCs w:val="32"/>
          <w:highlight w:val="none"/>
        </w:rPr>
      </w:pPr>
    </w:p>
    <w:p w14:paraId="6FAEC90C">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3BFBCD82">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）起草民政工作规范性文件草案，拟订全县民政事业发展规划、政策、标准并组织实施。</w:t>
      </w:r>
    </w:p>
    <w:p w14:paraId="32A90A2E">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）拟订社会团体、社会服务机构等社会组织登记和监督管理办法并组织实施，依法对社会组织进行登记管理和执法监督。</w:t>
      </w:r>
    </w:p>
    <w:p w14:paraId="0D77BD50">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）牵头拟订社会救助规划、政策、标准，统筹推进社会救助体系建设，负责城乡居民最低生活保障、特困人员救助供养、临时救助、生活无着流浪乞讨人员救助工作。</w:t>
      </w:r>
    </w:p>
    <w:p w14:paraId="647E86F4">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拟订行政区划、行政区域界线管理和地名管理政策，组织拟订全县行政区划优化设置建议方案，按照管理权限牵头负责全县行政区划设立、命名、撤销、变更和政府驻地迁移等审核报批工作。按照管理权限确定、公布行政区划代码，组织并指导全县行政区域界线的勘定、管理工作，调处行政区域边界争议，负责全县地名工作的统一监督管理工作。</w:t>
      </w:r>
    </w:p>
    <w:p w14:paraId="59FE6DD8">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）拟订婚姻管理政策并组织实施，推进婚俗改革。</w:t>
      </w:r>
    </w:p>
    <w:p w14:paraId="731F34DA">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）拟订殡葬管理政策、服务规范并组织实施，负责殡葬管理工作，推进殡葬改革。</w:t>
      </w:r>
    </w:p>
    <w:p w14:paraId="26451629">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）拟订社会福利事业发展规划、政策、标准，拟订社会福利机构管理办法并指导实施，拟订残疾人权益保护政策并监督实施。负责康复辅助器具行业管理，统筹推进残疾人福利制度建设和康复辅助器具产业发展。</w:t>
      </w:r>
    </w:p>
    <w:p w14:paraId="5F39B9ED">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）承担县老龄工作委员会的具体工作。组织拟订并协调落实积极应对人口老龄化政策措施。指导协调老年人权益保障工作。组织拟订老年人社会参与政策并组织实施。</w:t>
      </w:r>
    </w:p>
    <w:p w14:paraId="406FAB43">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lang w:eastAsia="zh-CN"/>
        </w:rPr>
        <w:t>）组织拟订并协调落实促进养老事业发展的政策措施。统筹推进、督促指导、监督管理养老服务工作，拟订养老服务体系建设规划、政策、标准并组织实施，承担老年人福利和特殊困难老年人救助工作，协调推进农村留守老年人关爱服务工作。</w:t>
      </w:r>
    </w:p>
    <w:p w14:paraId="27A0CC44">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eastAsia="zh-CN"/>
        </w:rPr>
        <w:t>）拟订儿童福利、孤弃儿童保障、儿童收养、儿童救助保护政策和标准并组织实施，健全农村留守儿童关爱服务体系和困境儿童保障制度。</w:t>
      </w:r>
    </w:p>
    <w:p w14:paraId="638BEA1C">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lang w:eastAsia="zh-CN"/>
        </w:rPr>
        <w:t>）组织拟订促进慈善事业发展政策，指导社会捐助工作。负责职责范围内的福利彩票有关工作。</w:t>
      </w:r>
    </w:p>
    <w:p w14:paraId="0710DBD5">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lang w:eastAsia="zh-CN"/>
        </w:rPr>
        <w:t>）依法依规负责社会福利、养老服务、殡葬服务、救助管理等机构安全生产监督管理工作。负责职责范围内的职业健康、生态环境保护、审批服务便民化等工作。</w:t>
      </w:r>
    </w:p>
    <w:p w14:paraId="062C0137">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lang w:eastAsia="zh-CN"/>
        </w:rPr>
        <w:t>）完成县委、县政府交办的其他任务。</w:t>
      </w:r>
    </w:p>
    <w:p w14:paraId="445B5778">
      <w:pPr>
        <w:numPr>
          <w:ilvl w:val="0"/>
          <w:numId w:val="0"/>
        </w:numPr>
        <w:rPr>
          <w:rFonts w:hint="eastAsia"/>
          <w:lang w:eastAsia="zh-CN"/>
        </w:rPr>
      </w:pPr>
    </w:p>
    <w:p w14:paraId="77ED59C2">
      <w:pPr>
        <w:pStyle w:val="4"/>
        <w:rPr>
          <w:rStyle w:val="25"/>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5"/>
          <w:rFonts w:hint="eastAsia" w:ascii="Times New Roman" w:hAnsi="Times New Roman" w:eastAsia="黑体"/>
          <w:b w:val="0"/>
          <w:bCs w:val="0"/>
          <w:color w:val="auto"/>
          <w:highlight w:val="none"/>
        </w:rPr>
        <w:t>构设置</w:t>
      </w:r>
      <w:bookmarkEnd w:id="14"/>
      <w:bookmarkEnd w:id="15"/>
    </w:p>
    <w:p w14:paraId="75886266">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松潘县民政局本级</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D970741">
      <w:pPr>
        <w:pStyle w:val="6"/>
        <w:adjustRightInd w:val="0"/>
        <w:snapToGrid w:val="0"/>
        <w:spacing w:before="93" w:beforeLines="0"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松潘县民政局本级</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571F062">
      <w:pPr>
        <w:pStyle w:val="6"/>
        <w:numPr>
          <w:ilvl w:val="0"/>
          <w:numId w:val="2"/>
        </w:numPr>
        <w:adjustRightInd w:val="0"/>
        <w:snapToGrid w:val="0"/>
        <w:spacing w:before="93" w:beforeLines="0" w:line="600" w:lineRule="exact"/>
        <w:outlineLvl w:val="2"/>
        <w:rPr>
          <w:rFonts w:ascii="Times New Roman" w:hAnsi="Times New Roman" w:eastAsia="仿宋"/>
          <w:color w:val="auto"/>
          <w:kern w:val="0"/>
          <w:sz w:val="32"/>
          <w:szCs w:val="32"/>
          <w:highlight w:val="none"/>
        </w:rPr>
      </w:pPr>
      <w:bookmarkStart w:id="16" w:name="_Toc15378449"/>
      <w:bookmarkStart w:id="17" w:name="_Toc15306276"/>
      <w:bookmarkStart w:id="18" w:name="_Toc15377202"/>
      <w:bookmarkStart w:id="19" w:name="_Toc15377433"/>
      <w:r>
        <w:rPr>
          <w:rFonts w:hint="eastAsia" w:ascii="Times New Roman" w:cs="仿宋_GB2312"/>
          <w:color w:val="auto"/>
          <w:sz w:val="32"/>
          <w:szCs w:val="32"/>
          <w:highlight w:val="none"/>
          <w:lang w:eastAsia="zh-CN"/>
        </w:rPr>
        <w:t>松潘县社会救助福利服务中心</w:t>
      </w:r>
      <w:bookmarkEnd w:id="16"/>
      <w:bookmarkEnd w:id="17"/>
      <w:bookmarkEnd w:id="18"/>
      <w:bookmarkEnd w:id="19"/>
      <w:r>
        <w:rPr>
          <w:rFonts w:hint="eastAsia" w:ascii="Times New Roman" w:cs="仿宋_GB2312"/>
          <w:color w:val="auto"/>
          <w:sz w:val="32"/>
          <w:szCs w:val="32"/>
          <w:highlight w:val="none"/>
          <w:lang w:eastAsia="zh-CN"/>
        </w:rPr>
        <w:t>。</w:t>
      </w:r>
    </w:p>
    <w:p w14:paraId="46A1C618">
      <w:pPr>
        <w:pStyle w:val="3"/>
        <w:jc w:val="center"/>
        <w:rPr>
          <w:rFonts w:hint="eastAsia" w:ascii="Times New Roman" w:hAnsi="Times New Roman" w:eastAsia="方正小标宋简体" w:cs="方正小标宋简体"/>
          <w:b w:val="0"/>
          <w:color w:val="auto"/>
          <w:highlight w:val="none"/>
        </w:rPr>
      </w:pPr>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78161B46">
      <w:pPr>
        <w:rPr>
          <w:rFonts w:ascii="Times New Roman" w:hAnsi="Times New Roman"/>
          <w:color w:val="auto"/>
          <w:highlight w:val="none"/>
        </w:rPr>
      </w:pPr>
    </w:p>
    <w:p w14:paraId="6CE0B0E1">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5"/>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5"/>
          <w:rFonts w:hint="eastAsia" w:ascii="Times New Roman" w:hAnsi="Times New Roman" w:eastAsia="黑体"/>
          <w:b w:val="0"/>
          <w:color w:val="auto"/>
          <w:highlight w:val="none"/>
        </w:rPr>
        <w:t>入支出决算总体情况说明</w:t>
      </w:r>
      <w:bookmarkEnd w:id="22"/>
      <w:bookmarkEnd w:id="23"/>
    </w:p>
    <w:p w14:paraId="62DDE5B8">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4387.36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591.43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15.58</w:t>
      </w:r>
      <w:r>
        <w:rPr>
          <w:rFonts w:hint="eastAsia" w:ascii="Times New Roman" w:hAnsi="Times New Roman" w:eastAsia="仿宋_GB2312" w:cs="仿宋_GB2312"/>
          <w:color w:val="auto"/>
          <w:sz w:val="32"/>
          <w:szCs w:val="32"/>
          <w:highlight w:val="none"/>
        </w:rPr>
        <w:t>%。主要变动原因是享受救助的人数增加</w:t>
      </w:r>
      <w:r>
        <w:rPr>
          <w:rFonts w:hint="eastAsia" w:eastAsia="仿宋_GB2312" w:cs="仿宋_GB2312"/>
          <w:color w:val="auto"/>
          <w:sz w:val="32"/>
          <w:szCs w:val="32"/>
          <w:highlight w:val="none"/>
          <w:lang w:eastAsia="zh-CN"/>
        </w:rPr>
        <w:t>。</w:t>
      </w:r>
    </w:p>
    <w:p w14:paraId="4B2B46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6349E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4605" b="14605"/>
            <wp:docPr id="4"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287B08">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510CFCE6">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4387.36万元，其中：一般公共预算财政拨款收入4023.44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363.91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8.29%</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52FD02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002112B">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BA7579">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5"/>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5"/>
          <w:rFonts w:hint="eastAsia" w:ascii="Times New Roman" w:hAnsi="Times New Roman" w:eastAsia="黑体"/>
          <w:b w:val="0"/>
          <w:color w:val="auto"/>
          <w:highlight w:val="none"/>
        </w:rPr>
        <w:t>出决算情况说明</w:t>
      </w:r>
      <w:bookmarkEnd w:id="26"/>
      <w:bookmarkEnd w:id="27"/>
    </w:p>
    <w:p w14:paraId="5EECFC4A">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4387.36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222.28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5.06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4165.07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94.93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9AD4B6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A9693C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6"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1361DE">
      <w:pPr>
        <w:spacing w:line="600" w:lineRule="exact"/>
        <w:ind w:firstLine="640" w:firstLineChars="200"/>
        <w:outlineLvl w:val="1"/>
        <w:rPr>
          <w:rStyle w:val="25"/>
          <w:rFonts w:ascii="Times New Roman" w:hAnsi="Times New Roman" w:eastAsia="黑体"/>
          <w:b w:val="0"/>
          <w:color w:val="auto"/>
          <w:highlight w:val="none"/>
        </w:rPr>
      </w:pPr>
      <w:bookmarkStart w:id="28" w:name="_Toc15377208"/>
      <w:bookmarkStart w:id="29" w:name="_Toc15396606"/>
      <w:r>
        <w:rPr>
          <w:rFonts w:hint="eastAsia" w:ascii="Times New Roman" w:hAnsi="Times New Roman" w:eastAsia="黑体"/>
          <w:color w:val="auto"/>
          <w:sz w:val="32"/>
          <w:szCs w:val="32"/>
          <w:highlight w:val="none"/>
        </w:rPr>
        <w:t>四、财</w:t>
      </w:r>
      <w:r>
        <w:rPr>
          <w:rStyle w:val="25"/>
          <w:rFonts w:hint="eastAsia" w:ascii="Times New Roman" w:hAnsi="Times New Roman" w:eastAsia="黑体"/>
          <w:b w:val="0"/>
          <w:color w:val="auto"/>
          <w:highlight w:val="none"/>
        </w:rPr>
        <w:t>政拨款收入支出决算总体情况说明</w:t>
      </w:r>
      <w:bookmarkEnd w:id="28"/>
      <w:bookmarkEnd w:id="29"/>
    </w:p>
    <w:p w14:paraId="18D076C5">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rPr>
        <w:t>2024年度财政拨款收入、支出总计均为</w:t>
      </w:r>
      <w:r>
        <w:rPr>
          <w:rFonts w:hint="eastAsia" w:ascii="仿宋_GB2312" w:hAnsi="仿宋_GB2312" w:eastAsia="仿宋_GB2312" w:cs="仿宋_GB2312"/>
          <w:sz w:val="32"/>
          <w:szCs w:val="32"/>
        </w:rPr>
        <w:t>4387.36</w:t>
      </w:r>
      <w:r>
        <w:rPr>
          <w:rFonts w:hint="eastAsia" w:ascii="Times New Roman" w:hAnsi="Times New Roman" w:eastAsia="仿宋_GB2312" w:cs="仿宋_GB2312"/>
          <w:color w:val="auto"/>
          <w:kern w:val="2"/>
          <w:sz w:val="32"/>
          <w:szCs w:val="32"/>
          <w:highlight w:val="none"/>
          <w:lang w:val="en-US" w:eastAsia="zh-CN"/>
        </w:rPr>
        <w:t>万元。与2023年度相比，财政拨款收入总计、支出总计各增加</w:t>
      </w:r>
      <w:r>
        <w:rPr>
          <w:rFonts w:hint="eastAsia" w:eastAsia="仿宋_GB2312" w:cs="仿宋_GB2312"/>
          <w:color w:val="auto"/>
          <w:sz w:val="32"/>
          <w:szCs w:val="32"/>
          <w:highlight w:val="none"/>
          <w:lang w:val="en-US" w:eastAsia="zh-CN"/>
        </w:rPr>
        <w:t>591.43</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15.58</w:t>
      </w:r>
      <w:r>
        <w:rPr>
          <w:rFonts w:hint="eastAsia" w:ascii="Times New Roman" w:hAnsi="Times New Roman" w:eastAsia="仿宋_GB2312" w:cs="仿宋_GB2312"/>
          <w:color w:val="auto"/>
          <w:kern w:val="2"/>
          <w:sz w:val="32"/>
          <w:szCs w:val="32"/>
          <w:highlight w:val="none"/>
          <w:lang w:val="en-US" w:eastAsia="zh-CN"/>
        </w:rPr>
        <w:t>%。主要变动原因是</w:t>
      </w:r>
      <w:r>
        <w:rPr>
          <w:rFonts w:hint="eastAsia" w:ascii="Times New Roman" w:hAnsi="Times New Roman" w:eastAsia="仿宋_GB2312" w:cs="仿宋_GB2312"/>
          <w:color w:val="auto"/>
          <w:sz w:val="32"/>
          <w:szCs w:val="32"/>
          <w:highlight w:val="none"/>
        </w:rPr>
        <w:t>享受救助的人数增加</w:t>
      </w:r>
      <w:r>
        <w:rPr>
          <w:rFonts w:hint="eastAsia" w:ascii="Times New Roman" w:hAnsi="Times New Roman" w:eastAsia="仿宋_GB2312" w:cs="仿宋_GB2312"/>
          <w:color w:val="auto"/>
          <w:sz w:val="32"/>
          <w:szCs w:val="32"/>
          <w:highlight w:val="none"/>
          <w:lang w:eastAsia="zh-CN"/>
        </w:rPr>
        <w:t>。</w:t>
      </w:r>
    </w:p>
    <w:p w14:paraId="35F30094">
      <w:pPr>
        <w:pStyle w:val="3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（图4：财政拨款收、支决算总计变动情况）（柱状图）</w:t>
      </w:r>
    </w:p>
    <w:p w14:paraId="4EA8B567">
      <w:pPr>
        <w:spacing w:line="600" w:lineRule="exact"/>
        <w:ind w:firstLine="640"/>
      </w:pPr>
      <w:r>
        <w:drawing>
          <wp:anchor distT="0" distB="0" distL="114300" distR="114300" simplePos="0" relativeHeight="251659264" behindDoc="0" locked="0" layoutInCell="1" allowOverlap="1">
            <wp:simplePos x="0" y="0"/>
            <wp:positionH relativeFrom="column">
              <wp:posOffset>151130</wp:posOffset>
            </wp:positionH>
            <wp:positionV relativeFrom="paragraph">
              <wp:posOffset>133985</wp:posOffset>
            </wp:positionV>
            <wp:extent cx="4781550" cy="2743200"/>
            <wp:effectExtent l="4445" t="4445" r="14605" b="1460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0FC09A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28BA40CF">
      <w:pPr>
        <w:spacing w:line="600" w:lineRule="exact"/>
        <w:ind w:firstLine="640" w:firstLineChars="200"/>
        <w:outlineLvl w:val="1"/>
        <w:rPr>
          <w:rStyle w:val="25"/>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5"/>
          <w:rFonts w:hint="eastAsia" w:ascii="Times New Roman" w:hAnsi="Times New Roman" w:eastAsia="黑体"/>
          <w:b w:val="0"/>
          <w:color w:val="auto"/>
          <w:highlight w:val="none"/>
        </w:rPr>
        <w:t>般公共预算财政拨款支出决算情况说明</w:t>
      </w:r>
      <w:bookmarkEnd w:id="30"/>
      <w:bookmarkEnd w:id="31"/>
    </w:p>
    <w:p w14:paraId="75E54B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3737D2C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4023.44</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91.7</w:t>
      </w:r>
      <w:r>
        <w:rPr>
          <w:rFonts w:hint="eastAsia" w:ascii="仿宋_GB2312" w:hAnsi="仿宋_GB2312" w:eastAsia="仿宋_GB2312" w:cs="仿宋_GB2312"/>
          <w:color w:val="auto"/>
          <w:kern w:val="2"/>
          <w:sz w:val="32"/>
          <w:szCs w:val="32"/>
          <w:highlight w:val="none"/>
          <w:lang w:val="en-US" w:eastAsia="zh-CN"/>
        </w:rPr>
        <w:t>%。与2023年度相比，一般公共预算财政拨款支出增加1033.55万元，增长34.56%。主要变动原因是政府性基金预算财政拨款收入减少及享受救助的人数增加。</w:t>
      </w:r>
    </w:p>
    <w:p w14:paraId="69C9F4D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（图5：一般公共预算财政拨款支出决算变动情况）（柱状图）</w:t>
      </w:r>
    </w:p>
    <w:p w14:paraId="73960D5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445770</wp:posOffset>
            </wp:positionH>
            <wp:positionV relativeFrom="paragraph">
              <wp:posOffset>204470</wp:posOffset>
            </wp:positionV>
            <wp:extent cx="4572000" cy="2743200"/>
            <wp:effectExtent l="4445" t="4445" r="14605" b="1460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AC4389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56AA729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4023.44</w:t>
      </w:r>
      <w:r>
        <w:rPr>
          <w:rFonts w:hint="eastAsia" w:ascii="仿宋_GB2312" w:hAnsi="仿宋_GB2312" w:eastAsia="仿宋_GB2312" w:cs="仿宋_GB2312"/>
          <w:color w:val="auto"/>
          <w:kern w:val="2"/>
          <w:sz w:val="32"/>
          <w:szCs w:val="32"/>
          <w:highlight w:val="none"/>
          <w:lang w:val="en-US" w:eastAsia="zh-CN"/>
        </w:rPr>
        <w:t>万元</w:t>
      </w:r>
      <w:r>
        <w:rPr>
          <w:rFonts w:hint="eastAsia" w:ascii="Times New Roman" w:hAnsi="Times New Roman" w:eastAsia="仿宋_GB2312" w:cs="仿宋_GB2312"/>
          <w:color w:val="auto"/>
          <w:kern w:val="2"/>
          <w:sz w:val="32"/>
          <w:szCs w:val="32"/>
          <w:highlight w:val="none"/>
          <w:lang w:val="en-US" w:eastAsia="zh-CN"/>
        </w:rPr>
        <w:t>，主要用于以下方面</w:t>
      </w:r>
      <w:r>
        <w:rPr>
          <w:rFonts w:hint="eastAsia" w:eastAsia="仿宋_GB2312" w:cs="仿宋_GB2312"/>
          <w:color w:val="auto"/>
          <w:kern w:val="2"/>
          <w:sz w:val="32"/>
          <w:szCs w:val="32"/>
          <w:highlight w:val="none"/>
          <w:lang w:val="en-US" w:eastAsia="zh-CN"/>
        </w:rPr>
        <w:t>：农林水</w:t>
      </w:r>
      <w:r>
        <w:rPr>
          <w:rFonts w:hint="eastAsia" w:ascii="Times New Roman" w:hAnsi="Times New Roman" w:eastAsia="仿宋_GB2312" w:cs="仿宋_GB2312"/>
          <w:color w:val="auto"/>
          <w:kern w:val="2"/>
          <w:sz w:val="32"/>
          <w:szCs w:val="32"/>
          <w:highlight w:val="none"/>
          <w:lang w:val="en-US" w:eastAsia="zh-CN"/>
        </w:rPr>
        <w:t>支出</w:t>
      </w:r>
      <w:r>
        <w:rPr>
          <w:rFonts w:hint="eastAsia" w:eastAsia="仿宋_GB2312" w:cs="仿宋_GB2312"/>
          <w:color w:val="auto"/>
          <w:kern w:val="2"/>
          <w:sz w:val="32"/>
          <w:szCs w:val="32"/>
          <w:highlight w:val="none"/>
          <w:lang w:val="en-US" w:eastAsia="zh-CN"/>
        </w:rPr>
        <w:t>293.34</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7.29</w:t>
      </w:r>
      <w:r>
        <w:rPr>
          <w:rFonts w:hint="eastAsia" w:ascii="Times New Roman" w:hAnsi="Times New Roman" w:eastAsia="仿宋_GB2312" w:cs="仿宋_GB2312"/>
          <w:color w:val="auto"/>
          <w:kern w:val="2"/>
          <w:sz w:val="32"/>
          <w:szCs w:val="32"/>
          <w:highlight w:val="none"/>
          <w:lang w:val="en-US" w:eastAsia="zh-CN"/>
        </w:rPr>
        <w:t>%；社会保障和就业支出</w:t>
      </w:r>
      <w:r>
        <w:rPr>
          <w:rFonts w:hint="eastAsia" w:eastAsia="仿宋_GB2312" w:cs="仿宋_GB2312"/>
          <w:color w:val="auto"/>
          <w:kern w:val="2"/>
          <w:sz w:val="32"/>
          <w:szCs w:val="32"/>
          <w:highlight w:val="none"/>
          <w:lang w:val="en-US" w:eastAsia="zh-CN"/>
        </w:rPr>
        <w:t>3703.17</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92.04</w:t>
      </w:r>
      <w:r>
        <w:rPr>
          <w:rFonts w:hint="eastAsia" w:ascii="Times New Roman" w:hAnsi="Times New Roman" w:eastAsia="仿宋_GB2312" w:cs="仿宋_GB2312"/>
          <w:color w:val="auto"/>
          <w:kern w:val="2"/>
          <w:sz w:val="32"/>
          <w:szCs w:val="32"/>
          <w:highlight w:val="none"/>
          <w:lang w:val="en-US" w:eastAsia="zh-CN"/>
        </w:rPr>
        <w:t>%；卫生健康支出</w:t>
      </w:r>
      <w:r>
        <w:rPr>
          <w:rFonts w:hint="eastAsia" w:eastAsia="仿宋_GB2312" w:cs="仿宋_GB2312"/>
          <w:color w:val="auto"/>
          <w:kern w:val="2"/>
          <w:sz w:val="32"/>
          <w:szCs w:val="32"/>
          <w:highlight w:val="none"/>
          <w:lang w:val="en-US" w:eastAsia="zh-CN"/>
        </w:rPr>
        <w:t>13.01</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0.32</w:t>
      </w:r>
      <w:r>
        <w:rPr>
          <w:rFonts w:hint="eastAsia" w:ascii="Times New Roman" w:hAnsi="Times New Roman" w:eastAsia="仿宋_GB2312" w:cs="仿宋_GB2312"/>
          <w:color w:val="auto"/>
          <w:kern w:val="2"/>
          <w:sz w:val="32"/>
          <w:szCs w:val="32"/>
          <w:highlight w:val="none"/>
          <w:lang w:val="en-US" w:eastAsia="zh-CN"/>
        </w:rPr>
        <w:t>%；住房保障支出</w:t>
      </w:r>
      <w:r>
        <w:rPr>
          <w:rFonts w:hint="eastAsia" w:eastAsia="仿宋_GB2312" w:cs="仿宋_GB2312"/>
          <w:color w:val="auto"/>
          <w:kern w:val="2"/>
          <w:sz w:val="32"/>
          <w:szCs w:val="32"/>
          <w:highlight w:val="none"/>
          <w:lang w:val="en-US" w:eastAsia="zh-CN"/>
        </w:rPr>
        <w:t>13.92</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0.35</w:t>
      </w:r>
      <w:r>
        <w:rPr>
          <w:rFonts w:hint="eastAsia" w:ascii="Times New Roman" w:hAnsi="Times New Roman" w:eastAsia="仿宋_GB2312" w:cs="仿宋_GB2312"/>
          <w:color w:val="auto"/>
          <w:kern w:val="2"/>
          <w:sz w:val="32"/>
          <w:szCs w:val="32"/>
          <w:highlight w:val="none"/>
          <w:lang w:val="en-US" w:eastAsia="zh-CN"/>
        </w:rPr>
        <w:t>%；</w:t>
      </w:r>
      <w:r>
        <w:rPr>
          <w:rFonts w:hint="eastAsia" w:ascii="Times New Roman" w:hAnsi="Times New Roman" w:eastAsia="仿宋_GB2312" w:cs="仿宋_GB2312"/>
          <w:b/>
          <w:bCs/>
          <w:color w:val="auto"/>
          <w:kern w:val="2"/>
          <w:sz w:val="32"/>
          <w:szCs w:val="32"/>
          <w:highlight w:val="none"/>
          <w:lang w:val="en-US" w:eastAsia="zh-CN"/>
        </w:rPr>
        <w:t>（注：仅罗列本部门涉及的全部功能分类科目，至类级）</w:t>
      </w:r>
    </w:p>
    <w:p w14:paraId="6DF7F20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（图6：一般公共预算财政拨款支出决算结构）（饼状图）</w:t>
      </w:r>
    </w:p>
    <w:p w14:paraId="698D55A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410210</wp:posOffset>
            </wp:positionH>
            <wp:positionV relativeFrom="paragraph">
              <wp:posOffset>310515</wp:posOffset>
            </wp:positionV>
            <wp:extent cx="4572000" cy="2743200"/>
            <wp:effectExtent l="4445" t="4445" r="14605" b="14605"/>
            <wp:wrapTopAndBottom/>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28A4D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1A344B7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35" w:name="_Toc15378460"/>
      <w:bookmarkStart w:id="36" w:name="_Toc15377213"/>
      <w:bookmarkStart w:id="37" w:name="_Toc15377444"/>
      <w:r>
        <w:rPr>
          <w:rFonts w:hint="eastAsia" w:ascii="Times New Roman" w:hAnsi="Times New Roman" w:eastAsia="仿宋_GB2312" w:cs="仿宋_GB2312"/>
          <w:color w:val="auto"/>
          <w:kern w:val="2"/>
          <w:sz w:val="32"/>
          <w:szCs w:val="32"/>
          <w:highlight w:val="none"/>
          <w:lang w:val="en-US" w:eastAsia="zh-CN"/>
        </w:rPr>
        <w:t>2024年度一般公共预算财政拨款支出决算数为</w:t>
      </w:r>
      <w:r>
        <w:rPr>
          <w:rFonts w:hint="eastAsia" w:ascii="仿宋_GB2312" w:hAnsi="仿宋_GB2312" w:eastAsia="仿宋_GB2312" w:cs="仿宋_GB2312"/>
          <w:sz w:val="32"/>
          <w:szCs w:val="32"/>
        </w:rPr>
        <w:t>4023.44</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完成预算**%。其中：</w:t>
      </w:r>
      <w:bookmarkEnd w:id="35"/>
      <w:bookmarkEnd w:id="36"/>
      <w:bookmarkEnd w:id="37"/>
    </w:p>
    <w:p w14:paraId="1D0486F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1.社会保障和就业（类）民政管理事务（款）行政运行（项）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支出决算为169.94万元，完成预算100%，决算数等于预算数。</w:t>
      </w:r>
    </w:p>
    <w:p w14:paraId="780BD2C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2.社会保障和就业（类）民政管理事务（款）一般行政管理事务（项）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支出决算为32.24万元，完成预算100%，决算数等于预算数。</w:t>
      </w:r>
    </w:p>
    <w:p w14:paraId="6F316E5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3.社会保障和就业（类）民政管理事务（款）其他民政管理事务支出（项）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支出决算为453.25万元，完成预算100%，决算数等于预算数。</w:t>
      </w:r>
    </w:p>
    <w:p w14:paraId="2CFCAE2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4.社会保障和就业（类）行政事业单位养老支出（款）机关事业单位基本养老保险缴费支出（项）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支出决算为16.94万元，完成预算100%，决算数等于预算数。</w:t>
      </w:r>
    </w:p>
    <w:p w14:paraId="5C9794B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5.社会保障和就业（类）行政事业单位养老支出（款）机关事业单位职业年金缴费支出（项）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支出决算为8.47万元，完成预算100%，决算数等于预算数。</w:t>
      </w:r>
    </w:p>
    <w:p w14:paraId="22D49473">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6.社会保障和就业（类）社会福利（款）儿童福利（项）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支出决算为14.72万元，完成预算100%，决算数等于预算数。</w:t>
      </w:r>
    </w:p>
    <w:p w14:paraId="017B6108">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7.社会保障和就业（类）社会福利（款）老年福利（项）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支出决算为156.58万元，完成预算100%，决算数等于预算数。</w:t>
      </w:r>
    </w:p>
    <w:p w14:paraId="14B2283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8.社会保障和就业（类）社会福利（款）养老服务（项）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支出决算为13万元，完成预算100%，决算数等于预算数。</w:t>
      </w:r>
    </w:p>
    <w:p w14:paraId="1958F90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9.社会保障和就业（类）社会福利（款）其他社会福利支出（项）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支出决算为60万元，完成预算100%，决算数等于预算数。</w:t>
      </w:r>
    </w:p>
    <w:p w14:paraId="02541DB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10.社会保障和就业（类）残疾人事业（款）残疾人生活和护理补贴支出（项）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支出决算为256.74万元，完成预算100%，决算数等于预算数。</w:t>
      </w:r>
    </w:p>
    <w:p w14:paraId="28B2551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11.社会保障和就业（类）最低生活保障（款）城市最低生活保障金支出（项）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支出决算为198.08万元，完成预算100%，决算数等于预算数。</w:t>
      </w:r>
    </w:p>
    <w:p w14:paraId="5D8FE97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12.社会保障和就业（类）最低生活保障（款）农村最低生活保障金支出（项）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支出决算为1877.92万元，完成预算100%，决算数等于预算数。</w:t>
      </w:r>
    </w:p>
    <w:p w14:paraId="7222543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13.社会保障和就业（类）临时救助（款）临时救助支出（项）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支出决算为109.9万元，完成预算100%，决算数等于预算数。</w:t>
      </w:r>
    </w:p>
    <w:p w14:paraId="51C9C869">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14.社会保障和就业（类）临时救助（款）流浪乞讨人员救助支出（项）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支出决算为1.06万元，完成预算100%，决算数等于预算数。</w:t>
      </w:r>
    </w:p>
    <w:p w14:paraId="0EF68E1C">
      <w:pPr>
        <w:spacing w:line="240" w:lineRule="auto"/>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15.社会保障和就业（类）特困人员救助供养（款）城市特困人员救助供养支出（项）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支出决算为14.18万元，完成预算100%，决算数等于预算数。</w:t>
      </w:r>
    </w:p>
    <w:p w14:paraId="114EB720">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16.社会保障和就业（类）特困人员救助供养（款）农村特困人员救助供养支出（项）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支出决算为316.83万元，完成预算100%，决算数等于预算数。</w:t>
      </w:r>
    </w:p>
    <w:p w14:paraId="66E348EC">
      <w:pPr>
        <w:pStyle w:val="17"/>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17.社会保障和就业（类）其他生活救助（款）其他城市生活救助（项）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支出决算为1.9万元，完成预算100%，决算数等于预算数。</w:t>
      </w:r>
    </w:p>
    <w:p w14:paraId="7F3985C3">
      <w:pPr>
        <w:pStyle w:val="17"/>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18.社会保障和就业（类）其他社会保障和就业支出（款）其他社会保障和就业支出（项）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支出决算为0.7万元，完成预算100%，决算数等于预算数。</w:t>
      </w:r>
    </w:p>
    <w:p w14:paraId="5873F8D5">
      <w:pPr>
        <w:pStyle w:val="17"/>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19.社会保障和就业（类）其他生活救助（款）其他农村生活救助（项）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支出决算为0.72万元，完成预算100%，决算数等于预算数。</w:t>
      </w:r>
    </w:p>
    <w:p w14:paraId="305A9727">
      <w:pPr>
        <w:rPr>
          <w:rFonts w:hint="eastAsia"/>
          <w:lang w:val="en-US" w:eastAsia="zh-CN"/>
        </w:rPr>
      </w:pPr>
    </w:p>
    <w:p w14:paraId="7A28E4F6">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20.卫生健康（类）行政事业单位医疗（款）行政单位医疗（项）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支出决算为8万元，完成预算100%，决算数等于预算数。</w:t>
      </w:r>
    </w:p>
    <w:p w14:paraId="3504BD4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21.卫生健康（类）行政事业单位医疗（款）公务员医疗补助（项）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支出决算为5.01万元，完成预算100%，决算数等于预算数。</w:t>
      </w:r>
    </w:p>
    <w:p w14:paraId="33A78619">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22.农林水（类）农村综合改革（款）对村民委员会和村党支部的补助（项）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支出决算为293.34万元，完成预算100%，决算数等于预算数。</w:t>
      </w:r>
    </w:p>
    <w:p w14:paraId="2F76DC3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23.住房保障（类）住房改革（款）住房公积金（项）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支出决算为13.92万元，完成预算100%，决算数等于预算数。</w:t>
      </w:r>
    </w:p>
    <w:p w14:paraId="298D635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0F060A37">
      <w:pPr>
        <w:tabs>
          <w:tab w:val="right" w:pos="8306"/>
        </w:tabs>
        <w:spacing w:line="600" w:lineRule="exact"/>
        <w:ind w:firstLine="640"/>
        <w:outlineLvl w:val="1"/>
        <w:rPr>
          <w:rStyle w:val="25"/>
          <w:rFonts w:ascii="Times New Roman" w:hAnsi="Times New Roman"/>
          <w:color w:val="auto"/>
          <w:highlight w:val="none"/>
        </w:rPr>
      </w:pPr>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5"/>
          <w:rFonts w:hint="eastAsia" w:ascii="Times New Roman" w:hAnsi="Times New Roman" w:eastAsia="黑体"/>
          <w:b w:val="0"/>
          <w:color w:val="auto"/>
          <w:highlight w:val="none"/>
        </w:rPr>
        <w:t>般公共预算财政拨款基本支出决算情况说明</w:t>
      </w:r>
      <w:bookmarkEnd w:id="38"/>
      <w:bookmarkEnd w:id="39"/>
      <w:r>
        <w:rPr>
          <w:rStyle w:val="25"/>
          <w:rFonts w:ascii="Times New Roman" w:hAnsi="Times New Roman" w:eastAsia="黑体"/>
          <w:b w:val="0"/>
          <w:color w:val="auto"/>
          <w:highlight w:val="none"/>
        </w:rPr>
        <w:tab/>
      </w:r>
    </w:p>
    <w:p w14:paraId="5BA16A7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2024年度一般公共预算财政拨款基本支出</w:t>
      </w:r>
      <w:r>
        <w:rPr>
          <w:rFonts w:hint="eastAsia" w:ascii="仿宋_GB2312" w:hAnsi="仿宋_GB2312" w:eastAsia="仿宋_GB2312" w:cs="仿宋_GB2312"/>
          <w:sz w:val="32"/>
          <w:szCs w:val="32"/>
        </w:rPr>
        <w:t>222.28</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元，其中：</w:t>
      </w:r>
    </w:p>
    <w:p w14:paraId="24D2434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人员经费</w:t>
      </w:r>
      <w:r>
        <w:rPr>
          <w:rFonts w:hint="eastAsia" w:ascii="仿宋_GB2312" w:hAnsi="仿宋_GB2312" w:eastAsia="仿宋_GB2312" w:cs="仿宋_GB2312"/>
          <w:sz w:val="32"/>
          <w:szCs w:val="32"/>
        </w:rPr>
        <w:t>202.73</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元，主要包括：基本工资、津贴补贴、奖金、绩效工资、机关事业单位基本养老保险缴费、职业年金缴费、其他社会保障缴费、生活补助、医疗费补助、奖励金、住房公积金等。</w:t>
      </w:r>
      <w:r>
        <w:rPr>
          <w:rFonts w:hint="eastAsia" w:ascii="Times New Roman" w:hAnsi="Times New Roman" w:eastAsia="仿宋_GB2312" w:cs="仿宋_GB2312"/>
          <w:color w:val="auto"/>
          <w:kern w:val="2"/>
          <w:sz w:val="32"/>
          <w:szCs w:val="32"/>
          <w:highlight w:val="none"/>
          <w:lang w:val="en-US" w:eastAsia="zh-CN"/>
        </w:rPr>
        <w:br w:type="textWrapping"/>
      </w:r>
      <w:r>
        <w:rPr>
          <w:rFonts w:hint="eastAsia" w:ascii="Times New Roman" w:hAnsi="Times New Roman" w:eastAsia="仿宋_GB2312" w:cs="仿宋_GB2312"/>
          <w:color w:val="auto"/>
          <w:kern w:val="2"/>
          <w:sz w:val="32"/>
          <w:szCs w:val="32"/>
          <w:highlight w:val="none"/>
          <w:lang w:val="en-US" w:eastAsia="zh-CN"/>
        </w:rPr>
        <w:t>　　公用经费</w:t>
      </w:r>
      <w:r>
        <w:rPr>
          <w:rFonts w:hint="eastAsia" w:ascii="仿宋_GB2312" w:hAnsi="仿宋_GB2312" w:eastAsia="仿宋_GB2312" w:cs="仿宋_GB2312"/>
          <w:sz w:val="32"/>
          <w:szCs w:val="32"/>
        </w:rPr>
        <w:t>19.55</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元，主要包括：办公费、水费、电费、邮电费、差旅费、维修（护）费、培训费、公务接待费、工会经费、公务用车运行维护费等。</w:t>
      </w:r>
    </w:p>
    <w:p w14:paraId="406FB6F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09DACEFB">
      <w:pPr>
        <w:spacing w:line="600" w:lineRule="exact"/>
        <w:ind w:firstLine="640"/>
        <w:outlineLvl w:val="1"/>
        <w:rPr>
          <w:rStyle w:val="25"/>
          <w:rFonts w:ascii="Times New Roman" w:hAnsi="Times New Roman" w:eastAsia="黑体"/>
          <w:b w:val="0"/>
          <w:color w:val="auto"/>
          <w:highlight w:val="none"/>
        </w:rPr>
      </w:pPr>
      <w:bookmarkStart w:id="40" w:name="_Toc15396609"/>
      <w:bookmarkStart w:id="41" w:name="_Toc15377215"/>
      <w:r>
        <w:rPr>
          <w:rFonts w:hint="eastAsia" w:ascii="Times New Roman" w:hAnsi="Times New Roman" w:eastAsia="黑体"/>
          <w:color w:val="auto"/>
          <w:sz w:val="32"/>
          <w:szCs w:val="32"/>
          <w:highlight w:val="none"/>
        </w:rPr>
        <w:t>七、</w:t>
      </w:r>
      <w:r>
        <w:rPr>
          <w:rStyle w:val="25"/>
          <w:rFonts w:hint="eastAsia" w:ascii="Times New Roman" w:hAnsi="Times New Roman" w:eastAsia="黑体"/>
          <w:b w:val="0"/>
          <w:color w:val="auto"/>
          <w:highlight w:val="none"/>
        </w:rPr>
        <w:t>财政拨款</w:t>
      </w:r>
      <w:r>
        <w:rPr>
          <w:rStyle w:val="25"/>
          <w:rFonts w:hint="eastAsia" w:ascii="Times New Roman" w:hAnsi="Times New Roman" w:eastAsia="黑体"/>
          <w:color w:val="auto"/>
          <w:highlight w:val="none"/>
        </w:rPr>
        <w:t>“</w:t>
      </w:r>
      <w:r>
        <w:rPr>
          <w:rStyle w:val="25"/>
          <w:rFonts w:hint="eastAsia" w:ascii="Times New Roman" w:hAnsi="Times New Roman" w:eastAsia="黑体"/>
          <w:b w:val="0"/>
          <w:color w:val="auto"/>
          <w:highlight w:val="none"/>
        </w:rPr>
        <w:t>三公”经费支出决算情况说明</w:t>
      </w:r>
      <w:bookmarkEnd w:id="40"/>
      <w:bookmarkEnd w:id="41"/>
    </w:p>
    <w:p w14:paraId="0CAB00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72195E0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2024年度“三公”经费财政拨款支出决算为</w:t>
      </w:r>
      <w:r>
        <w:rPr>
          <w:rFonts w:hint="eastAsia" w:ascii="仿宋_GB2312" w:hAnsi="仿宋_GB2312" w:eastAsia="仿宋_GB2312" w:cs="仿宋_GB2312"/>
          <w:sz w:val="32"/>
          <w:szCs w:val="32"/>
        </w:rPr>
        <w:t>11.76</w:t>
      </w:r>
      <w:r>
        <w:rPr>
          <w:rFonts w:hint="eastAsia" w:ascii="仿宋_GB2312" w:hAnsi="仿宋_GB2312" w:eastAsia="仿宋_GB2312" w:cs="仿宋_GB2312"/>
          <w:color w:val="auto"/>
          <w:kern w:val="2"/>
          <w:sz w:val="32"/>
          <w:szCs w:val="32"/>
          <w:highlight w:val="none"/>
          <w:lang w:val="en-US"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较上年度减少</w:t>
      </w:r>
      <w:r>
        <w:rPr>
          <w:rFonts w:hint="eastAsia" w:eastAsia="仿宋_GB2312" w:cs="仿宋_GB2312"/>
          <w:color w:val="auto"/>
          <w:kern w:val="2"/>
          <w:sz w:val="32"/>
          <w:szCs w:val="32"/>
          <w:highlight w:val="none"/>
          <w:lang w:val="en-US" w:eastAsia="zh-CN"/>
        </w:rPr>
        <w:t>0.52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4.23</w:t>
      </w:r>
      <w:r>
        <w:rPr>
          <w:rFonts w:hint="eastAsia" w:ascii="Times New Roman" w:hAnsi="Times New Roman" w:eastAsia="仿宋_GB2312" w:cs="仿宋_GB2312"/>
          <w:color w:val="auto"/>
          <w:kern w:val="2"/>
          <w:sz w:val="32"/>
          <w:szCs w:val="32"/>
          <w:highlight w:val="none"/>
          <w:lang w:val="en-US" w:eastAsia="zh-CN"/>
        </w:rPr>
        <w:t>%。</w:t>
      </w:r>
    </w:p>
    <w:p w14:paraId="0E1D6D7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5DD428F3">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万元，占0%；公务用车购置及运行维护费支出决算</w:t>
      </w:r>
      <w:r>
        <w:rPr>
          <w:rFonts w:hint="eastAsia" w:ascii="仿宋_GB2312" w:hAnsi="仿宋_GB2312" w:eastAsia="仿宋_GB2312" w:cs="仿宋_GB2312"/>
          <w:sz w:val="32"/>
          <w:szCs w:val="32"/>
        </w:rPr>
        <w:t>11.6</w:t>
      </w:r>
      <w:r>
        <w:rPr>
          <w:rFonts w:hint="eastAsia" w:ascii="仿宋_GB2312" w:hAnsi="仿宋_GB2312" w:eastAsia="仿宋_GB2312" w:cs="仿宋_GB2312"/>
          <w:color w:val="auto"/>
          <w:kern w:val="2"/>
          <w:sz w:val="32"/>
          <w:szCs w:val="32"/>
          <w:highlight w:val="none"/>
          <w:lang w:val="en-US" w:eastAsia="zh-CN"/>
        </w:rPr>
        <w:t>万元，占98.64%；公务接待费支出决算</w:t>
      </w:r>
      <w:r>
        <w:rPr>
          <w:rFonts w:hint="eastAsia" w:ascii="仿宋_GB2312" w:hAnsi="仿宋_GB2312" w:eastAsia="仿宋_GB2312" w:cs="仿宋_GB2312"/>
          <w:sz w:val="32"/>
          <w:szCs w:val="32"/>
        </w:rPr>
        <w:t>0.16</w:t>
      </w:r>
      <w:r>
        <w:rPr>
          <w:rFonts w:hint="eastAsia" w:ascii="仿宋_GB2312" w:hAnsi="仿宋_GB2312" w:eastAsia="仿宋_GB2312" w:cs="仿宋_GB2312"/>
          <w:color w:val="auto"/>
          <w:kern w:val="2"/>
          <w:sz w:val="32"/>
          <w:szCs w:val="32"/>
          <w:highlight w:val="none"/>
          <w:lang w:val="en-US" w:eastAsia="zh-CN"/>
        </w:rPr>
        <w:t>万元，占1.36%。具体情况如下：</w:t>
      </w:r>
    </w:p>
    <w:p w14:paraId="1FBE72B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（图7：“三公”经费财政拨款支出结构）（饼状图）</w:t>
      </w:r>
    </w:p>
    <w:p w14:paraId="6C8A302B">
      <w:pPr>
        <w:pStyle w:val="17"/>
        <w:rPr>
          <w:rFonts w:hint="eastAsia"/>
          <w:lang w:val="en-US" w:eastAsia="zh-CN"/>
        </w:rPr>
      </w:pPr>
      <w:r>
        <w:drawing>
          <wp:inline distT="0" distB="0" distL="114300" distR="114300">
            <wp:extent cx="4572000" cy="2743200"/>
            <wp:effectExtent l="4445" t="4445" r="14605" b="14605"/>
            <wp:docPr id="7" name="图片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AAF41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1.因公出国（境）经费支出</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万元，完成预算</w:t>
      </w:r>
      <w:r>
        <w:rPr>
          <w:rFonts w:hint="eastAsia" w:eastAsia="仿宋_GB2312" w:cs="仿宋_GB2312"/>
          <w:b/>
          <w:bCs/>
          <w:color w:val="auto"/>
          <w:kern w:val="2"/>
          <w:sz w:val="32"/>
          <w:szCs w:val="32"/>
          <w:highlight w:val="none"/>
          <w:lang w:val="en-US" w:eastAsia="zh-CN"/>
        </w:rPr>
        <w:t>100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全年安排因公出国（境）团</w:t>
      </w:r>
      <w:r>
        <w:rPr>
          <w:rFonts w:hint="eastAsia" w:ascii="仿宋_GB2312" w:hAnsi="仿宋_GB2312" w:eastAsia="仿宋_GB2312" w:cs="仿宋_GB2312"/>
          <w:color w:val="auto"/>
          <w:kern w:val="2"/>
          <w:sz w:val="32"/>
          <w:szCs w:val="32"/>
          <w:highlight w:val="none"/>
          <w:lang w:val="en-US" w:eastAsia="zh-CN"/>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人</w:t>
      </w:r>
      <w:r>
        <w:rPr>
          <w:rFonts w:hint="eastAsia" w:ascii="Times New Roman" w:hAnsi="Times New Roman" w:eastAsia="仿宋_GB2312" w:cs="仿宋_GB2312"/>
          <w:color w:val="auto"/>
          <w:kern w:val="2"/>
          <w:sz w:val="32"/>
          <w:szCs w:val="32"/>
          <w:highlight w:val="none"/>
          <w:lang w:val="en-US" w:eastAsia="zh-CN"/>
        </w:rPr>
        <w:t>。因公出国（境）支出决算比2023年增加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63D6789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2.公务用车购置及运行维护费支出</w:t>
      </w:r>
      <w:r>
        <w:rPr>
          <w:rFonts w:hint="eastAsia" w:ascii="仿宋_GB2312" w:hAnsi="仿宋_GB2312" w:eastAsia="仿宋_GB2312" w:cs="仿宋_GB2312"/>
          <w:b/>
          <w:bCs/>
          <w:color w:val="auto"/>
          <w:kern w:val="2"/>
          <w:sz w:val="32"/>
          <w:szCs w:val="32"/>
          <w:highlight w:val="none"/>
          <w:lang w:val="en-US" w:eastAsia="zh-CN"/>
        </w:rPr>
        <w:t>11.6万</w:t>
      </w:r>
      <w:r>
        <w:rPr>
          <w:rFonts w:hint="eastAsia" w:ascii="Times New Roman" w:hAnsi="Times New Roman" w:eastAsia="仿宋_GB2312" w:cs="仿宋_GB2312"/>
          <w:b/>
          <w:bCs/>
          <w:color w:val="auto"/>
          <w:kern w:val="2"/>
          <w:sz w:val="32"/>
          <w:szCs w:val="32"/>
          <w:highlight w:val="none"/>
          <w:lang w:val="en-US" w:eastAsia="zh-CN"/>
        </w:rPr>
        <w:t>元</w:t>
      </w:r>
      <w:r>
        <w:rPr>
          <w:rFonts w:hint="eastAsia" w:eastAsia="仿宋_GB2312" w:cs="仿宋_GB2312"/>
          <w:b/>
          <w:bCs/>
          <w:color w:val="auto"/>
          <w:kern w:val="2"/>
          <w:sz w:val="32"/>
          <w:szCs w:val="32"/>
          <w:highlight w:val="none"/>
          <w:lang w:val="en-US" w:eastAsia="zh-CN"/>
        </w:rPr>
        <w:t>，</w:t>
      </w:r>
      <w:r>
        <w:rPr>
          <w:rFonts w:hint="eastAsia" w:ascii="Times New Roman" w:hAnsi="Times New Roman" w:eastAsia="仿宋_GB2312" w:cs="仿宋_GB2312"/>
          <w:b/>
          <w:bCs/>
          <w:color w:val="auto"/>
          <w:kern w:val="2"/>
          <w:sz w:val="32"/>
          <w:szCs w:val="32"/>
          <w:highlight w:val="none"/>
          <w:lang w:val="en-US" w:eastAsia="zh-CN"/>
        </w:rPr>
        <w:t>完成预算</w:t>
      </w:r>
      <w:r>
        <w:rPr>
          <w:rFonts w:hint="eastAsia" w:eastAsia="仿宋_GB2312" w:cs="仿宋_GB2312"/>
          <w:b/>
          <w:bCs/>
          <w:color w:val="auto"/>
          <w:kern w:val="2"/>
          <w:sz w:val="32"/>
          <w:szCs w:val="32"/>
          <w:highlight w:val="none"/>
          <w:lang w:val="en-US" w:eastAsia="zh-CN"/>
        </w:rPr>
        <w:t>100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公务用车购置及运行维护费支出决算比2023年度减少</w:t>
      </w:r>
      <w:r>
        <w:rPr>
          <w:rFonts w:hint="eastAsia" w:eastAsia="仿宋_GB2312" w:cs="仿宋_GB2312"/>
          <w:color w:val="auto"/>
          <w:kern w:val="2"/>
          <w:sz w:val="32"/>
          <w:szCs w:val="32"/>
          <w:highlight w:val="none"/>
          <w:lang w:val="en-US" w:eastAsia="zh-CN"/>
        </w:rPr>
        <w:t>0.4</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3.33</w:t>
      </w:r>
      <w:r>
        <w:rPr>
          <w:rFonts w:hint="eastAsia" w:ascii="Times New Roman" w:hAnsi="Times New Roman" w:eastAsia="仿宋_GB2312" w:cs="仿宋_GB2312"/>
          <w:color w:val="auto"/>
          <w:kern w:val="2"/>
          <w:sz w:val="32"/>
          <w:szCs w:val="32"/>
          <w:highlight w:val="none"/>
          <w:lang w:val="en-US" w:eastAsia="zh-CN"/>
        </w:rPr>
        <w:t>%。主要原因是公车使用减少</w:t>
      </w:r>
      <w:r>
        <w:rPr>
          <w:rFonts w:hint="eastAsia" w:eastAsia="仿宋_GB2312" w:cs="仿宋_GB2312"/>
          <w:color w:val="auto"/>
          <w:kern w:val="2"/>
          <w:sz w:val="32"/>
          <w:szCs w:val="32"/>
          <w:highlight w:val="none"/>
          <w:lang w:val="en-US" w:eastAsia="zh-CN"/>
        </w:rPr>
        <w:t>。</w:t>
      </w:r>
    </w:p>
    <w:p w14:paraId="33242001">
      <w:pPr>
        <w:spacing w:line="600" w:lineRule="exact"/>
        <w:ind w:firstLine="640"/>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其中：公务用车购置支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万元。截至2024年12月31日，单位共有公务用车</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辆</w:t>
      </w:r>
      <w:r>
        <w:rPr>
          <w:rFonts w:hint="eastAsia" w:eastAsia="仿宋_GB2312" w:cs="仿宋_GB2312"/>
          <w:color w:val="auto"/>
          <w:kern w:val="2"/>
          <w:sz w:val="32"/>
          <w:szCs w:val="32"/>
          <w:highlight w:val="none"/>
          <w:lang w:val="en-US" w:eastAsia="zh-CN"/>
        </w:rPr>
        <w:t>。</w:t>
      </w:r>
    </w:p>
    <w:p w14:paraId="3C0B925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公务用车运行维护费支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11.6</w:t>
      </w:r>
      <w:r>
        <w:rPr>
          <w:rFonts w:hint="eastAsia" w:ascii="Times New Roman" w:hAnsi="Times New Roman" w:eastAsia="仿宋_GB2312" w:cs="仿宋_GB2312"/>
          <w:color w:val="auto"/>
          <w:kern w:val="2"/>
          <w:sz w:val="32"/>
          <w:szCs w:val="32"/>
          <w:highlight w:val="none"/>
          <w:lang w:val="en-US" w:eastAsia="zh-CN"/>
        </w:rPr>
        <w:t>万元。主要用于</w:t>
      </w:r>
      <w:r>
        <w:rPr>
          <w:rFonts w:hint="eastAsia" w:ascii="仿宋_GB2312" w:eastAsia="仿宋_GB2312"/>
          <w:sz w:val="32"/>
          <w:szCs w:val="32"/>
          <w:lang w:eastAsia="zh-CN"/>
        </w:rPr>
        <w:t>民政开展走访困难群众，查看民政项目等工作</w:t>
      </w:r>
      <w:r>
        <w:rPr>
          <w:rFonts w:hint="eastAsia" w:ascii="Times New Roman" w:hAnsi="Times New Roman" w:eastAsia="仿宋_GB2312" w:cs="仿宋_GB2312"/>
          <w:color w:val="auto"/>
          <w:kern w:val="2"/>
          <w:sz w:val="32"/>
          <w:szCs w:val="32"/>
          <w:highlight w:val="none"/>
          <w:lang w:val="en-US" w:eastAsia="zh-CN"/>
        </w:rPr>
        <w:t>所需的公务用车燃料费、维修费、过路过桥费、保险费等支出。</w:t>
      </w:r>
    </w:p>
    <w:p w14:paraId="795D72F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3.公务接待费支出</w:t>
      </w:r>
      <w:r>
        <w:rPr>
          <w:rFonts w:hint="eastAsia" w:ascii="仿宋_GB2312" w:hAnsi="仿宋_GB2312" w:eastAsia="仿宋_GB2312" w:cs="仿宋_GB2312"/>
          <w:b/>
          <w:bCs/>
          <w:color w:val="auto"/>
          <w:kern w:val="2"/>
          <w:sz w:val="32"/>
          <w:szCs w:val="32"/>
          <w:highlight w:val="none"/>
          <w:lang w:val="en-US" w:eastAsia="zh-CN"/>
        </w:rPr>
        <w:t>0.16万</w:t>
      </w:r>
      <w:r>
        <w:rPr>
          <w:rFonts w:hint="eastAsia" w:ascii="Times New Roman" w:hAnsi="Times New Roman" w:eastAsia="仿宋_GB2312" w:cs="仿宋_GB2312"/>
          <w:b/>
          <w:bCs/>
          <w:color w:val="auto"/>
          <w:kern w:val="2"/>
          <w:sz w:val="32"/>
          <w:szCs w:val="32"/>
          <w:highlight w:val="none"/>
          <w:lang w:val="en-US" w:eastAsia="zh-CN"/>
        </w:rPr>
        <w:t>元，完成预算</w:t>
      </w:r>
      <w:r>
        <w:rPr>
          <w:rFonts w:hint="eastAsia" w:eastAsia="仿宋_GB2312" w:cs="仿宋_GB2312"/>
          <w:b/>
          <w:bCs/>
          <w:color w:val="auto"/>
          <w:kern w:val="2"/>
          <w:sz w:val="32"/>
          <w:szCs w:val="32"/>
          <w:highlight w:val="none"/>
          <w:lang w:val="en-US" w:eastAsia="zh-CN"/>
        </w:rPr>
        <w:t>100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公务接待费支出决算比2023年度增加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%。其中：</w:t>
      </w:r>
    </w:p>
    <w:p w14:paraId="5E97939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国内公务接待支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0.16</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元，主要用于</w:t>
      </w:r>
      <w:r>
        <w:rPr>
          <w:rFonts w:hint="eastAsia" w:ascii="仿宋_GB2312" w:eastAsia="仿宋_GB2312"/>
          <w:sz w:val="32"/>
          <w:szCs w:val="32"/>
          <w:lang w:eastAsia="zh-CN"/>
        </w:rPr>
        <w:t>困难群众实地走访工作（</w:t>
      </w:r>
      <w:r>
        <w:rPr>
          <w:rFonts w:hint="eastAsia" w:ascii="Times New Roman" w:hAnsi="Times New Roman" w:eastAsia="仿宋_GB2312" w:cs="仿宋_GB2312"/>
          <w:color w:val="auto"/>
          <w:kern w:val="2"/>
          <w:sz w:val="32"/>
          <w:szCs w:val="32"/>
          <w:highlight w:val="none"/>
          <w:lang w:val="en-US" w:eastAsia="zh-CN"/>
        </w:rPr>
        <w:t>执行公务、开展业务活动开支的交通费、住宿费、用餐费等</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。国内公务接</w:t>
      </w:r>
      <w:r>
        <w:rPr>
          <w:rFonts w:hint="eastAsia" w:ascii="仿宋_GB2312" w:hAnsi="仿宋_GB2312" w:eastAsia="仿宋_GB2312" w:cs="仿宋_GB2312"/>
          <w:color w:val="auto"/>
          <w:kern w:val="2"/>
          <w:sz w:val="32"/>
          <w:szCs w:val="32"/>
          <w:highlight w:val="none"/>
          <w:lang w:val="en-US" w:eastAsia="zh-CN"/>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rPr>
        <w:t>批次，</w:t>
      </w:r>
      <w:r>
        <w:rPr>
          <w:rFonts w:hint="eastAsia" w:ascii="仿宋_GB2312" w:hAnsi="仿宋_GB2312" w:eastAsia="仿宋_GB2312" w:cs="仿宋_GB2312"/>
          <w:sz w:val="32"/>
          <w:szCs w:val="32"/>
        </w:rPr>
        <w:t>11</w:t>
      </w:r>
      <w:r>
        <w:rPr>
          <w:rFonts w:hint="eastAsia" w:ascii="Times New Roman" w:hAnsi="Times New Roman" w:eastAsia="仿宋_GB2312" w:cs="仿宋_GB2312"/>
          <w:color w:val="auto"/>
          <w:kern w:val="2"/>
          <w:sz w:val="32"/>
          <w:szCs w:val="32"/>
          <w:highlight w:val="none"/>
          <w:lang w:val="en-US" w:eastAsia="zh-CN"/>
        </w:rPr>
        <w:t>人次（不包括陪同人员），共计支出</w:t>
      </w:r>
      <w:r>
        <w:rPr>
          <w:rFonts w:hint="eastAsia" w:eastAsia="仿宋_GB2312" w:cs="仿宋_GB2312"/>
          <w:color w:val="auto"/>
          <w:kern w:val="2"/>
          <w:sz w:val="32"/>
          <w:szCs w:val="32"/>
          <w:highlight w:val="none"/>
          <w:lang w:val="en-US" w:eastAsia="zh-CN"/>
        </w:rPr>
        <w:t>0.16</w:t>
      </w:r>
      <w:r>
        <w:rPr>
          <w:rFonts w:hint="eastAsia" w:ascii="Times New Roman" w:hAnsi="Times New Roman" w:eastAsia="仿宋_GB2312" w:cs="仿宋_GB2312"/>
          <w:color w:val="auto"/>
          <w:kern w:val="2"/>
          <w:sz w:val="32"/>
          <w:szCs w:val="32"/>
          <w:highlight w:val="none"/>
          <w:lang w:val="en-US" w:eastAsia="zh-CN"/>
        </w:rPr>
        <w:t>万元，具体内容包括</w:t>
      </w:r>
      <w:r>
        <w:rPr>
          <w:rFonts w:hint="eastAsia" w:eastAsia="仿宋_GB2312" w:cs="仿宋_GB2312"/>
          <w:color w:val="auto"/>
          <w:kern w:val="2"/>
          <w:sz w:val="32"/>
          <w:szCs w:val="32"/>
          <w:highlight w:val="none"/>
          <w:lang w:val="en-US" w:eastAsia="zh-CN"/>
        </w:rPr>
        <w:t>：嘉兴市民政局局长赴阿坝州开展民政工作调研</w:t>
      </w:r>
      <w:r>
        <w:rPr>
          <w:rFonts w:hint="eastAsia" w:ascii="Times New Roman" w:hAnsi="Times New Roman" w:eastAsia="仿宋_GB2312" w:cs="仿宋_GB2312"/>
          <w:color w:val="auto"/>
          <w:kern w:val="2"/>
          <w:sz w:val="32"/>
          <w:szCs w:val="32"/>
          <w:highlight w:val="none"/>
          <w:lang w:val="en-US" w:eastAsia="zh-CN"/>
        </w:rPr>
        <w:t>。</w:t>
      </w:r>
    </w:p>
    <w:p w14:paraId="5D017A6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外事接待支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人次（不包括陪同人员），共计支出0万</w:t>
      </w:r>
      <w:r>
        <w:rPr>
          <w:rFonts w:hint="eastAsia" w:ascii="Times New Roman" w:hAnsi="Times New Roman" w:eastAsia="仿宋_GB2312" w:cs="仿宋_GB2312"/>
          <w:color w:val="auto"/>
          <w:kern w:val="2"/>
          <w:sz w:val="32"/>
          <w:szCs w:val="32"/>
          <w:highlight w:val="none"/>
          <w:lang w:val="en-US" w:eastAsia="zh-CN"/>
        </w:rPr>
        <w:t>元。</w:t>
      </w:r>
    </w:p>
    <w:p w14:paraId="4E7226F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44" w:name="_Toc15396610"/>
      <w:bookmarkStart w:id="45" w:name="_Toc15377218"/>
    </w:p>
    <w:p w14:paraId="023A0B32">
      <w:pPr>
        <w:spacing w:line="600" w:lineRule="exact"/>
        <w:ind w:firstLine="640"/>
        <w:outlineLvl w:val="1"/>
        <w:rPr>
          <w:rStyle w:val="25"/>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5"/>
          <w:rFonts w:hint="eastAsia" w:ascii="Times New Roman" w:hAnsi="Times New Roman" w:eastAsia="黑体"/>
          <w:b w:val="0"/>
          <w:color w:val="auto"/>
          <w:highlight w:val="none"/>
        </w:rPr>
        <w:t>政府性基金预算支出决算情况说明</w:t>
      </w:r>
      <w:bookmarkEnd w:id="44"/>
      <w:bookmarkEnd w:id="45"/>
    </w:p>
    <w:p w14:paraId="7550ACF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2024年度政府性基金预算财政拨款支出</w:t>
      </w:r>
      <w:r>
        <w:rPr>
          <w:rFonts w:hint="eastAsia" w:ascii="仿宋_GB2312" w:hAnsi="仿宋_GB2312" w:eastAsia="仿宋_GB2312" w:cs="仿宋_GB2312"/>
          <w:sz w:val="32"/>
          <w:szCs w:val="32"/>
        </w:rPr>
        <w:t>363.91</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8.29</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。与2023年度相比，政府性基金预算财政拨款支出减少</w:t>
      </w:r>
      <w:r>
        <w:rPr>
          <w:rFonts w:hint="eastAsia" w:eastAsia="仿宋_GB2312" w:cs="仿宋_GB2312"/>
          <w:color w:val="auto"/>
          <w:kern w:val="2"/>
          <w:sz w:val="32"/>
          <w:szCs w:val="32"/>
          <w:highlight w:val="none"/>
          <w:lang w:val="en-US" w:eastAsia="zh-CN"/>
        </w:rPr>
        <w:t>442.12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54.85</w:t>
      </w:r>
      <w:r>
        <w:rPr>
          <w:rFonts w:hint="eastAsia" w:ascii="Times New Roman" w:hAnsi="Times New Roman" w:eastAsia="仿宋_GB2312" w:cs="仿宋_GB2312"/>
          <w:color w:val="auto"/>
          <w:kern w:val="2"/>
          <w:sz w:val="32"/>
          <w:szCs w:val="32"/>
          <w:highlight w:val="none"/>
          <w:lang w:val="en-US" w:eastAsia="zh-CN"/>
        </w:rPr>
        <w:t>%。主要变动原因是征地拆迁补偿金额减少</w:t>
      </w:r>
      <w:r>
        <w:rPr>
          <w:rFonts w:hint="eastAsia" w:eastAsia="仿宋_GB2312" w:cs="仿宋_GB2312"/>
          <w:color w:val="auto"/>
          <w:kern w:val="2"/>
          <w:sz w:val="32"/>
          <w:szCs w:val="32"/>
          <w:highlight w:val="none"/>
          <w:lang w:val="en-US" w:eastAsia="zh-CN"/>
        </w:rPr>
        <w:t>。</w:t>
      </w:r>
    </w:p>
    <w:p w14:paraId="41B3B309">
      <w:pPr>
        <w:numPr>
          <w:ilvl w:val="0"/>
          <w:numId w:val="0"/>
        </w:numPr>
        <w:spacing w:line="600" w:lineRule="exact"/>
        <w:ind w:left="630" w:leftChars="0"/>
        <w:outlineLvl w:val="1"/>
        <w:rPr>
          <w:rStyle w:val="25"/>
          <w:rFonts w:ascii="Times New Roman" w:hAnsi="Times New Roman" w:eastAsia="黑体"/>
          <w:b w:val="0"/>
          <w:color w:val="auto"/>
          <w:highlight w:val="none"/>
        </w:rPr>
      </w:pPr>
      <w:bookmarkStart w:id="46" w:name="_Toc15377219"/>
      <w:bookmarkStart w:id="47" w:name="_Toc15396611"/>
      <w:r>
        <w:rPr>
          <w:rStyle w:val="25"/>
          <w:rFonts w:hint="eastAsia" w:ascii="Times New Roman" w:hAnsi="Times New Roman" w:eastAsia="黑体"/>
          <w:b w:val="0"/>
          <w:color w:val="auto"/>
          <w:highlight w:val="none"/>
          <w:lang w:eastAsia="zh-CN"/>
        </w:rPr>
        <w:t>九、</w:t>
      </w:r>
      <w:r>
        <w:rPr>
          <w:rStyle w:val="25"/>
          <w:rFonts w:hint="eastAsia" w:ascii="Times New Roman" w:hAnsi="Times New Roman" w:eastAsia="黑体"/>
          <w:b w:val="0"/>
          <w:color w:val="auto"/>
          <w:highlight w:val="none"/>
        </w:rPr>
        <w:t>国有资本经营预算支出决算情况说明</w:t>
      </w:r>
      <w:bookmarkEnd w:id="46"/>
      <w:bookmarkEnd w:id="47"/>
    </w:p>
    <w:p w14:paraId="355CE90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。与2023年度相比，国有资本经营预算财政拨款支出增加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0B917D41">
      <w:pPr>
        <w:numPr>
          <w:ilvl w:val="0"/>
          <w:numId w:val="0"/>
        </w:numPr>
        <w:spacing w:line="600" w:lineRule="exact"/>
        <w:ind w:left="630" w:leftChars="0"/>
        <w:outlineLvl w:val="1"/>
        <w:rPr>
          <w:rStyle w:val="25"/>
          <w:rFonts w:hint="eastAsia" w:ascii="Times New Roman" w:hAnsi="Times New Roman" w:eastAsia="黑体"/>
          <w:b w:val="0"/>
          <w:color w:val="auto"/>
          <w:highlight w:val="none"/>
        </w:rPr>
      </w:pPr>
      <w:bookmarkStart w:id="48" w:name="_Toc15377221"/>
      <w:bookmarkStart w:id="49" w:name="_Toc15396612"/>
      <w:r>
        <w:rPr>
          <w:rStyle w:val="25"/>
          <w:rFonts w:hint="eastAsia" w:ascii="Times New Roman" w:hAnsi="Times New Roman" w:eastAsia="黑体"/>
          <w:b w:val="0"/>
          <w:color w:val="auto"/>
          <w:highlight w:val="none"/>
          <w:lang w:eastAsia="zh-CN"/>
        </w:rPr>
        <w:t>十、</w:t>
      </w:r>
      <w:r>
        <w:rPr>
          <w:rStyle w:val="25"/>
          <w:rFonts w:hint="eastAsia" w:ascii="Times New Roman" w:hAnsi="Times New Roman" w:eastAsia="黑体"/>
          <w:b w:val="0"/>
          <w:color w:val="auto"/>
          <w:highlight w:val="none"/>
        </w:rPr>
        <w:t>其他重要事项的情况说明</w:t>
      </w:r>
      <w:bookmarkEnd w:id="48"/>
      <w:bookmarkEnd w:id="49"/>
    </w:p>
    <w:p w14:paraId="2C8EF4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4CBD636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sz w:val="32"/>
          <w:szCs w:val="32"/>
        </w:rPr>
        <w:t>松潘县民政局本级</w:t>
      </w:r>
      <w:r>
        <w:rPr>
          <w:rFonts w:hint="eastAsia" w:ascii="仿宋_GB2312" w:hAnsi="仿宋_GB2312" w:eastAsia="仿宋_GB2312" w:cs="仿宋_GB2312"/>
          <w:color w:val="auto"/>
          <w:kern w:val="2"/>
          <w:sz w:val="32"/>
          <w:szCs w:val="32"/>
          <w:highlight w:val="none"/>
          <w:lang w:val="en-US" w:eastAsia="zh-CN"/>
        </w:rPr>
        <w:t>机关运行经费支出</w:t>
      </w:r>
      <w:r>
        <w:rPr>
          <w:rFonts w:hint="eastAsia" w:ascii="仿宋_GB2312" w:hAnsi="仿宋_GB2312" w:eastAsia="仿宋_GB2312" w:cs="仿宋_GB2312"/>
          <w:sz w:val="32"/>
          <w:szCs w:val="32"/>
        </w:rPr>
        <w:t>19.55</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元，比2023年度减少</w:t>
      </w:r>
      <w:r>
        <w:rPr>
          <w:rFonts w:hint="eastAsia" w:eastAsia="仿宋_GB2312" w:cs="仿宋_GB2312"/>
          <w:color w:val="auto"/>
          <w:kern w:val="2"/>
          <w:sz w:val="32"/>
          <w:szCs w:val="32"/>
          <w:highlight w:val="none"/>
          <w:lang w:val="en-US" w:eastAsia="zh-CN"/>
        </w:rPr>
        <w:t>2.09</w:t>
      </w:r>
      <w:r>
        <w:rPr>
          <w:rFonts w:hint="eastAsia" w:ascii="Times New Roman" w:hAnsi="Times New Roman" w:eastAsia="仿宋_GB2312" w:cs="仿宋_GB2312"/>
          <w:color w:val="auto"/>
          <w:kern w:val="2"/>
          <w:sz w:val="32"/>
          <w:szCs w:val="32"/>
          <w:highlight w:val="none"/>
          <w:lang w:val="en-US" w:eastAsia="zh-CN"/>
        </w:rPr>
        <w:t>万元，增长/下降</w:t>
      </w:r>
      <w:r>
        <w:rPr>
          <w:rFonts w:hint="eastAsia" w:eastAsia="仿宋_GB2312" w:cs="仿宋_GB2312"/>
          <w:color w:val="auto"/>
          <w:kern w:val="2"/>
          <w:sz w:val="32"/>
          <w:szCs w:val="32"/>
          <w:highlight w:val="none"/>
          <w:lang w:val="en-US" w:eastAsia="zh-CN"/>
        </w:rPr>
        <w:t>9.65</w:t>
      </w:r>
      <w:r>
        <w:rPr>
          <w:rFonts w:hint="eastAsia" w:ascii="Times New Roman" w:hAnsi="Times New Roman" w:eastAsia="仿宋_GB2312" w:cs="仿宋_GB2312"/>
          <w:color w:val="auto"/>
          <w:kern w:val="2"/>
          <w:sz w:val="32"/>
          <w:szCs w:val="32"/>
          <w:highlight w:val="none"/>
          <w:lang w:val="en-US" w:eastAsia="zh-CN"/>
        </w:rPr>
        <w:t>%（或与2023年度决算数持平）。主要原因是</w:t>
      </w:r>
      <w:r>
        <w:rPr>
          <w:rFonts w:hint="eastAsia" w:eastAsia="仿宋_GB2312" w:cs="仿宋_GB2312"/>
          <w:color w:val="auto"/>
          <w:kern w:val="2"/>
          <w:sz w:val="32"/>
          <w:szCs w:val="32"/>
          <w:highlight w:val="none"/>
          <w:lang w:val="en-US" w:eastAsia="zh-CN"/>
        </w:rPr>
        <w:t>2024年底系统关闭部分资金未支付。</w:t>
      </w:r>
    </w:p>
    <w:p w14:paraId="73577C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380BE08A">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w:t>
      </w:r>
      <w:r>
        <w:rPr>
          <w:rFonts w:hint="eastAsia" w:ascii="仿宋_GB2312" w:hAnsi="仿宋_GB2312" w:eastAsia="仿宋_GB2312" w:cs="仿宋_GB2312"/>
          <w:sz w:val="32"/>
          <w:szCs w:val="32"/>
        </w:rPr>
        <w:t>松潘县民政局本级</w:t>
      </w:r>
      <w:r>
        <w:rPr>
          <w:rFonts w:hint="eastAsia" w:ascii="仿宋_GB2312" w:hAnsi="仿宋_GB2312" w:eastAsia="仿宋_GB2312" w:cs="仿宋_GB2312"/>
          <w:color w:val="auto"/>
          <w:kern w:val="2"/>
          <w:sz w:val="32"/>
          <w:szCs w:val="32"/>
          <w:highlight w:val="none"/>
          <w:lang w:val="en-US" w:eastAsia="zh-CN"/>
        </w:rPr>
        <w:t>政府采购支出总额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万元、政府采购工程支出</w:t>
      </w:r>
      <w:r>
        <w:rPr>
          <w:rFonts w:hint="eastAsia" w:ascii="仿宋_GB2312" w:hAnsi="仿宋_GB2312" w:eastAsia="仿宋_GB2312" w:cs="仿宋_GB2312"/>
          <w:sz w:val="32"/>
          <w:szCs w:val="32"/>
        </w:rPr>
        <w:t>350.09</w:t>
      </w:r>
      <w:r>
        <w:rPr>
          <w:rFonts w:hint="eastAsia" w:ascii="仿宋_GB2312" w:hAnsi="仿宋_GB2312" w:eastAsia="仿宋_GB2312" w:cs="仿宋_GB2312"/>
          <w:color w:val="auto"/>
          <w:kern w:val="2"/>
          <w:sz w:val="32"/>
          <w:szCs w:val="32"/>
          <w:highlight w:val="none"/>
          <w:lang w:val="en-US" w:eastAsia="zh-CN"/>
        </w:rPr>
        <w:t>万元、政府采购服务支出</w:t>
      </w:r>
      <w:r>
        <w:rPr>
          <w:rFonts w:hint="eastAsia" w:ascii="仿宋_GB2312" w:hAnsi="仿宋_GB2312" w:eastAsia="仿宋_GB2312" w:cs="仿宋_GB2312"/>
          <w:sz w:val="32"/>
          <w:szCs w:val="32"/>
        </w:rPr>
        <w:t>39.5</w:t>
      </w:r>
      <w:r>
        <w:rPr>
          <w:rFonts w:hint="eastAsia" w:ascii="仿宋_GB2312" w:hAnsi="仿宋_GB2312" w:eastAsia="仿宋_GB2312" w:cs="仿宋_GB2312"/>
          <w:color w:val="auto"/>
          <w:kern w:val="2"/>
          <w:sz w:val="32"/>
          <w:szCs w:val="32"/>
          <w:highlight w:val="none"/>
          <w:lang w:val="en-US" w:eastAsia="zh-CN"/>
        </w:rPr>
        <w:t>万元。主要用于社区养老服务综合体建设、村级办公场所和综合服务设施维修改造项目、精神障碍社区康复服务。授予中小企业合同金额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rPr>
        <w:t>%，其中：授予小微企业合同金额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rPr>
        <w:t>%。</w:t>
      </w:r>
    </w:p>
    <w:p w14:paraId="2353B9C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1526EF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7EF6C5A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截至2024年12月31日，</w:t>
      </w:r>
      <w:r>
        <w:rPr>
          <w:rFonts w:hint="eastAsia" w:ascii="仿宋_GB2312" w:hAnsi="仿宋_GB2312" w:eastAsia="仿宋_GB2312" w:cs="仿宋_GB2312"/>
          <w:sz w:val="32"/>
          <w:szCs w:val="32"/>
        </w:rPr>
        <w:t>松潘县民政局本级</w:t>
      </w:r>
      <w:r>
        <w:rPr>
          <w:rFonts w:hint="eastAsia" w:ascii="仿宋_GB2312" w:hAnsi="仿宋_GB2312" w:eastAsia="仿宋_GB2312" w:cs="仿宋_GB2312"/>
          <w:color w:val="auto"/>
          <w:kern w:val="2"/>
          <w:sz w:val="32"/>
          <w:szCs w:val="32"/>
          <w:highlight w:val="none"/>
          <w:lang w:val="en-US" w:eastAsia="zh-CN"/>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台（套）</w:t>
      </w:r>
      <w:r>
        <w:rPr>
          <w:rFonts w:hint="eastAsia" w:ascii="Times New Roman" w:hAnsi="Times New Roman" w:eastAsia="仿宋_GB2312" w:cs="仿宋_GB2312"/>
          <w:color w:val="auto"/>
          <w:kern w:val="2"/>
          <w:sz w:val="32"/>
          <w:szCs w:val="32"/>
          <w:highlight w:val="none"/>
          <w:lang w:val="en-US" w:eastAsia="zh-CN"/>
        </w:rPr>
        <w:t>。</w:t>
      </w:r>
    </w:p>
    <w:p w14:paraId="51062B1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6D95B3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95D987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根据预算绩效管理要求，</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仿宋_GB2312"/>
          <w:color w:val="auto"/>
          <w:kern w:val="2"/>
          <w:sz w:val="32"/>
          <w:szCs w:val="32"/>
          <w:highlight w:val="none"/>
          <w:lang w:val="en-US" w:eastAsia="zh-CN"/>
        </w:rPr>
        <w:t>在2024年度预算编制阶段，组织对</w:t>
      </w:r>
      <w:r>
        <w:rPr>
          <w:rFonts w:hint="eastAsia" w:ascii="仿宋_GB2312" w:eastAsia="仿宋_GB2312"/>
          <w:sz w:val="32"/>
          <w:szCs w:val="32"/>
          <w:lang w:eastAsia="zh-CN"/>
        </w:rPr>
        <w:t>城镇低保、农村低保、临时救助、城镇五保、农村五保、儿童福利、高龄津贴、养老服务</w:t>
      </w:r>
      <w:r>
        <w:rPr>
          <w:rFonts w:hint="eastAsia" w:ascii="Times New Roman" w:hAnsi="Times New Roman" w:eastAsia="仿宋_GB2312" w:cs="仿宋_GB2312"/>
          <w:color w:val="auto"/>
          <w:kern w:val="2"/>
          <w:sz w:val="32"/>
          <w:szCs w:val="32"/>
          <w:highlight w:val="none"/>
          <w:lang w:val="en-US" w:eastAsia="zh-CN"/>
        </w:rPr>
        <w:t>等</w:t>
      </w:r>
      <w:r>
        <w:rPr>
          <w:rFonts w:hint="eastAsia" w:eastAsia="仿宋_GB2312" w:cs="仿宋_GB2312"/>
          <w:color w:val="auto"/>
          <w:kern w:val="2"/>
          <w:sz w:val="32"/>
          <w:szCs w:val="32"/>
          <w:highlight w:val="none"/>
          <w:lang w:val="en-US" w:eastAsia="zh-CN"/>
        </w:rPr>
        <w:t>37</w:t>
      </w:r>
      <w:r>
        <w:rPr>
          <w:rFonts w:hint="eastAsia" w:ascii="Times New Roman" w:hAnsi="Times New Roman" w:eastAsia="仿宋_GB2312" w:cs="仿宋_GB2312"/>
          <w:color w:val="auto"/>
          <w:kern w:val="2"/>
          <w:sz w:val="32"/>
          <w:szCs w:val="32"/>
          <w:highlight w:val="none"/>
          <w:lang w:val="en-US" w:eastAsia="zh-CN"/>
        </w:rPr>
        <w:t>个项目开展了预算事前绩效评估，对</w:t>
      </w:r>
      <w:r>
        <w:rPr>
          <w:rFonts w:hint="eastAsia" w:eastAsia="仿宋_GB2312" w:cs="仿宋_GB2312"/>
          <w:color w:val="auto"/>
          <w:kern w:val="2"/>
          <w:sz w:val="32"/>
          <w:szCs w:val="32"/>
          <w:highlight w:val="none"/>
          <w:lang w:val="en-US" w:eastAsia="zh-CN"/>
        </w:rPr>
        <w:t>37</w:t>
      </w:r>
      <w:r>
        <w:rPr>
          <w:rFonts w:hint="eastAsia" w:ascii="Times New Roman" w:hAnsi="Times New Roman" w:eastAsia="仿宋_GB2312" w:cs="仿宋_GB2312"/>
          <w:color w:val="auto"/>
          <w:kern w:val="2"/>
          <w:sz w:val="32"/>
          <w:szCs w:val="32"/>
          <w:highlight w:val="none"/>
          <w:lang w:val="en-US" w:eastAsia="zh-CN"/>
        </w:rPr>
        <w:t>个项目编制了绩效目标</w:t>
      </w:r>
      <w:r>
        <w:rPr>
          <w:rFonts w:hint="eastAsia" w:eastAsia="仿宋_GB2312" w:cs="仿宋_GB2312"/>
          <w:color w:val="auto"/>
          <w:kern w:val="2"/>
          <w:sz w:val="32"/>
          <w:szCs w:val="32"/>
          <w:highlight w:val="none"/>
          <w:lang w:val="en-US" w:eastAsia="zh-CN"/>
        </w:rPr>
        <w:t>，在</w:t>
      </w:r>
      <w:r>
        <w:rPr>
          <w:rFonts w:hint="eastAsia" w:ascii="Times New Roman" w:hAnsi="Times New Roman" w:eastAsia="仿宋_GB2312" w:cs="仿宋_GB2312"/>
          <w:color w:val="auto"/>
          <w:kern w:val="2"/>
          <w:sz w:val="32"/>
          <w:szCs w:val="32"/>
          <w:highlight w:val="none"/>
          <w:lang w:val="en-US" w:eastAsia="zh-CN"/>
        </w:rPr>
        <w:t>预算执行过程中，选取</w:t>
      </w:r>
      <w:r>
        <w:rPr>
          <w:rFonts w:hint="eastAsia" w:eastAsia="仿宋_GB2312" w:cs="仿宋_GB2312"/>
          <w:color w:val="auto"/>
          <w:kern w:val="2"/>
          <w:sz w:val="32"/>
          <w:szCs w:val="32"/>
          <w:highlight w:val="none"/>
          <w:lang w:val="en-US" w:eastAsia="zh-CN"/>
        </w:rPr>
        <w:t>10</w:t>
      </w:r>
      <w:r>
        <w:rPr>
          <w:rFonts w:hint="eastAsia" w:ascii="Times New Roman" w:hAnsi="Times New Roman" w:eastAsia="仿宋_GB2312" w:cs="仿宋_GB2312"/>
          <w:color w:val="auto"/>
          <w:kern w:val="2"/>
          <w:sz w:val="32"/>
          <w:szCs w:val="32"/>
          <w:highlight w:val="none"/>
          <w:lang w:val="en-US" w:eastAsia="zh-CN"/>
        </w:rPr>
        <w:t>个项目开展绩效监控。</w:t>
      </w:r>
    </w:p>
    <w:p w14:paraId="184F8B0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rPr>
        <w:t>松潘县民政局</w:t>
      </w:r>
      <w:r>
        <w:rPr>
          <w:rFonts w:hint="eastAsia" w:ascii="Times New Roman" w:hAnsi="Times New Roman" w:eastAsia="仿宋_GB2312" w:cs="仿宋_GB2312"/>
          <w:color w:val="auto"/>
          <w:kern w:val="2"/>
          <w:sz w:val="32"/>
          <w:szCs w:val="32"/>
          <w:highlight w:val="none"/>
          <w:lang w:val="en-US" w:eastAsia="zh-CN"/>
        </w:rPr>
        <w:t>部门整体（含部门预算项目）绩效自评报告、</w:t>
      </w:r>
      <w:r>
        <w:rPr>
          <w:rFonts w:hint="eastAsia" w:eastAsia="仿宋_GB2312" w:cs="仿宋_GB2312"/>
          <w:color w:val="auto"/>
          <w:kern w:val="2"/>
          <w:sz w:val="32"/>
          <w:szCs w:val="32"/>
          <w:highlight w:val="none"/>
          <w:lang w:val="en-US" w:eastAsia="zh-CN"/>
        </w:rPr>
        <w:t>困难群众资金、社会救助救济资金、养老服务发展资金</w:t>
      </w:r>
      <w:r>
        <w:rPr>
          <w:rFonts w:hint="eastAsia" w:ascii="Times New Roman" w:hAnsi="Times New Roman" w:eastAsia="仿宋_GB2312" w:cs="仿宋_GB2312"/>
          <w:color w:val="auto"/>
          <w:kern w:val="2"/>
          <w:sz w:val="32"/>
          <w:szCs w:val="32"/>
          <w:highlight w:val="none"/>
          <w:lang w:val="en-US" w:eastAsia="zh-CN"/>
        </w:rPr>
        <w:t>等专项预算项目绩效自评报告</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绩效自评报告详见附件。</w:t>
      </w:r>
    </w:p>
    <w:p w14:paraId="7F4BA59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27445BC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p>
    <w:p w14:paraId="0AEDFAC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C9F8E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950133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5D3479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358FC7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E84071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BFCF604">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052CCFEE">
      <w:pPr>
        <w:spacing w:line="600" w:lineRule="exact"/>
        <w:jc w:val="left"/>
        <w:rPr>
          <w:rFonts w:ascii="Times New Roman" w:hAnsi="Times New Roman"/>
          <w:b/>
          <w:color w:val="auto"/>
          <w:sz w:val="44"/>
          <w:szCs w:val="44"/>
          <w:highlight w:val="none"/>
        </w:rPr>
      </w:pPr>
    </w:p>
    <w:p w14:paraId="3276F55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1.财政拨款收入：指单位从同级财政部门取得的财政预算资金。</w:t>
      </w:r>
    </w:p>
    <w:p w14:paraId="027D3C4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2.事业收入：指事业单位开展专业业务活动及辅助活动取得的收入。如……（二级预算单位事业收入情况）等。</w:t>
      </w:r>
    </w:p>
    <w:p w14:paraId="73692C0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3.经营收入：指事业单位在专业业务活动及其辅助活动之外开展非独立核算经营活动取得的收入。如……（二级预算单位经营收入情况）等。</w:t>
      </w:r>
    </w:p>
    <w:p w14:paraId="16AFC9A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4.其他收入：指单位取得的除上述收入以外的各项收入。主要是……（收入类型）等。 </w:t>
      </w:r>
    </w:p>
    <w:p w14:paraId="63CC195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5.使用非财政拨款结余（含专用结余）：指事业单位使用以前年度积累的非财政拨款结余弥补当年收支差额的金额。 </w:t>
      </w:r>
    </w:p>
    <w:p w14:paraId="388CAD0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6.年初结转和结余：指以前年度尚未完成、结转到本年按有关规定继续使用的资金。 </w:t>
      </w:r>
    </w:p>
    <w:p w14:paraId="7E244F3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7.结余分配：指事业单位按照会计制度规定缴纳的所得税、提取的专用结余以及转入非财政拨款结余的金额等。</w:t>
      </w:r>
    </w:p>
    <w:p w14:paraId="0FAC0C5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8.年末结转和结余：指单位按有关规定结转到下年或以后年度继续使用的资金。</w:t>
      </w:r>
    </w:p>
    <w:p w14:paraId="363430AA">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社会保障和就业（类）民政管理事务（款）行政运行（项）</w:t>
      </w:r>
      <w:r>
        <w:rPr>
          <w:rFonts w:hint="eastAsia" w:ascii="仿宋_GB2312" w:eastAsia="仿宋_GB2312"/>
          <w:sz w:val="32"/>
          <w:szCs w:val="32"/>
          <w:lang w:eastAsia="zh-CN"/>
        </w:rPr>
        <w:t>：指单位工资福利支出。</w:t>
      </w:r>
    </w:p>
    <w:p w14:paraId="44EA10A6">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社会保障和就业（类）民政管理事务（款）一般行政管理事务（项）</w:t>
      </w:r>
      <w:r>
        <w:rPr>
          <w:rFonts w:hint="eastAsia" w:ascii="仿宋_GB2312" w:eastAsia="仿宋_GB2312"/>
          <w:sz w:val="32"/>
          <w:szCs w:val="32"/>
          <w:lang w:eastAsia="zh-CN"/>
        </w:rPr>
        <w:t>：指春节慰问金。</w:t>
      </w:r>
    </w:p>
    <w:p w14:paraId="4BBA3C96">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社会保障和就业（类）民政管理事务（款）其他民政管理事务支出（项）</w:t>
      </w:r>
      <w:r>
        <w:rPr>
          <w:rFonts w:hint="eastAsia" w:ascii="仿宋_GB2312" w:eastAsia="仿宋_GB2312"/>
          <w:sz w:val="32"/>
          <w:szCs w:val="32"/>
          <w:lang w:eastAsia="zh-CN"/>
        </w:rPr>
        <w:t>：指用于社会救助和未成年人等工作经费。</w:t>
      </w:r>
    </w:p>
    <w:p w14:paraId="066C9A7D">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Style w:val="22"/>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养老保险费</w:t>
      </w:r>
      <w:r>
        <w:rPr>
          <w:rFonts w:hint="eastAsia" w:ascii="仿宋_GB2312" w:hAnsi="仿宋_GB2312" w:eastAsia="仿宋_GB2312" w:cs="仿宋_GB2312"/>
          <w:color w:val="000000"/>
          <w:kern w:val="0"/>
          <w:sz w:val="32"/>
          <w:szCs w:val="32"/>
        </w:rPr>
        <w:t>的支出</w:t>
      </w:r>
      <w:r>
        <w:rPr>
          <w:rStyle w:val="22"/>
          <w:rFonts w:hint="eastAsia" w:ascii="仿宋_GB2312" w:hAnsi="仿宋_GB2312" w:eastAsia="仿宋_GB2312" w:cs="仿宋_GB2312"/>
          <w:b w:val="0"/>
          <w:color w:val="000000"/>
          <w:sz w:val="32"/>
          <w:szCs w:val="32"/>
        </w:rPr>
        <w:t>。</w:t>
      </w:r>
    </w:p>
    <w:p w14:paraId="6541E793">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eastAsia="zh-CN"/>
        </w:rPr>
        <w:t>：</w:t>
      </w:r>
      <w:r>
        <w:rPr>
          <w:rStyle w:val="22"/>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职业年金</w:t>
      </w:r>
      <w:r>
        <w:rPr>
          <w:rFonts w:hint="eastAsia" w:ascii="仿宋_GB2312" w:hAnsi="仿宋_GB2312" w:eastAsia="仿宋_GB2312" w:cs="仿宋_GB2312"/>
          <w:color w:val="000000"/>
          <w:kern w:val="0"/>
          <w:sz w:val="32"/>
          <w:szCs w:val="32"/>
        </w:rPr>
        <w:t>的支出</w:t>
      </w:r>
      <w:r>
        <w:rPr>
          <w:rStyle w:val="22"/>
          <w:rFonts w:hint="eastAsia" w:ascii="仿宋_GB2312" w:hAnsi="仿宋_GB2312" w:eastAsia="仿宋_GB2312" w:cs="仿宋_GB2312"/>
          <w:b w:val="0"/>
          <w:color w:val="000000"/>
          <w:sz w:val="32"/>
          <w:szCs w:val="32"/>
        </w:rPr>
        <w:t>。</w:t>
      </w:r>
    </w:p>
    <w:p w14:paraId="7EA8DDD3">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社会保障和就业（类）社会福利（款）儿童福利（项）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指孤儿和事实无人抚养孤儿生活补助。</w:t>
      </w:r>
    </w:p>
    <w:p w14:paraId="78D16C02">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社会保障和就业（类）社会福利（款）老年福利（项）</w:t>
      </w:r>
      <w:r>
        <w:rPr>
          <w:rFonts w:hint="eastAsia" w:ascii="仿宋_GB2312" w:eastAsia="仿宋_GB2312"/>
          <w:sz w:val="32"/>
          <w:szCs w:val="32"/>
          <w:lang w:eastAsia="zh-CN"/>
        </w:rPr>
        <w:t>：指高龄津贴。</w:t>
      </w:r>
      <w:r>
        <w:rPr>
          <w:rFonts w:hint="eastAsia" w:ascii="仿宋_GB2312" w:eastAsia="仿宋_GB2312"/>
          <w:sz w:val="32"/>
          <w:szCs w:val="32"/>
        </w:rPr>
        <w:t xml:space="preserve"> </w:t>
      </w:r>
    </w:p>
    <w:p w14:paraId="2CABF7E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社会保障和就业（类）社会福利（款）养老服务（项）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指养老服务业发展资金。</w:t>
      </w:r>
    </w:p>
    <w:p w14:paraId="1406B249">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社会保障和就业（类）社会福利（款）其他社会福利支出（项）</w:t>
      </w:r>
      <w:r>
        <w:rPr>
          <w:rFonts w:hint="eastAsia" w:ascii="仿宋_GB2312" w:eastAsia="仿宋_GB2312"/>
          <w:sz w:val="32"/>
          <w:szCs w:val="32"/>
          <w:lang w:eastAsia="zh-CN"/>
        </w:rPr>
        <w:t>：指用于城乡社区综合服务能力提升资金。</w:t>
      </w:r>
    </w:p>
    <w:p w14:paraId="6B37F2E2">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eastAsia" w:ascii="仿宋_GB2312" w:eastAsia="仿宋_GB2312"/>
          <w:sz w:val="32"/>
          <w:szCs w:val="32"/>
        </w:rPr>
        <w:t>社会保障和就业（类）残疾人事业（款）残疾人生活和护理补贴支出（项）</w:t>
      </w:r>
      <w:r>
        <w:rPr>
          <w:rFonts w:hint="eastAsia" w:ascii="仿宋_GB2312" w:eastAsia="仿宋_GB2312"/>
          <w:sz w:val="32"/>
          <w:szCs w:val="32"/>
          <w:lang w:eastAsia="zh-CN"/>
        </w:rPr>
        <w:t>：指用于发放残疾人生活补贴和护理补贴。</w:t>
      </w:r>
    </w:p>
    <w:p w14:paraId="17A7B0FF">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社会保障和就业（类）最低生活保障（款）城市最低生活保障金支出（项）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指用于发放城市低保生活补贴。</w:t>
      </w:r>
    </w:p>
    <w:p w14:paraId="2502153E">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社会保障和就业（类）最低生活保障（款）农村最低生活保障金支出（项）</w:t>
      </w:r>
      <w:r>
        <w:rPr>
          <w:rFonts w:hint="eastAsia" w:ascii="仿宋_GB2312" w:eastAsia="仿宋_GB2312"/>
          <w:sz w:val="32"/>
          <w:szCs w:val="32"/>
          <w:lang w:eastAsia="zh-CN"/>
        </w:rPr>
        <w:t>：指用于发放农村低保生活补贴。</w:t>
      </w:r>
    </w:p>
    <w:p w14:paraId="6D5BDEC8">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社会保障和就业（类）临时救助（款）临时救助支出（项）</w:t>
      </w:r>
      <w:r>
        <w:rPr>
          <w:rFonts w:hint="eastAsia" w:ascii="仿宋_GB2312" w:eastAsia="仿宋_GB2312"/>
          <w:sz w:val="32"/>
          <w:szCs w:val="32"/>
          <w:lang w:eastAsia="zh-CN"/>
        </w:rPr>
        <w:t>：指主要用于自费</w:t>
      </w:r>
      <w:r>
        <w:rPr>
          <w:rFonts w:hint="eastAsia" w:ascii="仿宋_GB2312" w:eastAsia="仿宋_GB2312"/>
          <w:sz w:val="32"/>
          <w:szCs w:val="32"/>
          <w:lang w:val="en-US" w:eastAsia="zh-CN"/>
        </w:rPr>
        <w:t>3万元以上大病临时补助。</w:t>
      </w:r>
    </w:p>
    <w:p w14:paraId="187CC769">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22.</w:t>
      </w:r>
      <w:r>
        <w:rPr>
          <w:rFonts w:hint="eastAsia" w:ascii="仿宋_GB2312" w:eastAsia="仿宋_GB2312"/>
          <w:sz w:val="32"/>
          <w:szCs w:val="32"/>
        </w:rPr>
        <w:t>社会保障和就业（类）临时救助（款）流浪乞讨人员救助支出（项）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指用于安置流浪乞讨人员的车费、住宿费等。</w:t>
      </w:r>
    </w:p>
    <w:p w14:paraId="50F9D9F8">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社会保障和就业（类）特困人员救助供养（款）城市特困人员救助供养支出（项）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指用于发放城镇特困人员生活补贴和护理费。</w:t>
      </w:r>
    </w:p>
    <w:p w14:paraId="4D796C3D">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社会保障和就业（类）特困人员救助供养（款）农村特困人员救助供养支出（项）</w:t>
      </w:r>
      <w:r>
        <w:rPr>
          <w:rFonts w:hint="eastAsia" w:ascii="仿宋_GB2312" w:eastAsia="仿宋_GB2312"/>
          <w:sz w:val="32"/>
          <w:szCs w:val="32"/>
          <w:lang w:eastAsia="zh-CN"/>
        </w:rPr>
        <w:t>：指用于发放农村特困人员生活补贴和护理费。</w:t>
      </w:r>
    </w:p>
    <w:p w14:paraId="02DFE7E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eastAsia="zh-CN"/>
        </w:rPr>
        <w:t>：</w:t>
      </w:r>
      <w:r>
        <w:rPr>
          <w:rStyle w:val="22"/>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单位用于缴纳单位基本医疗保险支出</w:t>
      </w:r>
      <w:r>
        <w:rPr>
          <w:rStyle w:val="22"/>
          <w:rFonts w:hint="eastAsia" w:ascii="仿宋_GB2312" w:hAnsi="仿宋_GB2312" w:eastAsia="仿宋_GB2312" w:cs="仿宋_GB2312"/>
          <w:b w:val="0"/>
          <w:color w:val="000000"/>
          <w:sz w:val="32"/>
          <w:szCs w:val="32"/>
        </w:rPr>
        <w:t>。</w:t>
      </w:r>
    </w:p>
    <w:p w14:paraId="7C06B194">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卫生健康（类）行政事业单位医疗（款）公务员医疗补助（项）</w:t>
      </w:r>
      <w:r>
        <w:rPr>
          <w:rFonts w:hint="eastAsia" w:ascii="仿宋_GB2312" w:eastAsia="仿宋_GB2312"/>
          <w:sz w:val="32"/>
          <w:szCs w:val="32"/>
          <w:lang w:eastAsia="zh-CN"/>
        </w:rPr>
        <w:t>：</w:t>
      </w:r>
      <w:r>
        <w:rPr>
          <w:rStyle w:val="22"/>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单位用于缴纳单位医疗保险</w:t>
      </w:r>
      <w:r>
        <w:rPr>
          <w:rFonts w:hint="eastAsia" w:ascii="仿宋_GB2312" w:hAnsi="仿宋_GB2312" w:eastAsia="仿宋_GB2312" w:cs="仿宋_GB2312"/>
          <w:color w:val="000000"/>
          <w:kern w:val="0"/>
          <w:sz w:val="32"/>
          <w:szCs w:val="32"/>
          <w:lang w:eastAsia="zh-CN"/>
        </w:rPr>
        <w:t>补助</w:t>
      </w:r>
      <w:r>
        <w:rPr>
          <w:rFonts w:hint="eastAsia" w:ascii="仿宋_GB2312" w:hAnsi="仿宋_GB2312" w:eastAsia="仿宋_GB2312" w:cs="仿宋_GB2312"/>
          <w:color w:val="000000"/>
          <w:kern w:val="0"/>
          <w:sz w:val="32"/>
          <w:szCs w:val="32"/>
        </w:rPr>
        <w:t>支出</w:t>
      </w:r>
      <w:r>
        <w:rPr>
          <w:rStyle w:val="22"/>
          <w:rFonts w:hint="eastAsia" w:ascii="仿宋_GB2312" w:hAnsi="仿宋_GB2312" w:eastAsia="仿宋_GB2312" w:cs="仿宋_GB2312"/>
          <w:b w:val="0"/>
          <w:color w:val="000000"/>
          <w:sz w:val="32"/>
          <w:szCs w:val="32"/>
        </w:rPr>
        <w:t>。</w:t>
      </w:r>
    </w:p>
    <w:p w14:paraId="53C7635B">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27.</w:t>
      </w:r>
      <w:r>
        <w:rPr>
          <w:rFonts w:hint="eastAsia" w:ascii="仿宋_GB2312" w:eastAsia="仿宋_GB2312"/>
          <w:sz w:val="32"/>
          <w:szCs w:val="32"/>
        </w:rPr>
        <w:t>农林水（类）农村综合改革（款）对村民委员会和村党支部的补助（项）</w:t>
      </w:r>
      <w:r>
        <w:rPr>
          <w:rFonts w:hint="eastAsia" w:ascii="仿宋_GB2312" w:eastAsia="仿宋_GB2312"/>
          <w:sz w:val="32"/>
          <w:szCs w:val="32"/>
          <w:lang w:eastAsia="zh-CN"/>
        </w:rPr>
        <w:t>：指用于离任村干部生活补贴。</w:t>
      </w:r>
    </w:p>
    <w:p w14:paraId="69762A41">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住房保障（类）住房改革（款）住房公积金（项）</w:t>
      </w:r>
      <w:r>
        <w:rPr>
          <w:rFonts w:hint="eastAsia" w:ascii="仿宋_GB2312" w:eastAsia="仿宋_GB2312"/>
          <w:sz w:val="32"/>
          <w:szCs w:val="32"/>
          <w:lang w:eastAsia="zh-CN"/>
        </w:rPr>
        <w:t>：</w:t>
      </w:r>
      <w:r>
        <w:rPr>
          <w:rStyle w:val="22"/>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Fonts w:hint="eastAsia" w:ascii="仿宋_GB2312" w:eastAsia="仿宋_GB2312"/>
          <w:sz w:val="32"/>
          <w:szCs w:val="32"/>
        </w:rPr>
        <w:t>。</w:t>
      </w:r>
    </w:p>
    <w:p w14:paraId="3073C9D7">
      <w:pPr>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仿宋_GB2312" w:eastAsia="仿宋_GB2312"/>
          <w:sz w:val="32"/>
          <w:szCs w:val="32"/>
          <w:lang w:val="en-US" w:eastAsia="zh-CN"/>
        </w:rPr>
        <w:t>29.</w:t>
      </w:r>
      <w:r>
        <w:rPr>
          <w:rFonts w:hint="eastAsia" w:ascii="仿宋_GB2312" w:eastAsia="仿宋_GB2312"/>
          <w:sz w:val="32"/>
          <w:szCs w:val="32"/>
        </w:rPr>
        <w:t>其他支出（类）其他支出（款）其他支出（项）</w:t>
      </w:r>
      <w:r>
        <w:rPr>
          <w:rFonts w:hint="eastAsia" w:ascii="仿宋_GB2312" w:eastAsia="仿宋_GB2312"/>
          <w:sz w:val="32"/>
          <w:szCs w:val="32"/>
          <w:lang w:eastAsia="zh-CN"/>
        </w:rPr>
        <w:t>：指用于村、社区综合服务设施建设。</w:t>
      </w:r>
    </w:p>
    <w:p w14:paraId="7284B18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30</w:t>
      </w:r>
      <w:r>
        <w:rPr>
          <w:rFonts w:hint="eastAsia" w:ascii="Times New Roman" w:hAnsi="Times New Roman" w:eastAsia="仿宋_GB2312" w:cs="仿宋_GB2312"/>
          <w:color w:val="auto"/>
          <w:kern w:val="2"/>
          <w:sz w:val="32"/>
          <w:szCs w:val="32"/>
          <w:highlight w:val="none"/>
          <w:lang w:val="en-US" w:eastAsia="zh-CN"/>
        </w:rPr>
        <w:t>.基本支出：指为保障机构正常运转、完成日常工作任务而发生的人员支出和公用支出。</w:t>
      </w:r>
    </w:p>
    <w:p w14:paraId="65232D0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31</w:t>
      </w:r>
      <w:r>
        <w:rPr>
          <w:rFonts w:hint="eastAsia" w:ascii="Times New Roman" w:hAnsi="Times New Roman" w:eastAsia="仿宋_GB2312" w:cs="仿宋_GB2312"/>
          <w:color w:val="auto"/>
          <w:kern w:val="2"/>
          <w:sz w:val="32"/>
          <w:szCs w:val="32"/>
          <w:highlight w:val="none"/>
          <w:lang w:val="en-US" w:eastAsia="zh-CN"/>
        </w:rPr>
        <w:t xml:space="preserve">.项目支出：指在基本支出之外为完成特定行政任务和事业发展目标所发生的支出。 </w:t>
      </w:r>
    </w:p>
    <w:p w14:paraId="134906C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32</w:t>
      </w:r>
      <w:r>
        <w:rPr>
          <w:rFonts w:hint="eastAsia" w:ascii="Times New Roman" w:hAnsi="Times New Roman" w:eastAsia="仿宋_GB2312" w:cs="仿宋_GB2312"/>
          <w:color w:val="auto"/>
          <w:kern w:val="2"/>
          <w:sz w:val="32"/>
          <w:szCs w:val="32"/>
          <w:highlight w:val="none"/>
          <w:lang w:val="en-US" w:eastAsia="zh-CN"/>
        </w:rPr>
        <w:t>.经营支出：指事业单位在专业业务活动及其辅助活动之外开展非独立核算经营活动发生的支出。</w:t>
      </w:r>
    </w:p>
    <w:p w14:paraId="5AA0AD3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三公</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105D8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49F9FA">
      <w:pPr>
        <w:spacing w:line="600" w:lineRule="exact"/>
        <w:jc w:val="center"/>
        <w:rPr>
          <w:rStyle w:val="24"/>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5F1C853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DF2259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1E4B8D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4FA23E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松潘县民政局</w:t>
      </w:r>
    </w:p>
    <w:p w14:paraId="302B3FD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CBACB5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0269D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0FC8390">
      <w:pPr>
        <w:pStyle w:val="5"/>
        <w:ind w:firstLine="643" w:firstLineChars="200"/>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 w:val="0"/>
          <w:kern w:val="2"/>
          <w:sz w:val="32"/>
          <w:szCs w:val="32"/>
          <w:lang w:val="en-US" w:eastAsia="zh-CN" w:bidi="ar-SA"/>
        </w:rPr>
        <w:t>松潘县民政局内设</w:t>
      </w:r>
      <w:r>
        <w:rPr>
          <w:rFonts w:hint="default" w:ascii="仿宋_GB2312" w:hAnsi="仿宋_GB2312" w:eastAsia="仿宋_GB2312" w:cs="仿宋_GB2312"/>
          <w:b w:val="0"/>
          <w:kern w:val="2"/>
          <w:sz w:val="32"/>
          <w:szCs w:val="32"/>
          <w:lang w:val="en-US" w:eastAsia="zh-CN" w:bidi="ar-SA"/>
        </w:rPr>
        <w:t>处室</w:t>
      </w:r>
      <w:r>
        <w:rPr>
          <w:rFonts w:hint="eastAsia" w:ascii="仿宋_GB2312" w:hAnsi="仿宋_GB2312" w:eastAsia="仿宋_GB2312" w:cs="仿宋_GB2312"/>
          <w:b w:val="0"/>
          <w:kern w:val="2"/>
          <w:sz w:val="32"/>
          <w:szCs w:val="32"/>
          <w:lang w:val="en-US" w:eastAsia="zh-CN" w:bidi="ar-SA"/>
        </w:rPr>
        <w:t>情况：（1）综合办公室（信访、财务）。（2）社会救助与社会福利股（慈善事业促进）。（3）社会组织管理与社会事务（区划地名工作）。（4）养老服务与儿童保障事业发展科（老龄工作）。下属单位情况：（1）松潘县社会救助福利服务中心</w:t>
      </w:r>
      <w:r>
        <w:rPr>
          <w:rFonts w:hint="eastAsia" w:ascii="仿宋_GB2312" w:hAnsi="仿宋_GB2312" w:cs="仿宋_GB2312"/>
          <w:b w:val="0"/>
          <w:kern w:val="2"/>
          <w:sz w:val="32"/>
          <w:szCs w:val="32"/>
          <w:lang w:val="en-US" w:eastAsia="zh-CN" w:bidi="ar-SA"/>
        </w:rPr>
        <w:t>。</w:t>
      </w:r>
    </w:p>
    <w:p w14:paraId="55AAA3BB">
      <w:pPr>
        <w:ind w:firstLine="643" w:firstLineChars="200"/>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337CD7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综合办公室（信访、财务）。负责文电、会务、档案、机要等机关日常运转工作。承担保密、信息、绩效管理、政务公开、法治教育、新闻宣传、对外交流合作、有关综合性文稿起草和史志编纂工作。组织办理人大代表建议、政协提案。负责信访事项的接待、处理、分析、排查和化解，督查督办重大信访案件，协调处理有关民政的群体性突发事件，指导全县民政系统信访工作。负责意识形态工作。组织起草规范性文件草案。承担民政行业标准化工作。负责本系统、本部门依法行政工作的组织协调和督促指导，承担行政执法监督、有关行政复议、行政应诉、行政调解等工作。负责规范性文件的合法性审查、报备和本系统权责清单制度建设、动态调整等工作。承担机关和所属事业单位的机构编制、干部人事、教育培训、队伍建设等工作。负责机关退休人员工作，指导所属单位退休干部工作。负责机关和所属单位的</w:t>
      </w:r>
      <w:r>
        <w:rPr>
          <w:rFonts w:hint="eastAsia" w:ascii="仿宋_GB2312" w:hAnsi="仿宋_GB2312" w:eastAsia="仿宋_GB2312" w:cs="仿宋_GB2312"/>
          <w:sz w:val="32"/>
          <w:szCs w:val="32"/>
        </w:rPr>
        <w:t>党建与群团工作。承担民政相关行业领域安全生产监督管理综合工作。拟订全县民政事业发展规划和民政基础设施建设标准并监督实施。指导并监督中央、省级、州级和县级财政拨付的民政事业资金管理工作。拟定民政部门彩票公益金使用管理办法，管理本级彩票公益金。承担民政统计管理和机关及所属单位预决算、财务、内部审计和资产管理工作。承担机关劳动工资工作。</w:t>
      </w:r>
    </w:p>
    <w:p w14:paraId="3D4C66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社会救助与社会福利股（慈善事业促进）。拟订全县社会救助规划、政策、标准并监督实施，统筹推进社会救助体系建设，负责城乡居民最低生活保障、特困人员救助供养、临时救助、生活无着流浪乞讨人员救助工作。承办中央和省、州、县级财政困难群众救助补助资金分配和监管工作。参与拟订医疗、住房、教育、就业、司法等救助相关办法。指导并监督生活无着流浪乞讨人员救助管理机构管理工作，协调跨县（市）生活无着流浪乞讨人员救助事务，指导开展家庭暴力受害人临时庇护救助工</w:t>
      </w:r>
      <w:r>
        <w:rPr>
          <w:rFonts w:hint="eastAsia" w:ascii="仿宋_GB2312" w:hAnsi="仿宋_GB2312" w:eastAsia="仿宋_GB2312" w:cs="仿宋_GB2312"/>
          <w:sz w:val="32"/>
          <w:szCs w:val="32"/>
        </w:rPr>
        <w:t>作。负责二十世纪 60年代初精简退职老职工生活困难救济工作。拟订全县残疾人和其他特殊困难群体福利事业发展规划、政策、标准并组织实施。拟订社会福利机构管理办法，拟订残疾人权益保护政策并监督实施，参与拟订残疾人集中就业扶持政策。牵头推进精神障碍社区康复服务工作。指导并监督残疾人社会福利机构、民政精神卫生福利机构管理工作。组织实施康复辅助器具配置工作。负责康复辅助器具行业管理，拟订康复辅助器具产业发展规划、政策、标准并组织实施。承担生活无着流浪乞讨人员救助管理机构、康复辅助器具行业和残疾人社会福利机构、民政精神卫生福利机构安全生产监督管理工作。拟定促进慈善事业发展政策和慈善信托、慈善组织及其活动管理办法，指导社会捐助工作。负责职责范围内的福利彩票有关工作。承担需要以政府名义出面的涉及村民委员会、居民委员会等有关工作。</w:t>
      </w:r>
    </w:p>
    <w:p w14:paraId="44BC22CF">
      <w:pPr>
        <w:pStyle w:val="19"/>
        <w:keepNext w:val="0"/>
        <w:keepLines w:val="0"/>
        <w:widowControl/>
        <w:suppressLineNumbers w:val="0"/>
        <w:ind w:left="0" w:firstLine="640"/>
      </w:pPr>
      <w:r>
        <w:rPr>
          <w:rFonts w:hint="eastAsia" w:ascii="仿宋_GB2312" w:hAnsi="仿宋_GB2312" w:eastAsia="仿宋_GB2312" w:cs="仿宋_GB2312"/>
          <w:kern w:val="2"/>
          <w:sz w:val="32"/>
          <w:szCs w:val="32"/>
          <w:lang w:val="en-US" w:eastAsia="zh-CN"/>
        </w:rPr>
        <w:t>（3）养老服务与儿童保障事业发展科（老龄工作）。</w:t>
      </w:r>
      <w:r>
        <w:rPr>
          <w:rFonts w:ascii="仿宋_GB2312" w:eastAsia="仿宋_GB2312" w:cs="仿宋_GB2312"/>
          <w:color w:val="000000"/>
          <w:sz w:val="31"/>
          <w:szCs w:val="31"/>
        </w:rPr>
        <w:t>拟订</w:t>
      </w:r>
      <w:r>
        <w:rPr>
          <w:rFonts w:hint="eastAsia" w:ascii="仿宋_GB2312" w:eastAsia="仿宋_GB2312" w:cs="仿宋_GB2312"/>
          <w:color w:val="000000"/>
          <w:sz w:val="31"/>
          <w:szCs w:val="31"/>
        </w:rPr>
        <w:t>并协调落实促进养老事业发展的政策措施，拟订养老服务体系建设规划、政策、标准并组织实施，拟订老年人福利补贴制度并监督实施，健全为老志愿服务制度。承担老年人福利和特殊困难老年人救助、帮扶和关爱工作，协调推进农村留守老年人关爱服务工作。指导并监督养老服务、老年人福利、特困人员救助供养机构管理工作。承担养老服务机构安全生产监督管理工作。承担县老龄工作委员会办公室具体工作。拟订并协调落实积极应对人口老龄化的政策措施，组织推进全县老龄事业发展。指导协调老年人权益保障工作，组织开展人口老龄化国情、省情、州情及县情宣传教育，拟订老年人社会参与政策并组织实施，承担全县老年人口状况、老龄事业发展的统计调查工作。组织开展老年人教育和敬老、孝老、爱老宣传工作。拟订全县儿童福利、孤弃儿童保障、儿童收养、儿童救助保护政策和标准并组织实施，健全农村留守儿童关爱服务体系，完善困境儿童保障制度。指导并监督儿童福利机构、儿童收养登记机构、未成年人救助保护机构管理工作。承担儿童福利机构、未成年人救助保护机构安全生产监督管理工作。</w:t>
      </w:r>
    </w:p>
    <w:p w14:paraId="4DDDCD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社会组织管理与社会事务（区划地名工作）。负责社会组织登记工作。拟订社会团体、社会服务机构等社会组织监督管理办法并组织实施，按照权限依法对社会组织进行管理和执法监督，引导社会组织健康有序发展。负责县本级社会组织年检、培训、信息管理和执法监督工作，指导并监督对社会组织的管理和执法工作。负责社会组织信息管理。拟订全县婚姻、殡葬管理政策并组织实施。推进婚俗和殡葬改革。负责殡葬管理工作，拟</w:t>
      </w:r>
      <w:r>
        <w:rPr>
          <w:rFonts w:hint="eastAsia" w:ascii="仿宋_GB2312" w:hAnsi="仿宋_GB2312" w:eastAsia="仿宋_GB2312" w:cs="仿宋_GB2312"/>
          <w:sz w:val="32"/>
          <w:szCs w:val="32"/>
        </w:rPr>
        <w:t>订殡葬服务规范并组织实施。指导并监督婚姻登记机关、殡葬服务机构管理工作，承担全县婚姻登记信息管理工作。承担殡葬服务机构安全生产监督管理工作。牵头协调推进本系统“放管服”改革，承担审批服务便民化有关工作，集中承担县本级有关审批服务事项的受理、审批等工作，推进纳入一体化政务服务平台。</w:t>
      </w:r>
    </w:p>
    <w:p w14:paraId="0E8ED44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拟订全县行政区划优化设置建议方案，按照管理权限承担全县行政区划设立、命名、撤销、变更和政府驻地迁移审核报批工作。按照管理权限确定、公布行政区划代码，组织并指导全县行政区域界线的勘定、管理工作。调处行政区域边界争议。负责监督管理地名工作。会同有关部门组织编制公布行政区划信息的松潘县行政区划图。</w:t>
      </w:r>
    </w:p>
    <w:p w14:paraId="0818DC58">
      <w:pPr>
        <w:snapToGrid w:val="0"/>
        <w:spacing w:line="520" w:lineRule="exact"/>
        <w:ind w:firstLine="640" w:firstLineChars="200"/>
        <w:rPr>
          <w:rFonts w:hint="default"/>
          <w:lang w:val="zh-CN"/>
        </w:rPr>
      </w:pPr>
      <w:r>
        <w:rPr>
          <w:rFonts w:hint="eastAsia" w:ascii="仿宋_GB2312" w:hAnsi="仿宋_GB2312" w:eastAsia="仿宋_GB2312" w:cs="仿宋_GB2312"/>
          <w:b w:val="0"/>
          <w:kern w:val="2"/>
          <w:sz w:val="32"/>
          <w:szCs w:val="32"/>
          <w:lang w:val="en-US" w:eastAsia="zh-CN" w:bidi="ar-SA"/>
        </w:rPr>
        <w:t>（5）社会救助福利服务中心。负责福利院相关工作。做好老年人服务工作，为全县在院老人提供护理服务，精神文化服务，医疗保健服务。</w:t>
      </w:r>
    </w:p>
    <w:p w14:paraId="5F2DEA38">
      <w:pPr>
        <w:adjustRightInd/>
        <w:spacing w:after="0" w:afterLines="0" w:line="580" w:lineRule="exact"/>
        <w:ind w:firstLine="643" w:firstLineChars="200"/>
        <w:rPr>
          <w:rFonts w:hint="eastAsia" w:eastAsia="仿宋_GB2312"/>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sz w:val="32"/>
          <w:szCs w:val="32"/>
        </w:rPr>
        <w:t>松潘县民政局行政编制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名，实有：党组书记1名、局长1名、副局长2名；科级干部</w:t>
      </w:r>
      <w:r>
        <w:rPr>
          <w:rFonts w:hint="eastAsia" w:ascii="仿宋_GB2312" w:hAnsi="仿宋_GB2312" w:eastAsia="仿宋_GB2312" w:cs="仿宋_GB2312"/>
          <w:sz w:val="32"/>
          <w:szCs w:val="32"/>
          <w:lang w:val="en-US" w:eastAsia="zh-CN"/>
        </w:rPr>
        <w:t>4</w:t>
      </w:r>
      <w:r>
        <w:rPr>
          <w:rFonts w:eastAsia="仿宋_GB2312"/>
          <w:kern w:val="0"/>
          <w:sz w:val="32"/>
          <w:szCs w:val="32"/>
        </w:rPr>
        <w:t>名</w:t>
      </w:r>
      <w:r>
        <w:rPr>
          <w:rFonts w:hint="eastAsia" w:eastAsia="仿宋_GB2312"/>
          <w:kern w:val="0"/>
          <w:sz w:val="32"/>
          <w:szCs w:val="32"/>
        </w:rPr>
        <w:t>，行政</w:t>
      </w:r>
      <w:r>
        <w:rPr>
          <w:rFonts w:eastAsia="仿宋_GB2312"/>
          <w:kern w:val="0"/>
          <w:sz w:val="32"/>
          <w:szCs w:val="32"/>
        </w:rPr>
        <w:t>机关工勤人员事业编制</w:t>
      </w:r>
      <w:r>
        <w:rPr>
          <w:rFonts w:hint="eastAsia" w:eastAsia="仿宋_GB2312"/>
          <w:kern w:val="0"/>
          <w:sz w:val="32"/>
          <w:szCs w:val="32"/>
        </w:rPr>
        <w:t>1</w:t>
      </w:r>
      <w:r>
        <w:rPr>
          <w:rFonts w:eastAsia="仿宋_GB2312"/>
          <w:kern w:val="0"/>
          <w:sz w:val="32"/>
          <w:szCs w:val="32"/>
        </w:rPr>
        <w:t>名。</w:t>
      </w:r>
      <w:r>
        <w:rPr>
          <w:rFonts w:hint="eastAsia" w:eastAsia="仿宋_GB2312"/>
          <w:kern w:val="0"/>
          <w:sz w:val="32"/>
          <w:szCs w:val="32"/>
        </w:rPr>
        <w:t>退休人员</w:t>
      </w:r>
      <w:r>
        <w:rPr>
          <w:rFonts w:hint="eastAsia" w:eastAsia="仿宋_GB2312"/>
          <w:kern w:val="0"/>
          <w:sz w:val="32"/>
          <w:szCs w:val="32"/>
          <w:lang w:val="en-US" w:eastAsia="zh-CN"/>
        </w:rPr>
        <w:t>15</w:t>
      </w:r>
      <w:r>
        <w:rPr>
          <w:rFonts w:hint="eastAsia" w:eastAsia="仿宋_GB2312"/>
          <w:kern w:val="0"/>
          <w:sz w:val="32"/>
          <w:szCs w:val="32"/>
        </w:rPr>
        <w:t>人，遗属</w:t>
      </w:r>
      <w:r>
        <w:rPr>
          <w:rFonts w:hint="eastAsia" w:eastAsia="仿宋_GB2312"/>
          <w:kern w:val="0"/>
          <w:sz w:val="32"/>
          <w:szCs w:val="32"/>
          <w:lang w:val="en-US" w:eastAsia="zh-CN"/>
        </w:rPr>
        <w:t>2</w:t>
      </w:r>
      <w:r>
        <w:rPr>
          <w:rFonts w:hint="eastAsia" w:eastAsia="仿宋_GB2312"/>
          <w:kern w:val="0"/>
          <w:sz w:val="32"/>
          <w:szCs w:val="32"/>
        </w:rPr>
        <w:t>人。</w:t>
      </w:r>
    </w:p>
    <w:p w14:paraId="440592F4">
      <w:pPr>
        <w:adjustRightInd/>
        <w:spacing w:after="0" w:afterLines="0" w:line="58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松潘县低收入平台中心事业编制</w:t>
      </w:r>
      <w:r>
        <w:rPr>
          <w:rFonts w:hint="eastAsia" w:ascii="仿宋_GB2312" w:hAnsi="仿宋" w:eastAsia="仿宋_GB2312" w:cs="仿宋"/>
          <w:sz w:val="32"/>
          <w:szCs w:val="32"/>
          <w:lang w:val="en-US" w:eastAsia="zh-CN"/>
        </w:rPr>
        <w:t>2名</w:t>
      </w:r>
    </w:p>
    <w:p w14:paraId="2EEF8EDE">
      <w:pPr>
        <w:adjustRightInd/>
        <w:spacing w:after="0" w:line="580" w:lineRule="exact"/>
        <w:ind w:firstLine="640" w:firstLineChars="200"/>
        <w:rPr>
          <w:rFonts w:hint="eastAsia" w:ascii="Times New Roman" w:hAnsi="Times New Roman" w:eastAsia="仿宋_GB2312" w:cs="Times New Roman"/>
          <w:szCs w:val="32"/>
          <w:lang w:val="en-US" w:eastAsia="zh-CN"/>
        </w:rPr>
      </w:pPr>
      <w:r>
        <w:rPr>
          <w:rFonts w:hint="eastAsia" w:ascii="仿宋_GB2312" w:hAnsi="仿宋" w:eastAsia="仿宋_GB2312" w:cs="仿宋"/>
          <w:sz w:val="32"/>
          <w:szCs w:val="32"/>
        </w:rPr>
        <w:t>松潘县社会救助福利服务中心事业编制</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名。</w:t>
      </w:r>
      <w:r>
        <w:rPr>
          <w:rFonts w:hint="eastAsia" w:eastAsia="仿宋_GB2312"/>
          <w:kern w:val="0"/>
          <w:sz w:val="32"/>
          <w:szCs w:val="32"/>
        </w:rPr>
        <w:t>退休人员</w:t>
      </w:r>
      <w:r>
        <w:rPr>
          <w:rFonts w:hint="eastAsia" w:eastAsia="仿宋_GB2312"/>
          <w:kern w:val="0"/>
          <w:sz w:val="32"/>
          <w:szCs w:val="32"/>
          <w:lang w:val="en-US" w:eastAsia="zh-CN"/>
        </w:rPr>
        <w:t>1人。</w:t>
      </w:r>
    </w:p>
    <w:p w14:paraId="283DF9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7D4CA6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年初预算</w:t>
      </w:r>
      <w:r>
        <w:rPr>
          <w:rFonts w:hint="eastAsia" w:ascii="仿宋_GB2312" w:hAnsi="仿宋_GB2312" w:eastAsia="仿宋_GB2312" w:cs="仿宋_GB2312"/>
          <w:kern w:val="0"/>
          <w:sz w:val="32"/>
          <w:szCs w:val="32"/>
          <w:shd w:val="clear" w:color="auto" w:fill="FFFFFF"/>
        </w:rPr>
        <w:t>数为</w:t>
      </w:r>
      <w:r>
        <w:rPr>
          <w:rFonts w:hint="eastAsia" w:ascii="仿宋_GB2312" w:hAnsi="仿宋_GB2312" w:eastAsia="仿宋_GB2312" w:cs="仿宋_GB2312"/>
          <w:kern w:val="0"/>
          <w:sz w:val="32"/>
          <w:szCs w:val="32"/>
          <w:shd w:val="clear" w:color="040000" w:fill="FFFFFF"/>
          <w:lang w:val="en-US" w:eastAsia="zh-CN"/>
        </w:rPr>
        <w:t>1430.16</w:t>
      </w:r>
      <w:r>
        <w:rPr>
          <w:rFonts w:hint="eastAsia" w:ascii="仿宋_GB2312" w:hAnsi="仿宋_GB2312" w:eastAsia="仿宋_GB2312" w:cs="仿宋_GB2312"/>
          <w:kern w:val="0"/>
          <w:sz w:val="32"/>
          <w:szCs w:val="32"/>
          <w:shd w:val="clear" w:color="auto" w:fill="FFFFFF"/>
        </w:rPr>
        <w:t>万元，本单位</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rPr>
        <w:t>年度收入全年预算数</w:t>
      </w:r>
      <w:r>
        <w:rPr>
          <w:rFonts w:hint="eastAsia" w:ascii="仿宋_GB2312" w:hAnsi="仿宋_GB2312" w:eastAsia="仿宋_GB2312" w:cs="仿宋_GB2312"/>
          <w:kern w:val="0"/>
          <w:sz w:val="32"/>
          <w:szCs w:val="32"/>
          <w:shd w:val="clear" w:color="auto" w:fill="FFFFFF"/>
          <w:lang w:eastAsia="zh-CN"/>
        </w:rPr>
        <w:t>为</w:t>
      </w:r>
      <w:r>
        <w:rPr>
          <w:rFonts w:hint="eastAsia" w:ascii="仿宋_GB2312" w:hAnsi="仿宋_GB2312" w:eastAsia="仿宋_GB2312" w:cs="仿宋_GB2312"/>
          <w:kern w:val="0"/>
          <w:sz w:val="32"/>
          <w:szCs w:val="32"/>
          <w:shd w:val="clear" w:color="040000" w:fill="FFFFFF"/>
          <w:lang w:val="en-US" w:eastAsia="zh-CN"/>
        </w:rPr>
        <w:t>4657.62</w:t>
      </w:r>
      <w:r>
        <w:rPr>
          <w:rFonts w:hint="eastAsia" w:ascii="仿宋_GB2312" w:hAnsi="仿宋_GB2312" w:eastAsia="仿宋_GB2312" w:cs="仿宋_GB2312"/>
          <w:kern w:val="0"/>
          <w:sz w:val="32"/>
          <w:szCs w:val="32"/>
          <w:shd w:val="clear" w:color="auto" w:fill="FFFFFF"/>
        </w:rPr>
        <w:t>万元，收入决算数为</w:t>
      </w:r>
      <w:r>
        <w:rPr>
          <w:rFonts w:hint="eastAsia" w:ascii="仿宋_GB2312" w:hAnsi="仿宋_GB2312" w:eastAsia="仿宋_GB2312" w:cs="仿宋_GB2312"/>
          <w:kern w:val="0"/>
          <w:sz w:val="32"/>
          <w:szCs w:val="32"/>
          <w:shd w:val="clear" w:color="040000" w:fill="FFFFFF"/>
          <w:lang w:val="en-US" w:eastAsia="zh-CN"/>
        </w:rPr>
        <w:t>4387.36</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cs="仿宋_GB2312"/>
          <w:kern w:val="0"/>
          <w:sz w:val="32"/>
          <w:szCs w:val="32"/>
          <w:shd w:val="clear" w:color="auto" w:fill="FFFFFF"/>
          <w:lang w:eastAsia="zh-CN"/>
        </w:rPr>
        <w:t>。</w:t>
      </w:r>
    </w:p>
    <w:p w14:paraId="16BC840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本单位</w:t>
      </w:r>
      <w:r>
        <w:rPr>
          <w:rFonts w:hint="eastAsia" w:ascii="Times New Roman" w:hAnsi="Times New Roman" w:eastAsia="仿宋_GB2312" w:cs="Times New Roman"/>
          <w:sz w:val="32"/>
          <w:szCs w:val="32"/>
          <w:lang w:val="en-US" w:eastAsia="zh-CN"/>
        </w:rPr>
        <w:t>2024年年初预算</w:t>
      </w:r>
      <w:r>
        <w:rPr>
          <w:rFonts w:hint="eastAsia" w:ascii="仿宋_GB2312" w:hAnsi="仿宋_GB2312" w:eastAsia="仿宋_GB2312" w:cs="仿宋_GB2312"/>
          <w:kern w:val="0"/>
          <w:sz w:val="32"/>
          <w:szCs w:val="32"/>
          <w:shd w:val="clear" w:color="auto" w:fill="FFFFFF"/>
        </w:rPr>
        <w:t>数为</w:t>
      </w:r>
      <w:r>
        <w:rPr>
          <w:rFonts w:hint="eastAsia" w:ascii="仿宋_GB2312" w:hAnsi="仿宋_GB2312" w:eastAsia="仿宋_GB2312" w:cs="仿宋_GB2312"/>
          <w:kern w:val="0"/>
          <w:sz w:val="32"/>
          <w:szCs w:val="32"/>
          <w:shd w:val="clear" w:color="040000" w:fill="FFFFFF"/>
          <w:lang w:val="en-US" w:eastAsia="zh-CN"/>
        </w:rPr>
        <w:t>1430.16</w:t>
      </w:r>
      <w:r>
        <w:rPr>
          <w:rFonts w:hint="eastAsia" w:ascii="仿宋_GB2312" w:hAnsi="仿宋_GB2312" w:eastAsia="仿宋_GB2312" w:cs="仿宋_GB2312"/>
          <w:kern w:val="0"/>
          <w:sz w:val="32"/>
          <w:szCs w:val="32"/>
          <w:shd w:val="clear" w:color="auto" w:fill="FFFFFF"/>
        </w:rPr>
        <w:t>万元，本单位</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rPr>
        <w:t>年度</w:t>
      </w:r>
      <w:r>
        <w:rPr>
          <w:rFonts w:hint="eastAsia" w:ascii="仿宋_GB2312" w:hAnsi="仿宋_GB2312" w:eastAsia="仿宋_GB2312" w:cs="仿宋_GB2312"/>
          <w:kern w:val="0"/>
          <w:sz w:val="32"/>
          <w:szCs w:val="32"/>
          <w:shd w:val="clear" w:color="auto" w:fill="FFFFFF"/>
          <w:lang w:eastAsia="zh-CN"/>
        </w:rPr>
        <w:t>支出</w:t>
      </w:r>
      <w:r>
        <w:rPr>
          <w:rFonts w:hint="eastAsia" w:ascii="仿宋_GB2312" w:hAnsi="仿宋_GB2312" w:eastAsia="仿宋_GB2312" w:cs="仿宋_GB2312"/>
          <w:kern w:val="0"/>
          <w:sz w:val="32"/>
          <w:szCs w:val="32"/>
          <w:shd w:val="clear" w:color="auto" w:fill="FFFFFF"/>
        </w:rPr>
        <w:t>全年预算数</w:t>
      </w:r>
      <w:r>
        <w:rPr>
          <w:rFonts w:hint="eastAsia" w:ascii="仿宋_GB2312" w:hAnsi="仿宋_GB2312" w:eastAsia="仿宋_GB2312" w:cs="仿宋_GB2312"/>
          <w:kern w:val="0"/>
          <w:sz w:val="32"/>
          <w:szCs w:val="32"/>
          <w:shd w:val="clear" w:color="auto" w:fill="FFFFFF"/>
          <w:lang w:eastAsia="zh-CN"/>
        </w:rPr>
        <w:t>为</w:t>
      </w:r>
      <w:r>
        <w:rPr>
          <w:rFonts w:hint="eastAsia" w:ascii="仿宋_GB2312" w:hAnsi="仿宋_GB2312" w:eastAsia="仿宋_GB2312" w:cs="仿宋_GB2312"/>
          <w:kern w:val="0"/>
          <w:sz w:val="32"/>
          <w:szCs w:val="32"/>
          <w:shd w:val="clear" w:color="040000" w:fill="FFFFFF"/>
          <w:lang w:val="en-US" w:eastAsia="zh-CN"/>
        </w:rPr>
        <w:t>4657.62</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eastAsia="仿宋_GB2312" w:cs="仿宋_GB2312"/>
          <w:kern w:val="0"/>
          <w:sz w:val="32"/>
          <w:szCs w:val="32"/>
          <w:shd w:val="clear" w:color="auto" w:fill="FFFFFF"/>
          <w:lang w:eastAsia="zh-CN"/>
        </w:rPr>
        <w:t>支出</w:t>
      </w:r>
      <w:r>
        <w:rPr>
          <w:rFonts w:hint="eastAsia" w:ascii="仿宋_GB2312" w:hAnsi="仿宋_GB2312" w:eastAsia="仿宋_GB2312" w:cs="仿宋_GB2312"/>
          <w:kern w:val="0"/>
          <w:sz w:val="32"/>
          <w:szCs w:val="32"/>
          <w:shd w:val="clear" w:color="auto" w:fill="FFFFFF"/>
        </w:rPr>
        <w:t>决算数为</w:t>
      </w:r>
      <w:r>
        <w:rPr>
          <w:rFonts w:hint="eastAsia" w:ascii="仿宋_GB2312" w:hAnsi="仿宋_GB2312" w:eastAsia="仿宋_GB2312" w:cs="仿宋_GB2312"/>
          <w:kern w:val="0"/>
          <w:sz w:val="32"/>
          <w:szCs w:val="32"/>
          <w:shd w:val="clear" w:color="040000" w:fill="FFFFFF"/>
          <w:lang w:val="en-US" w:eastAsia="zh-CN"/>
        </w:rPr>
        <w:t>4387.36</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cs="仿宋_GB2312"/>
          <w:kern w:val="0"/>
          <w:sz w:val="32"/>
          <w:szCs w:val="32"/>
          <w:shd w:val="clear" w:color="auto" w:fill="FFFFFF"/>
          <w:lang w:eastAsia="zh-CN"/>
        </w:rPr>
        <w:t>。</w:t>
      </w:r>
    </w:p>
    <w:p w14:paraId="4C7004D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50ABF9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D29759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rPr>
        <w:t>根据部门预算绩效评价指标体系</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总体绩效</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涉及</w:t>
      </w:r>
      <w:r>
        <w:rPr>
          <w:rFonts w:hint="eastAsia" w:ascii="Times New Roman" w:hAnsi="Times New Roman" w:eastAsia="仿宋_GB2312" w:cs="仿宋_GB2312"/>
          <w:color w:val="auto"/>
          <w:kern w:val="2"/>
          <w:sz w:val="32"/>
          <w:szCs w:val="32"/>
          <w:highlight w:val="none"/>
          <w:lang w:val="zh-CN" w:eastAsia="zh-CN"/>
        </w:rPr>
        <w:t>二、三级</w:t>
      </w:r>
      <w:r>
        <w:rPr>
          <w:rFonts w:hint="default" w:ascii="Times New Roman" w:hAnsi="Times New Roman" w:eastAsia="仿宋_GB2312" w:cs="仿宋_GB2312"/>
          <w:color w:val="auto"/>
          <w:kern w:val="2"/>
          <w:sz w:val="32"/>
          <w:szCs w:val="32"/>
          <w:highlight w:val="none"/>
          <w:lang w:val="zh-CN" w:eastAsia="zh-CN"/>
        </w:rPr>
        <w:t>指标进行</w:t>
      </w:r>
      <w:r>
        <w:rPr>
          <w:rFonts w:hint="eastAsia" w:ascii="Times New Roman" w:hAnsi="Times New Roman" w:eastAsia="仿宋_GB2312" w:cs="仿宋_GB2312"/>
          <w:color w:val="auto"/>
          <w:kern w:val="2"/>
          <w:sz w:val="32"/>
          <w:szCs w:val="32"/>
          <w:highlight w:val="none"/>
          <w:lang w:val="zh-CN" w:eastAsia="zh-CN"/>
        </w:rPr>
        <w:t>逐项</w:t>
      </w:r>
      <w:r>
        <w:rPr>
          <w:rFonts w:hint="default" w:ascii="Times New Roman" w:hAnsi="Times New Roman" w:eastAsia="仿宋_GB2312" w:cs="仿宋_GB2312"/>
          <w:color w:val="auto"/>
          <w:kern w:val="2"/>
          <w:sz w:val="32"/>
          <w:szCs w:val="32"/>
          <w:highlight w:val="none"/>
          <w:lang w:val="zh-CN" w:eastAsia="zh-CN"/>
        </w:rPr>
        <w:t>绩效分析</w:t>
      </w:r>
      <w:r>
        <w:rPr>
          <w:rFonts w:hint="eastAsia" w:ascii="Times New Roman" w:hAnsi="Times New Roman" w:eastAsia="仿宋_GB2312" w:cs="仿宋_GB2312"/>
          <w:color w:val="auto"/>
          <w:kern w:val="2"/>
          <w:sz w:val="32"/>
          <w:szCs w:val="32"/>
          <w:highlight w:val="none"/>
          <w:lang w:val="zh-CN" w:eastAsia="zh-CN"/>
        </w:rPr>
        <w:t>并评分</w:t>
      </w:r>
      <w:r>
        <w:rPr>
          <w:rFonts w:hint="default" w:ascii="Times New Roman" w:hAnsi="Times New Roman" w:eastAsia="仿宋_GB2312" w:cs="仿宋_GB2312"/>
          <w:color w:val="auto"/>
          <w:kern w:val="2"/>
          <w:sz w:val="32"/>
          <w:szCs w:val="32"/>
          <w:highlight w:val="none"/>
          <w:lang w:val="zh-CN" w:eastAsia="zh-CN"/>
        </w:rPr>
        <w:t>，依次包括履职效能、预算管理、财务管理、资产管理、采购管理等情况。</w:t>
      </w:r>
    </w:p>
    <w:p w14:paraId="4F5444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1.履职效能。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14:paraId="44E125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2.预算管理。建立以法人代表为主、由财会部门参加的预算编审班子。预算编审班子严格规定各自的工作职责，保证预算编制任务的完成。预算编审班子根据上年度的预算执行情况和本年度经济发展情况，综合考虑各方面的因素，制定本单位本年度的总体目标。本单位本年度收入全年预算数为</w:t>
      </w:r>
      <w:r>
        <w:rPr>
          <w:rFonts w:hint="eastAsia" w:ascii="仿宋_GB2312" w:hAnsi="仿宋_GB2312" w:eastAsia="仿宋_GB2312" w:cs="仿宋_GB2312"/>
          <w:kern w:val="0"/>
          <w:sz w:val="32"/>
          <w:szCs w:val="32"/>
          <w:shd w:val="clear" w:color="040000" w:fill="FFFFFF"/>
          <w:lang w:val="en-US" w:eastAsia="zh-CN"/>
        </w:rPr>
        <w:t>4657.62</w:t>
      </w:r>
      <w:r>
        <w:rPr>
          <w:rFonts w:hint="default" w:ascii="Times New Roman" w:hAnsi="Times New Roman" w:eastAsia="仿宋_GB2312" w:cs="仿宋_GB2312"/>
          <w:color w:val="auto"/>
          <w:kern w:val="2"/>
          <w:sz w:val="32"/>
          <w:szCs w:val="32"/>
          <w:highlight w:val="none"/>
          <w:lang w:val="zh-CN" w:eastAsia="zh-CN"/>
        </w:rPr>
        <w:t>万元，收入决算数为</w:t>
      </w:r>
      <w:r>
        <w:rPr>
          <w:rFonts w:hint="eastAsia" w:ascii="仿宋_GB2312" w:hAnsi="仿宋_GB2312" w:eastAsia="仿宋_GB2312" w:cs="仿宋_GB2312"/>
          <w:kern w:val="0"/>
          <w:sz w:val="32"/>
          <w:szCs w:val="32"/>
          <w:shd w:val="clear" w:color="040000" w:fill="FFFFFF"/>
          <w:lang w:val="en-US" w:eastAsia="zh-CN"/>
        </w:rPr>
        <w:t>4387.36</w:t>
      </w:r>
      <w:r>
        <w:rPr>
          <w:rFonts w:hint="default" w:ascii="Times New Roman" w:hAnsi="Times New Roman" w:eastAsia="仿宋_GB2312" w:cs="仿宋_GB2312"/>
          <w:color w:val="auto"/>
          <w:kern w:val="2"/>
          <w:sz w:val="32"/>
          <w:szCs w:val="32"/>
          <w:highlight w:val="none"/>
          <w:lang w:val="zh-CN" w:eastAsia="zh-CN"/>
        </w:rPr>
        <w:t>万元，预算完成度为</w:t>
      </w:r>
      <w:r>
        <w:rPr>
          <w:rFonts w:hint="eastAsia" w:ascii="仿宋_GB2312" w:hAnsi="仿宋_GB2312" w:eastAsia="仿宋_GB2312" w:cs="仿宋_GB2312"/>
          <w:kern w:val="0"/>
          <w:sz w:val="32"/>
          <w:szCs w:val="32"/>
          <w:shd w:val="clear" w:color="040000" w:fill="FFFFFF"/>
          <w:lang w:val="en-US" w:eastAsia="zh-CN"/>
        </w:rPr>
        <w:t>94.2</w:t>
      </w:r>
      <w:r>
        <w:rPr>
          <w:rFonts w:hint="eastAsia" w:ascii="仿宋_GB2312" w:hAnsi="仿宋_GB2312" w:eastAsia="仿宋_GB2312" w:cs="仿宋_GB2312"/>
          <w:kern w:val="0"/>
          <w:sz w:val="32"/>
          <w:szCs w:val="32"/>
          <w:shd w:val="clear" w:color="040000" w:fill="FFFFFF"/>
        </w:rPr>
        <w:t>%</w:t>
      </w:r>
      <w:r>
        <w:rPr>
          <w:rFonts w:hint="default" w:ascii="Times New Roman" w:hAnsi="Times New Roman" w:eastAsia="仿宋_GB2312" w:cs="仿宋_GB2312"/>
          <w:color w:val="auto"/>
          <w:kern w:val="2"/>
          <w:sz w:val="32"/>
          <w:szCs w:val="32"/>
          <w:highlight w:val="none"/>
          <w:lang w:val="zh-CN" w:eastAsia="zh-CN"/>
        </w:rPr>
        <w:t>，严格按照上级文件进行预算编制，专款专用。</w:t>
      </w:r>
    </w:p>
    <w:p w14:paraId="6693ABB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3.财务管理。在办公室下设财务室，副局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局从资金申请、资金使用、会计核算三个环节加强资金管理。在项目资金申请环节，严格按照国库集中支付流程向县财政局申请财政资金；在资金使用环节，严格按照我局资金财务审批流程办理款项支付手续，通过一体化系统直接支付。在会计核算环节，对本项目资金实际核算，确保专款专用。通过上述三个环节的管理，极力避免挪用、挤占、截留项目资金的现象，保证财政资金安全有效使用。</w:t>
      </w:r>
    </w:p>
    <w:p w14:paraId="1D483A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4.资产管理。一是加强会计核算工作。严格执行现行固定资产管理制度，对已完工的基建工程、购入的固定资产、收到的捐赠资产等及时入账，并按照数量、金额登记明细账，编制固定资产卡片，确保账面上能真实、完整</w:t>
      </w:r>
      <w:r>
        <w:rPr>
          <w:rFonts w:hint="eastAsia" w:eastAsia="仿宋_GB2312" w:cs="仿宋_GB2312"/>
          <w:color w:val="auto"/>
          <w:kern w:val="2"/>
          <w:sz w:val="32"/>
          <w:szCs w:val="32"/>
          <w:highlight w:val="none"/>
          <w:lang w:val="zh-CN" w:eastAsia="zh-CN"/>
        </w:rPr>
        <w:t>地</w:t>
      </w:r>
      <w:r>
        <w:rPr>
          <w:rFonts w:hint="default" w:ascii="Times New Roman" w:hAnsi="Times New Roman" w:eastAsia="仿宋_GB2312" w:cs="仿宋_GB2312"/>
          <w:color w:val="auto"/>
          <w:kern w:val="2"/>
          <w:sz w:val="32"/>
          <w:szCs w:val="32"/>
          <w:highlight w:val="none"/>
          <w:lang w:val="zh-CN" w:eastAsia="zh-CN"/>
        </w:rPr>
        <w:t>反映单位的固定资产情况，并结合本单位的实际情况，完善固定资产管理制度。二是加强内部监督。定期或不定期</w:t>
      </w:r>
      <w:r>
        <w:rPr>
          <w:rFonts w:hint="eastAsia" w:eastAsia="仿宋_GB2312" w:cs="仿宋_GB2312"/>
          <w:color w:val="auto"/>
          <w:kern w:val="2"/>
          <w:sz w:val="32"/>
          <w:szCs w:val="32"/>
          <w:highlight w:val="none"/>
          <w:lang w:val="zh-CN" w:eastAsia="zh-CN"/>
        </w:rPr>
        <w:t>地</w:t>
      </w:r>
      <w:r>
        <w:rPr>
          <w:rFonts w:hint="default" w:ascii="Times New Roman" w:hAnsi="Times New Roman" w:eastAsia="仿宋_GB2312" w:cs="仿宋_GB2312"/>
          <w:color w:val="auto"/>
          <w:kern w:val="2"/>
          <w:sz w:val="32"/>
          <w:szCs w:val="32"/>
          <w:highlight w:val="none"/>
          <w:lang w:val="zh-CN" w:eastAsia="zh-CN"/>
        </w:rPr>
        <w:t>对固定资产进行抽查。检查固定资产的购置、领用、处置等程序是否合规，账实是否相符等，防止国有资产的流失。</w:t>
      </w:r>
    </w:p>
    <w:p w14:paraId="2146D1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仿宋_GB2312" w:cs="仿宋_GB2312"/>
          <w:color w:val="auto"/>
          <w:kern w:val="2"/>
          <w:sz w:val="32"/>
          <w:szCs w:val="32"/>
          <w:highlight w:val="none"/>
          <w:lang w:val="zh-CN" w:eastAsia="zh-CN"/>
        </w:rPr>
        <w:t>5.采购管理。加强程序管理。对纳入政府采购目录范围内的资产采购，必须报政府采购中心进行政府采购；未纳入政府采购目录范围内的资产采购，采用其他形式采购。</w:t>
      </w:r>
    </w:p>
    <w:p w14:paraId="3B3662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rPr>
        <w:t>填报以下数据，并</w:t>
      </w:r>
      <w:r>
        <w:rPr>
          <w:rFonts w:hint="default" w:ascii="Times New Roman" w:hAnsi="Times New Roman" w:eastAsia="仿宋_GB2312" w:cs="仿宋_GB2312"/>
          <w:color w:val="auto"/>
          <w:kern w:val="2"/>
          <w:sz w:val="32"/>
          <w:szCs w:val="32"/>
          <w:highlight w:val="none"/>
          <w:lang w:val="zh-CN" w:eastAsia="zh-CN"/>
        </w:rPr>
        <w:t>根据部门预算绩效评价指标体系</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项目绩效</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涉及</w:t>
      </w:r>
      <w:r>
        <w:rPr>
          <w:rFonts w:hint="eastAsia" w:ascii="Times New Roman" w:hAnsi="Times New Roman" w:eastAsia="仿宋_GB2312" w:cs="仿宋_GB2312"/>
          <w:color w:val="auto"/>
          <w:kern w:val="2"/>
          <w:sz w:val="32"/>
          <w:szCs w:val="32"/>
          <w:highlight w:val="none"/>
          <w:lang w:val="zh-CN" w:eastAsia="zh-CN"/>
        </w:rPr>
        <w:t>二、三级</w:t>
      </w:r>
      <w:r>
        <w:rPr>
          <w:rFonts w:hint="default" w:ascii="Times New Roman" w:hAnsi="Times New Roman" w:eastAsia="仿宋_GB2312" w:cs="仿宋_GB2312"/>
          <w:color w:val="auto"/>
          <w:kern w:val="2"/>
          <w:sz w:val="32"/>
          <w:szCs w:val="32"/>
          <w:highlight w:val="none"/>
          <w:lang w:val="zh-CN" w:eastAsia="zh-CN"/>
        </w:rPr>
        <w:t>指标进行</w:t>
      </w:r>
      <w:r>
        <w:rPr>
          <w:rFonts w:hint="eastAsia" w:ascii="Times New Roman" w:hAnsi="Times New Roman" w:eastAsia="仿宋_GB2312" w:cs="仿宋_GB2312"/>
          <w:color w:val="auto"/>
          <w:kern w:val="2"/>
          <w:sz w:val="32"/>
          <w:szCs w:val="32"/>
          <w:highlight w:val="none"/>
          <w:lang w:val="zh-CN" w:eastAsia="zh-CN"/>
        </w:rPr>
        <w:t>逐项</w:t>
      </w:r>
      <w:r>
        <w:rPr>
          <w:rFonts w:hint="default" w:ascii="Times New Roman" w:hAnsi="Times New Roman" w:eastAsia="仿宋_GB2312" w:cs="仿宋_GB2312"/>
          <w:color w:val="auto"/>
          <w:kern w:val="2"/>
          <w:sz w:val="32"/>
          <w:szCs w:val="32"/>
          <w:highlight w:val="none"/>
          <w:lang w:val="zh-CN" w:eastAsia="zh-CN"/>
        </w:rPr>
        <w:t>绩效分析</w:t>
      </w:r>
      <w:r>
        <w:rPr>
          <w:rFonts w:hint="eastAsia" w:ascii="Times New Roman" w:hAnsi="Times New Roman" w:eastAsia="仿宋_GB2312" w:cs="仿宋_GB2312"/>
          <w:color w:val="auto"/>
          <w:kern w:val="2"/>
          <w:sz w:val="32"/>
          <w:szCs w:val="32"/>
          <w:highlight w:val="none"/>
          <w:lang w:val="zh-CN" w:eastAsia="zh-CN"/>
        </w:rPr>
        <w:t>并评分</w:t>
      </w:r>
      <w:r>
        <w:rPr>
          <w:rFonts w:hint="default" w:ascii="Times New Roman" w:hAnsi="Times New Roman" w:eastAsia="仿宋_GB2312" w:cs="仿宋_GB2312"/>
          <w:color w:val="auto"/>
          <w:kern w:val="2"/>
          <w:sz w:val="32"/>
          <w:szCs w:val="32"/>
          <w:highlight w:val="none"/>
          <w:lang w:val="zh-CN" w:eastAsia="zh-CN"/>
        </w:rPr>
        <w:t>，依次包括项目</w:t>
      </w:r>
      <w:r>
        <w:rPr>
          <w:rFonts w:hint="default" w:ascii="Times New Roman" w:hAnsi="Times New Roman" w:eastAsia="仿宋_GB2312" w:cs="仿宋_GB2312"/>
          <w:color w:val="auto"/>
          <w:kern w:val="2"/>
          <w:sz w:val="32"/>
          <w:szCs w:val="32"/>
          <w:highlight w:val="none"/>
          <w:lang w:val="en-US" w:eastAsia="zh-CN"/>
        </w:rPr>
        <w:t>决策、项目执行、目标实现等情况</w:t>
      </w:r>
      <w:r>
        <w:rPr>
          <w:rFonts w:hint="eastAsia" w:ascii="Times New Roman" w:hAnsi="Times New Roman" w:eastAsia="仿宋_GB2312" w:cs="仿宋_GB2312"/>
          <w:color w:val="auto"/>
          <w:kern w:val="2"/>
          <w:sz w:val="32"/>
          <w:szCs w:val="32"/>
          <w:highlight w:val="none"/>
          <w:lang w:val="en-US" w:eastAsia="zh-CN"/>
        </w:rPr>
        <w:t>。</w:t>
      </w:r>
    </w:p>
    <w:p w14:paraId="194196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en-US" w:eastAsia="zh-CN"/>
        </w:rPr>
        <w:t>常年项目绩效分析。</w:t>
      </w:r>
      <w:r>
        <w:rPr>
          <w:rFonts w:hint="default" w:ascii="Times New Roman" w:hAnsi="Times New Roman" w:eastAsia="仿宋_GB2312" w:cs="仿宋_GB2312"/>
          <w:color w:val="auto"/>
          <w:kern w:val="2"/>
          <w:sz w:val="32"/>
          <w:szCs w:val="32"/>
          <w:highlight w:val="none"/>
          <w:lang w:val="zh-CN" w:eastAsia="zh-CN"/>
        </w:rPr>
        <w:t>该类项目总数</w:t>
      </w:r>
      <w:r>
        <w:rPr>
          <w:rFonts w:hint="eastAsia" w:eastAsia="仿宋_GB2312" w:cs="仿宋_GB2312"/>
          <w:color w:val="auto"/>
          <w:kern w:val="2"/>
          <w:sz w:val="32"/>
          <w:szCs w:val="32"/>
          <w:highlight w:val="none"/>
          <w:lang w:val="en-US" w:eastAsia="zh-CN"/>
        </w:rPr>
        <w:t>18</w:t>
      </w:r>
      <w:r>
        <w:rPr>
          <w:rFonts w:hint="default" w:ascii="Times New Roman" w:hAnsi="Times New Roman" w:eastAsia="仿宋_GB2312" w:cs="仿宋_GB2312"/>
          <w:color w:val="auto"/>
          <w:kern w:val="2"/>
          <w:sz w:val="32"/>
          <w:szCs w:val="32"/>
          <w:highlight w:val="none"/>
          <w:lang w:val="zh-CN" w:eastAsia="zh-CN"/>
        </w:rPr>
        <w:t>个，涉及预算总金额</w:t>
      </w:r>
      <w:r>
        <w:rPr>
          <w:rFonts w:hint="eastAsia" w:eastAsia="仿宋_GB2312" w:cs="仿宋_GB2312"/>
          <w:color w:val="auto"/>
          <w:kern w:val="2"/>
          <w:sz w:val="32"/>
          <w:szCs w:val="32"/>
          <w:highlight w:val="none"/>
          <w:lang w:val="en-US" w:eastAsia="zh-CN"/>
        </w:rPr>
        <w:t>3164.54</w:t>
      </w:r>
      <w:r>
        <w:rPr>
          <w:rFonts w:hint="default" w:ascii="Times New Roman" w:hAnsi="Times New Roman" w:eastAsia="仿宋_GB2312" w:cs="仿宋_GB2312"/>
          <w:color w:val="auto"/>
          <w:kern w:val="2"/>
          <w:sz w:val="32"/>
          <w:szCs w:val="32"/>
          <w:highlight w:val="none"/>
          <w:lang w:val="zh-CN" w:eastAsia="zh-CN"/>
        </w:rPr>
        <w:t>万元，1</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1</w:t>
      </w:r>
      <w:r>
        <w:rPr>
          <w:rFonts w:hint="default" w:ascii="Times New Roman" w:hAnsi="Times New Roman" w:eastAsia="仿宋_GB2312" w:cs="仿宋_GB2312"/>
          <w:color w:val="auto"/>
          <w:kern w:val="2"/>
          <w:sz w:val="32"/>
          <w:szCs w:val="32"/>
          <w:highlight w:val="none"/>
          <w:lang w:val="en-US" w:eastAsia="zh-CN"/>
        </w:rPr>
        <w:t>2</w:t>
      </w:r>
      <w:r>
        <w:rPr>
          <w:rFonts w:hint="default" w:ascii="Times New Roman" w:hAnsi="Times New Roman" w:eastAsia="仿宋_GB2312" w:cs="仿宋_GB2312"/>
          <w:color w:val="auto"/>
          <w:kern w:val="2"/>
          <w:sz w:val="32"/>
          <w:szCs w:val="32"/>
          <w:highlight w:val="none"/>
          <w:lang w:val="zh-CN" w:eastAsia="zh-CN"/>
        </w:rPr>
        <w:t>月预算执行总体进度为</w:t>
      </w:r>
      <w:r>
        <w:rPr>
          <w:rFonts w:hint="eastAsia" w:eastAsia="仿宋_GB2312" w:cs="仿宋_GB2312"/>
          <w:color w:val="auto"/>
          <w:kern w:val="2"/>
          <w:sz w:val="32"/>
          <w:szCs w:val="32"/>
          <w:highlight w:val="none"/>
          <w:lang w:val="en-US" w:eastAsia="zh-CN"/>
        </w:rPr>
        <w:t>100</w:t>
      </w:r>
      <w:r>
        <w:rPr>
          <w:rFonts w:hint="default" w:ascii="Times New Roman" w:hAnsi="Times New Roman" w:eastAsia="仿宋_GB2312" w:cs="仿宋_GB2312"/>
          <w:color w:val="auto"/>
          <w:kern w:val="2"/>
          <w:sz w:val="32"/>
          <w:szCs w:val="32"/>
          <w:highlight w:val="none"/>
          <w:lang w:val="zh-CN" w:eastAsia="zh-CN"/>
        </w:rPr>
        <w:t>%，其中：预算结余率大于</w:t>
      </w:r>
      <w:r>
        <w:rPr>
          <w:rFonts w:hint="default" w:ascii="Times New Roman" w:hAnsi="Times New Roman" w:eastAsia="仿宋_GB2312" w:cs="仿宋_GB2312"/>
          <w:color w:val="auto"/>
          <w:kern w:val="2"/>
          <w:sz w:val="32"/>
          <w:szCs w:val="32"/>
          <w:highlight w:val="none"/>
          <w:lang w:val="en-US" w:eastAsia="zh-CN"/>
        </w:rPr>
        <w:t>10%</w:t>
      </w:r>
      <w:r>
        <w:rPr>
          <w:rFonts w:hint="default" w:ascii="Times New Roman" w:hAnsi="Times New Roman" w:eastAsia="仿宋_GB2312" w:cs="仿宋_GB2312"/>
          <w:color w:val="auto"/>
          <w:kern w:val="2"/>
          <w:sz w:val="32"/>
          <w:szCs w:val="32"/>
          <w:highlight w:val="none"/>
          <w:lang w:val="zh-CN" w:eastAsia="zh-CN"/>
        </w:rPr>
        <w:t>的项目共计</w:t>
      </w:r>
      <w:r>
        <w:rPr>
          <w:rFonts w:hint="eastAsia" w:eastAsia="仿宋_GB2312" w:cs="仿宋_GB2312"/>
          <w:color w:val="auto"/>
          <w:kern w:val="2"/>
          <w:sz w:val="32"/>
          <w:szCs w:val="32"/>
          <w:highlight w:val="none"/>
          <w:lang w:val="en-US" w:eastAsia="zh-CN"/>
        </w:rPr>
        <w:t>0</w:t>
      </w:r>
      <w:r>
        <w:rPr>
          <w:rFonts w:hint="default" w:ascii="Times New Roman" w:hAnsi="Times New Roman" w:eastAsia="仿宋_GB2312" w:cs="仿宋_GB2312"/>
          <w:color w:val="auto"/>
          <w:kern w:val="2"/>
          <w:sz w:val="32"/>
          <w:szCs w:val="32"/>
          <w:highlight w:val="none"/>
          <w:lang w:val="zh-CN" w:eastAsia="zh-CN"/>
        </w:rPr>
        <w:t>个。</w:t>
      </w:r>
    </w:p>
    <w:p w14:paraId="42EA33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en-US" w:eastAsia="zh-CN"/>
        </w:rPr>
        <w:t>阶段</w:t>
      </w:r>
      <w:r>
        <w:rPr>
          <w:rFonts w:hint="eastAsia" w:ascii="Times New Roman" w:hAnsi="Times New Roman" w:eastAsia="仿宋_GB2312" w:cs="仿宋_GB2312"/>
          <w:color w:val="auto"/>
          <w:kern w:val="2"/>
          <w:sz w:val="32"/>
          <w:szCs w:val="32"/>
          <w:highlight w:val="none"/>
          <w:lang w:val="en-US" w:eastAsia="zh-CN"/>
        </w:rPr>
        <w:t>（</w:t>
      </w:r>
      <w:r>
        <w:rPr>
          <w:rFonts w:hint="default" w:ascii="Times New Roman" w:hAnsi="Times New Roman" w:eastAsia="仿宋_GB2312" w:cs="仿宋_GB2312"/>
          <w:color w:val="auto"/>
          <w:kern w:val="2"/>
          <w:sz w:val="32"/>
          <w:szCs w:val="32"/>
          <w:highlight w:val="none"/>
          <w:lang w:val="en-US" w:eastAsia="zh-CN"/>
        </w:rPr>
        <w:t>一次性</w:t>
      </w:r>
      <w:r>
        <w:rPr>
          <w:rFonts w:hint="eastAsia" w:ascii="Times New Roman" w:hAnsi="Times New Roman" w:eastAsia="仿宋_GB2312" w:cs="仿宋_GB2312"/>
          <w:color w:val="auto"/>
          <w:kern w:val="2"/>
          <w:sz w:val="32"/>
          <w:szCs w:val="32"/>
          <w:highlight w:val="none"/>
          <w:lang w:val="en-US" w:eastAsia="zh-CN"/>
        </w:rPr>
        <w:t>）</w:t>
      </w:r>
      <w:r>
        <w:rPr>
          <w:rFonts w:hint="default" w:ascii="Times New Roman" w:hAnsi="Times New Roman" w:eastAsia="仿宋_GB2312" w:cs="仿宋_GB2312"/>
          <w:color w:val="auto"/>
          <w:kern w:val="2"/>
          <w:sz w:val="32"/>
          <w:szCs w:val="32"/>
          <w:highlight w:val="none"/>
          <w:lang w:val="en-US" w:eastAsia="zh-CN"/>
        </w:rPr>
        <w:t>项目绩效分析。</w:t>
      </w:r>
      <w:r>
        <w:rPr>
          <w:rFonts w:hint="default" w:ascii="Times New Roman" w:hAnsi="Times New Roman" w:eastAsia="仿宋_GB2312" w:cs="仿宋_GB2312"/>
          <w:color w:val="auto"/>
          <w:kern w:val="2"/>
          <w:sz w:val="32"/>
          <w:szCs w:val="32"/>
          <w:highlight w:val="none"/>
          <w:lang w:val="zh-CN" w:eastAsia="zh-CN"/>
        </w:rPr>
        <w:t>该类项目总数</w:t>
      </w:r>
      <w:r>
        <w:rPr>
          <w:rFonts w:hint="eastAsia" w:eastAsia="仿宋_GB2312" w:cs="仿宋_GB2312"/>
          <w:color w:val="auto"/>
          <w:kern w:val="2"/>
          <w:sz w:val="32"/>
          <w:szCs w:val="32"/>
          <w:highlight w:val="none"/>
          <w:lang w:val="en-US" w:eastAsia="zh-CN"/>
        </w:rPr>
        <w:t>16</w:t>
      </w:r>
      <w:r>
        <w:rPr>
          <w:rFonts w:hint="default" w:ascii="Times New Roman" w:hAnsi="Times New Roman" w:eastAsia="仿宋_GB2312" w:cs="仿宋_GB2312"/>
          <w:color w:val="auto"/>
          <w:kern w:val="2"/>
          <w:sz w:val="32"/>
          <w:szCs w:val="32"/>
          <w:highlight w:val="none"/>
          <w:lang w:val="zh-CN" w:eastAsia="zh-CN"/>
        </w:rPr>
        <w:t>个，涉及预算总金额</w:t>
      </w:r>
      <w:r>
        <w:rPr>
          <w:rFonts w:hint="eastAsia" w:eastAsia="仿宋_GB2312" w:cs="仿宋_GB2312"/>
          <w:color w:val="auto"/>
          <w:kern w:val="2"/>
          <w:sz w:val="32"/>
          <w:szCs w:val="32"/>
          <w:highlight w:val="none"/>
          <w:lang w:val="en-US" w:eastAsia="zh-CN"/>
        </w:rPr>
        <w:t>885.05</w:t>
      </w:r>
      <w:r>
        <w:rPr>
          <w:rFonts w:hint="default" w:ascii="Times New Roman" w:hAnsi="Times New Roman" w:eastAsia="仿宋_GB2312" w:cs="仿宋_GB2312"/>
          <w:color w:val="auto"/>
          <w:kern w:val="2"/>
          <w:sz w:val="32"/>
          <w:szCs w:val="32"/>
          <w:highlight w:val="none"/>
          <w:lang w:val="zh-CN" w:eastAsia="zh-CN"/>
        </w:rPr>
        <w:t>万元，1</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1</w:t>
      </w:r>
      <w:r>
        <w:rPr>
          <w:rFonts w:hint="default" w:ascii="Times New Roman" w:hAnsi="Times New Roman" w:eastAsia="仿宋_GB2312" w:cs="仿宋_GB2312"/>
          <w:color w:val="auto"/>
          <w:kern w:val="2"/>
          <w:sz w:val="32"/>
          <w:szCs w:val="32"/>
          <w:highlight w:val="none"/>
          <w:lang w:val="en-US" w:eastAsia="zh-CN"/>
        </w:rPr>
        <w:t>2</w:t>
      </w:r>
      <w:r>
        <w:rPr>
          <w:rFonts w:hint="default" w:ascii="Times New Roman" w:hAnsi="Times New Roman" w:eastAsia="仿宋_GB2312" w:cs="仿宋_GB2312"/>
          <w:color w:val="auto"/>
          <w:kern w:val="2"/>
          <w:sz w:val="32"/>
          <w:szCs w:val="32"/>
          <w:highlight w:val="none"/>
          <w:lang w:val="zh-CN" w:eastAsia="zh-CN"/>
        </w:rPr>
        <w:t>月预算执行总体进度为</w:t>
      </w:r>
      <w:r>
        <w:rPr>
          <w:rFonts w:hint="eastAsia" w:eastAsia="仿宋_GB2312" w:cs="仿宋_GB2312"/>
          <w:color w:val="auto"/>
          <w:kern w:val="2"/>
          <w:sz w:val="32"/>
          <w:szCs w:val="32"/>
          <w:highlight w:val="none"/>
          <w:lang w:val="en-US" w:eastAsia="zh-CN"/>
        </w:rPr>
        <w:t>73.95</w:t>
      </w:r>
      <w:r>
        <w:rPr>
          <w:rFonts w:hint="default" w:ascii="Times New Roman" w:hAnsi="Times New Roman" w:eastAsia="仿宋_GB2312" w:cs="仿宋_GB2312"/>
          <w:color w:val="auto"/>
          <w:kern w:val="2"/>
          <w:sz w:val="32"/>
          <w:szCs w:val="32"/>
          <w:highlight w:val="none"/>
          <w:lang w:val="zh-CN" w:eastAsia="zh-CN"/>
        </w:rPr>
        <w:t>%，其中：预算结余率大于</w:t>
      </w:r>
      <w:r>
        <w:rPr>
          <w:rFonts w:hint="default" w:ascii="Times New Roman" w:hAnsi="Times New Roman" w:eastAsia="仿宋_GB2312" w:cs="仿宋_GB2312"/>
          <w:color w:val="auto"/>
          <w:kern w:val="2"/>
          <w:sz w:val="32"/>
          <w:szCs w:val="32"/>
          <w:highlight w:val="none"/>
          <w:lang w:val="en-US" w:eastAsia="zh-CN"/>
        </w:rPr>
        <w:t>10%</w:t>
      </w:r>
      <w:r>
        <w:rPr>
          <w:rFonts w:hint="default" w:ascii="Times New Roman" w:hAnsi="Times New Roman" w:eastAsia="仿宋_GB2312" w:cs="仿宋_GB2312"/>
          <w:color w:val="auto"/>
          <w:kern w:val="2"/>
          <w:sz w:val="32"/>
          <w:szCs w:val="32"/>
          <w:highlight w:val="none"/>
          <w:lang w:val="zh-CN" w:eastAsia="zh-CN"/>
        </w:rPr>
        <w:t>的项目共计</w:t>
      </w:r>
      <w:r>
        <w:rPr>
          <w:rFonts w:hint="eastAsia" w:eastAsia="仿宋_GB2312" w:cs="仿宋_GB2312"/>
          <w:color w:val="auto"/>
          <w:kern w:val="2"/>
          <w:sz w:val="32"/>
          <w:szCs w:val="32"/>
          <w:highlight w:val="none"/>
          <w:lang w:val="en-US" w:eastAsia="zh-CN"/>
        </w:rPr>
        <w:t>5</w:t>
      </w:r>
      <w:r>
        <w:rPr>
          <w:rFonts w:hint="default" w:ascii="Times New Roman" w:hAnsi="Times New Roman" w:eastAsia="仿宋_GB2312" w:cs="仿宋_GB2312"/>
          <w:color w:val="auto"/>
          <w:kern w:val="2"/>
          <w:sz w:val="32"/>
          <w:szCs w:val="32"/>
          <w:highlight w:val="none"/>
          <w:lang w:val="zh-CN" w:eastAsia="zh-CN"/>
        </w:rPr>
        <w:t>个。</w:t>
      </w:r>
    </w:p>
    <w:p w14:paraId="27AC1464">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决策。围绕决策程序、规划论证、资金投向进行绩效分析。采购、施工、服务类项目采用政府集采、签订合同（协议）方式实施。按程序确定承接机构，通过制定实施方案、图纸设计、财评、项目立项等程序，项目由县民政局组织实施，由具体项目实施单位承办，项目实施完成后，经验收合格</w:t>
      </w:r>
      <w:r>
        <w:rPr>
          <w:rFonts w:hint="eastAsia"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lang w:val="en-US" w:eastAsia="zh-CN"/>
        </w:rPr>
        <w:t xml:space="preserve">项目资金支付到具体项目实施单位账户。全部项目实施过程中，县民政局负责指导和监督。 </w:t>
      </w:r>
    </w:p>
    <w:p w14:paraId="70193E5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2.项目执行。结合项目特点，按照相关法律法规、项目管理制度，按程序</w:t>
      </w:r>
      <w:r>
        <w:rPr>
          <w:rFonts w:hint="eastAsia"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zh-CN"/>
        </w:rPr>
        <w:t>。在项目建设管理中严格按照相关管理制度执行有关建设标准及规范，严格执行招投标、政府采购、项目公示制等相关规定，加强项目质量与安全管理，切实发挥民政资金投资效益。</w:t>
      </w:r>
    </w:p>
    <w:p w14:paraId="72E80C1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3.目标实现。202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年民政项目工作符合年初绩效总体目标，未偏离原定计划。下一步工作将继续按照总体绩效目标要求，不断完善制度，落实政策，保障群众利益。</w:t>
      </w:r>
    </w:p>
    <w:p w14:paraId="70FCEE32">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ascii="仿宋_GB2312" w:hAnsi="宋体" w:eastAsia="仿宋_GB2312" w:cs="仿宋_GB2312"/>
          <w:i w:val="0"/>
          <w:caps w:val="0"/>
          <w:color w:val="555555"/>
          <w:spacing w:val="0"/>
          <w:sz w:val="31"/>
          <w:szCs w:val="31"/>
          <w:shd w:val="clear" w:color="auto" w:fill="FFFFFF"/>
        </w:rPr>
        <w:t>严格按照项目资金管理办法对资金进行计划申请、划拨、使用，全面推行信息公开、公告、告示制度，确保项目建设资金使用公正透明</w:t>
      </w:r>
      <w:r>
        <w:rPr>
          <w:rFonts w:hint="eastAsia" w:ascii="仿宋_GB2312" w:hAnsi="宋体" w:eastAsia="仿宋_GB2312" w:cs="仿宋_GB2312"/>
          <w:i w:val="0"/>
          <w:caps w:val="0"/>
          <w:color w:val="555555"/>
          <w:spacing w:val="0"/>
          <w:sz w:val="31"/>
          <w:szCs w:val="31"/>
          <w:shd w:val="clear" w:color="auto" w:fill="FFFFFF"/>
          <w:lang w:eastAsia="zh-CN"/>
        </w:rPr>
        <w:t>，对</w:t>
      </w:r>
      <w:r>
        <w:rPr>
          <w:rFonts w:ascii="仿宋_GB2312" w:hAnsi="宋体" w:eastAsia="仿宋_GB2312" w:cs="仿宋_GB2312"/>
          <w:i w:val="0"/>
          <w:caps w:val="0"/>
          <w:color w:val="555555"/>
          <w:spacing w:val="0"/>
          <w:sz w:val="31"/>
          <w:szCs w:val="31"/>
          <w:shd w:val="clear" w:color="auto" w:fill="FFFFFF"/>
        </w:rPr>
        <w:t>项目资金实行单独核算、专项使用，对项目资金的拨付都要求用途合理，手续齐全，极力避免专项资金被挤占、截留、挪用。按照计划，分工明确、仔细，完成计划工作</w:t>
      </w:r>
      <w:r>
        <w:rPr>
          <w:rFonts w:hint="eastAsia" w:ascii="仿宋_GB2312" w:hAnsi="宋体" w:eastAsia="仿宋_GB2312" w:cs="仿宋_GB2312"/>
          <w:i w:val="0"/>
          <w:caps w:val="0"/>
          <w:color w:val="555555"/>
          <w:spacing w:val="0"/>
          <w:sz w:val="31"/>
          <w:szCs w:val="31"/>
          <w:shd w:val="clear" w:color="auto" w:fill="FFFFFF"/>
        </w:rPr>
        <w:t>。</w:t>
      </w:r>
    </w:p>
    <w:p w14:paraId="6B5125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737DD54">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 w:eastAsia="仿宋_GB2312"/>
          <w:sz w:val="32"/>
          <w:szCs w:val="32"/>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w:t>
      </w:r>
      <w:r>
        <w:rPr>
          <w:rFonts w:hint="eastAsia" w:ascii="仿宋_GB2312" w:hAnsi="Times New Roman" w:eastAsia="仿宋_GB2312" w:cs="Times New Roman"/>
          <w:kern w:val="2"/>
          <w:position w:val="0"/>
          <w:sz w:val="32"/>
          <w:szCs w:val="32"/>
          <w:lang w:val="en-US" w:eastAsia="zh-CN" w:bidi="ar-SA"/>
        </w:rPr>
        <w:t>项目资金</w:t>
      </w:r>
      <w:r>
        <w:rPr>
          <w:rFonts w:hint="eastAsia" w:ascii="仿宋_GB2312" w:hAnsi="Times New Roman" w:cs="Times New Roman"/>
          <w:kern w:val="2"/>
          <w:position w:val="0"/>
          <w:sz w:val="32"/>
          <w:szCs w:val="32"/>
          <w:lang w:val="en-US" w:eastAsia="zh-CN" w:bidi="ar-SA"/>
        </w:rPr>
        <w:t>支出</w:t>
      </w:r>
      <w:r>
        <w:rPr>
          <w:rFonts w:hint="eastAsia" w:ascii="仿宋_GB2312" w:hAnsi="Times New Roman" w:eastAsia="仿宋_GB2312" w:cs="Times New Roman"/>
          <w:kern w:val="2"/>
          <w:position w:val="0"/>
          <w:sz w:val="32"/>
          <w:szCs w:val="32"/>
          <w:lang w:val="en-US" w:eastAsia="zh-CN" w:bidi="ar-SA"/>
        </w:rPr>
        <w:t>充分体现了</w:t>
      </w:r>
      <w:r>
        <w:rPr>
          <w:rFonts w:hint="eastAsia" w:ascii="仿宋_GB2312" w:hAnsi="Times New Roman" w:cs="Times New Roman"/>
          <w:kern w:val="2"/>
          <w:position w:val="0"/>
          <w:sz w:val="32"/>
          <w:szCs w:val="32"/>
          <w:lang w:val="en-US" w:eastAsia="zh-CN" w:bidi="ar-SA"/>
        </w:rPr>
        <w:t>民政资</w:t>
      </w:r>
      <w:r>
        <w:rPr>
          <w:rFonts w:hint="eastAsia" w:ascii="仿宋_GB2312" w:hAnsi="Times New Roman" w:eastAsia="仿宋_GB2312" w:cs="Times New Roman"/>
          <w:kern w:val="2"/>
          <w:position w:val="0"/>
          <w:sz w:val="32"/>
          <w:szCs w:val="32"/>
          <w:lang w:val="en-US" w:eastAsia="zh-CN" w:bidi="ar-SA"/>
        </w:rPr>
        <w:t>金“</w:t>
      </w:r>
      <w:r>
        <w:rPr>
          <w:rFonts w:hint="default" w:ascii="仿宋_GB2312" w:hAnsi="Times New Roman" w:eastAsia="仿宋_GB2312" w:cs="Times New Roman"/>
          <w:kern w:val="2"/>
          <w:position w:val="0"/>
          <w:sz w:val="32"/>
          <w:szCs w:val="32"/>
          <w:lang w:val="en-US" w:eastAsia="zh-CN" w:bidi="ar-SA"/>
        </w:rPr>
        <w:t>扶老、助残、救孤、济困”的发行宗旨，</w:t>
      </w:r>
      <w:r>
        <w:rPr>
          <w:rFonts w:hint="eastAsia" w:ascii="仿宋_GB2312" w:hAnsi="Times New Roman" w:cs="Times New Roman"/>
          <w:kern w:val="2"/>
          <w:position w:val="0"/>
          <w:sz w:val="32"/>
          <w:szCs w:val="32"/>
          <w:lang w:val="en-US" w:eastAsia="zh-CN" w:bidi="ar-SA"/>
        </w:rPr>
        <w:t>民政资金</w:t>
      </w:r>
      <w:r>
        <w:rPr>
          <w:rFonts w:hint="default" w:ascii="仿宋_GB2312" w:hAnsi="Times New Roman" w:eastAsia="仿宋_GB2312" w:cs="Times New Roman"/>
          <w:kern w:val="2"/>
          <w:position w:val="0"/>
          <w:sz w:val="32"/>
          <w:szCs w:val="32"/>
          <w:lang w:val="en-US" w:eastAsia="zh-CN" w:bidi="ar-SA"/>
        </w:rPr>
        <w:t>在老年人福利类、残疾人福利类、儿童福利和社会</w:t>
      </w:r>
      <w:r>
        <w:rPr>
          <w:rFonts w:hint="eastAsia" w:ascii="仿宋_GB2312" w:hAnsi="Times New Roman" w:cs="Times New Roman"/>
          <w:kern w:val="2"/>
          <w:position w:val="0"/>
          <w:sz w:val="32"/>
          <w:szCs w:val="32"/>
          <w:lang w:val="en-US" w:eastAsia="zh-CN" w:bidi="ar-SA"/>
        </w:rPr>
        <w:t>救助</w:t>
      </w:r>
      <w:r>
        <w:rPr>
          <w:rFonts w:hint="default" w:ascii="仿宋_GB2312" w:hAnsi="Times New Roman" w:eastAsia="仿宋_GB2312" w:cs="Times New Roman"/>
          <w:kern w:val="2"/>
          <w:position w:val="0"/>
          <w:sz w:val="32"/>
          <w:szCs w:val="32"/>
          <w:lang w:val="en-US" w:eastAsia="zh-CN" w:bidi="ar-SA"/>
        </w:rPr>
        <w:t>类等项目体现了项目的针对性、时效性，改善了困难群众生活，方便了老年人、残疾人生活，提升了广大困难群众的幸福感、获得感和安全感，切实解决了群众的服务需求，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增进了</w:t>
      </w:r>
      <w:r>
        <w:rPr>
          <w:rFonts w:hint="eastAsia" w:cs="Times New Roman"/>
          <w:kern w:val="2"/>
          <w:position w:val="0"/>
          <w:sz w:val="32"/>
          <w:szCs w:val="32"/>
          <w:lang w:val="en-US" w:eastAsia="zh-CN" w:bidi="ar-SA"/>
        </w:rPr>
        <w:t>民生</w:t>
      </w:r>
      <w:r>
        <w:rPr>
          <w:rFonts w:hint="eastAsia" w:ascii="仿宋_GB2312" w:hAnsi="Times New Roman" w:eastAsia="仿宋_GB2312" w:cs="Times New Roman"/>
          <w:kern w:val="2"/>
          <w:position w:val="0"/>
          <w:sz w:val="32"/>
          <w:szCs w:val="32"/>
          <w:lang w:val="en-US" w:eastAsia="zh-CN" w:bidi="ar-SA"/>
        </w:rPr>
        <w:t>福祉。项目整体</w:t>
      </w:r>
      <w:r>
        <w:rPr>
          <w:rFonts w:hint="default" w:ascii="仿宋_GB2312" w:hAnsi="Times New Roman" w:eastAsia="仿宋_GB2312" w:cs="Times New Roman"/>
          <w:kern w:val="2"/>
          <w:position w:val="0"/>
          <w:sz w:val="32"/>
          <w:szCs w:val="32"/>
          <w:lang w:val="en-US" w:eastAsia="zh-CN" w:bidi="ar-SA"/>
        </w:rPr>
        <w:t>社会评价反馈良好</w:t>
      </w:r>
      <w:r>
        <w:rPr>
          <w:rFonts w:hint="eastAsia" w:ascii="仿宋_GB2312" w:cs="Times New Roman"/>
          <w:kern w:val="2"/>
          <w:position w:val="0"/>
          <w:sz w:val="32"/>
          <w:szCs w:val="32"/>
          <w:lang w:val="en-US" w:eastAsia="zh-CN" w:bidi="ar-SA"/>
        </w:rPr>
        <w:t>，通过自评综合得分</w:t>
      </w:r>
      <w:r>
        <w:rPr>
          <w:rFonts w:hint="eastAsia" w:cs="Times New Roman"/>
          <w:kern w:val="2"/>
          <w:position w:val="0"/>
          <w:sz w:val="32"/>
          <w:szCs w:val="32"/>
          <w:lang w:val="en-US" w:eastAsia="zh-CN" w:bidi="ar-SA"/>
        </w:rPr>
        <w:t>87</w:t>
      </w:r>
      <w:r>
        <w:rPr>
          <w:rFonts w:hint="eastAsia" w:ascii="仿宋_GB2312" w:cs="Times New Roman"/>
          <w:kern w:val="2"/>
          <w:position w:val="0"/>
          <w:sz w:val="32"/>
          <w:szCs w:val="32"/>
          <w:lang w:val="en-US" w:eastAsia="zh-CN" w:bidi="ar-SA"/>
        </w:rPr>
        <w:t>分。</w:t>
      </w:r>
    </w:p>
    <w:p w14:paraId="62A8B52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仿宋_GB2312" w:hAnsi="Times New Roman" w:eastAsia="仿宋_GB2312" w:cs="Times New Roman"/>
          <w:kern w:val="2"/>
          <w:position w:val="0"/>
          <w:sz w:val="32"/>
          <w:szCs w:val="32"/>
          <w:lang w:val="zh-CN" w:eastAsia="zh-CN" w:bidi="ar-SA"/>
        </w:rPr>
        <w:t>注重项目资金的争取，项目建设工作，</w:t>
      </w:r>
      <w:r>
        <w:rPr>
          <w:rFonts w:hint="eastAsia" w:ascii="仿宋_GB2312" w:eastAsia="仿宋_GB2312" w:cs="Times New Roman"/>
          <w:kern w:val="2"/>
          <w:position w:val="0"/>
          <w:sz w:val="32"/>
          <w:szCs w:val="32"/>
          <w:lang w:val="zh-CN" w:eastAsia="zh-CN" w:bidi="ar-SA"/>
        </w:rPr>
        <w:t>轻视</w:t>
      </w:r>
      <w:r>
        <w:rPr>
          <w:rFonts w:hint="default" w:ascii="仿宋_GB2312" w:hAnsi="Times New Roman" w:eastAsia="仿宋_GB2312" w:cs="Times New Roman"/>
          <w:kern w:val="2"/>
          <w:position w:val="0"/>
          <w:sz w:val="32"/>
          <w:szCs w:val="32"/>
          <w:lang w:val="zh-CN" w:eastAsia="zh-CN" w:bidi="ar-SA"/>
        </w:rPr>
        <w:t>项目后续绩效评价工作。</w:t>
      </w:r>
    </w:p>
    <w:p w14:paraId="29D1796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Times New Roman" w:eastAsia="仿宋_GB2312" w:cs="Times New Roman"/>
          <w:kern w:val="2"/>
          <w:position w:val="0"/>
          <w:sz w:val="32"/>
          <w:szCs w:val="32"/>
          <w:lang w:val="e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7" w:name="_Hlk110546638"/>
      <w:r>
        <w:rPr>
          <w:rFonts w:hint="eastAsia" w:ascii="仿宋_GB2312" w:hAnsi="Times New Roman" w:eastAsia="仿宋_GB2312" w:cs="Times New Roman"/>
          <w:kern w:val="2"/>
          <w:position w:val="0"/>
          <w:sz w:val="32"/>
          <w:szCs w:val="32"/>
          <w:lang w:val="en-US" w:eastAsia="zh-CN" w:bidi="ar-SA"/>
        </w:rPr>
        <w:t>加强部门预算绩效评价报告编写工作培训。</w:t>
      </w:r>
    </w:p>
    <w:p w14:paraId="4924906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eastAsia="zh-CN"/>
        </w:rPr>
      </w:pPr>
    </w:p>
    <w:bookmarkEnd w:id="57"/>
    <w:p w14:paraId="60F3F571">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E22CA99">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D1D7C13">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困难群众救助资金</w:t>
      </w:r>
    </w:p>
    <w:p w14:paraId="39542B02">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C485559">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A0965F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zh-CN"/>
        </w:rPr>
        <w:t>项目概况</w:t>
      </w:r>
    </w:p>
    <w:p w14:paraId="57200D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（一）设立背景及基本情况。</w:t>
      </w:r>
    </w:p>
    <w:p w14:paraId="0C405C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全面落实困难群众救助工作，巩固拓展脱贫攻坚成果同乡村振兴有效衔接，切实兜牢基本民生保障底线，加强困难群众救助资金规范化管理，坚持“应保尽保、应救尽救，公平公正、动态管理、统筹兼顾”的基本原则，科学制定救助标准，完善认定条件，规范审核审批程序，强化动态管理，健全监管机制，加强与其他救助制度的有效衔接，不断提高社会救助工作的科学性和执行力，完善审核、审批和发放程序。</w:t>
      </w:r>
    </w:p>
    <w:p w14:paraId="74E706B4">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en-US" w:eastAsia="zh-CN"/>
        </w:rPr>
        <w:t>实施目的及支持方向。</w:t>
      </w:r>
    </w:p>
    <w:p w14:paraId="1B98574D">
      <w:pPr>
        <w:pStyle w:val="17"/>
        <w:numPr>
          <w:ilvl w:val="0"/>
          <w:numId w:val="0"/>
        </w:numPr>
        <w:ind w:firstLine="640" w:firstLineChars="200"/>
        <w:rPr>
          <w:rFonts w:hint="eastAsia" w:ascii="仿宋_GB2312" w:hAnsi="仿宋_GB2312" w:eastAsia="仿宋_GB2312" w:cs="仿宋_GB2312"/>
          <w:smallCap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smallCaps w:val="0"/>
          <w:color w:val="auto"/>
          <w:kern w:val="0"/>
          <w:sz w:val="32"/>
          <w:szCs w:val="32"/>
          <w:highlight w:val="none"/>
          <w:u w:val="none"/>
          <w:shd w:val="clear" w:color="auto" w:fill="FFFFFF"/>
          <w:lang w:val="zh-CN" w:eastAsia="zh-CN" w:bidi="ar-SA"/>
        </w:rPr>
        <w:t>该项补助资金统筹用于城乡低保、特困供养、临时救助、流浪乞讨人员救助（含农村留守儿童、困境儿童、流浪乞讨儿童的应急处置、救助帮扶、监护支持）和孤儿（含艾滋病病毒感染儿童、生活困难家庭中的纳入特困人员救助供养范围的事实无人抚养儿童）基本生活保障支出。</w:t>
      </w:r>
    </w:p>
    <w:p w14:paraId="104ECE0C">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color w:val="auto"/>
          <w:sz w:val="32"/>
          <w:szCs w:val="32"/>
          <w:highlight w:val="none"/>
          <w:u w:val="none"/>
          <w:lang w:val="en-US" w:eastAsia="zh-CN"/>
        </w:rPr>
        <w:t>预算安排及分配管理</w:t>
      </w:r>
      <w:r>
        <w:rPr>
          <w:rFonts w:hint="eastAsia" w:ascii="仿宋_GB2312" w:hAnsi="仿宋_GB2312" w:eastAsia="仿宋_GB2312" w:cs="仿宋_GB2312"/>
          <w:b/>
          <w:color w:val="auto"/>
          <w:sz w:val="32"/>
          <w:szCs w:val="32"/>
          <w:highlight w:val="none"/>
          <w:u w:val="none"/>
          <w:lang w:val="zh-CN" w:eastAsia="zh-CN"/>
        </w:rPr>
        <w:t>。</w:t>
      </w:r>
    </w:p>
    <w:p w14:paraId="54171BE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lang w:val="zh-CN"/>
        </w:rPr>
        <w:t>该项补助资金主要采用因素法、据实据效法等办法进行分配。因素法适用于最低生活保障、特困人员供养、临时救助和流浪乞讨人员救助资金分配。据实据效法适用于孤儿基本生活保障资金分配。根据孤儿（含艾滋病感染儿童）人数和县级财政分担水平据实分配。</w:t>
      </w:r>
      <w:r>
        <w:rPr>
          <w:rFonts w:hint="eastAsia" w:ascii="仿宋_GB2312" w:hAnsi="仿宋_GB2312" w:eastAsia="仿宋_GB2312" w:cs="仿宋_GB2312"/>
          <w:sz w:val="32"/>
          <w:szCs w:val="32"/>
          <w:lang w:val="en-US" w:eastAsia="zh-CN"/>
        </w:rPr>
        <w:t>2024年预算安排2535.294万元，其中：</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15号文件下达资金1199万元，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43号文件下达资金72.52万元，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66号文件下达资金515万元，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127号文件下达资金39万元，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80号文件下达资金120.9万元，县级预算安排588.874万元。</w:t>
      </w:r>
      <w:r>
        <w:rPr>
          <w:rFonts w:hint="eastAsia" w:ascii="仿宋_GB2312" w:hAnsi="仿宋_GB2312" w:eastAsia="仿宋_GB2312" w:cs="仿宋_GB2312"/>
          <w:sz w:val="32"/>
          <w:szCs w:val="32"/>
          <w:lang w:val="zh-CN"/>
        </w:rPr>
        <w:t>根据各类人员人数和发放标准困难群众救助资金预算安排如下：城乡低保</w:t>
      </w:r>
      <w:r>
        <w:rPr>
          <w:rFonts w:hint="eastAsia" w:ascii="仿宋_GB2312" w:hAnsi="仿宋_GB2312" w:eastAsia="仿宋_GB2312" w:cs="仿宋_GB2312"/>
          <w:sz w:val="32"/>
          <w:szCs w:val="32"/>
          <w:lang w:val="en-US" w:eastAsia="zh-CN"/>
        </w:rPr>
        <w:t>1987.2007万元、特困供养302.3074万元、孤儿13.92万元、困难群众一次性生活补贴120.9万元、流浪乞讨1.0648万元、临时救助109.9011万元。</w:t>
      </w:r>
    </w:p>
    <w:p w14:paraId="07EA7AF1">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color w:val="auto"/>
          <w:sz w:val="32"/>
          <w:szCs w:val="32"/>
          <w:highlight w:val="none"/>
          <w:u w:val="none"/>
          <w:lang w:val="zh-CN" w:eastAsia="zh-CN"/>
        </w:rPr>
        <w:t>项目绩效目标设置。</w:t>
      </w:r>
    </w:p>
    <w:p w14:paraId="0E15E703">
      <w:pPr>
        <w:spacing w:line="540" w:lineRule="exact"/>
        <w:ind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县城乡困难群众保障范围有增无减，保障标准逐步提高，救助资金发放及时到位，救助有效，各项社会救助制度逐步完善，救助申报及审批程序总体趋于公平、公正、公开，救助政策宣传及实施不断推进，困难群众及低收入群体对政策知晓率逐步提高，对社会救助政策及项目满意度较高，困难群众得到及时帮助，困难群体的基本生活有一定的改善。困难群众基本生活救助为维护社会稳定、社会和谐发挥了积极作用，取得了较好的社会效益。经过各项指标的认真评价和综合评审，我县困难群众救助绩效自评良好。</w:t>
      </w:r>
    </w:p>
    <w:p w14:paraId="0FDA7F7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评价实施</w:t>
      </w:r>
    </w:p>
    <w:p w14:paraId="5C85E31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（一）评价目的。</w:t>
      </w:r>
    </w:p>
    <w:p w14:paraId="5E80BA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困难群众救助专项资金</w:t>
      </w:r>
      <w:r>
        <w:rPr>
          <w:rFonts w:hint="eastAsia" w:ascii="仿宋_GB2312" w:hAnsi="仿宋_GB2312" w:eastAsia="仿宋_GB2312" w:cs="仿宋_GB2312"/>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14:paraId="2D82E3F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（二）预设问题及评价重点。</w:t>
      </w:r>
    </w:p>
    <w:p w14:paraId="3780070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14:paraId="03836422">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评价选点。</w:t>
      </w:r>
    </w:p>
    <w:p w14:paraId="57F776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选取具有代表性的项目实施地点在各乡镇按比例抽取领取困难群众资金的人员。</w:t>
      </w:r>
    </w:p>
    <w:p w14:paraId="4223CD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（四）评价方法。</w:t>
      </w:r>
    </w:p>
    <w:p w14:paraId="6EA52E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本次评价采取现场和非现场评价相结合的方式实施，具体采用了比较法、</w:t>
      </w:r>
      <w:r>
        <w:rPr>
          <w:rFonts w:hint="eastAsia" w:ascii="仿宋_GB2312" w:hAnsi="仿宋_GB2312" w:eastAsia="仿宋_GB2312" w:cs="仿宋_GB2312"/>
          <w:sz w:val="32"/>
          <w:szCs w:val="32"/>
        </w:rPr>
        <w:t>单位自评法、实地勘察法、问卷调查法、座谈调研法等多种方法</w:t>
      </w:r>
      <w:r>
        <w:rPr>
          <w:rFonts w:hint="eastAsia" w:ascii="仿宋_GB2312" w:hAnsi="仿宋_GB2312" w:eastAsia="仿宋_GB2312" w:cs="仿宋_GB2312"/>
          <w:sz w:val="32"/>
          <w:szCs w:val="32"/>
          <w:lang w:eastAsia="zh-CN"/>
        </w:rPr>
        <w:t>。</w:t>
      </w:r>
    </w:p>
    <w:p w14:paraId="24D250F1">
      <w:pPr>
        <w:keepNext w:val="0"/>
        <w:keepLines w:val="0"/>
        <w:pageBreakBefore w:val="0"/>
        <w:widowControl w:val="0"/>
        <w:numPr>
          <w:ilvl w:val="0"/>
          <w:numId w:val="3"/>
        </w:numPr>
        <w:kinsoku/>
        <w:wordWrap/>
        <w:overflowPunct/>
        <w:topLinePunct w:val="0"/>
        <w:autoSpaceDE/>
        <w:autoSpaceDN/>
        <w:bidi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评价组织。</w:t>
      </w:r>
    </w:p>
    <w:p w14:paraId="11521436">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成立以局长曹玉林为组长，副局长文德艳为副组长，社会救助股、财务室、办公室工作人员为成员的绩效评价小组。</w:t>
      </w:r>
    </w:p>
    <w:p w14:paraId="5404584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绩效分析</w:t>
      </w:r>
      <w:r>
        <w:rPr>
          <w:rFonts w:hint="eastAsia" w:ascii="仿宋_GB2312" w:hAnsi="仿宋_GB2312" w:eastAsia="仿宋_GB2312" w:cs="仿宋_GB2312"/>
          <w:color w:val="auto"/>
          <w:sz w:val="32"/>
          <w:szCs w:val="32"/>
          <w:highlight w:val="none"/>
          <w:u w:val="none"/>
          <w:lang w:val="zh-CN"/>
        </w:rPr>
        <w:tab/>
      </w:r>
    </w:p>
    <w:p w14:paraId="6516EA2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（一）</w:t>
      </w:r>
      <w:r>
        <w:rPr>
          <w:rFonts w:hint="eastAsia" w:ascii="仿宋_GB2312" w:hAnsi="仿宋_GB2312" w:eastAsia="仿宋_GB2312" w:cs="仿宋_GB2312"/>
          <w:b/>
          <w:color w:val="auto"/>
          <w:sz w:val="32"/>
          <w:szCs w:val="32"/>
          <w:highlight w:val="none"/>
          <w:u w:val="none"/>
          <w:lang w:val="en-US" w:eastAsia="zh-CN"/>
        </w:rPr>
        <w:t>通用指标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755DBEA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项目决策。</w:t>
      </w:r>
      <w:r>
        <w:rPr>
          <w:rFonts w:hint="eastAsia" w:ascii="仿宋_GB2312" w:hAnsi="仿宋_GB2312" w:eastAsia="仿宋_GB2312" w:cs="仿宋_GB2312"/>
          <w:i w:val="0"/>
          <w:caps w:val="0"/>
          <w:color w:val="333333"/>
          <w:spacing w:val="0"/>
          <w:sz w:val="32"/>
          <w:szCs w:val="32"/>
          <w:shd w:val="clear" w:color="auto" w:fill="FFFFFF"/>
        </w:rPr>
        <w:t>困难群众救助补助资金支出决策符合法律法规、相关政策、发展规划以及部门职责，支出申请、拨付、发放符合相关要求，绩效目标设定依据充分，符合客观实际，绩效指标清晰、细化、可衡量。</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财政局会</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区民政局优化财政支出结构，科学合理编制预算，加强救助补助资金统筹使用，发挥救助补助资金合力，提升资金使用效益，有效保障低保对象、特困人员等城乡困难群众基本生活，为生活无着的流浪乞讨人员提供临时救助，对流浪未成年人履行临时监护责任，使其生活得更有尊严，更好融入社会。</w:t>
      </w:r>
    </w:p>
    <w:p w14:paraId="04643B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w:t>
      </w:r>
      <w:r>
        <w:rPr>
          <w:rFonts w:hint="eastAsia" w:ascii="仿宋_GB2312" w:hAnsi="仿宋_GB2312" w:eastAsia="仿宋_GB2312" w:cs="仿宋_GB2312"/>
          <w:i w:val="0"/>
          <w:caps w:val="0"/>
          <w:color w:val="000000"/>
          <w:spacing w:val="0"/>
          <w:sz w:val="32"/>
          <w:szCs w:val="32"/>
          <w:shd w:val="clear" w:color="auto" w:fill="FFFFFF"/>
        </w:rPr>
        <w:t>困难群众救助资金的使用，严格按照</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四川</w:t>
      </w:r>
      <w:r>
        <w:rPr>
          <w:rFonts w:hint="eastAsia" w:ascii="仿宋_GB2312" w:hAnsi="仿宋_GB2312" w:eastAsia="仿宋_GB2312" w:cs="仿宋_GB2312"/>
          <w:i w:val="0"/>
          <w:caps w:val="0"/>
          <w:color w:val="333333"/>
          <w:spacing w:val="0"/>
          <w:sz w:val="32"/>
          <w:szCs w:val="32"/>
          <w:shd w:val="clear" w:color="auto" w:fill="FFFFFF"/>
        </w:rPr>
        <w:t>省困难群众救助补助资金管理办法》实行</w:t>
      </w:r>
      <w:r>
        <w:rPr>
          <w:rFonts w:hint="eastAsia" w:ascii="仿宋_GB2312" w:hAnsi="仿宋_GB2312" w:eastAsia="仿宋_GB2312" w:cs="仿宋_GB2312"/>
          <w:i w:val="0"/>
          <w:caps w:val="0"/>
          <w:color w:val="000000"/>
          <w:spacing w:val="0"/>
          <w:sz w:val="32"/>
          <w:szCs w:val="32"/>
          <w:shd w:val="clear" w:color="auto" w:fill="FFFFFF"/>
        </w:rPr>
        <w:t>。建立健全了各项规章制度，规范了资金使用与管理。一是严格资金分配，坚持资金分配的客观性，坚持每一笔资金分配都在党组会上研究审议，杜绝主观随意性。二是严格执行国库集中支付制度，实行财政惠民惠农资金“一卡通”发放，不存在截留、挤占、挪用、虚列支出等情况，确保发放时效和资金安全。三是强化资金监管，实行政务公开公示，每月按时在“互</w:t>
      </w:r>
      <w:r>
        <w:rPr>
          <w:rFonts w:hint="eastAsia" w:ascii="仿宋_GB2312" w:hAnsi="仿宋_GB2312" w:eastAsia="仿宋_GB2312" w:cs="仿宋_GB2312"/>
          <w:i w:val="0"/>
          <w:caps w:val="0"/>
          <w:color w:val="000000"/>
          <w:spacing w:val="0"/>
          <w:sz w:val="32"/>
          <w:szCs w:val="32"/>
          <w:shd w:val="clear" w:color="auto" w:fill="FFFFFF"/>
          <w:lang w:eastAsia="zh-CN"/>
        </w:rPr>
        <w:t>联网</w:t>
      </w:r>
      <w:r>
        <w:rPr>
          <w:rFonts w:hint="eastAsia" w:ascii="仿宋_GB2312" w:hAnsi="仿宋_GB2312" w:eastAsia="仿宋_GB2312" w:cs="仿宋_GB2312"/>
          <w:i w:val="0"/>
          <w:caps w:val="0"/>
          <w:color w:val="000000"/>
          <w:spacing w:val="0"/>
          <w:sz w:val="32"/>
          <w:szCs w:val="32"/>
          <w:shd w:val="clear" w:color="auto" w:fill="FFFFFF"/>
        </w:rPr>
        <w:t>+监督”公示资金发放名单，主动接受群众监督，同时积极接受和配合审计、纪检监察、财政部门的监督检查。</w:t>
      </w:r>
    </w:p>
    <w:p w14:paraId="2A0EA2E8">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2024年困难群众补助资金共计支付2535.294万元，其中</w:t>
      </w:r>
      <w:r>
        <w:rPr>
          <w:rFonts w:hint="eastAsia" w:ascii="仿宋_GB2312" w:hAnsi="仿宋_GB2312" w:eastAsia="仿宋_GB2312" w:cs="仿宋_GB2312"/>
          <w:sz w:val="32"/>
          <w:szCs w:val="32"/>
          <w:lang w:val="zh-CN"/>
        </w:rPr>
        <w:t>城乡低保</w:t>
      </w:r>
      <w:r>
        <w:rPr>
          <w:rFonts w:hint="eastAsia" w:ascii="仿宋_GB2312" w:hAnsi="仿宋_GB2312" w:eastAsia="仿宋_GB2312" w:cs="仿宋_GB2312"/>
          <w:sz w:val="32"/>
          <w:szCs w:val="32"/>
          <w:lang w:val="en-US" w:eastAsia="zh-CN"/>
        </w:rPr>
        <w:t>1987.2007万元、特困供养302.3074万元、孤儿13.92万元、困难群众一次性生活补贴120.9万元、流浪乞讨1.0648万元、临时救助109.9011万元。</w:t>
      </w:r>
    </w:p>
    <w:p w14:paraId="7F237FD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4.项目结果。2024年困难群众救助资金严格按照文件要求于每月初按时发放</w:t>
      </w:r>
      <w:r>
        <w:rPr>
          <w:rFonts w:hint="eastAsia" w:ascii="仿宋_GB2312" w:hAnsi="仿宋_GB2312" w:eastAsia="仿宋_GB2312" w:cs="仿宋_GB2312"/>
          <w:color w:val="auto"/>
          <w:sz w:val="32"/>
          <w:szCs w:val="32"/>
          <w:lang w:eastAsia="zh-CN"/>
        </w:rPr>
        <w:t>。拨付过程做到及时、足额发放。</w:t>
      </w:r>
    </w:p>
    <w:p w14:paraId="4DD69E5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sz w:val="32"/>
          <w:szCs w:val="32"/>
          <w:highlight w:val="none"/>
          <w:u w:val="none"/>
          <w:lang w:val="zh-CN"/>
        </w:rPr>
        <w:t>（二）</w:t>
      </w:r>
      <w:r>
        <w:rPr>
          <w:rFonts w:hint="eastAsia" w:ascii="仿宋_GB2312" w:hAnsi="仿宋_GB2312" w:eastAsia="仿宋_GB2312" w:cs="仿宋_GB2312"/>
          <w:b/>
          <w:color w:val="auto"/>
          <w:sz w:val="32"/>
          <w:szCs w:val="32"/>
          <w:highlight w:val="none"/>
          <w:u w:val="none"/>
          <w:lang w:val="en-US" w:eastAsia="zh-CN"/>
        </w:rPr>
        <w:t>专用指标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2E8EE66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民生保障。</w:t>
      </w:r>
      <w:r>
        <w:rPr>
          <w:rFonts w:hint="eastAsia" w:ascii="仿宋_GB2312" w:hAnsi="仿宋_GB2312" w:eastAsia="仿宋_GB2312" w:cs="仿宋_GB2312"/>
          <w:i w:val="0"/>
          <w:caps w:val="0"/>
          <w:color w:val="000000"/>
          <w:spacing w:val="0"/>
          <w:sz w:val="32"/>
          <w:szCs w:val="32"/>
          <w:shd w:val="clear" w:color="auto" w:fill="FFFFFF"/>
        </w:rPr>
        <w:t>困难群众基本生活救助制度不断完善，组织领导不断加强，经办能力不断提升，监督检查不断强化。敢于创新，先行先试，及时发现和解决问题，探索形成可推广的经验做法。服务对象对预算支出实施效果满意度高、社会反响好，为维护社会稳定、社会和谐发挥了积极作用。</w:t>
      </w:r>
    </w:p>
    <w:p w14:paraId="185B4AA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highlight w:val="none"/>
          <w:u w:val="none"/>
          <w:lang w:val="zh-CN"/>
        </w:rPr>
        <w:t>（三）</w:t>
      </w:r>
      <w:r>
        <w:rPr>
          <w:rFonts w:hint="eastAsia" w:ascii="仿宋_GB2312" w:hAnsi="仿宋_GB2312" w:eastAsia="仿宋_GB2312" w:cs="仿宋_GB2312"/>
          <w:b/>
          <w:color w:val="auto"/>
          <w:sz w:val="32"/>
          <w:szCs w:val="32"/>
          <w:highlight w:val="none"/>
          <w:u w:val="none"/>
          <w:lang w:val="en-US" w:eastAsia="zh-CN"/>
        </w:rPr>
        <w:t>个性指标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3942637E">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000000"/>
          <w:spacing w:val="0"/>
          <w:kern w:val="2"/>
          <w:position w:val="0"/>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position w:val="0"/>
          <w:sz w:val="32"/>
          <w:szCs w:val="32"/>
          <w:shd w:val="clear" w:color="auto" w:fill="FFFFFF"/>
          <w:lang w:val="en-US" w:eastAsia="zh-CN" w:bidi="ar-SA"/>
        </w:rPr>
        <w:t>社会效益：困难群众资金不仅是社会保障体系的“安全网”，更是实现共同富裕、促进社会可持续发展的重要工具。通过对享受困难群众资金的群众进行问卷调查，困难群众资金为困难群众提供了基本生活保障，直接改善了其生活条件，减少了因贫困引发的社会不满和对抗行为，增强了民众对政府的信任。</w:t>
      </w:r>
    </w:p>
    <w:p w14:paraId="01C2E030">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四</w:t>
      </w:r>
      <w:r>
        <w:rPr>
          <w:rFonts w:hint="eastAsia" w:ascii="仿宋_GB2312" w:hAnsi="仿宋_GB2312" w:eastAsia="仿宋_GB2312" w:cs="仿宋_GB2312"/>
          <w:b/>
          <w:bCs/>
          <w:color w:val="auto"/>
          <w:sz w:val="32"/>
          <w:szCs w:val="32"/>
          <w:highlight w:val="none"/>
          <w:u w:val="none"/>
        </w:rPr>
        <w:t>、评价结论</w:t>
      </w:r>
    </w:p>
    <w:p w14:paraId="526201BF">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rPr>
        <w:t>我</w:t>
      </w:r>
      <w:r>
        <w:rPr>
          <w:rFonts w:hint="eastAsia" w:ascii="仿宋_GB2312" w:hAnsi="仿宋_GB2312" w:eastAsia="仿宋_GB2312" w:cs="仿宋_GB2312"/>
          <w:i w:val="0"/>
          <w:caps w:val="0"/>
          <w:color w:val="000000"/>
          <w:spacing w:val="0"/>
          <w:sz w:val="32"/>
          <w:szCs w:val="32"/>
          <w:shd w:val="clear" w:color="auto" w:fill="FFFFFF"/>
          <w:lang w:eastAsia="zh-CN"/>
        </w:rPr>
        <w:t>县</w:t>
      </w:r>
      <w:r>
        <w:rPr>
          <w:rFonts w:hint="eastAsia" w:ascii="仿宋_GB2312" w:hAnsi="仿宋_GB2312" w:eastAsia="仿宋_GB2312" w:cs="仿宋_GB2312"/>
          <w:i w:val="0"/>
          <w:caps w:val="0"/>
          <w:color w:val="000000"/>
          <w:spacing w:val="0"/>
          <w:sz w:val="32"/>
          <w:szCs w:val="32"/>
          <w:shd w:val="clear" w:color="auto" w:fill="FFFFFF"/>
        </w:rPr>
        <w:t>困难群众救助补助资金绩效目标明确，管理制度健全，资金到位及时，困难群众基本生活得到较好保障，促进了经济发展和社会和谐，未偏离绩效目标。</w:t>
      </w:r>
      <w:r>
        <w:rPr>
          <w:rFonts w:hint="eastAsia" w:ascii="仿宋_GB2312" w:hAnsi="仿宋_GB2312" w:eastAsia="仿宋_GB2312" w:cs="仿宋_GB2312"/>
          <w:i w:val="0"/>
          <w:caps w:val="0"/>
          <w:color w:val="000000"/>
          <w:spacing w:val="0"/>
          <w:sz w:val="32"/>
          <w:szCs w:val="32"/>
          <w:shd w:val="clear" w:color="auto" w:fill="FFFFFF"/>
          <w:lang w:eastAsia="zh-CN"/>
        </w:rPr>
        <w:t>通过自评综合得分</w:t>
      </w:r>
      <w:r>
        <w:rPr>
          <w:rFonts w:hint="eastAsia" w:ascii="仿宋_GB2312" w:hAnsi="仿宋_GB2312" w:eastAsia="仿宋_GB2312" w:cs="仿宋_GB2312"/>
          <w:i w:val="0"/>
          <w:caps w:val="0"/>
          <w:color w:val="000000"/>
          <w:spacing w:val="0"/>
          <w:sz w:val="32"/>
          <w:szCs w:val="32"/>
          <w:shd w:val="clear" w:color="auto" w:fill="FFFFFF"/>
          <w:lang w:val="en-US" w:eastAsia="zh-CN"/>
        </w:rPr>
        <w:t>89分。</w:t>
      </w:r>
    </w:p>
    <w:p w14:paraId="6AB4E8A2">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五、存在主要问题</w:t>
      </w:r>
    </w:p>
    <w:p w14:paraId="287E2400">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救助资金不充裕，影响救助保障水平。</w:t>
      </w:r>
    </w:p>
    <w:p w14:paraId="15B32FC8">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position w:val="3"/>
          <w:sz w:val="32"/>
          <w:szCs w:val="32"/>
          <w:highlight w:val="none"/>
          <w:u w:val="none"/>
          <w:lang w:val="zh-CN" w:eastAsia="zh-CN" w:bidi="ar-SA"/>
        </w:rPr>
      </w:pPr>
      <w:r>
        <w:rPr>
          <w:rFonts w:hint="eastAsia" w:ascii="仿宋_GB2312" w:hAnsi="仿宋_GB2312" w:eastAsia="仿宋_GB2312" w:cs="仿宋_GB2312"/>
          <w:b/>
          <w:bCs/>
          <w:color w:val="auto"/>
          <w:kern w:val="0"/>
          <w:position w:val="3"/>
          <w:sz w:val="32"/>
          <w:szCs w:val="32"/>
          <w:highlight w:val="none"/>
          <w:u w:val="none"/>
          <w:lang w:val="zh-CN" w:eastAsia="zh-CN" w:bidi="ar-SA"/>
        </w:rPr>
        <w:t>六、改进建议</w:t>
      </w:r>
    </w:p>
    <w:p w14:paraId="131B1371">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i w:val="0"/>
          <w:caps w:val="0"/>
          <w:color w:val="333333"/>
          <w:spacing w:val="0"/>
          <w:sz w:val="32"/>
          <w:szCs w:val="32"/>
          <w:shd w:val="clear" w:color="auto" w:fill="FFFFFF"/>
        </w:rPr>
        <w:t>建议财政加大对救助资金投入，确保全</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救助标准和保障水平持续稳步提升。</w:t>
      </w:r>
    </w:p>
    <w:p w14:paraId="3AAD7262">
      <w:pPr>
        <w:widowControl w:val="0"/>
        <w:spacing w:line="578"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养老服务发展资金</w:t>
      </w:r>
    </w:p>
    <w:p w14:paraId="2C732671">
      <w:pPr>
        <w:widowControl w:val="0"/>
        <w:spacing w:line="578" w:lineRule="exact"/>
        <w:ind w:firstLine="880" w:firstLineChars="200"/>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14:paraId="2D7EF49A">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272A74EF">
      <w:pPr>
        <w:adjustRightInd w:val="0"/>
        <w:snapToGrid w:val="0"/>
        <w:spacing w:line="578" w:lineRule="exact"/>
        <w:ind w:firstLine="640" w:firstLineChars="200"/>
        <w:rPr>
          <w:rFonts w:ascii="黑体" w:hAnsi="宋体" w:eastAsia="黑体" w:cs="Times New Roman"/>
          <w:sz w:val="32"/>
          <w:szCs w:val="32"/>
          <w:lang w:val="zh-CN" w:bidi="ar-SA"/>
        </w:rPr>
      </w:pPr>
      <w:r>
        <w:rPr>
          <w:rFonts w:hint="eastAsia" w:ascii="黑体" w:hAnsi="宋体" w:eastAsia="黑体" w:cs="Times New Roman"/>
          <w:sz w:val="32"/>
          <w:szCs w:val="32"/>
          <w:lang w:bidi="ar-SA"/>
        </w:rPr>
        <w:t>一、</w:t>
      </w:r>
      <w:r>
        <w:rPr>
          <w:rFonts w:hint="eastAsia" w:ascii="黑体" w:hAnsi="宋体" w:eastAsia="黑体" w:cs="Times New Roman"/>
          <w:sz w:val="32"/>
          <w:szCs w:val="32"/>
          <w:lang w:val="zh-CN" w:bidi="ar-SA"/>
        </w:rPr>
        <w:t>项目概况</w:t>
      </w:r>
    </w:p>
    <w:p w14:paraId="3D866B64">
      <w:pPr>
        <w:widowControl/>
        <w:adjustRightInd w:val="0"/>
        <w:snapToGrid w:val="0"/>
        <w:spacing w:line="578" w:lineRule="exact"/>
        <w:ind w:firstLine="643" w:firstLineChars="200"/>
        <w:contextualSpacing/>
        <w:jc w:val="left"/>
        <w:rPr>
          <w:rFonts w:hint="eastAsia"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（一）设立背景及基本情况。</w:t>
      </w:r>
    </w:p>
    <w:p w14:paraId="2209E255">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bidi="ar-SA"/>
        </w:rPr>
      </w:pPr>
      <w:r>
        <w:rPr>
          <w:rFonts w:hint="eastAsia" w:ascii="仿宋_GB2312" w:hAnsi="Times New Roman" w:eastAsia="仿宋_GB2312" w:cs="Times New Roman"/>
          <w:color w:val="000000"/>
          <w:sz w:val="32"/>
          <w:szCs w:val="32"/>
          <w:lang w:bidi="ar-SA"/>
        </w:rPr>
        <w:t>随着人口老龄化趋势的加剧，养老服务体系建设已成为社会关注的焦点。</w:t>
      </w:r>
      <w:r>
        <w:rPr>
          <w:rFonts w:hint="eastAsia" w:ascii="仿宋_GB2312" w:hAnsi="仿宋_GB2312" w:eastAsia="仿宋_GB2312" w:cs="仿宋_GB2312"/>
          <w:color w:val="000000"/>
          <w:kern w:val="0"/>
          <w:sz w:val="32"/>
          <w:szCs w:val="32"/>
          <w:shd w:val="clear" w:color="auto" w:fill="FFFFFF"/>
          <w:lang w:bidi="ar-SA"/>
        </w:rPr>
        <w:t>老年人对公共服务、社会福利、文化教育、环境保护等方面的需求日益多样化和复杂化，</w:t>
      </w:r>
      <w:r>
        <w:rPr>
          <w:rFonts w:hint="eastAsia" w:ascii="仿宋_GB2312" w:hAnsi="Times New Roman" w:eastAsia="仿宋_GB2312" w:cs="Times New Roman"/>
          <w:color w:val="000000"/>
          <w:sz w:val="32"/>
          <w:szCs w:val="32"/>
          <w:lang w:bidi="ar-SA"/>
        </w:rPr>
        <w:t>通过加强养老服务体系建设，老年人的生活水平得到了明显提高。一方面，养老机构提供了多样化的服务，满足了不同老年人的需求；另一方面，通过居家养老政府购买服务方式，为老年人提供了更加便捷、贴心的服务，让老年人的生活更加舒适、幸福。</w:t>
      </w:r>
    </w:p>
    <w:p w14:paraId="10A61874">
      <w:pPr>
        <w:adjustRightInd w:val="0"/>
        <w:snapToGrid w:val="0"/>
        <w:spacing w:line="578" w:lineRule="exact"/>
        <w:ind w:firstLine="643" w:firstLineChars="200"/>
        <w:rPr>
          <w:rFonts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（二）</w:t>
      </w:r>
      <w:r>
        <w:rPr>
          <w:rFonts w:ascii="楷体_GB2312" w:hAnsi="宋体" w:eastAsia="楷体_GB2312" w:cs="Times New Roman"/>
          <w:b/>
          <w:sz w:val="32"/>
          <w:szCs w:val="32"/>
          <w:lang w:bidi="ar-SA"/>
        </w:rPr>
        <w:t>实施目的及支持方向</w:t>
      </w:r>
      <w:r>
        <w:rPr>
          <w:rFonts w:hint="eastAsia" w:ascii="楷体_GB2312" w:hAnsi="宋体" w:eastAsia="楷体_GB2312" w:cs="Times New Roman"/>
          <w:b/>
          <w:sz w:val="32"/>
          <w:szCs w:val="32"/>
          <w:lang w:bidi="ar-SA"/>
        </w:rPr>
        <w:t>。</w:t>
      </w:r>
    </w:p>
    <w:p w14:paraId="1231848F">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松潘县民政局</w:t>
      </w:r>
      <w:r>
        <w:rPr>
          <w:rFonts w:hint="eastAsia" w:ascii="仿宋_GB2312" w:hAnsi="Times New Roman" w:eastAsia="仿宋_GB2312" w:cs="方正小标宋简体"/>
          <w:color w:val="000000"/>
          <w:sz w:val="32"/>
          <w:szCs w:val="32"/>
          <w:lang w:bidi="ar-SA"/>
        </w:rPr>
        <w:t>养老服务业发展补助资</w:t>
      </w:r>
      <w:r>
        <w:rPr>
          <w:rFonts w:hint="eastAsia" w:ascii="仿宋_GB2312" w:hAnsi="仿宋_GB2312" w:eastAsia="仿宋_GB2312" w:cs="仿宋_GB2312"/>
          <w:kern w:val="0"/>
          <w:sz w:val="32"/>
          <w:szCs w:val="32"/>
          <w:shd w:val="clear" w:color="auto" w:fill="FFFFFF"/>
          <w:lang w:val="zh-CN" w:bidi="ar-SA"/>
        </w:rPr>
        <w:t>金的使用严格遵循“扶老、助残、救孤、济困”的发行宗旨，按照“因素分配、项目评审、公开透明、注重绩效”的分配原则，重点支持社会养老服务体系建设项目，优先支持社会福利设施建设以及残疾人、孤儿、特殊困难群体直接受益的项目，适当支持符合规定的其他社会公益服务、慈善救济等服务项目。</w:t>
      </w:r>
    </w:p>
    <w:p w14:paraId="3F0F5992">
      <w:pPr>
        <w:widowControl/>
        <w:numPr>
          <w:ilvl w:val="0"/>
          <w:numId w:val="5"/>
        </w:numPr>
        <w:adjustRightInd w:val="0"/>
        <w:snapToGrid w:val="0"/>
        <w:spacing w:line="578" w:lineRule="exact"/>
        <w:ind w:firstLine="643" w:firstLineChars="200"/>
        <w:contextualSpacing/>
        <w:jc w:val="left"/>
        <w:rPr>
          <w:rFonts w:ascii="楷体_GB2312" w:hAnsi="宋体" w:eastAsia="楷体_GB2312" w:cs="Times New Roman"/>
          <w:b/>
          <w:sz w:val="32"/>
          <w:szCs w:val="32"/>
          <w:lang w:val="zh-CN" w:bidi="ar-SA"/>
        </w:rPr>
      </w:pPr>
      <w:r>
        <w:rPr>
          <w:rFonts w:ascii="楷体_GB2312" w:hAnsi="宋体" w:eastAsia="楷体_GB2312" w:cs="Times New Roman"/>
          <w:b/>
          <w:sz w:val="32"/>
          <w:szCs w:val="32"/>
          <w:lang w:bidi="ar-SA"/>
        </w:rPr>
        <w:t>预算安排及分配管理</w:t>
      </w:r>
      <w:r>
        <w:rPr>
          <w:rFonts w:hint="eastAsia" w:ascii="楷体_GB2312" w:hAnsi="宋体" w:eastAsia="楷体_GB2312" w:cs="Times New Roman"/>
          <w:b/>
          <w:sz w:val="32"/>
          <w:szCs w:val="32"/>
          <w:lang w:val="zh-CN" w:bidi="ar-SA"/>
        </w:rPr>
        <w:t>。</w:t>
      </w:r>
    </w:p>
    <w:p w14:paraId="4CE843B6">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eastAsia="zh-CN" w:bidi="ar-SA"/>
        </w:rPr>
        <w:t>2024</w:t>
      </w:r>
      <w:r>
        <w:rPr>
          <w:rFonts w:hint="eastAsia" w:ascii="仿宋_GB2312" w:hAnsi="仿宋_GB2312" w:eastAsia="仿宋_GB2312" w:cs="仿宋_GB2312"/>
          <w:kern w:val="0"/>
          <w:sz w:val="32"/>
          <w:szCs w:val="32"/>
          <w:shd w:val="clear" w:color="auto" w:fill="FFFFFF"/>
          <w:lang w:bidi="ar-SA"/>
        </w:rPr>
        <w:t>年</w:t>
      </w:r>
      <w:r>
        <w:rPr>
          <w:rFonts w:hint="eastAsia" w:ascii="仿宋_GB2312" w:hAnsi="仿宋_GB2312" w:eastAsia="仿宋_GB2312" w:cs="仿宋_GB2312"/>
          <w:color w:val="000000"/>
          <w:kern w:val="0"/>
          <w:sz w:val="32"/>
          <w:szCs w:val="32"/>
          <w:shd w:val="clear" w:color="auto" w:fill="FFFFFF"/>
          <w:lang w:val="zh-CN" w:bidi="ar-SA"/>
        </w:rPr>
        <w:t>松潘县</w:t>
      </w:r>
      <w:r>
        <w:rPr>
          <w:rFonts w:hint="eastAsia" w:ascii="仿宋_GB2312" w:hAnsi="Times New Roman" w:eastAsia="仿宋_GB2312" w:cs="方正小标宋简体"/>
          <w:color w:val="000000"/>
          <w:sz w:val="32"/>
          <w:szCs w:val="32"/>
          <w:lang w:bidi="ar-SA"/>
        </w:rPr>
        <w:t>养老服务业发展补助资金</w:t>
      </w:r>
      <w:r>
        <w:rPr>
          <w:rFonts w:hint="eastAsia" w:ascii="仿宋_GB2312" w:hAnsi="仿宋_GB2312" w:eastAsia="仿宋_GB2312" w:cs="仿宋_GB2312"/>
          <w:color w:val="000000"/>
          <w:kern w:val="0"/>
          <w:sz w:val="32"/>
          <w:szCs w:val="32"/>
          <w:shd w:val="clear" w:color="auto" w:fill="FFFFFF"/>
          <w:lang w:val="en-US" w:eastAsia="zh-CN" w:bidi="ar-SA"/>
        </w:rPr>
        <w:t>55.4</w:t>
      </w:r>
      <w:r>
        <w:rPr>
          <w:rFonts w:hint="eastAsia" w:ascii="仿宋_GB2312" w:hAnsi="仿宋_GB2312" w:eastAsia="仿宋_GB2312" w:cs="仿宋_GB2312"/>
          <w:color w:val="000000"/>
          <w:kern w:val="0"/>
          <w:sz w:val="32"/>
          <w:szCs w:val="32"/>
          <w:shd w:val="clear" w:color="auto" w:fill="FFFFFF"/>
          <w:lang w:val="zh-CN" w:bidi="ar-SA"/>
        </w:rPr>
        <w:t>万元</w:t>
      </w:r>
      <w:r>
        <w:rPr>
          <w:rFonts w:hint="eastAsia" w:ascii="仿宋_GB2312" w:hAnsi="仿宋_GB2312" w:eastAsia="仿宋_GB2312" w:cs="仿宋_GB2312"/>
          <w:kern w:val="0"/>
          <w:sz w:val="32"/>
          <w:szCs w:val="32"/>
          <w:shd w:val="clear" w:color="auto" w:fill="FFFFFF"/>
          <w:lang w:bidi="ar-SA"/>
        </w:rPr>
        <w:t>。</w:t>
      </w:r>
      <w:r>
        <w:rPr>
          <w:rFonts w:hint="eastAsia" w:ascii="仿宋_GB2312" w:hAnsi="仿宋_GB2312" w:eastAsia="仿宋_GB2312" w:cs="仿宋_GB2312"/>
          <w:kern w:val="0"/>
          <w:sz w:val="32"/>
          <w:szCs w:val="32"/>
          <w:shd w:val="clear" w:color="auto" w:fill="FFFFFF"/>
          <w:lang w:eastAsia="zh-CN" w:bidi="ar-SA"/>
        </w:rPr>
        <w:t>其中：</w:t>
      </w:r>
      <w:r>
        <w:rPr>
          <w:rFonts w:hint="eastAsia" w:ascii="Times New Roman" w:hAnsi="Times New Roman" w:eastAsia="方正仿宋_GB2312" w:cs="Times New Roman"/>
          <w:color w:val="auto"/>
          <w:sz w:val="32"/>
          <w:szCs w:val="32"/>
          <w:lang w:eastAsia="zh-CN" w:bidi="ar-SA"/>
        </w:rPr>
        <w:t>阿州财</w:t>
      </w:r>
      <w:r>
        <w:rPr>
          <w:rFonts w:hint="eastAsia" w:ascii="仿宋_GB2312" w:hAnsi="仿宋_GB2312" w:eastAsia="仿宋_GB2312" w:cs="仿宋_GB2312"/>
          <w:color w:val="auto"/>
          <w:sz w:val="32"/>
          <w:szCs w:val="32"/>
          <w:lang w:eastAsia="zh-CN" w:bidi="ar-SA"/>
        </w:rPr>
        <w:t>社〔</w:t>
      </w:r>
      <w:r>
        <w:rPr>
          <w:rFonts w:hint="eastAsia" w:ascii="仿宋_GB2312" w:hAnsi="仿宋_GB2312" w:eastAsia="仿宋_GB2312" w:cs="仿宋_GB2312"/>
          <w:color w:val="auto"/>
          <w:sz w:val="32"/>
          <w:szCs w:val="32"/>
          <w:lang w:val="en-US" w:eastAsia="zh-CN" w:bidi="ar-SA"/>
        </w:rPr>
        <w:t>2024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78号文件下达资金26.2</w:t>
      </w:r>
      <w:r>
        <w:rPr>
          <w:rFonts w:hint="eastAsia" w:ascii="Times New Roman" w:hAnsi="Times New Roman" w:eastAsia="方正仿宋_GB2312" w:cs="Times New Roman"/>
          <w:color w:val="auto"/>
          <w:sz w:val="32"/>
          <w:szCs w:val="32"/>
          <w:lang w:val="en-US" w:eastAsia="zh-CN" w:bidi="ar-SA"/>
        </w:rPr>
        <w:t>万元，</w:t>
      </w:r>
      <w:r>
        <w:rPr>
          <w:rFonts w:hint="eastAsia" w:ascii="Times New Roman" w:hAnsi="Times New Roman" w:eastAsia="方正仿宋_GB2312" w:cs="Times New Roman"/>
          <w:color w:val="auto"/>
          <w:sz w:val="32"/>
          <w:szCs w:val="32"/>
          <w:lang w:eastAsia="zh-CN" w:bidi="ar-SA"/>
        </w:rPr>
        <w:t>阿州财</w:t>
      </w:r>
      <w:r>
        <w:rPr>
          <w:rFonts w:hint="eastAsia" w:ascii="仿宋_GB2312" w:hAnsi="仿宋_GB2312" w:eastAsia="仿宋_GB2312" w:cs="仿宋_GB2312"/>
          <w:color w:val="auto"/>
          <w:sz w:val="32"/>
          <w:szCs w:val="32"/>
          <w:lang w:eastAsia="zh-CN" w:bidi="ar-SA"/>
        </w:rPr>
        <w:t>社〔</w:t>
      </w:r>
      <w:r>
        <w:rPr>
          <w:rFonts w:hint="eastAsia" w:ascii="仿宋_GB2312" w:hAnsi="仿宋_GB2312" w:eastAsia="仿宋_GB2312" w:cs="仿宋_GB2312"/>
          <w:color w:val="auto"/>
          <w:sz w:val="32"/>
          <w:szCs w:val="32"/>
          <w:lang w:val="en-US" w:eastAsia="zh-CN" w:bidi="ar-SA"/>
        </w:rPr>
        <w:t>2024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125号文件下达资金1.2</w:t>
      </w:r>
      <w:r>
        <w:rPr>
          <w:rFonts w:hint="eastAsia" w:ascii="Times New Roman" w:hAnsi="Times New Roman" w:eastAsia="方正仿宋_GB2312" w:cs="Times New Roman"/>
          <w:color w:val="auto"/>
          <w:sz w:val="32"/>
          <w:szCs w:val="32"/>
          <w:lang w:val="en-US" w:eastAsia="zh-CN" w:bidi="ar-SA"/>
        </w:rPr>
        <w:t>万元，县级预算安排28万元。</w:t>
      </w:r>
      <w:r>
        <w:rPr>
          <w:rFonts w:hint="eastAsia" w:ascii="仿宋_GB2312" w:hAnsi="仿宋_GB2312" w:eastAsia="仿宋_GB2312" w:cs="仿宋_GB2312"/>
          <w:kern w:val="0"/>
          <w:sz w:val="32"/>
          <w:szCs w:val="32"/>
          <w:shd w:val="clear" w:color="auto" w:fill="FFFFFF"/>
          <w:lang w:eastAsia="zh-CN" w:bidi="ar-SA"/>
        </w:rPr>
        <w:t>资金分配如下：养老服务网络建设及运营</w:t>
      </w:r>
      <w:r>
        <w:rPr>
          <w:rFonts w:hint="eastAsia" w:ascii="仿宋_GB2312" w:hAnsi="仿宋_GB2312" w:eastAsia="仿宋_GB2312" w:cs="仿宋_GB2312"/>
          <w:kern w:val="0"/>
          <w:sz w:val="32"/>
          <w:szCs w:val="32"/>
          <w:shd w:val="clear" w:color="auto" w:fill="FFFFFF"/>
          <w:lang w:val="en-US" w:eastAsia="zh-CN" w:bidi="ar-SA"/>
        </w:rPr>
        <w:t>21.2万元，日间照料中心28万元，公办养老机构规范化建设5万元，护理人员职业技能培训1.2万元。</w:t>
      </w:r>
    </w:p>
    <w:p w14:paraId="75C68C0D">
      <w:pPr>
        <w:widowControl/>
        <w:adjustRightInd w:val="0"/>
        <w:snapToGrid w:val="0"/>
        <w:spacing w:line="578" w:lineRule="exact"/>
        <w:ind w:firstLine="643" w:firstLineChars="200"/>
        <w:contextualSpacing/>
        <w:jc w:val="left"/>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（四）项目绩效目标设置。</w:t>
      </w:r>
    </w:p>
    <w:p w14:paraId="765EDFAC">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大力实施养老服务体系建设。重点对困难失能老人的生活护理费进行救助，</w:t>
      </w:r>
      <w:r>
        <w:rPr>
          <w:rFonts w:hint="eastAsia" w:ascii="仿宋_GB2312" w:hAnsi="Times New Roman" w:eastAsia="仿宋_GB2312" w:cs="Times New Roman"/>
          <w:sz w:val="32"/>
          <w:szCs w:val="32"/>
          <w:lang w:bidi="ar-SA"/>
        </w:rPr>
        <w:t>为进一步健全居家养老服务保障制度，维护老人权利，践行 “扶老、助残、救孤、济困”工作宗旨，松潘县民政局按照</w:t>
      </w:r>
      <w:r>
        <w:rPr>
          <w:rFonts w:hint="eastAsia" w:ascii="仿宋_GB2312" w:eastAsia="仿宋_GB2312" w:cs="Times New Roman"/>
          <w:sz w:val="32"/>
          <w:szCs w:val="32"/>
          <w:lang w:eastAsia="zh-CN" w:bidi="ar-SA"/>
        </w:rPr>
        <w:t>民政部</w:t>
      </w:r>
      <w:r>
        <w:rPr>
          <w:rFonts w:hint="eastAsia" w:ascii="仿宋_GB2312" w:hAnsi="Times New Roman" w:eastAsia="仿宋_GB2312" w:cs="Times New Roman"/>
          <w:sz w:val="32"/>
          <w:szCs w:val="32"/>
          <w:lang w:bidi="ar-SA"/>
        </w:rPr>
        <w:t>及四川省民政厅的决策部署，实施居家养老服务项目</w:t>
      </w:r>
      <w:r>
        <w:rPr>
          <w:rFonts w:hint="eastAsia" w:ascii="仿宋_GB2312" w:hAnsi="仿宋_GB2312" w:eastAsia="仿宋_GB2312" w:cs="仿宋_GB2312"/>
          <w:kern w:val="0"/>
          <w:sz w:val="32"/>
          <w:szCs w:val="32"/>
          <w:shd w:val="clear" w:color="auto" w:fill="FFFFFF"/>
          <w:lang w:val="zh-CN" w:bidi="ar-SA"/>
        </w:rPr>
        <w:t>完善保障城区养老服务设施平稳发展，让补助资金的成果惠及各类老人，提升老年人群体幸福感、满足感。</w:t>
      </w:r>
    </w:p>
    <w:p w14:paraId="689D851E">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社会公益类建设。积极开展社会组织参与公益创投，在为老服务、儿童关爱、其他公益类活动领域等引导社会组织和社会力量发挥优势，开展各种公益项目，带动社会各方资源积极参与；大力引进和培育社会组织，优化社会组织发展环境，强化社会组织服务功能，助力社会组织链接资源，提升其服务社会的能力。</w:t>
      </w:r>
    </w:p>
    <w:p w14:paraId="6CE5632E">
      <w:pPr>
        <w:adjustRightInd w:val="0"/>
        <w:snapToGrid w:val="0"/>
        <w:spacing w:line="578" w:lineRule="exact"/>
        <w:ind w:firstLine="640" w:firstLineChars="200"/>
        <w:rPr>
          <w:rFonts w:ascii="黑体" w:hAnsi="宋体" w:eastAsia="黑体" w:cs="Times New Roman"/>
          <w:sz w:val="32"/>
          <w:szCs w:val="32"/>
          <w:lang w:bidi="ar-SA"/>
        </w:rPr>
      </w:pPr>
      <w:r>
        <w:rPr>
          <w:rFonts w:hint="eastAsia" w:ascii="黑体" w:hAnsi="宋体" w:eastAsia="黑体" w:cs="Times New Roman"/>
          <w:sz w:val="32"/>
          <w:szCs w:val="32"/>
          <w:lang w:bidi="ar-SA"/>
        </w:rPr>
        <w:t>二、评价实施</w:t>
      </w:r>
    </w:p>
    <w:p w14:paraId="3C9701F9">
      <w:pPr>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（一）评价目的。</w:t>
      </w:r>
    </w:p>
    <w:p w14:paraId="0904550B">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通过对</w:t>
      </w:r>
      <w:r>
        <w:rPr>
          <w:rFonts w:hint="eastAsia" w:ascii="仿宋_GB2312" w:hAnsi="Times New Roman" w:eastAsia="仿宋_GB2312" w:cs="方正小标宋简体"/>
          <w:color w:val="000000"/>
          <w:sz w:val="32"/>
          <w:szCs w:val="32"/>
          <w:lang w:bidi="ar-SA"/>
        </w:rPr>
        <w:t>养老服务业发展补助资</w:t>
      </w:r>
      <w:r>
        <w:rPr>
          <w:rFonts w:hint="eastAsia" w:ascii="仿宋_GB2312" w:hAnsi="仿宋_GB2312" w:eastAsia="仿宋_GB2312" w:cs="仿宋_GB2312"/>
          <w:kern w:val="0"/>
          <w:sz w:val="32"/>
          <w:szCs w:val="32"/>
          <w:shd w:val="clear" w:color="auto" w:fill="FFFFFF"/>
          <w:lang w:val="zh-CN" w:bidi="ar-SA"/>
        </w:rPr>
        <w:t>金</w:t>
      </w:r>
      <w:r>
        <w:rPr>
          <w:rFonts w:hint="eastAsia" w:ascii="Times New Roman" w:hAnsi="Times New Roman" w:eastAsia="仿宋_GB2312" w:cs="Times New Roman"/>
          <w:sz w:val="32"/>
          <w:szCs w:val="32"/>
          <w:lang w:bidi="ar-SA"/>
        </w:rPr>
        <w:t>项目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14:paraId="0BDBA2B6">
      <w:pPr>
        <w:numPr>
          <w:ilvl w:val="0"/>
          <w:numId w:val="6"/>
        </w:numPr>
        <w:adjustRightInd w:val="0"/>
        <w:snapToGrid w:val="0"/>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预设问题及评价重点。</w:t>
      </w:r>
    </w:p>
    <w:p w14:paraId="7AB81CB4">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val="zh-CN" w:bidi="ar-SA"/>
        </w:rPr>
        <w:t>重点评价该项目财政专项资金使用的规范性、安全性和有效性及评价项目的社会效益、经济效益、可持续性。</w:t>
      </w:r>
    </w:p>
    <w:p w14:paraId="5D974F94">
      <w:pPr>
        <w:numPr>
          <w:ilvl w:val="0"/>
          <w:numId w:val="6"/>
        </w:numPr>
        <w:adjustRightInd w:val="0"/>
        <w:snapToGrid w:val="0"/>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评价选点。</w:t>
      </w:r>
    </w:p>
    <w:p w14:paraId="6D36CFEE">
      <w:pPr>
        <w:widowControl w:val="0"/>
        <w:adjustRightInd w:val="0"/>
        <w:spacing w:line="360" w:lineRule="auto"/>
        <w:ind w:left="0" w:leftChars="0" w:firstLine="640" w:firstLineChars="200"/>
        <w:jc w:val="left"/>
        <w:rPr>
          <w:rFonts w:hint="eastAsia" w:ascii="Times New Roman" w:hAnsi="Times New Roman" w:eastAsia="仿宋_GB2312" w:cs="Times New Roman"/>
          <w:smallCaps w:val="0"/>
          <w:kern w:val="2"/>
          <w:sz w:val="32"/>
          <w:szCs w:val="32"/>
          <w:lang w:val="zh-CN" w:eastAsia="zh-CN" w:bidi="ar-SA"/>
        </w:rPr>
      </w:pPr>
      <w:r>
        <w:rPr>
          <w:rFonts w:hint="eastAsia" w:ascii="Times New Roman" w:hAnsi="Times New Roman" w:eastAsia="仿宋_GB2312" w:cs="Times New Roman"/>
          <w:smallCaps w:val="0"/>
          <w:kern w:val="2"/>
          <w:sz w:val="32"/>
          <w:szCs w:val="32"/>
          <w:lang w:val="zh-CN" w:eastAsia="zh-CN" w:bidi="ar-SA"/>
        </w:rPr>
        <w:t>对养老服务网络建设及运营项目及日间照料中心建设项目所涉及的村进行实地考察。</w:t>
      </w:r>
    </w:p>
    <w:p w14:paraId="33CC3DEA">
      <w:pPr>
        <w:numPr>
          <w:ilvl w:val="0"/>
          <w:numId w:val="6"/>
        </w:numPr>
        <w:spacing w:line="578" w:lineRule="exact"/>
        <w:ind w:firstLine="643" w:firstLineChars="200"/>
        <w:rPr>
          <w:rFonts w:ascii="Times New Roman" w:hAnsi="Times New Roman" w:eastAsia="仿宋_GB2312" w:cs="Times New Roman"/>
          <w:sz w:val="32"/>
          <w:szCs w:val="32"/>
          <w:lang w:bidi="ar-SA"/>
        </w:rPr>
      </w:pPr>
      <w:r>
        <w:rPr>
          <w:rFonts w:hint="eastAsia" w:ascii="楷体_GB2312" w:hAnsi="宋体" w:eastAsia="楷体_GB2312" w:cs="Times New Roman"/>
          <w:b/>
          <w:sz w:val="32"/>
          <w:szCs w:val="32"/>
          <w:lang w:val="zh-CN" w:bidi="ar-SA"/>
        </w:rPr>
        <w:t>评价方法。</w:t>
      </w:r>
    </w:p>
    <w:p w14:paraId="3553360C">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以现场评价为主、非现场评价为辅，开展绩效评价工作。在项目点现场通过询问、沟通、听取介绍了解项目具体情况，收集项目立项文件等依据，检查项目预算审批、资金支付等内容，实地走访、收集满意度调查问卷，记录工作底稿，获取充分依据以客观公正评价</w:t>
      </w:r>
      <w:r>
        <w:rPr>
          <w:rFonts w:ascii="Times New Roman" w:hAnsi="Times New Roman" w:eastAsia="仿宋_GB2312" w:cs="Times New Roman"/>
          <w:sz w:val="32"/>
          <w:szCs w:val="32"/>
          <w:lang w:bidi="ar-SA"/>
        </w:rPr>
        <w:t>。</w:t>
      </w:r>
    </w:p>
    <w:p w14:paraId="6D90EE65">
      <w:pPr>
        <w:numPr>
          <w:ilvl w:val="0"/>
          <w:numId w:val="6"/>
        </w:numPr>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评价组织。</w:t>
      </w:r>
    </w:p>
    <w:p w14:paraId="5AEF3DFB">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成立以局长曹玉林为组长，副局长林扎介为副组长，社会救助股、社会福利和社会服务股、财务室、办公室工作人员为成员的绩效评价小组。</w:t>
      </w:r>
    </w:p>
    <w:p w14:paraId="71E0E825">
      <w:pPr>
        <w:adjustRightInd w:val="0"/>
        <w:snapToGrid w:val="0"/>
        <w:spacing w:line="578" w:lineRule="exact"/>
        <w:ind w:firstLine="640" w:firstLineChars="200"/>
        <w:rPr>
          <w:rFonts w:ascii="仿宋_GB2312" w:hAnsi="宋体" w:eastAsia="仿宋_GB2312" w:cs="Times New Roman"/>
          <w:sz w:val="32"/>
          <w:szCs w:val="32"/>
          <w:lang w:val="zh-CN" w:bidi="ar-SA"/>
        </w:rPr>
      </w:pPr>
      <w:r>
        <w:rPr>
          <w:rFonts w:hint="eastAsia" w:ascii="黑体" w:hAnsi="宋体" w:eastAsia="黑体" w:cs="Times New Roman"/>
          <w:sz w:val="32"/>
          <w:szCs w:val="32"/>
          <w:lang w:bidi="ar-SA"/>
        </w:rPr>
        <w:t>三、绩效分析</w:t>
      </w:r>
      <w:r>
        <w:rPr>
          <w:rFonts w:hint="eastAsia" w:ascii="仿宋_GB2312" w:hAnsi="宋体" w:eastAsia="仿宋_GB2312" w:cs="Times New Roman"/>
          <w:sz w:val="32"/>
          <w:szCs w:val="32"/>
          <w:lang w:val="zh-CN" w:bidi="ar-SA"/>
        </w:rPr>
        <w:tab/>
      </w:r>
    </w:p>
    <w:p w14:paraId="2ACD6269">
      <w:pPr>
        <w:spacing w:line="578" w:lineRule="exact"/>
        <w:ind w:firstLine="643" w:firstLineChars="200"/>
        <w:rPr>
          <w:rFonts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（一）</w:t>
      </w:r>
      <w:r>
        <w:rPr>
          <w:rFonts w:hint="eastAsia" w:ascii="楷体_GB2312" w:hAnsi="宋体" w:eastAsia="楷体_GB2312" w:cs="Times New Roman"/>
          <w:b/>
          <w:sz w:val="32"/>
          <w:szCs w:val="32"/>
          <w:lang w:bidi="ar-SA"/>
        </w:rPr>
        <w:t>通用指标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17B60084">
      <w:pPr>
        <w:spacing w:line="578" w:lineRule="exact"/>
        <w:ind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1.项目决策。</w:t>
      </w:r>
      <w:r>
        <w:rPr>
          <w:rFonts w:hint="eastAsia" w:ascii="Times New Roman" w:hAnsi="Times New Roman" w:eastAsia="仿宋_GB2312" w:cs="Times New Roman"/>
          <w:sz w:val="32"/>
          <w:szCs w:val="32"/>
          <w:lang w:bidi="ar-SA"/>
        </w:rPr>
        <w:t>围绕决策程序、规划论证、资金投向进行绩效分析。采购、施工、服务类项目采用政府集采、签订合同（协议）方式实施。按程序确定承接机构，通过制定实施方案、图纸设计、财评、项目立项等程序，项目由县民政局组织实施，由具体项目实施单位承办，项目实施完成后，经验收合格</w:t>
      </w:r>
      <w:r>
        <w:rPr>
          <w:rFonts w:hint="eastAsia" w:eastAsia="仿宋_GB2312" w:cs="Times New Roman"/>
          <w:sz w:val="32"/>
          <w:szCs w:val="32"/>
          <w:lang w:eastAsia="zh-CN" w:bidi="ar-SA"/>
        </w:rPr>
        <w:t>，将</w:t>
      </w:r>
      <w:r>
        <w:rPr>
          <w:rFonts w:hint="eastAsia" w:ascii="Times New Roman" w:hAnsi="Times New Roman" w:eastAsia="仿宋_GB2312" w:cs="Times New Roman"/>
          <w:sz w:val="32"/>
          <w:szCs w:val="32"/>
          <w:lang w:bidi="ar-SA"/>
        </w:rPr>
        <w:t xml:space="preserve">项目资金支付到具体项目实施单位账户。全部项目实施过程中，县民政局负责指导和监督。 </w:t>
      </w:r>
    </w:p>
    <w:p w14:paraId="7E46F311">
      <w:pPr>
        <w:spacing w:line="578" w:lineRule="exact"/>
        <w:ind w:firstLine="640" w:firstLineChars="200"/>
        <w:rPr>
          <w:rFonts w:ascii="Times New Roman" w:hAnsi="Times New Roman" w:eastAsia="仿宋_GB2312" w:cs="Times New Roman"/>
          <w:smallCaps w:val="0"/>
          <w:sz w:val="32"/>
          <w:szCs w:val="32"/>
          <w:lang w:bidi="ar-SA"/>
        </w:rPr>
      </w:pPr>
      <w:r>
        <w:rPr>
          <w:rFonts w:hint="eastAsia" w:ascii="楷体_GB2312" w:hAnsi="楷体_GB2312" w:eastAsia="楷体_GB2312" w:cs="楷体_GB2312"/>
          <w:sz w:val="32"/>
          <w:szCs w:val="32"/>
          <w:lang w:bidi="ar-SA"/>
        </w:rPr>
        <w:t>2.项目管理。</w:t>
      </w:r>
      <w:r>
        <w:rPr>
          <w:rFonts w:hint="eastAsia" w:ascii="Times New Roman" w:hAnsi="Times New Roman" w:eastAsia="仿宋_GB2312" w:cs="Times New Roman"/>
          <w:smallCaps w:val="0"/>
          <w:sz w:val="32"/>
          <w:szCs w:val="32"/>
          <w:lang w:bidi="ar-SA"/>
        </w:rPr>
        <w:t>按照项目计划执行各项任务，协调资源，确保项目工作的顺利进行，同时监控项目的进展情况，及时解决出现的问题。对项目的进度、成本、质量、风险等进行监控和评估，与计划进行对比，分析偏差，采取纠正措施，确保项目按计划实现目标，完成项目的所有任务</w:t>
      </w:r>
      <w:r>
        <w:rPr>
          <w:rFonts w:hint="eastAsia" w:ascii="Times New Roman" w:hAnsi="Times New Roman" w:eastAsia="仿宋_GB2312" w:cs="Times New Roman"/>
          <w:smallCaps w:val="0"/>
          <w:sz w:val="32"/>
          <w:szCs w:val="32"/>
          <w:lang w:eastAsia="zh-CN" w:bidi="ar-SA"/>
        </w:rPr>
        <w:t>后</w:t>
      </w:r>
      <w:r>
        <w:rPr>
          <w:rFonts w:hint="eastAsia" w:ascii="Times New Roman" w:hAnsi="Times New Roman" w:eastAsia="仿宋_GB2312" w:cs="Times New Roman"/>
          <w:smallCaps w:val="0"/>
          <w:sz w:val="32"/>
          <w:szCs w:val="32"/>
          <w:lang w:bidi="ar-SA"/>
        </w:rPr>
        <w:t>，进行项目验收，移交成果，总结项目经验教训。在项目建设管理中严格按照相关管理制度执行有关建设标准及规范，严格执行招投标、政府采购、项目公示制等相关规定，加强项目质量与安全管理，切实发</w:t>
      </w:r>
      <w:r>
        <w:rPr>
          <w:rFonts w:hint="eastAsia" w:eastAsia="仿宋_GB2312" w:cs="Times New Roman"/>
          <w:smallCaps w:val="0"/>
          <w:sz w:val="32"/>
          <w:szCs w:val="32"/>
          <w:lang w:eastAsia="zh-CN" w:bidi="ar-SA"/>
        </w:rPr>
        <w:t>挥资</w:t>
      </w:r>
      <w:r>
        <w:rPr>
          <w:rFonts w:hint="eastAsia" w:ascii="Times New Roman" w:hAnsi="Times New Roman" w:eastAsia="仿宋_GB2312" w:cs="Times New Roman"/>
          <w:smallCaps w:val="0"/>
          <w:sz w:val="32"/>
          <w:szCs w:val="32"/>
          <w:lang w:bidi="ar-SA"/>
        </w:rPr>
        <w:t>金投资效益。</w:t>
      </w:r>
    </w:p>
    <w:p w14:paraId="0E7A4339">
      <w:pPr>
        <w:numPr>
          <w:ilvl w:val="0"/>
          <w:numId w:val="7"/>
        </w:numPr>
        <w:spacing w:line="240" w:lineRule="auto"/>
        <w:ind w:left="0" w:leftChars="0"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项目实施。</w:t>
      </w:r>
      <w:r>
        <w:rPr>
          <w:rFonts w:hint="eastAsia" w:ascii="仿宋_GB2312" w:hAnsi="仿宋_GB2312" w:eastAsia="仿宋_GB2312" w:cs="仿宋_GB2312"/>
          <w:sz w:val="32"/>
          <w:szCs w:val="32"/>
          <w:lang w:bidi="ar-SA"/>
        </w:rPr>
        <w:t>通过现场督导、召开会议等方式，加强项目监管，推动项目实施。项目单位负责项目建设，严把工程质量关和施工进度。县民政局根据项目建设情况，及时对项目实施前、中、后进行实地查看，积极听取党员群众及乡镇意见，</w:t>
      </w:r>
      <w:r>
        <w:rPr>
          <w:rFonts w:hint="eastAsia" w:ascii="仿宋_GB2312" w:hAnsi="仿宋_GB2312" w:eastAsia="仿宋_GB2312" w:cs="仿宋_GB2312"/>
          <w:sz w:val="32"/>
          <w:szCs w:val="32"/>
          <w:lang w:eastAsia="zh-CN" w:bidi="ar-SA"/>
        </w:rPr>
        <w:t>做到</w:t>
      </w:r>
      <w:r>
        <w:rPr>
          <w:rFonts w:hint="eastAsia" w:ascii="仿宋_GB2312" w:hAnsi="仿宋_GB2312" w:eastAsia="仿宋_GB2312" w:cs="仿宋_GB2312"/>
          <w:sz w:val="32"/>
          <w:szCs w:val="32"/>
          <w:lang w:bidi="ar-SA"/>
        </w:rPr>
        <w:t>施工过程全程监管指导，完工后根据验收情况按照财务制度拨付资金，做到事前评估、事中监控、事后评价监管责任</w:t>
      </w:r>
      <w:r>
        <w:rPr>
          <w:rFonts w:hint="eastAsia" w:ascii="楷体_GB2312" w:hAnsi="楷体_GB2312" w:eastAsia="楷体_GB2312" w:cs="楷体_GB2312"/>
          <w:sz w:val="32"/>
          <w:szCs w:val="32"/>
          <w:lang w:bidi="ar-SA"/>
        </w:rPr>
        <w:t>，确保项目能按照要求进行建设并能发挥作用。</w:t>
      </w:r>
    </w:p>
    <w:p w14:paraId="66F3340F">
      <w:pPr>
        <w:numPr>
          <w:ilvl w:val="0"/>
          <w:numId w:val="0"/>
        </w:numPr>
        <w:spacing w:line="240" w:lineRule="auto"/>
        <w:ind w:left="0" w:leftChars="0" w:firstLine="640" w:firstLineChars="200"/>
        <w:rPr>
          <w:rFonts w:hint="eastAsia" w:ascii="Times New Roman" w:hAnsi="Times New Roman" w:eastAsia="仿宋_GB2312" w:cs="Times New Roman"/>
          <w:sz w:val="32"/>
          <w:szCs w:val="32"/>
          <w:lang w:eastAsia="zh-CN" w:bidi="ar-SA"/>
        </w:rPr>
      </w:pPr>
      <w:r>
        <w:rPr>
          <w:rFonts w:hint="eastAsia" w:ascii="楷体_GB2312" w:hAnsi="楷体_GB2312" w:eastAsia="楷体_GB2312" w:cs="楷体_GB2312"/>
          <w:sz w:val="32"/>
          <w:szCs w:val="32"/>
          <w:lang w:bidi="ar-SA"/>
        </w:rPr>
        <w:t>4.项目结果。</w:t>
      </w:r>
      <w:r>
        <w:rPr>
          <w:rFonts w:hint="eastAsia" w:ascii="Times New Roman" w:hAnsi="Times New Roman" w:eastAsia="楷体_GB2312" w:cs="Times New Roman"/>
          <w:sz w:val="32"/>
          <w:szCs w:val="32"/>
          <w:lang w:eastAsia="zh-CN" w:bidi="ar-SA"/>
        </w:rPr>
        <w:t>2024</w:t>
      </w:r>
      <w:r>
        <w:rPr>
          <w:rFonts w:hint="eastAsia" w:ascii="Times New Roman" w:hAnsi="Times New Roman" w:eastAsia="仿宋_GB2312" w:cs="Times New Roman"/>
          <w:sz w:val="32"/>
          <w:szCs w:val="32"/>
          <w:lang w:bidi="ar-SA"/>
        </w:rPr>
        <w:t>年</w:t>
      </w:r>
      <w:r>
        <w:rPr>
          <w:rFonts w:hint="eastAsia" w:ascii="Times New Roman" w:hAnsi="Times New Roman" w:eastAsia="仿宋_GB2312" w:cs="Times New Roman"/>
          <w:sz w:val="32"/>
          <w:szCs w:val="32"/>
          <w:lang w:eastAsia="zh-CN" w:bidi="ar-SA"/>
        </w:rPr>
        <w:t>养老服务发展</w:t>
      </w:r>
      <w:r>
        <w:rPr>
          <w:rFonts w:hint="eastAsia" w:ascii="Times New Roman" w:hAnsi="Times New Roman" w:eastAsia="仿宋_GB2312" w:cs="Times New Roman"/>
          <w:sz w:val="32"/>
          <w:szCs w:val="32"/>
          <w:lang w:bidi="ar-SA"/>
        </w:rPr>
        <w:t>资金按项目</w:t>
      </w:r>
      <w:r>
        <w:rPr>
          <w:rFonts w:hint="eastAsia" w:ascii="Times New Roman" w:hAnsi="Times New Roman" w:eastAsia="仿宋_GB2312" w:cs="Times New Roman"/>
          <w:sz w:val="32"/>
          <w:szCs w:val="32"/>
          <w:lang w:eastAsia="zh-CN" w:bidi="ar-SA"/>
        </w:rPr>
        <w:t>方案有序推进，按工程进度拨付资金</w:t>
      </w:r>
      <w:r>
        <w:rPr>
          <w:rFonts w:hint="eastAsia" w:ascii="Times New Roman" w:hAnsi="Times New Roman" w:eastAsia="仿宋_GB2312" w:cs="Times New Roman"/>
          <w:sz w:val="32"/>
          <w:szCs w:val="32"/>
          <w:lang w:bidi="ar-SA"/>
        </w:rPr>
        <w:t>。</w:t>
      </w:r>
    </w:p>
    <w:p w14:paraId="4AFAC899">
      <w:pPr>
        <w:spacing w:line="578" w:lineRule="exact"/>
        <w:ind w:firstLine="643" w:firstLineChars="200"/>
        <w:rPr>
          <w:rFonts w:ascii="楷体_GB2312" w:hAnsi="楷体_GB2312" w:eastAsia="楷体_GB2312" w:cs="楷体_GB2312"/>
          <w:sz w:val="32"/>
          <w:szCs w:val="32"/>
          <w:lang w:val="zh-CN" w:bidi="ar-SA"/>
        </w:rPr>
      </w:pPr>
      <w:r>
        <w:rPr>
          <w:rFonts w:hint="eastAsia" w:ascii="楷体_GB2312" w:hAnsi="宋体" w:eastAsia="楷体_GB2312" w:cs="Times New Roman"/>
          <w:b/>
          <w:sz w:val="32"/>
          <w:szCs w:val="32"/>
          <w:lang w:val="zh-CN" w:bidi="ar-SA"/>
        </w:rPr>
        <w:t>（二）</w:t>
      </w:r>
      <w:r>
        <w:rPr>
          <w:rFonts w:hint="eastAsia" w:ascii="楷体_GB2312" w:hAnsi="宋体" w:eastAsia="楷体_GB2312" w:cs="Times New Roman"/>
          <w:b/>
          <w:sz w:val="32"/>
          <w:szCs w:val="32"/>
          <w:lang w:bidi="ar-SA"/>
        </w:rPr>
        <w:t>专用指标</w:t>
      </w:r>
      <w:r>
        <w:rPr>
          <w:rFonts w:ascii="Times New Roman" w:hAnsi="Times New Roman" w:eastAsia="楷体_GB2312" w:cs="Times New Roman"/>
          <w:b/>
          <w:bCs/>
          <w:color w:val="000000"/>
          <w:kern w:val="0"/>
          <w:sz w:val="32"/>
          <w:szCs w:val="32"/>
          <w:shd w:val="clear" w:color="auto" w:fill="FFFFFF"/>
          <w:lang w:val="zh-CN" w:bidi="ar-SA"/>
        </w:rPr>
        <w:t>绩效分析</w:t>
      </w:r>
      <w:r>
        <w:rPr>
          <w:rFonts w:hint="eastAsia" w:eastAsia="楷体_GB2312" w:cs="Times New Roman"/>
          <w:b/>
          <w:bCs/>
          <w:color w:val="000000"/>
          <w:kern w:val="0"/>
          <w:sz w:val="32"/>
          <w:szCs w:val="32"/>
          <w:shd w:val="clear" w:color="auto" w:fill="FFFFFF"/>
          <w:lang w:val="zh-CN" w:bidi="ar-SA"/>
        </w:rPr>
        <w:t>。</w:t>
      </w:r>
    </w:p>
    <w:p w14:paraId="38EE246B">
      <w:pPr>
        <w:spacing w:line="578" w:lineRule="exact"/>
        <w:ind w:firstLine="640" w:firstLineChars="200"/>
        <w:rPr>
          <w:rFonts w:ascii="楷体_GB2312" w:hAnsi="楷体_GB2312" w:eastAsia="楷体_GB2312" w:cs="楷体_GB2312"/>
          <w:sz w:val="32"/>
          <w:szCs w:val="32"/>
          <w:lang w:bidi="ar-SA"/>
        </w:rPr>
      </w:pPr>
      <w:r>
        <w:rPr>
          <w:rFonts w:hint="eastAsia" w:ascii="楷体_GB2312" w:hAnsi="楷体_GB2312" w:eastAsia="楷体_GB2312" w:cs="楷体_GB2312"/>
          <w:sz w:val="32"/>
          <w:szCs w:val="32"/>
          <w:lang w:bidi="ar-SA"/>
        </w:rPr>
        <w:t>1.</w:t>
      </w:r>
      <w:r>
        <w:rPr>
          <w:rFonts w:hint="eastAsia" w:ascii="楷体_GB2312" w:hAnsi="楷体_GB2312" w:eastAsia="楷体_GB2312" w:cs="楷体_GB2312"/>
          <w:sz w:val="32"/>
          <w:szCs w:val="32"/>
          <w:lang w:val="zh-CN" w:bidi="ar-SA"/>
        </w:rPr>
        <w:t>民生保障。通过</w:t>
      </w:r>
      <w:r>
        <w:rPr>
          <w:rFonts w:hint="eastAsia" w:ascii="Times New Roman" w:hAnsi="Times New Roman" w:eastAsia="仿宋_GB2312" w:cs="Times New Roman"/>
          <w:sz w:val="32"/>
          <w:szCs w:val="32"/>
          <w:lang w:bidi="ar-SA"/>
        </w:rPr>
        <w:t>入户走访、电话回访等方式，</w:t>
      </w:r>
      <w:r>
        <w:rPr>
          <w:rFonts w:hint="eastAsia" w:ascii="Times New Roman" w:hAnsi="Times New Roman" w:eastAsia="仿宋_GB2312" w:cs="Times New Roman"/>
          <w:sz w:val="32"/>
          <w:szCs w:val="32"/>
          <w:lang w:eastAsia="zh-CN" w:bidi="ar-SA"/>
        </w:rPr>
        <w:t>对享受</w:t>
      </w:r>
      <w:r>
        <w:rPr>
          <w:rFonts w:hint="eastAsia" w:ascii="Times New Roman" w:hAnsi="Times New Roman" w:eastAsia="仿宋_GB2312" w:cs="Times New Roman"/>
          <w:sz w:val="32"/>
          <w:szCs w:val="32"/>
          <w:lang w:bidi="ar-SA"/>
        </w:rPr>
        <w:t>养老服务的老人进行政策知晓率和满意度调查，知晓率满意度调查结果，受助</w:t>
      </w:r>
      <w:r>
        <w:rPr>
          <w:rFonts w:hint="eastAsia" w:ascii="Times New Roman" w:hAnsi="Times New Roman" w:eastAsia="仿宋_GB2312" w:cs="Times New Roman"/>
          <w:sz w:val="32"/>
          <w:szCs w:val="32"/>
          <w:lang w:eastAsia="zh-CN" w:bidi="ar-SA"/>
        </w:rPr>
        <w:t>群众</w:t>
      </w:r>
      <w:r>
        <w:rPr>
          <w:rFonts w:hint="eastAsia" w:ascii="Times New Roman" w:hAnsi="Times New Roman" w:eastAsia="仿宋_GB2312" w:cs="Times New Roman"/>
          <w:sz w:val="32"/>
          <w:szCs w:val="32"/>
          <w:lang w:bidi="ar-SA"/>
        </w:rPr>
        <w:t>满意度达到</w:t>
      </w:r>
      <w:r>
        <w:rPr>
          <w:rFonts w:hint="eastAsia" w:ascii="Times New Roman" w:hAnsi="Times New Roman" w:eastAsia="仿宋_GB2312" w:cs="Times New Roman"/>
          <w:sz w:val="32"/>
          <w:szCs w:val="32"/>
          <w:lang w:val="en-US" w:eastAsia="zh-CN" w:bidi="ar-SA"/>
        </w:rPr>
        <w:t>90</w:t>
      </w:r>
      <w:r>
        <w:rPr>
          <w:rFonts w:hint="eastAsia" w:ascii="仿宋_GB2312" w:hAnsi="仿宋_GB2312" w:eastAsia="仿宋_GB2312" w:cs="仿宋_GB2312"/>
          <w:sz w:val="32"/>
          <w:szCs w:val="32"/>
          <w:lang w:bidi="ar-SA"/>
        </w:rPr>
        <w:t>%。</w:t>
      </w:r>
    </w:p>
    <w:p w14:paraId="5F60AA5A">
      <w:pPr>
        <w:spacing w:line="578" w:lineRule="exact"/>
        <w:ind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2.基础设施</w:t>
      </w:r>
    </w:p>
    <w:p w14:paraId="31F029A9">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养老服务网络建设及运营项目通过实地勘察、对村社区养老服务中心实地验收，村社区养老服务中心的建设，群众需求多、发展前景好、服务潜力大的村社区养老服务中心为老年人提供场地、能力培训等多项优惠扶持，促进养老事业发展，打造社会养老的公共服务平台。</w:t>
      </w:r>
    </w:p>
    <w:p w14:paraId="0967ECBE">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日间照料项目，为老年人提供棋牌、茶水、健身等服务，每年有运营补贴，所有符合条件的老年人均可去日间照料中心免费享受服务。</w:t>
      </w:r>
    </w:p>
    <w:p w14:paraId="213EB296">
      <w:pPr>
        <w:keepNext w:val="0"/>
        <w:keepLines w:val="0"/>
        <w:pageBreakBefore w:val="0"/>
        <w:widowControl w:val="0"/>
        <w:kinsoku/>
        <w:wordWrap/>
        <w:overflowPunct/>
        <w:topLinePunct w:val="0"/>
        <w:autoSpaceDE/>
        <w:autoSpaceDN/>
        <w:bidi w:val="0"/>
        <w:spacing w:line="552"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办养老机构规范化建设项目：县民政局对福利院设施设备进行实地质量检查，质量合格后进行竣工验收，后期由福利院对其设施设备进行维护。福利院设施设备的更换加强和完善了院内基础设施设备建设，提升了服务标准及安全性能，增强了院内特困人员及代养老人的幸福指数，让福利院养老服务质量得到了提档升级。</w:t>
      </w:r>
    </w:p>
    <w:p w14:paraId="34E790D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bidi="ar-SA"/>
        </w:rPr>
        <w:t>（三）</w:t>
      </w:r>
      <w:r>
        <w:rPr>
          <w:rFonts w:hint="default" w:ascii="Times New Roman"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bCs/>
          <w:color w:val="000000"/>
          <w:kern w:val="0"/>
          <w:sz w:val="32"/>
          <w:szCs w:val="32"/>
          <w:highlight w:val="none"/>
          <w:shd w:val="clear" w:color="auto" w:fill="FFFFFF"/>
          <w:lang w:val="zh-CN" w:bidi="ar-SA"/>
        </w:rPr>
        <w:t>绩效分析。</w:t>
      </w:r>
    </w:p>
    <w:p w14:paraId="32D834C3">
      <w:pPr>
        <w:keepNext w:val="0"/>
        <w:keepLines w:val="0"/>
        <w:pageBreakBefore w:val="0"/>
        <w:widowControl w:val="0"/>
        <w:kinsoku/>
        <w:wordWrap/>
        <w:overflowPunct/>
        <w:topLinePunct w:val="0"/>
        <w:autoSpaceDE/>
        <w:autoSpaceDN/>
        <w:bidi w:val="0"/>
        <w:spacing w:line="552"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数量指标：维修改造6个村（社区）包含：十里回族乡大屯村、川主寺老年协会、进安镇羊玉屯村、大姓乡木石村、大姓乡上纳米村；公办养老机构规范化建设1个。</w:t>
      </w:r>
    </w:p>
    <w:p w14:paraId="3470B6F3">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480DD828">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根据民政厅下发《关于加强全省城乡社区老年人日间照料中心项目建设和管理工作的通知》，加强日间照料中心项目规范化管理，保障项目的有效实施。养老服务业发展</w:t>
      </w:r>
      <w:r>
        <w:rPr>
          <w:rFonts w:ascii="仿宋_GB2312" w:hAnsi="Times New Roman" w:eastAsia="仿宋_GB2312" w:cs="Times New Roman"/>
          <w:kern w:val="2"/>
          <w:position w:val="0"/>
          <w:sz w:val="32"/>
          <w:szCs w:val="32"/>
          <w:lang w:val="en-US" w:eastAsia="zh-CN" w:bidi="ar-SA"/>
        </w:rPr>
        <w:t>方便了老年人生活，提升了困难群众的幸福感、获得感和安全感，切实解决了群众的服务需求，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增进了</w:t>
      </w:r>
      <w:r>
        <w:rPr>
          <w:rFonts w:hint="eastAsia" w:ascii="仿宋_GB2312" w:eastAsia="仿宋_GB2312" w:cs="Times New Roman"/>
          <w:kern w:val="2"/>
          <w:position w:val="0"/>
          <w:sz w:val="32"/>
          <w:szCs w:val="32"/>
          <w:lang w:val="en-US" w:eastAsia="zh-CN" w:bidi="ar-SA"/>
        </w:rPr>
        <w:t>民生</w:t>
      </w:r>
      <w:r>
        <w:rPr>
          <w:rFonts w:hint="eastAsia" w:ascii="仿宋_GB2312" w:hAnsi="Times New Roman" w:eastAsia="仿宋_GB2312" w:cs="Times New Roman"/>
          <w:kern w:val="2"/>
          <w:position w:val="0"/>
          <w:sz w:val="32"/>
          <w:szCs w:val="32"/>
          <w:lang w:val="en-US" w:eastAsia="zh-CN" w:bidi="ar-SA"/>
        </w:rPr>
        <w:t>福祉。项目整体落实情况良好，基本能完成项目指标，综合评价得分83分。</w:t>
      </w:r>
    </w:p>
    <w:p w14:paraId="6C5590A2">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14:paraId="427DF8CD">
      <w:pPr>
        <w:widowControl/>
        <w:tabs>
          <w:tab w:val="left" w:pos="2160"/>
        </w:tabs>
        <w:spacing w:line="600" w:lineRule="exact"/>
        <w:ind w:firstLine="640" w:firstLineChars="200"/>
        <w:jc w:val="left"/>
        <w:rPr>
          <w:rFonts w:ascii="仿宋_GB2312" w:hAnsi="Times New Roman" w:eastAsia="仿宋_GB2312" w:cs="Times New Roman"/>
          <w:kern w:val="2"/>
          <w:position w:val="0"/>
          <w:sz w:val="32"/>
          <w:szCs w:val="32"/>
          <w:lang w:val="zh-CN" w:eastAsia="zh-CN" w:bidi="ar-SA"/>
        </w:rPr>
      </w:pPr>
      <w:r>
        <w:rPr>
          <w:rFonts w:hint="eastAsia" w:ascii="仿宋_GB2312" w:hAnsi="Times New Roman" w:eastAsia="仿宋_GB2312" w:cs="Times New Roman"/>
          <w:kern w:val="2"/>
          <w:position w:val="0"/>
          <w:sz w:val="32"/>
          <w:szCs w:val="32"/>
          <w:lang w:val="zh-CN" w:eastAsia="zh-CN" w:bidi="ar-SA"/>
        </w:rPr>
        <w:t>随着人口老龄化进程的加快，各式各样的养老需求不断涌现，基础设施薄弱、养老队伍欠缺，服务方式单一，资金投入有限，服务能力有限，不能满足个性化服务需求。</w:t>
      </w:r>
    </w:p>
    <w:p w14:paraId="0814A9F9">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14:paraId="54479C6F">
      <w:pPr>
        <w:snapToGrid w:val="0"/>
        <w:spacing w:line="578" w:lineRule="exact"/>
        <w:ind w:firstLine="640" w:firstLineChars="200"/>
        <w:rPr>
          <w:rFonts w:ascii="Times New Roman" w:hAnsi="Times New Roman" w:eastAsia="仿宋_GB2312" w:cs="Times New Roman"/>
          <w:color w:val="000000"/>
          <w:kern w:val="0"/>
          <w:sz w:val="32"/>
          <w:szCs w:val="32"/>
          <w:shd w:val="clear" w:color="auto" w:fill="FFFFFF"/>
          <w:lang w:val="zh-CN" w:bidi="ar-SA"/>
        </w:rPr>
      </w:pPr>
      <w:r>
        <w:rPr>
          <w:rFonts w:hint="eastAsia" w:ascii="仿宋_GB2312" w:hAnsi="仿宋_GB2312" w:eastAsia="仿宋_GB2312" w:cs="仿宋_GB2312"/>
          <w:kern w:val="0"/>
          <w:sz w:val="32"/>
          <w:szCs w:val="32"/>
          <w:lang w:bidi="ar-SA"/>
        </w:rPr>
        <w:t>提前做好资金使用规划，对资金使用和管理实行动态管理，确保资金使用效益最大化，加大资金支持力度。</w:t>
      </w:r>
    </w:p>
    <w:p w14:paraId="665C5E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p>
    <w:p w14:paraId="196604EA">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bookmarkStart w:id="58" w:name="_Toc15396618"/>
      <w:r>
        <w:rPr>
          <w:rFonts w:hint="eastAsia" w:ascii="方正小标宋简体" w:hAnsi="方正小标宋简体" w:eastAsia="方正小标宋简体" w:cs="方正小标宋简体"/>
          <w:color w:val="auto"/>
          <w:kern w:val="2"/>
          <w:sz w:val="44"/>
          <w:szCs w:val="44"/>
          <w:lang w:val="en-US" w:eastAsia="zh-CN" w:bidi="ar-SA"/>
        </w:rPr>
        <w:t>社会救助救济补助资金</w:t>
      </w:r>
    </w:p>
    <w:p w14:paraId="1643B64F">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14:paraId="6D933A00">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0AB2D16F">
      <w:pPr>
        <w:adjustRightInd w:val="0"/>
        <w:snapToGrid w:val="0"/>
        <w:spacing w:line="578" w:lineRule="exact"/>
        <w:ind w:firstLine="640" w:firstLineChars="200"/>
        <w:rPr>
          <w:rFonts w:ascii="黑体" w:hAnsi="宋体" w:eastAsia="黑体" w:cs="Times New Roman"/>
          <w:sz w:val="32"/>
          <w:szCs w:val="32"/>
          <w:lang w:val="zh-CN" w:bidi="ar-SA"/>
        </w:rPr>
      </w:pPr>
      <w:r>
        <w:rPr>
          <w:rFonts w:hint="eastAsia" w:ascii="黑体" w:hAnsi="宋体" w:eastAsia="黑体" w:cs="Times New Roman"/>
          <w:sz w:val="32"/>
          <w:szCs w:val="32"/>
          <w:lang w:bidi="ar-SA"/>
        </w:rPr>
        <w:t>一、</w:t>
      </w:r>
      <w:r>
        <w:rPr>
          <w:rFonts w:hint="eastAsia" w:ascii="黑体" w:hAnsi="宋体" w:eastAsia="黑体" w:cs="Times New Roman"/>
          <w:sz w:val="32"/>
          <w:szCs w:val="32"/>
          <w:lang w:val="zh-CN" w:bidi="ar-SA"/>
        </w:rPr>
        <w:t>项目概况</w:t>
      </w:r>
    </w:p>
    <w:p w14:paraId="5657927D">
      <w:pPr>
        <w:spacing w:line="560" w:lineRule="exact"/>
        <w:ind w:firstLine="643" w:firstLineChars="200"/>
        <w:jc w:val="left"/>
        <w:rPr>
          <w:rFonts w:hint="eastAsia"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（一）设立背景及基本情况。</w:t>
      </w:r>
    </w:p>
    <w:p w14:paraId="50E551A0">
      <w:pPr>
        <w:spacing w:line="560" w:lineRule="exact"/>
        <w:ind w:firstLine="640" w:firstLineChars="200"/>
        <w:jc w:val="left"/>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根据四川省民政厅 四川省财政厅 四川省残疾人联合会《关于建立困难残疾人生活补贴和重度残疾人护理补贴》的通知，川民发〔2015〕195号）文件</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为持有第二代残疾人证的四川省户籍低保对象发放困难残疾人生活补贴。补贴对象为持有第二代残疾人证、残疾等级为一级和二级的残疾人以及三四级精神智力人员发放重度残疾人护理补贴。</w:t>
      </w:r>
    </w:p>
    <w:p w14:paraId="61306B47">
      <w:pPr>
        <w:numPr>
          <w:ilvl w:val="0"/>
          <w:numId w:val="8"/>
        </w:numPr>
        <w:spacing w:line="560" w:lineRule="exact"/>
        <w:ind w:firstLine="643" w:firstLineChars="200"/>
        <w:jc w:val="left"/>
        <w:rPr>
          <w:rFonts w:hint="eastAsia" w:ascii="楷体_GB2312" w:hAnsi="宋体" w:eastAsia="楷体_GB2312" w:cs="Times New Roman"/>
          <w:b/>
          <w:sz w:val="32"/>
          <w:szCs w:val="32"/>
          <w:lang w:bidi="ar-SA"/>
        </w:rPr>
      </w:pPr>
      <w:r>
        <w:rPr>
          <w:rFonts w:ascii="楷体_GB2312" w:hAnsi="宋体" w:eastAsia="楷体_GB2312" w:cs="Times New Roman"/>
          <w:b/>
          <w:sz w:val="32"/>
          <w:szCs w:val="32"/>
          <w:lang w:bidi="ar-SA"/>
        </w:rPr>
        <w:t>实施目的及支持方向</w:t>
      </w:r>
      <w:r>
        <w:rPr>
          <w:rFonts w:hint="eastAsia" w:ascii="楷体_GB2312" w:hAnsi="宋体" w:eastAsia="楷体_GB2312" w:cs="Times New Roman"/>
          <w:b/>
          <w:sz w:val="32"/>
          <w:szCs w:val="32"/>
          <w:lang w:bidi="ar-SA"/>
        </w:rPr>
        <w:t>。</w:t>
      </w:r>
    </w:p>
    <w:p w14:paraId="5C95DB90">
      <w:pPr>
        <w:spacing w:line="560" w:lineRule="exact"/>
        <w:ind w:firstLine="640" w:firstLineChars="200"/>
        <w:jc w:val="left"/>
        <w:rPr>
          <w:rFonts w:hint="eastAsia" w:ascii="仿宋_GB2312" w:hAnsi="宋体" w:eastAsia="仿宋_GB2312" w:cs="Times New Roman"/>
          <w:sz w:val="32"/>
          <w:szCs w:val="32"/>
          <w:lang w:bidi="ar-SA"/>
        </w:rPr>
      </w:pPr>
      <w:r>
        <w:rPr>
          <w:rFonts w:hint="eastAsia" w:ascii="仿宋_GB2312" w:hAnsi="仿宋_GB2312" w:eastAsia="仿宋_GB2312" w:cs="仿宋_GB2312"/>
          <w:color w:val="000000"/>
          <w:sz w:val="32"/>
          <w:szCs w:val="32"/>
          <w:lang w:bidi="ar-SA"/>
        </w:rPr>
        <w:t>进一步规范残疾人社会救助救济补助资金</w:t>
      </w:r>
      <w:r>
        <w:rPr>
          <w:rFonts w:hint="eastAsia" w:ascii="仿宋_GB2312" w:hAnsi="仿宋_GB2312" w:eastAsia="仿宋_GB2312" w:cs="仿宋_GB2312"/>
          <w:color w:val="000000"/>
          <w:sz w:val="32"/>
          <w:szCs w:val="32"/>
          <w:lang w:eastAsia="zh-CN" w:bidi="ar-SA"/>
        </w:rPr>
        <w:t>及精简退职职工生活补助</w:t>
      </w:r>
      <w:r>
        <w:rPr>
          <w:rFonts w:hint="eastAsia" w:ascii="仿宋_GB2312" w:hAnsi="仿宋_GB2312" w:eastAsia="仿宋_GB2312" w:cs="仿宋_GB2312"/>
          <w:color w:val="000000"/>
          <w:sz w:val="32"/>
          <w:szCs w:val="32"/>
          <w:lang w:bidi="ar-SA"/>
        </w:rPr>
        <w:t>的精准实施保障，认真履行基本民生保障职责，不断巩固和提升残疾人社会救助救济补助资金管理水平。</w:t>
      </w:r>
    </w:p>
    <w:p w14:paraId="7D499DA0">
      <w:pPr>
        <w:numPr>
          <w:ilvl w:val="0"/>
          <w:numId w:val="8"/>
        </w:numPr>
        <w:spacing w:line="560" w:lineRule="exact"/>
        <w:ind w:firstLine="643" w:firstLineChars="200"/>
        <w:rPr>
          <w:rFonts w:hint="eastAsia" w:ascii="楷体_GB2312" w:hAnsi="宋体" w:eastAsia="楷体_GB2312" w:cs="Times New Roman"/>
          <w:b/>
          <w:sz w:val="32"/>
          <w:szCs w:val="32"/>
          <w:lang w:val="zh-CN" w:bidi="ar-SA"/>
        </w:rPr>
      </w:pPr>
      <w:r>
        <w:rPr>
          <w:rFonts w:ascii="楷体_GB2312" w:hAnsi="宋体" w:eastAsia="楷体_GB2312" w:cs="Times New Roman"/>
          <w:b/>
          <w:sz w:val="32"/>
          <w:szCs w:val="32"/>
          <w:lang w:bidi="ar-SA"/>
        </w:rPr>
        <w:t>预算安排及分配管理</w:t>
      </w:r>
      <w:r>
        <w:rPr>
          <w:rFonts w:hint="eastAsia" w:ascii="楷体_GB2312" w:hAnsi="宋体" w:eastAsia="楷体_GB2312" w:cs="Times New Roman"/>
          <w:b/>
          <w:sz w:val="32"/>
          <w:szCs w:val="32"/>
          <w:lang w:val="zh-CN" w:bidi="ar-SA"/>
        </w:rPr>
        <w:t>。</w:t>
      </w:r>
    </w:p>
    <w:p w14:paraId="63E655BD">
      <w:pPr>
        <w:spacing w:line="560" w:lineRule="exact"/>
        <w:ind w:firstLine="640" w:firstLineChars="200"/>
        <w:rPr>
          <w:rFonts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2024</w:t>
      </w:r>
      <w:r>
        <w:rPr>
          <w:rFonts w:hint="eastAsia" w:ascii="仿宋_GB2312" w:hAnsi="仿宋_GB2312" w:eastAsia="仿宋_GB2312" w:cs="仿宋_GB2312"/>
          <w:color w:val="000000"/>
          <w:sz w:val="32"/>
          <w:szCs w:val="32"/>
          <w:lang w:bidi="ar-SA"/>
        </w:rPr>
        <w:t xml:space="preserve">年社会救助救济补助预算安排 </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万元，实际到位</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万元，其中：</w:t>
      </w:r>
      <w:r>
        <w:rPr>
          <w:rFonts w:hint="eastAsia" w:ascii="Times New Roman" w:hAnsi="Times New Roman" w:eastAsia="方正仿宋_GB2312" w:cs="Times New Roman"/>
          <w:sz w:val="32"/>
          <w:szCs w:val="32"/>
          <w:lang w:bidi="ar-SA"/>
        </w:rPr>
        <w:t>阿州财</w:t>
      </w:r>
      <w:r>
        <w:rPr>
          <w:rFonts w:hint="eastAsia" w:ascii="仿宋_GB2312" w:hAnsi="仿宋_GB2312" w:eastAsia="仿宋_GB2312" w:cs="仿宋_GB2312"/>
          <w:sz w:val="32"/>
          <w:szCs w:val="32"/>
          <w:lang w:bidi="ar-SA"/>
        </w:rPr>
        <w:t>社〔</w:t>
      </w:r>
      <w:r>
        <w:rPr>
          <w:rFonts w:hint="eastAsia" w:ascii="仿宋_GB2312" w:hAnsi="仿宋_GB2312" w:eastAsia="仿宋_GB2312" w:cs="仿宋_GB2312"/>
          <w:sz w:val="32"/>
          <w:szCs w:val="32"/>
          <w:lang w:eastAsia="zh-CN" w:bidi="ar-SA"/>
        </w:rPr>
        <w:t>2024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33</w:t>
      </w:r>
      <w:r>
        <w:rPr>
          <w:rFonts w:hint="eastAsia" w:ascii="仿宋_GB2312" w:hAnsi="仿宋_GB2312" w:eastAsia="仿宋_GB2312" w:cs="仿宋_GB2312"/>
          <w:sz w:val="32"/>
          <w:szCs w:val="32"/>
          <w:lang w:bidi="ar-SA"/>
        </w:rPr>
        <w:t>号文件下达资金</w:t>
      </w:r>
      <w:r>
        <w:rPr>
          <w:rFonts w:hint="eastAsia" w:ascii="仿宋_GB2312" w:hAnsi="仿宋_GB2312" w:eastAsia="仿宋_GB2312" w:cs="仿宋_GB2312"/>
          <w:sz w:val="32"/>
          <w:szCs w:val="32"/>
          <w:lang w:val="en-US" w:eastAsia="zh-CN" w:bidi="ar-SA"/>
        </w:rPr>
        <w:t>129.67</w:t>
      </w:r>
      <w:r>
        <w:rPr>
          <w:rFonts w:hint="eastAsia" w:ascii="Times New Roman" w:hAnsi="Times New Roman" w:eastAsia="方正仿宋_GB2312" w:cs="Times New Roman"/>
          <w:sz w:val="32"/>
          <w:szCs w:val="32"/>
          <w:lang w:bidi="ar-SA"/>
        </w:rPr>
        <w:t>万元，阿州财</w:t>
      </w:r>
      <w:r>
        <w:rPr>
          <w:rFonts w:hint="eastAsia" w:ascii="仿宋_GB2312" w:hAnsi="仿宋_GB2312" w:eastAsia="仿宋_GB2312" w:cs="仿宋_GB2312"/>
          <w:sz w:val="32"/>
          <w:szCs w:val="32"/>
          <w:lang w:bidi="ar-SA"/>
        </w:rPr>
        <w:t>社〔</w:t>
      </w:r>
      <w:r>
        <w:rPr>
          <w:rFonts w:hint="eastAsia" w:ascii="仿宋_GB2312" w:hAnsi="仿宋_GB2312" w:eastAsia="仿宋_GB2312" w:cs="仿宋_GB2312"/>
          <w:sz w:val="32"/>
          <w:szCs w:val="32"/>
          <w:lang w:eastAsia="zh-CN" w:bidi="ar-SA"/>
        </w:rPr>
        <w:t>2024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64</w:t>
      </w:r>
      <w:r>
        <w:rPr>
          <w:rFonts w:hint="eastAsia" w:ascii="仿宋_GB2312" w:hAnsi="仿宋_GB2312" w:eastAsia="仿宋_GB2312" w:cs="仿宋_GB2312"/>
          <w:sz w:val="32"/>
          <w:szCs w:val="32"/>
          <w:lang w:bidi="ar-SA"/>
        </w:rPr>
        <w:t>号文件下达资金</w:t>
      </w:r>
      <w:r>
        <w:rPr>
          <w:rFonts w:hint="eastAsia" w:ascii="仿宋_GB2312" w:hAnsi="仿宋_GB2312" w:eastAsia="仿宋_GB2312" w:cs="仿宋_GB2312"/>
          <w:sz w:val="32"/>
          <w:szCs w:val="32"/>
          <w:lang w:val="en-US" w:eastAsia="zh-CN" w:bidi="ar-SA"/>
        </w:rPr>
        <w:t>18.92</w:t>
      </w:r>
      <w:r>
        <w:rPr>
          <w:rFonts w:hint="eastAsia" w:ascii="Times New Roman" w:hAnsi="Times New Roman" w:eastAsia="方正仿宋_GB2312" w:cs="Times New Roman"/>
          <w:sz w:val="32"/>
          <w:szCs w:val="32"/>
          <w:lang w:bidi="ar-SA"/>
        </w:rPr>
        <w:t>万元。</w:t>
      </w:r>
      <w:r>
        <w:rPr>
          <w:rFonts w:hint="eastAsia" w:ascii="Times New Roman" w:hAnsi="Times New Roman" w:eastAsia="方正仿宋_GB2312" w:cs="Times New Roman"/>
          <w:sz w:val="32"/>
          <w:szCs w:val="32"/>
          <w:lang w:eastAsia="zh-CN" w:bidi="ar-SA"/>
        </w:rPr>
        <w:t>2024</w:t>
      </w:r>
      <w:r>
        <w:rPr>
          <w:rFonts w:hint="eastAsia" w:ascii="Times New Roman" w:hAnsi="Times New Roman" w:eastAsia="方正仿宋_GB2312" w:cs="Times New Roman"/>
          <w:sz w:val="32"/>
          <w:szCs w:val="32"/>
          <w:lang w:bidi="ar-SA"/>
        </w:rPr>
        <w:t>年县级预算</w:t>
      </w:r>
      <w:r>
        <w:rPr>
          <w:rFonts w:hint="eastAsia" w:ascii="Times New Roman" w:hAnsi="Times New Roman" w:eastAsia="方正仿宋_GB2312" w:cs="Times New Roman"/>
          <w:sz w:val="32"/>
          <w:szCs w:val="32"/>
          <w:lang w:val="en-US" w:eastAsia="zh-CN" w:bidi="ar-SA"/>
        </w:rPr>
        <w:t>109.285</w:t>
      </w:r>
      <w:r>
        <w:rPr>
          <w:rFonts w:hint="eastAsia" w:ascii="Times New Roman" w:hAnsi="Times New Roman" w:eastAsia="方正仿宋_GB2312" w:cs="Times New Roman"/>
          <w:sz w:val="32"/>
          <w:szCs w:val="32"/>
          <w:lang w:bidi="ar-SA"/>
        </w:rPr>
        <w:t>万元。资金分配如下：</w:t>
      </w:r>
      <w:r>
        <w:rPr>
          <w:rFonts w:hint="eastAsia" w:ascii="仿宋_GB2312" w:hAnsi="仿宋_GB2312" w:eastAsia="仿宋_GB2312" w:cs="仿宋_GB2312"/>
          <w:color w:val="000000"/>
          <w:sz w:val="32"/>
          <w:szCs w:val="32"/>
          <w:lang w:bidi="ar-SA"/>
        </w:rPr>
        <w:t>困难残疾人生活补贴</w:t>
      </w:r>
      <w:r>
        <w:rPr>
          <w:rFonts w:hint="eastAsia" w:ascii="仿宋_GB2312" w:hAnsi="仿宋_GB2312" w:eastAsia="仿宋_GB2312" w:cs="仿宋_GB2312"/>
          <w:color w:val="000000"/>
          <w:sz w:val="32"/>
          <w:szCs w:val="32"/>
          <w:lang w:val="en-US" w:eastAsia="zh-CN" w:bidi="ar-SA"/>
        </w:rPr>
        <w:t>125.59</w:t>
      </w:r>
      <w:r>
        <w:rPr>
          <w:rFonts w:hint="eastAsia" w:ascii="仿宋_GB2312" w:hAnsi="仿宋_GB2312" w:eastAsia="仿宋_GB2312" w:cs="仿宋_GB2312"/>
          <w:color w:val="000000"/>
          <w:sz w:val="32"/>
          <w:szCs w:val="32"/>
          <w:lang w:bidi="ar-SA"/>
        </w:rPr>
        <w:t>万元，重度残疾人护理补贴</w:t>
      </w:r>
      <w:r>
        <w:rPr>
          <w:rFonts w:hint="eastAsia" w:ascii="仿宋_GB2312" w:hAnsi="仿宋_GB2312" w:eastAsia="仿宋_GB2312" w:cs="仿宋_GB2312"/>
          <w:color w:val="000000"/>
          <w:sz w:val="32"/>
          <w:szCs w:val="32"/>
          <w:lang w:val="en-US" w:eastAsia="zh-CN" w:bidi="ar-SA"/>
        </w:rPr>
        <w:t>131.145</w:t>
      </w:r>
      <w:r>
        <w:rPr>
          <w:rFonts w:hint="eastAsia" w:ascii="仿宋_GB2312" w:hAnsi="仿宋_GB2312" w:eastAsia="仿宋_GB2312" w:cs="仿宋_GB2312"/>
          <w:color w:val="000000"/>
          <w:sz w:val="32"/>
          <w:szCs w:val="32"/>
          <w:lang w:bidi="ar-SA"/>
        </w:rPr>
        <w:t>万元，精简退职补助1.</w:t>
      </w:r>
      <w:r>
        <w:rPr>
          <w:rFonts w:hint="eastAsia" w:ascii="仿宋_GB2312" w:hAnsi="仿宋_GB2312" w:eastAsia="仿宋_GB2312" w:cs="仿宋_GB2312"/>
          <w:color w:val="000000"/>
          <w:sz w:val="32"/>
          <w:szCs w:val="32"/>
          <w:lang w:val="en-US" w:eastAsia="zh-CN" w:bidi="ar-SA"/>
        </w:rPr>
        <w:t>14</w:t>
      </w:r>
      <w:r>
        <w:rPr>
          <w:rFonts w:hint="eastAsia" w:ascii="仿宋_GB2312" w:hAnsi="仿宋_GB2312" w:eastAsia="仿宋_GB2312" w:cs="仿宋_GB2312"/>
          <w:color w:val="000000"/>
          <w:sz w:val="32"/>
          <w:szCs w:val="32"/>
          <w:lang w:bidi="ar-SA"/>
        </w:rPr>
        <w:t>万元。</w:t>
      </w:r>
    </w:p>
    <w:p w14:paraId="555B85DA">
      <w:pPr>
        <w:widowControl w:val="0"/>
        <w:numPr>
          <w:ilvl w:val="0"/>
          <w:numId w:val="8"/>
        </w:numPr>
        <w:ind w:left="0" w:leftChars="0" w:firstLine="643" w:firstLineChars="200"/>
        <w:jc w:val="both"/>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项目绩效目标设置。</w:t>
      </w:r>
    </w:p>
    <w:p w14:paraId="3D8EA808">
      <w:pPr>
        <w:widowControl w:val="0"/>
        <w:ind w:left="0" w:leftChars="0"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社会救助救济补助资金政策实施到位，大大缓解了残疾人、精简退职人员的生活压力，提高残疾人、精简退职人员的生活质量，保障了残疾人生活和享受护理的权益，维护社会稳定，使党的惠民政策落到实处。</w:t>
      </w:r>
    </w:p>
    <w:p w14:paraId="39504A5C">
      <w:pPr>
        <w:adjustRightInd w:val="0"/>
        <w:snapToGrid w:val="0"/>
        <w:spacing w:line="578" w:lineRule="exact"/>
        <w:ind w:firstLine="640" w:firstLineChars="200"/>
        <w:rPr>
          <w:rFonts w:hint="eastAsia" w:ascii="黑体" w:hAnsi="宋体" w:eastAsia="黑体" w:cs="Times New Roman"/>
          <w:sz w:val="32"/>
          <w:szCs w:val="32"/>
          <w:lang w:bidi="ar-SA"/>
        </w:rPr>
      </w:pPr>
      <w:r>
        <w:rPr>
          <w:rFonts w:hint="eastAsia" w:ascii="黑体" w:hAnsi="宋体" w:eastAsia="黑体" w:cs="Times New Roman"/>
          <w:sz w:val="32"/>
          <w:szCs w:val="32"/>
          <w:lang w:bidi="ar-SA"/>
        </w:rPr>
        <w:t>二、评价实施</w:t>
      </w:r>
    </w:p>
    <w:p w14:paraId="286CB589">
      <w:pPr>
        <w:adjustRightInd w:val="0"/>
        <w:snapToGrid w:val="0"/>
        <w:spacing w:line="560" w:lineRule="exact"/>
        <w:ind w:firstLine="643" w:firstLineChars="200"/>
        <w:rPr>
          <w:rFonts w:hint="eastAsia" w:ascii="仿宋_GB2312" w:hAnsi="仿宋_GB2312" w:eastAsia="仿宋_GB2312" w:cs="仿宋_GB2312"/>
          <w:color w:val="000000"/>
          <w:sz w:val="32"/>
          <w:szCs w:val="32"/>
          <w:lang w:bidi="ar-SA"/>
        </w:rPr>
      </w:pPr>
      <w:r>
        <w:rPr>
          <w:rFonts w:hint="eastAsia" w:ascii="楷体_GB2312" w:hAnsi="宋体" w:eastAsia="楷体_GB2312" w:cs="Times New Roman"/>
          <w:b/>
          <w:sz w:val="32"/>
          <w:szCs w:val="32"/>
          <w:lang w:val="zh-CN" w:bidi="ar-SA"/>
        </w:rPr>
        <w:t>（一）评价目的。</w:t>
      </w:r>
      <w:r>
        <w:rPr>
          <w:rFonts w:ascii="仿宋_GB2312" w:hAnsi="宋体" w:eastAsia="仿宋_GB2312" w:cs="仿宋_GB2312"/>
          <w:color w:val="000000"/>
          <w:sz w:val="32"/>
          <w:szCs w:val="32"/>
          <w:shd w:val="clear" w:color="070000" w:fill="FFFFFF"/>
          <w:lang w:bidi="ar-SA"/>
        </w:rPr>
        <w:t>开展</w:t>
      </w:r>
      <w:r>
        <w:rPr>
          <w:rFonts w:hint="eastAsia" w:ascii="仿宋_GB2312" w:hAnsi="宋体" w:eastAsia="仿宋_GB2312" w:cs="仿宋_GB2312"/>
          <w:color w:val="000000"/>
          <w:sz w:val="32"/>
          <w:szCs w:val="32"/>
          <w:shd w:val="clear" w:color="070000" w:fill="FFFFFF"/>
          <w:lang w:bidi="ar-SA"/>
        </w:rPr>
        <w:t>“</w:t>
      </w:r>
      <w:r>
        <w:rPr>
          <w:rFonts w:hint="eastAsia" w:ascii="仿宋_GB2312" w:hAnsi="宋体" w:eastAsia="仿宋_GB2312" w:cs="仿宋_GB2312"/>
          <w:color w:val="000000"/>
          <w:sz w:val="32"/>
          <w:szCs w:val="32"/>
          <w:shd w:val="clear" w:color="070000" w:fill="FFFFFF"/>
          <w:lang w:eastAsia="zh-CN" w:bidi="ar-SA"/>
        </w:rPr>
        <w:t>社会救助救济</w:t>
      </w:r>
      <w:r>
        <w:rPr>
          <w:rFonts w:hint="eastAsia" w:ascii="仿宋_GB2312" w:hAnsi="宋体" w:eastAsia="仿宋_GB2312" w:cs="仿宋_GB2312"/>
          <w:color w:val="000000"/>
          <w:sz w:val="32"/>
          <w:szCs w:val="32"/>
          <w:shd w:val="clear" w:color="070000" w:fill="FFFFFF"/>
          <w:lang w:bidi="ar-SA"/>
        </w:rPr>
        <w:t>”专项资金绩效评价，是为了在制度技术层面保证政府投资项目的社会效益、经济效益，有效提高政府决策的科学性与准确性，提升财政资金使用效率</w:t>
      </w:r>
      <w:r>
        <w:rPr>
          <w:rFonts w:hint="eastAsia" w:ascii="仿宋_GB2312" w:hAnsi="宋体" w:eastAsia="仿宋_GB2312" w:cs="仿宋_GB2312"/>
          <w:color w:val="000000"/>
          <w:sz w:val="32"/>
          <w:szCs w:val="32"/>
          <w:shd w:val="clear" w:color="070000" w:fill="FFFFFF"/>
          <w:lang w:eastAsia="zh-CN" w:bidi="ar-SA"/>
        </w:rPr>
        <w:t>；</w:t>
      </w:r>
      <w:r>
        <w:rPr>
          <w:rFonts w:hint="eastAsia" w:ascii="仿宋_GB2312" w:hAnsi="宋体" w:eastAsia="仿宋_GB2312" w:cs="仿宋_GB2312"/>
          <w:color w:val="000000"/>
          <w:sz w:val="32"/>
          <w:szCs w:val="32"/>
          <w:shd w:val="clear" w:color="070000" w:fill="FFFFFF"/>
          <w:lang w:bidi="ar-SA"/>
        </w:rPr>
        <w:t>也有助于增加财政管理的透明度和责任意识，保证“</w:t>
      </w:r>
      <w:r>
        <w:rPr>
          <w:rFonts w:hint="eastAsia" w:ascii="仿宋_GB2312" w:hAnsi="宋体" w:eastAsia="仿宋_GB2312" w:cs="仿宋_GB2312"/>
          <w:color w:val="000000"/>
          <w:sz w:val="32"/>
          <w:szCs w:val="32"/>
          <w:shd w:val="clear" w:color="070000" w:fill="FFFFFF"/>
          <w:lang w:eastAsia="zh-CN" w:bidi="ar-SA"/>
        </w:rPr>
        <w:t>残疾人两项补贴</w:t>
      </w:r>
      <w:r>
        <w:rPr>
          <w:rFonts w:hint="eastAsia" w:ascii="仿宋_GB2312" w:hAnsi="宋体" w:eastAsia="仿宋_GB2312" w:cs="仿宋_GB2312"/>
          <w:color w:val="000000"/>
          <w:sz w:val="32"/>
          <w:szCs w:val="32"/>
          <w:shd w:val="clear" w:color="070000" w:fill="FFFFFF"/>
          <w:lang w:bidi="ar-SA"/>
        </w:rPr>
        <w:t>”项目</w:t>
      </w:r>
      <w:r>
        <w:rPr>
          <w:rFonts w:hint="eastAsia" w:ascii="仿宋_GB2312" w:hAnsi="宋体" w:eastAsia="仿宋_GB2312" w:cs="仿宋_GB2312"/>
          <w:color w:val="000000"/>
          <w:sz w:val="32"/>
          <w:szCs w:val="32"/>
          <w:shd w:val="clear" w:color="070000" w:fill="FFFFFF"/>
          <w:lang w:eastAsia="zh-CN" w:bidi="ar-SA"/>
        </w:rPr>
        <w:t>及精简退职职工生活补助项目</w:t>
      </w:r>
      <w:r>
        <w:rPr>
          <w:rFonts w:hint="eastAsia" w:ascii="仿宋_GB2312" w:hAnsi="宋体" w:eastAsia="仿宋_GB2312" w:cs="仿宋_GB2312"/>
          <w:color w:val="000000"/>
          <w:sz w:val="32"/>
          <w:szCs w:val="32"/>
          <w:shd w:val="clear" w:color="070000" w:fill="FFFFFF"/>
          <w:lang w:bidi="ar-SA"/>
        </w:rPr>
        <w:t>的社会效益和经济效益。对项目所产生的各种效益进行衡量的比较和综合评价。为以后强化项目管理，完善财政专项资金绩效评价工作实施提供合理的依据。</w:t>
      </w:r>
    </w:p>
    <w:p w14:paraId="5356501D">
      <w:pPr>
        <w:widowControl w:val="0"/>
        <w:spacing w:line="560" w:lineRule="exact"/>
        <w:ind w:left="0" w:leftChars="0" w:firstLine="643" w:firstLineChars="200"/>
        <w:jc w:val="both"/>
        <w:rPr>
          <w:rFonts w:hint="eastAsia" w:ascii="仿宋_GB2312" w:hAnsi="仿宋_GB2312" w:eastAsia="仿宋_GB2312" w:cs="仿宋_GB2312"/>
          <w:kern w:val="2"/>
          <w:sz w:val="32"/>
          <w:szCs w:val="32"/>
          <w:lang w:val="zh-CN" w:eastAsia="zh-CN" w:bidi="ar-SA"/>
        </w:rPr>
      </w:pPr>
      <w:r>
        <w:rPr>
          <w:rFonts w:hint="eastAsia" w:ascii="楷体_GB2312" w:hAnsi="宋体" w:eastAsia="楷体_GB2312" w:cs="Times New Roman"/>
          <w:b/>
          <w:kern w:val="2"/>
          <w:sz w:val="32"/>
          <w:szCs w:val="32"/>
          <w:lang w:val="zh-CN" w:eastAsia="zh-CN" w:bidi="ar-SA"/>
        </w:rPr>
        <w:t>（二）预设问题及评价重点。</w:t>
      </w:r>
      <w:r>
        <w:rPr>
          <w:rFonts w:ascii="仿宋_GB2312" w:hAnsi="宋体" w:eastAsia="仿宋_GB2312" w:cs="仿宋_GB2312"/>
          <w:color w:val="000000"/>
          <w:kern w:val="2"/>
          <w:sz w:val="32"/>
          <w:szCs w:val="32"/>
          <w:shd w:val="clear" w:color="070000" w:fill="FFFFFF"/>
          <w:lang w:val="en-US" w:eastAsia="zh-CN" w:bidi="ar-SA"/>
        </w:rPr>
        <w:t>了解关于“残疾人两项补贴”项目实施的基本情况，通过实地调查，主要围绕享受残疾人两项补贴的乡</w:t>
      </w:r>
      <w:r>
        <w:rPr>
          <w:rFonts w:hint="eastAsia" w:ascii="仿宋_GB2312" w:hAnsi="宋体" w:eastAsia="仿宋_GB2312" w:cs="仿宋_GB2312"/>
          <w:color w:val="000000"/>
          <w:kern w:val="2"/>
          <w:sz w:val="32"/>
          <w:szCs w:val="32"/>
          <w:shd w:val="clear" w:color="070000" w:fill="FFFFFF"/>
          <w:lang w:val="en-US" w:eastAsia="zh-CN" w:bidi="ar-SA"/>
        </w:rPr>
        <w:t>（镇）数量、享受人员数量、残疾人“两项补贴”政策落实程度、资金使用情况、项目管理情况等方面，客观分析项目的产出和效果，从而考察项目预算定额标准的合理性，进而提出完善意见。对项目的资金收支情况核查，确认项目的财政投入和实际完成资金。</w:t>
      </w:r>
    </w:p>
    <w:p w14:paraId="41A0395E">
      <w:pPr>
        <w:widowControl/>
        <w:ind w:left="420" w:leftChars="200"/>
        <w:jc w:val="left"/>
        <w:rPr>
          <w:rFonts w:ascii="仿宋_GB2312" w:hAnsi="仿宋_GB2312" w:eastAsia="仿宋_GB2312" w:cs="仿宋_GB2312"/>
          <w:sz w:val="32"/>
          <w:szCs w:val="32"/>
          <w:lang w:bidi="ar-SA"/>
        </w:rPr>
      </w:pPr>
      <w:r>
        <w:rPr>
          <w:rFonts w:hint="eastAsia" w:ascii="楷体_GB2312" w:hAnsi="宋体" w:eastAsia="楷体_GB2312" w:cs="Times New Roman"/>
          <w:b/>
          <w:sz w:val="32"/>
          <w:szCs w:val="32"/>
          <w:lang w:val="zh-CN" w:bidi="ar-SA"/>
        </w:rPr>
        <w:t>（三）评价选点。</w:t>
      </w:r>
      <w:r>
        <w:rPr>
          <w:rFonts w:hint="eastAsia" w:ascii="仿宋_GB2312" w:hAnsi="仿宋_GB2312" w:eastAsia="仿宋_GB2312" w:cs="仿宋_GB2312"/>
          <w:sz w:val="32"/>
          <w:szCs w:val="32"/>
          <w:lang w:bidi="ar-SA"/>
        </w:rPr>
        <w:t>通过‌</w:t>
      </w:r>
      <w:r>
        <w:rPr>
          <w:rFonts w:ascii="仿宋_GB2312" w:hAnsi="仿宋_GB2312" w:eastAsia="仿宋_GB2312" w:cs="仿宋_GB2312"/>
          <w:sz w:val="32"/>
          <w:szCs w:val="32"/>
          <w:lang w:bidi="ar-SA"/>
        </w:rPr>
        <w:fldChar w:fldCharType="begin"/>
      </w:r>
      <w:r>
        <w:rPr>
          <w:rFonts w:ascii="仿宋_GB2312" w:hAnsi="仿宋_GB2312" w:eastAsia="仿宋_GB2312" w:cs="仿宋_GB2312"/>
          <w:sz w:val="32"/>
          <w:szCs w:val="32"/>
          <w:lang w:bidi="ar-SA"/>
        </w:rPr>
        <w:instrText xml:space="preserve"> HYPERLINK "https://www.baidu.com/s?rsv_idx=1&amp;wd=%E4%BF%A1%E6%81%AF%E5%8C%96%E6%89%8B%E6%AE%B5&amp;fenlei=256&amp;usm=3&amp;ie=utf-8&amp;rsv_pq=ed898bfd008bd77b&amp;oq=%E9%A1%B9%E7%9B%AE%E7%BB%A9%E6%95%88%E8%87%AA%E8%AF%84%E6%89%80%E6%8A%BD%E6%A0%B7%E7%82%B9%E4%BD%8D%E6%83%85%E5%86%B5%E4%BB%80%E4%B9%88%E6%84%8F%E6%80%9D&amp;rsv_t=85d7RWfBp8rvdhcK7xEOHFJfn7RlwlPbmqzmU1GfaoDpJm9A7dz7OrioDCE&amp;sa=re_dqa_zy" \t "/home/user/Documents\\x/_self" </w:instrText>
      </w:r>
      <w:r>
        <w:rPr>
          <w:rFonts w:ascii="仿宋_GB2312" w:hAnsi="仿宋_GB2312" w:eastAsia="仿宋_GB2312" w:cs="仿宋_GB2312"/>
          <w:sz w:val="32"/>
          <w:szCs w:val="32"/>
          <w:lang w:bidi="ar-SA"/>
        </w:rPr>
        <w:fldChar w:fldCharType="separate"/>
      </w:r>
      <w:r>
        <w:rPr>
          <w:rFonts w:ascii="仿宋_GB2312" w:hAnsi="仿宋_GB2312" w:eastAsia="仿宋_GB2312" w:cs="仿宋_GB2312"/>
          <w:sz w:val="32"/>
          <w:szCs w:val="32"/>
          <w:lang w:val="zh-CN" w:bidi="ar-SA"/>
        </w:rPr>
        <w:t>信息化手段</w:t>
      </w:r>
      <w:r>
        <w:rPr>
          <w:rFonts w:ascii="仿宋_GB2312" w:hAnsi="仿宋_GB2312" w:eastAsia="仿宋_GB2312" w:cs="仿宋_GB2312"/>
          <w:sz w:val="32"/>
          <w:szCs w:val="32"/>
          <w:lang w:bidi="ar-SA"/>
        </w:rPr>
        <w:fldChar w:fldCharType="end"/>
      </w:r>
      <w:r>
        <w:rPr>
          <w:rFonts w:ascii="仿宋_GB2312" w:hAnsi="仿宋_GB2312" w:eastAsia="仿宋_GB2312" w:cs="仿宋_GB2312"/>
          <w:sz w:val="32"/>
          <w:szCs w:val="32"/>
          <w:lang w:bidi="ar-SA"/>
        </w:rPr>
        <w:t>和实地的核查、问卷</w:t>
      </w:r>
    </w:p>
    <w:p w14:paraId="0695DD15">
      <w:pPr>
        <w:widowControl/>
        <w:jc w:val="left"/>
        <w:rPr>
          <w:rFonts w:hint="eastAsia" w:ascii="仿宋_GB2312" w:hAnsi="仿宋_GB2312" w:eastAsia="仿宋_GB2312" w:cs="仿宋_GB2312"/>
          <w:sz w:val="32"/>
          <w:szCs w:val="32"/>
          <w:lang w:val="zh-CN" w:bidi="ar-SA"/>
        </w:rPr>
      </w:pPr>
      <w:r>
        <w:rPr>
          <w:rFonts w:ascii="仿宋_GB2312" w:hAnsi="仿宋_GB2312" w:eastAsia="仿宋_GB2312" w:cs="仿宋_GB2312"/>
          <w:sz w:val="32"/>
          <w:szCs w:val="32"/>
          <w:lang w:bidi="ar-SA"/>
        </w:rPr>
        <w:t>调查等方法，对</w:t>
      </w:r>
      <w:r>
        <w:rPr>
          <w:rFonts w:hint="eastAsia" w:ascii="仿宋_GB2312" w:hAnsi="仿宋_GB2312" w:eastAsia="仿宋_GB2312" w:cs="仿宋_GB2312"/>
          <w:sz w:val="32"/>
          <w:szCs w:val="32"/>
          <w:lang w:eastAsia="zh-CN" w:bidi="ar-SA"/>
        </w:rPr>
        <w:t>各乡镇享受</w:t>
      </w:r>
      <w:r>
        <w:rPr>
          <w:rFonts w:hint="eastAsia" w:ascii="仿宋_GB2312" w:hAnsi="仿宋_GB2312" w:eastAsia="仿宋_GB2312" w:cs="仿宋_GB2312"/>
          <w:sz w:val="32"/>
          <w:szCs w:val="32"/>
          <w:lang w:bidi="ar-SA"/>
        </w:rPr>
        <w:t>该</w:t>
      </w:r>
      <w:r>
        <w:rPr>
          <w:rFonts w:hint="eastAsia" w:ascii="仿宋_GB2312" w:hAnsi="仿宋_GB2312" w:eastAsia="仿宋_GB2312" w:cs="仿宋_GB2312"/>
          <w:sz w:val="32"/>
          <w:szCs w:val="32"/>
          <w:lang w:eastAsia="zh-CN" w:bidi="ar-SA"/>
        </w:rPr>
        <w:t>政策补助的人员</w:t>
      </w:r>
      <w:r>
        <w:rPr>
          <w:rFonts w:ascii="仿宋_GB2312" w:hAnsi="仿宋_GB2312" w:eastAsia="仿宋_GB2312" w:cs="仿宋_GB2312"/>
          <w:sz w:val="32"/>
          <w:szCs w:val="32"/>
          <w:lang w:bidi="ar-SA"/>
        </w:rPr>
        <w:t>进行了评估</w:t>
      </w:r>
      <w:r>
        <w:rPr>
          <w:rFonts w:hint="eastAsia" w:ascii="仿宋_GB2312" w:hAnsi="仿宋_GB2312" w:eastAsia="仿宋_GB2312" w:cs="仿宋_GB2312"/>
          <w:sz w:val="32"/>
          <w:szCs w:val="32"/>
          <w:lang w:bidi="ar-SA"/>
        </w:rPr>
        <w:t>。</w:t>
      </w:r>
    </w:p>
    <w:p w14:paraId="649FBAD0">
      <w:pPr>
        <w:spacing w:line="578" w:lineRule="exact"/>
        <w:ind w:firstLine="643" w:firstLineChars="200"/>
        <w:rPr>
          <w:rFonts w:hint="eastAsia" w:ascii="Times New Roman" w:hAnsi="Times New Roman" w:eastAsia="仿宋_GB2312" w:cs="Times New Roman"/>
          <w:sz w:val="32"/>
          <w:szCs w:val="32"/>
          <w:lang w:bidi="ar-SA"/>
        </w:rPr>
      </w:pPr>
      <w:r>
        <w:rPr>
          <w:rFonts w:hint="eastAsia" w:ascii="楷体_GB2312" w:hAnsi="宋体" w:eastAsia="楷体_GB2312" w:cs="Times New Roman"/>
          <w:b/>
          <w:sz w:val="32"/>
          <w:szCs w:val="32"/>
          <w:lang w:val="zh-CN" w:bidi="ar-SA"/>
        </w:rPr>
        <w:t>（四）评价方法。</w:t>
      </w:r>
      <w:r>
        <w:rPr>
          <w:rFonts w:hint="eastAsia" w:ascii="Times New Roman" w:hAnsi="Times New Roman" w:eastAsia="仿宋_GB2312" w:cs="Times New Roman"/>
          <w:sz w:val="32"/>
          <w:szCs w:val="32"/>
          <w:lang w:val="zh-CN" w:bidi="ar-SA"/>
        </w:rPr>
        <w:t>本次评价采取现场和非现场评价相结合的方式实施，具体采用了比较法、</w:t>
      </w:r>
      <w:r>
        <w:rPr>
          <w:rFonts w:ascii="Times New Roman" w:hAnsi="Times New Roman" w:eastAsia="仿宋_GB2312" w:cs="Times New Roman"/>
          <w:sz w:val="32"/>
          <w:szCs w:val="32"/>
          <w:lang w:bidi="ar-SA"/>
        </w:rPr>
        <w:t>单位自评法、实地勘察法、问卷调查法、座谈调研法等多种方法</w:t>
      </w:r>
      <w:r>
        <w:rPr>
          <w:rFonts w:hint="eastAsia" w:ascii="Times New Roman" w:hAnsi="Times New Roman" w:eastAsia="仿宋_GB2312" w:cs="Times New Roman"/>
          <w:sz w:val="32"/>
          <w:szCs w:val="32"/>
          <w:lang w:eastAsia="zh-CN" w:bidi="ar-SA"/>
        </w:rPr>
        <w:t>，对享受政策的群众进行了全方位评估</w:t>
      </w:r>
      <w:r>
        <w:rPr>
          <w:rFonts w:hint="eastAsia" w:ascii="Times New Roman" w:hAnsi="Times New Roman" w:eastAsia="仿宋_GB2312" w:cs="Times New Roman"/>
          <w:sz w:val="32"/>
          <w:szCs w:val="32"/>
          <w:lang w:bidi="ar-SA"/>
        </w:rPr>
        <w:t>。</w:t>
      </w:r>
    </w:p>
    <w:p w14:paraId="6378BC5A">
      <w:pPr>
        <w:spacing w:line="578" w:lineRule="exact"/>
        <w:ind w:firstLine="640"/>
        <w:rPr>
          <w:rFonts w:hint="eastAsia" w:ascii="Times New Roman" w:hAnsi="Times New Roman" w:eastAsia="楷体_GB2312" w:cs="Times New Roman"/>
          <w:bCs/>
          <w:sz w:val="32"/>
          <w:szCs w:val="32"/>
          <w:lang w:bidi="ar-SA"/>
        </w:rPr>
      </w:pPr>
      <w:r>
        <w:rPr>
          <w:rFonts w:hint="eastAsia" w:ascii="楷体_GB2312" w:hAnsi="宋体" w:eastAsia="楷体_GB2312" w:cs="Times New Roman"/>
          <w:b/>
          <w:sz w:val="32"/>
          <w:szCs w:val="32"/>
          <w:lang w:val="zh-CN" w:bidi="ar-SA"/>
        </w:rPr>
        <w:t>（五）评价组织。</w:t>
      </w:r>
      <w:r>
        <w:rPr>
          <w:rFonts w:hint="eastAsia" w:ascii="Times New Roman" w:hAnsi="Times New Roman" w:eastAsia="仿宋_GB2312" w:cs="Times New Roman"/>
          <w:sz w:val="32"/>
          <w:szCs w:val="32"/>
          <w:lang w:bidi="ar-SA"/>
        </w:rPr>
        <w:t>成立以局长曹玉林为组长，副局长文德艳为副组长，社会救助股、财务室、办公室工作人员为成员的绩效评价小组。</w:t>
      </w:r>
    </w:p>
    <w:p w14:paraId="53B18170">
      <w:pPr>
        <w:adjustRightInd w:val="0"/>
        <w:snapToGrid w:val="0"/>
        <w:spacing w:line="578" w:lineRule="exact"/>
        <w:ind w:firstLine="640" w:firstLineChars="200"/>
        <w:rPr>
          <w:rFonts w:ascii="仿宋_GB2312" w:hAnsi="宋体" w:eastAsia="仿宋_GB2312" w:cs="Times New Roman"/>
          <w:sz w:val="32"/>
          <w:szCs w:val="32"/>
          <w:lang w:val="zh-CN" w:bidi="ar-SA"/>
        </w:rPr>
      </w:pPr>
      <w:r>
        <w:rPr>
          <w:rFonts w:hint="eastAsia" w:ascii="黑体" w:hAnsi="宋体" w:eastAsia="黑体" w:cs="Times New Roman"/>
          <w:sz w:val="32"/>
          <w:szCs w:val="32"/>
          <w:lang w:bidi="ar-SA"/>
        </w:rPr>
        <w:t>三、绩效分析</w:t>
      </w:r>
      <w:r>
        <w:rPr>
          <w:rFonts w:hint="eastAsia" w:ascii="仿宋_GB2312" w:hAnsi="宋体" w:eastAsia="仿宋_GB2312" w:cs="Times New Roman"/>
          <w:sz w:val="32"/>
          <w:szCs w:val="32"/>
          <w:lang w:val="zh-CN" w:bidi="ar-SA"/>
        </w:rPr>
        <w:tab/>
      </w:r>
    </w:p>
    <w:p w14:paraId="052089CF">
      <w:pPr>
        <w:spacing w:line="578" w:lineRule="exact"/>
        <w:ind w:firstLine="640"/>
        <w:rPr>
          <w:rFonts w:hint="eastAsia"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（一）</w:t>
      </w:r>
      <w:r>
        <w:rPr>
          <w:rFonts w:hint="eastAsia" w:ascii="楷体_GB2312" w:hAnsi="宋体" w:eastAsia="楷体_GB2312" w:cs="Times New Roman"/>
          <w:b/>
          <w:sz w:val="32"/>
          <w:szCs w:val="32"/>
          <w:lang w:bidi="ar-SA"/>
        </w:rPr>
        <w:t>通用指标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1F9D8CAC">
      <w:pPr>
        <w:spacing w:line="578" w:lineRule="exact"/>
        <w:ind w:firstLine="64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1.项目决策。</w:t>
      </w:r>
      <w:r>
        <w:rPr>
          <w:rFonts w:hint="eastAsia" w:ascii="Times New Roman" w:hAnsi="Times New Roman" w:eastAsia="仿宋_GB2312" w:cs="Times New Roman"/>
          <w:sz w:val="32"/>
          <w:szCs w:val="32"/>
          <w:lang w:bidi="ar-SA"/>
        </w:rPr>
        <w:t>社会救助救济补助资金制度为保障基本民生、维护社会稳定，助力脱贫攻坚发挥重要作用。</w:t>
      </w:r>
    </w:p>
    <w:p w14:paraId="08A3BB94">
      <w:pPr>
        <w:spacing w:line="578" w:lineRule="exact"/>
        <w:ind w:firstLine="64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2.项目管理。</w:t>
      </w:r>
      <w:r>
        <w:rPr>
          <w:rFonts w:hint="eastAsia" w:ascii="Times New Roman" w:hAnsi="Times New Roman" w:eastAsia="仿宋_GB2312" w:cs="Times New Roman"/>
          <w:sz w:val="32"/>
          <w:szCs w:val="32"/>
          <w:lang w:bidi="ar-SA"/>
        </w:rPr>
        <w:t>完善比对机制，推动源头治理。定期对享受残疾人社会救助救济补助资金人员的信息与低保对象、殡葬信息、残联和乡村振兴局等相关数据进行比对、筛查，杜绝因死亡或不符合条件仍然享受补贴的情况，建立监测预警机制，源头治理不规范问题，坚决杜绝虚报、冒领等现象发生。</w:t>
      </w:r>
    </w:p>
    <w:p w14:paraId="2F9BD250">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楷体_GB2312" w:hAnsi="楷体_GB2312" w:eastAsia="楷体_GB2312" w:cs="楷体_GB2312"/>
          <w:sz w:val="32"/>
          <w:szCs w:val="32"/>
          <w:lang w:bidi="ar-SA"/>
        </w:rPr>
        <w:t>3.项目实施。</w:t>
      </w:r>
      <w:r>
        <w:rPr>
          <w:rFonts w:hint="eastAsia" w:ascii="仿宋_GB2312" w:hAnsi="仿宋_GB2312" w:eastAsia="楷体_GB2312" w:cs="仿宋_GB2312"/>
          <w:color w:val="000000"/>
          <w:sz w:val="32"/>
          <w:szCs w:val="32"/>
          <w:lang w:eastAsia="zh-CN" w:bidi="ar-SA"/>
        </w:rPr>
        <w:t>2024</w:t>
      </w:r>
      <w:r>
        <w:rPr>
          <w:rFonts w:hint="eastAsia" w:ascii="仿宋_GB2312" w:hAnsi="仿宋_GB2312" w:eastAsia="仿宋_GB2312" w:cs="仿宋_GB2312"/>
          <w:color w:val="000000"/>
          <w:sz w:val="32"/>
          <w:szCs w:val="32"/>
          <w:lang w:bidi="ar-SA"/>
        </w:rPr>
        <w:t>年社会救助救济补助预算安排</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万元，实际到位</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万元，含困难残疾人生活补贴</w:t>
      </w:r>
      <w:r>
        <w:rPr>
          <w:rFonts w:hint="eastAsia" w:ascii="仿宋_GB2312" w:hAnsi="仿宋_GB2312" w:eastAsia="仿宋_GB2312" w:cs="仿宋_GB2312"/>
          <w:color w:val="000000"/>
          <w:sz w:val="32"/>
          <w:szCs w:val="32"/>
          <w:lang w:val="en-US" w:eastAsia="zh-CN" w:bidi="ar-SA"/>
        </w:rPr>
        <w:t>125.59</w:t>
      </w:r>
      <w:r>
        <w:rPr>
          <w:rFonts w:hint="eastAsia" w:ascii="仿宋_GB2312" w:hAnsi="仿宋_GB2312" w:eastAsia="仿宋_GB2312" w:cs="仿宋_GB2312"/>
          <w:color w:val="000000"/>
          <w:sz w:val="32"/>
          <w:szCs w:val="32"/>
          <w:lang w:bidi="ar-SA"/>
        </w:rPr>
        <w:t>万元，重度残疾人护理补贴</w:t>
      </w:r>
      <w:r>
        <w:rPr>
          <w:rFonts w:hint="eastAsia" w:ascii="仿宋_GB2312" w:hAnsi="仿宋_GB2312" w:eastAsia="仿宋_GB2312" w:cs="仿宋_GB2312"/>
          <w:color w:val="000000"/>
          <w:sz w:val="32"/>
          <w:szCs w:val="32"/>
          <w:lang w:val="en-US" w:eastAsia="zh-CN" w:bidi="ar-SA"/>
        </w:rPr>
        <w:t>131.145</w:t>
      </w:r>
      <w:r>
        <w:rPr>
          <w:rFonts w:hint="eastAsia" w:ascii="仿宋_GB2312" w:hAnsi="仿宋_GB2312" w:eastAsia="仿宋_GB2312" w:cs="仿宋_GB2312"/>
          <w:color w:val="000000"/>
          <w:sz w:val="32"/>
          <w:szCs w:val="32"/>
          <w:lang w:bidi="ar-SA"/>
        </w:rPr>
        <w:t>万元，精简退职补助1.</w:t>
      </w:r>
      <w:r>
        <w:rPr>
          <w:rFonts w:hint="eastAsia" w:ascii="仿宋_GB2312" w:hAnsi="仿宋_GB2312" w:eastAsia="仿宋_GB2312" w:cs="仿宋_GB2312"/>
          <w:color w:val="000000"/>
          <w:sz w:val="32"/>
          <w:szCs w:val="32"/>
          <w:lang w:val="en-US" w:eastAsia="zh-CN" w:bidi="ar-SA"/>
        </w:rPr>
        <w:t>14</w:t>
      </w:r>
      <w:r>
        <w:rPr>
          <w:rFonts w:hint="eastAsia" w:ascii="仿宋_GB2312" w:hAnsi="仿宋_GB2312" w:eastAsia="仿宋_GB2312" w:cs="仿宋_GB2312"/>
          <w:color w:val="000000"/>
          <w:sz w:val="32"/>
          <w:szCs w:val="32"/>
          <w:lang w:bidi="ar-SA"/>
        </w:rPr>
        <w:t>万元。</w:t>
      </w:r>
    </w:p>
    <w:p w14:paraId="6EF37C25">
      <w:pPr>
        <w:ind w:firstLine="640" w:firstLineChars="200"/>
        <w:rPr>
          <w:rFonts w:hint="eastAsia" w:ascii="Times New Roman" w:hAnsi="Times New Roman" w:eastAsia="仿宋_GB2312" w:cs="Times New Roman"/>
          <w:sz w:val="32"/>
          <w:szCs w:val="32"/>
          <w:lang w:eastAsia="zh-CN" w:bidi="ar-SA"/>
        </w:rPr>
      </w:pPr>
      <w:r>
        <w:rPr>
          <w:rFonts w:hint="eastAsia" w:ascii="楷体_GB2312" w:hAnsi="楷体_GB2312" w:eastAsia="楷体_GB2312" w:cs="楷体_GB2312"/>
          <w:sz w:val="32"/>
          <w:szCs w:val="32"/>
          <w:lang w:bidi="ar-SA"/>
        </w:rPr>
        <w:t>4.项目结果。</w:t>
      </w:r>
      <w:r>
        <w:rPr>
          <w:rFonts w:hint="eastAsia" w:ascii="Times New Roman" w:hAnsi="Times New Roman" w:eastAsia="楷体_GB2312" w:cs="Times New Roman"/>
          <w:sz w:val="32"/>
          <w:szCs w:val="32"/>
          <w:lang w:eastAsia="zh-CN" w:bidi="ar-SA"/>
        </w:rPr>
        <w:t>2024</w:t>
      </w:r>
      <w:r>
        <w:rPr>
          <w:rFonts w:hint="eastAsia" w:ascii="Times New Roman" w:hAnsi="Times New Roman" w:eastAsia="仿宋_GB2312" w:cs="Times New Roman"/>
          <w:sz w:val="32"/>
          <w:szCs w:val="32"/>
          <w:lang w:bidi="ar-SA"/>
        </w:rPr>
        <w:t>年</w:t>
      </w:r>
      <w:r>
        <w:rPr>
          <w:rFonts w:hint="eastAsia" w:ascii="Times New Roman" w:hAnsi="Times New Roman" w:eastAsia="仿宋_GB2312" w:cs="Times New Roman"/>
          <w:sz w:val="32"/>
          <w:szCs w:val="32"/>
          <w:lang w:eastAsia="zh-CN" w:bidi="ar-SA"/>
        </w:rPr>
        <w:t>社会</w:t>
      </w:r>
      <w:r>
        <w:rPr>
          <w:rFonts w:hint="eastAsia" w:ascii="Times New Roman" w:hAnsi="Times New Roman" w:eastAsia="仿宋_GB2312" w:cs="Times New Roman"/>
          <w:sz w:val="32"/>
          <w:szCs w:val="32"/>
          <w:lang w:bidi="ar-SA"/>
        </w:rPr>
        <w:t>救助</w:t>
      </w:r>
      <w:r>
        <w:rPr>
          <w:rFonts w:hint="eastAsia" w:ascii="Times New Roman" w:hAnsi="Times New Roman" w:eastAsia="仿宋_GB2312" w:cs="Times New Roman"/>
          <w:sz w:val="32"/>
          <w:szCs w:val="32"/>
          <w:lang w:eastAsia="zh-CN" w:bidi="ar-SA"/>
        </w:rPr>
        <w:t>救济</w:t>
      </w:r>
      <w:r>
        <w:rPr>
          <w:rFonts w:hint="eastAsia" w:ascii="Times New Roman" w:hAnsi="Times New Roman" w:eastAsia="仿宋_GB2312" w:cs="Times New Roman"/>
          <w:sz w:val="32"/>
          <w:szCs w:val="32"/>
          <w:lang w:bidi="ar-SA"/>
        </w:rPr>
        <w:t>资金已按时全额支付</w:t>
      </w:r>
      <w:r>
        <w:rPr>
          <w:rFonts w:hint="eastAsia" w:ascii="Times New Roman" w:hAnsi="Times New Roman" w:eastAsia="仿宋_GB2312" w:cs="Times New Roman"/>
          <w:sz w:val="32"/>
          <w:szCs w:val="32"/>
          <w:lang w:eastAsia="zh-CN" w:bidi="ar-SA"/>
        </w:rPr>
        <w:t>，不存在挪用情况。</w:t>
      </w:r>
    </w:p>
    <w:p w14:paraId="15070B0D">
      <w:pPr>
        <w:spacing w:line="578" w:lineRule="exact"/>
        <w:ind w:firstLine="643" w:firstLineChars="200"/>
        <w:rPr>
          <w:rFonts w:hint="eastAsia" w:ascii="楷体_GB2312" w:hAnsi="楷体_GB2312" w:eastAsia="楷体_GB2312" w:cs="楷体_GB2312"/>
          <w:sz w:val="32"/>
          <w:szCs w:val="32"/>
          <w:lang w:val="zh-CN" w:bidi="ar-SA"/>
        </w:rPr>
      </w:pPr>
      <w:r>
        <w:rPr>
          <w:rFonts w:hint="eastAsia" w:ascii="楷体_GB2312" w:hAnsi="宋体" w:eastAsia="楷体_GB2312" w:cs="Times New Roman"/>
          <w:b/>
          <w:sz w:val="32"/>
          <w:szCs w:val="32"/>
          <w:lang w:val="zh-CN" w:bidi="ar-SA"/>
        </w:rPr>
        <w:t>（二）</w:t>
      </w:r>
      <w:r>
        <w:rPr>
          <w:rFonts w:hint="eastAsia" w:ascii="楷体_GB2312" w:hAnsi="宋体" w:eastAsia="楷体_GB2312" w:cs="Times New Roman"/>
          <w:b/>
          <w:sz w:val="32"/>
          <w:szCs w:val="32"/>
          <w:lang w:bidi="ar-SA"/>
        </w:rPr>
        <w:t>专用指标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16E33983">
      <w:pPr>
        <w:spacing w:line="578" w:lineRule="exact"/>
        <w:ind w:firstLine="640" w:firstLineChars="20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val="zh-CN" w:bidi="ar-SA"/>
        </w:rPr>
        <w:t>民生保障。</w:t>
      </w:r>
      <w:r>
        <w:rPr>
          <w:rFonts w:hint="eastAsia" w:ascii="Times New Roman" w:hAnsi="Times New Roman" w:eastAsia="仿宋_GB2312" w:cs="Times New Roman"/>
          <w:sz w:val="32"/>
          <w:szCs w:val="32"/>
          <w:lang w:bidi="ar-SA"/>
        </w:rPr>
        <w:t>区域均衡情况</w:t>
      </w:r>
      <w:r>
        <w:rPr>
          <w:rFonts w:hint="eastAsia" w:eastAsia="仿宋_GB2312" w:cs="Times New Roman"/>
          <w:sz w:val="32"/>
          <w:szCs w:val="32"/>
          <w:lang w:eastAsia="zh-CN" w:bidi="ar-SA"/>
        </w:rPr>
        <w:t>有效</w:t>
      </w:r>
      <w:r>
        <w:rPr>
          <w:rFonts w:hint="eastAsia" w:ascii="Times New Roman" w:hAnsi="Times New Roman" w:eastAsia="仿宋_GB2312" w:cs="Times New Roman"/>
          <w:sz w:val="32"/>
          <w:szCs w:val="32"/>
          <w:lang w:bidi="ar-SA"/>
        </w:rPr>
        <w:t>得到改善、区域间差距缩小，资金分配和实施结果精准，不存在明显的排他性和歧视性情形，按量及时落实到补助对象个人社保卡上。不存在多发、漏发、重发、迟发等情况，群众满意度较高。</w:t>
      </w:r>
    </w:p>
    <w:p w14:paraId="64F684A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bidi="ar-SA"/>
        </w:rPr>
        <w:t>（三）</w:t>
      </w:r>
      <w:r>
        <w:rPr>
          <w:rFonts w:hint="default" w:ascii="Times New Roman"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bCs/>
          <w:color w:val="000000"/>
          <w:kern w:val="0"/>
          <w:sz w:val="32"/>
          <w:szCs w:val="32"/>
          <w:highlight w:val="none"/>
          <w:shd w:val="clear" w:color="auto" w:fill="FFFFFF"/>
          <w:lang w:val="zh-CN" w:bidi="ar-SA"/>
        </w:rPr>
        <w:t>绩效分析。</w:t>
      </w:r>
    </w:p>
    <w:p w14:paraId="4F29F3EA">
      <w:pPr>
        <w:widowControl w:val="0"/>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社会效益：2024年困难残疾人</w:t>
      </w:r>
      <w:r>
        <w:rPr>
          <w:rFonts w:hint="eastAsia" w:eastAsia="仿宋_GB2312" w:cs="Times New Roman"/>
          <w:kern w:val="2"/>
          <w:sz w:val="32"/>
          <w:szCs w:val="32"/>
          <w:lang w:val="en-US" w:eastAsia="zh-CN" w:bidi="ar-SA"/>
        </w:rPr>
        <w:t>截至12月底</w:t>
      </w:r>
      <w:r>
        <w:rPr>
          <w:rFonts w:hint="eastAsia" w:ascii="Times New Roman" w:hAnsi="Times New Roman" w:eastAsia="仿宋_GB2312" w:cs="Times New Roman"/>
          <w:kern w:val="2"/>
          <w:sz w:val="32"/>
          <w:szCs w:val="32"/>
          <w:lang w:val="en-US" w:eastAsia="zh-CN" w:bidi="ar-SA"/>
        </w:rPr>
        <w:t>累计保障人次为：12565，重度残疾人</w:t>
      </w:r>
      <w:r>
        <w:rPr>
          <w:rFonts w:hint="eastAsia" w:eastAsia="仿宋_GB2312" w:cs="Times New Roman"/>
          <w:kern w:val="2"/>
          <w:sz w:val="32"/>
          <w:szCs w:val="32"/>
          <w:lang w:val="en-US" w:eastAsia="zh-CN" w:bidi="ar-SA"/>
        </w:rPr>
        <w:t>截至</w:t>
      </w:r>
      <w:r>
        <w:rPr>
          <w:rFonts w:hint="eastAsia" w:ascii="Times New Roman" w:hAnsi="Times New Roman" w:eastAsia="仿宋_GB2312" w:cs="Times New Roman"/>
          <w:kern w:val="2"/>
          <w:sz w:val="32"/>
          <w:szCs w:val="32"/>
          <w:lang w:val="en-US" w:eastAsia="zh-CN" w:bidi="ar-SA"/>
        </w:rPr>
        <w:t>12月底累计保障人次为：13815，精简退职职工</w:t>
      </w:r>
      <w:r>
        <w:rPr>
          <w:rFonts w:hint="eastAsia" w:eastAsia="仿宋_GB2312" w:cs="Times New Roman"/>
          <w:kern w:val="2"/>
          <w:sz w:val="32"/>
          <w:szCs w:val="32"/>
          <w:lang w:val="en-US" w:eastAsia="zh-CN" w:bidi="ar-SA"/>
        </w:rPr>
        <w:t>截至12月底</w:t>
      </w:r>
      <w:r>
        <w:rPr>
          <w:rFonts w:hint="eastAsia" w:ascii="Times New Roman" w:hAnsi="Times New Roman" w:eastAsia="仿宋_GB2312" w:cs="Times New Roman"/>
          <w:kern w:val="2"/>
          <w:sz w:val="32"/>
          <w:szCs w:val="32"/>
          <w:lang w:val="en-US" w:eastAsia="zh-CN" w:bidi="ar-SA"/>
        </w:rPr>
        <w:t>累计保障人次为：19。降低了脱贫人口返贫风险。</w:t>
      </w:r>
    </w:p>
    <w:p w14:paraId="3E632CD4">
      <w:pPr>
        <w:widowControl/>
        <w:spacing w:line="600" w:lineRule="exact"/>
        <w:ind w:firstLine="640" w:firstLineChars="200"/>
        <w:jc w:val="left"/>
        <w:rPr>
          <w:rFonts w:hint="eastAsia" w:ascii="黑体" w:hAnsi="宋体" w:eastAsia="黑体" w:cs="Times New Roman"/>
          <w:kern w:val="0"/>
          <w:position w:val="3"/>
          <w:sz w:val="32"/>
          <w:szCs w:val="32"/>
          <w:lang w:val="en-US" w:eastAsia="en-US" w:bidi="ar-SA"/>
        </w:rPr>
      </w:pPr>
      <w:r>
        <w:rPr>
          <w:rFonts w:hint="eastAsia" w:ascii="黑体" w:hAnsi="宋体" w:eastAsia="黑体" w:cs="Times New Roman"/>
          <w:kern w:val="0"/>
          <w:position w:val="3"/>
          <w:sz w:val="32"/>
          <w:szCs w:val="32"/>
          <w:lang w:val="en-US" w:eastAsia="zh-CN" w:bidi="ar-SA"/>
        </w:rPr>
        <w:t>四</w:t>
      </w:r>
      <w:r>
        <w:rPr>
          <w:rFonts w:hint="eastAsia" w:ascii="黑体" w:hAnsi="宋体" w:eastAsia="黑体" w:cs="Times New Roman"/>
          <w:kern w:val="0"/>
          <w:position w:val="3"/>
          <w:sz w:val="32"/>
          <w:szCs w:val="32"/>
          <w:lang w:val="en-US" w:eastAsia="en-US" w:bidi="ar-SA"/>
        </w:rPr>
        <w:t>、评价结论</w:t>
      </w:r>
    </w:p>
    <w:p w14:paraId="44EBFE7A">
      <w:pPr>
        <w:widowControl/>
        <w:spacing w:line="600" w:lineRule="exact"/>
        <w:ind w:firstLine="640" w:firstLineChars="200"/>
        <w:jc w:val="left"/>
        <w:rPr>
          <w:rFonts w:ascii="黑体" w:hAnsi="黑体" w:eastAsia="仿宋_GB2312" w:cs="黑体"/>
          <w:kern w:val="2"/>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社会救助救济政策实施到位，大大缓解了残疾人和精简退职职工的生活压力，提高了残疾人的生活质量，保障了残疾人生活和享受护理的权益，维护了社会稳定，使党的惠民政策落到实处。已达到预期效果，实现应保尽保、应退尽退，</w:t>
      </w:r>
      <w:r>
        <w:rPr>
          <w:rFonts w:ascii="仿宋_GB2312" w:hAnsi="仿宋_GB2312" w:eastAsia="仿宋_GB2312" w:cs="仿宋_GB2312"/>
          <w:color w:val="000000"/>
          <w:kern w:val="0"/>
          <w:position w:val="3"/>
          <w:sz w:val="31"/>
          <w:szCs w:val="31"/>
          <w:shd w:val="clear" w:color="070000" w:fill="FFFFFF"/>
          <w:lang w:val="en-US" w:eastAsia="en-US" w:bidi="ar-SA"/>
        </w:rPr>
        <w:t>未偏离绩效目标</w:t>
      </w:r>
      <w:r>
        <w:rPr>
          <w:rFonts w:hint="eastAsia" w:ascii="仿宋_GB2312" w:hAnsi="仿宋_GB2312" w:eastAsia="仿宋_GB2312" w:cs="仿宋_GB2312"/>
          <w:color w:val="000000"/>
          <w:kern w:val="0"/>
          <w:position w:val="3"/>
          <w:sz w:val="31"/>
          <w:szCs w:val="31"/>
          <w:shd w:val="clear" w:color="070000" w:fill="FFFFFF"/>
          <w:lang w:val="en-US" w:eastAsia="zh-CN" w:bidi="ar-SA"/>
        </w:rPr>
        <w:t>。通过自评综合得分89分。</w:t>
      </w:r>
    </w:p>
    <w:p w14:paraId="46965F2C">
      <w:pPr>
        <w:widowControl/>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14:paraId="727B5113">
      <w:pPr>
        <w:spacing w:line="560" w:lineRule="exact"/>
        <w:ind w:firstLine="640" w:firstLineChars="200"/>
        <w:rPr>
          <w:rFonts w:hint="eastAsia" w:ascii="黑体" w:hAnsi="黑体" w:eastAsia="仿宋_GB2312" w:cs="黑体"/>
          <w:sz w:val="32"/>
          <w:szCs w:val="32"/>
          <w:lang w:bidi="ar-SA"/>
        </w:rPr>
      </w:pPr>
      <w:r>
        <w:rPr>
          <w:rFonts w:hint="eastAsia" w:ascii="仿宋_GB2312" w:hAnsi="仿宋_GB2312" w:eastAsia="仿宋_GB2312" w:cs="仿宋_GB2312"/>
          <w:sz w:val="32"/>
          <w:szCs w:val="32"/>
          <w:lang w:bidi="ar-SA"/>
        </w:rPr>
        <w:t>基层民政工作队伍薄弱。</w:t>
      </w:r>
      <w:r>
        <w:rPr>
          <w:rFonts w:hint="eastAsia" w:ascii="仿宋_GB2312" w:hAnsi="仿宋_GB2312" w:eastAsia="仿宋_GB2312" w:cs="仿宋_GB2312"/>
          <w:sz w:val="32"/>
          <w:szCs w:val="32"/>
          <w:lang w:val="zh-CN" w:bidi="ar-SA"/>
        </w:rPr>
        <w:t>民政救助项目多数需要建立长期动态管理机制，在民政政策宣传、咨询、调查核实、落实管理措施等工作需要一定的人力和财力。</w:t>
      </w:r>
    </w:p>
    <w:p w14:paraId="6658AF56">
      <w:pPr>
        <w:widowControl/>
        <w:spacing w:line="600" w:lineRule="exact"/>
        <w:ind w:firstLine="640" w:firstLineChars="200"/>
        <w:jc w:val="left"/>
        <w:rPr>
          <w:rFonts w:hint="eastAsia"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14:paraId="7FCF5132">
      <w:pPr>
        <w:widowControl/>
        <w:jc w:val="left"/>
        <w:rPr>
          <w:rFonts w:ascii="仿宋_GB2312" w:hAnsi="仿宋_GB2312" w:eastAsia="仿宋_GB2312" w:cs="仿宋_GB2312"/>
          <w:sz w:val="32"/>
          <w:szCs w:val="32"/>
          <w:lang w:bidi="ar-SA"/>
        </w:rPr>
      </w:pPr>
      <w:r>
        <w:rPr>
          <w:rFonts w:hint="eastAsia" w:ascii="仿宋_GB2312" w:hAnsi="仿宋_GB2312" w:eastAsia="仿宋_GB2312" w:cs="仿宋_GB2312"/>
          <w:kern w:val="0"/>
          <w:sz w:val="32"/>
          <w:szCs w:val="32"/>
          <w:shd w:val="clear" w:color="auto" w:fill="FFFFFF"/>
          <w:lang w:val="zh-CN" w:bidi="ar-SA"/>
        </w:rPr>
        <w:t xml:space="preserve"> </w:t>
      </w:r>
      <w:r>
        <w:rPr>
          <w:rFonts w:hint="eastAsia" w:ascii="仿宋_GB2312" w:hAnsi="仿宋_GB2312" w:eastAsia="仿宋_GB2312" w:cs="仿宋_GB2312"/>
          <w:kern w:val="0"/>
          <w:sz w:val="32"/>
          <w:szCs w:val="32"/>
          <w:lang w:bidi="ar-SA"/>
        </w:rPr>
        <w:t xml:space="preserve">  </w:t>
      </w:r>
      <w:r>
        <w:rPr>
          <w:rFonts w:hint="eastAsia" w:ascii="仿宋_GB2312" w:hAnsi="仿宋_GB2312" w:eastAsia="仿宋_GB2312" w:cs="仿宋_GB2312"/>
          <w:sz w:val="32"/>
          <w:szCs w:val="32"/>
          <w:lang w:bidi="ar-SA"/>
        </w:rPr>
        <w:t xml:space="preserve"> 加强政策宣传，提高业务水平。采取多样化形式加大残疾人两项补贴政策宣传，积极做好补贴政策解释工作，加强工作人员对全国残疾人两项补贴信息系统使用的培训，提高工作人员对政策执行和系统使用的水平。加强对残疾人两项补贴的组织实施，及时帮助残疾人办理补贴申请，切实将民生工程落到实处。</w:t>
      </w:r>
    </w:p>
    <w:p w14:paraId="65B7C1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r>
        <w:rPr>
          <w:rFonts w:hint="eastAsia" w:ascii="Times New Roman" w:hAnsi="Times New Roman" w:eastAsia="仿宋_GB2312" w:cs="仿宋_GB2312"/>
          <w:b w:val="0"/>
          <w:bCs w:val="0"/>
          <w:kern w:val="0"/>
          <w:position w:val="0"/>
          <w:sz w:val="32"/>
          <w:szCs w:val="32"/>
          <w:highlight w:val="none"/>
          <w:lang w:val="en-US" w:eastAsia="zh-CN"/>
        </w:rPr>
        <w:br w:type="page"/>
      </w:r>
    </w:p>
    <w:p w14:paraId="7DB544E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4"/>
          <w:rFonts w:hint="eastAsia" w:ascii="Times New Roman" w:hAnsi="Times New Roman" w:eastAsia="黑体"/>
          <w:b w:val="0"/>
          <w:color w:val="auto"/>
          <w:highlight w:val="none"/>
        </w:rPr>
        <w:t>五部分 附表</w:t>
      </w:r>
      <w:bookmarkEnd w:id="55"/>
      <w:bookmarkEnd w:id="58"/>
      <w:bookmarkStart w:id="59" w:name="_Toc15396619"/>
    </w:p>
    <w:p w14:paraId="12766F1F">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4E1DAD8">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717D085B">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34D4999D">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5097843F">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35D29DFD">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78480040">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306B26F3">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0597C20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286F57AE">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6140B600">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53D4E571">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558595E">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2F1DCEF9">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35036352">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3CB676-4FBB-4AA2-A45C-1F7C10D9E6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9B6A3D3-E2F4-4AF7-B902-AD3A8F1366A3}"/>
  </w:font>
  <w:font w:name="仿宋">
    <w:panose1 w:val="02010609060101010101"/>
    <w:charset w:val="86"/>
    <w:family w:val="auto"/>
    <w:pitch w:val="default"/>
    <w:sig w:usb0="800002BF" w:usb1="38CF7CFA" w:usb2="00000016" w:usb3="00000000" w:csb0="00040001" w:csb1="00000000"/>
    <w:embedRegular r:id="rId3" w:fontKey="{E322E7B9-78E0-4BB7-8A1E-87A61B838365}"/>
  </w:font>
  <w:font w:name="方正仿宋简体">
    <w:altName w:val="宋体"/>
    <w:panose1 w:val="03000509000000000000"/>
    <w:charset w:val="86"/>
    <w:family w:val="auto"/>
    <w:pitch w:val="default"/>
    <w:sig w:usb0="00000000" w:usb1="00000000" w:usb2="00000000" w:usb3="00000000" w:csb0="00040000" w:csb1="00000000"/>
  </w:font>
  <w:font w:name="??">
    <w:altName w:val="仿宋_GB2312"/>
    <w:panose1 w:val="00000000000000000000"/>
    <w:charset w:val="00"/>
    <w:family w:val="auto"/>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D233A05F-DF15-4CDC-953E-E24AA322B415}"/>
  </w:font>
  <w:font w:name="楷体_GB2312">
    <w:panose1 w:val="02010609030101010101"/>
    <w:charset w:val="86"/>
    <w:family w:val="auto"/>
    <w:pitch w:val="default"/>
    <w:sig w:usb0="00000001" w:usb1="080E0000" w:usb2="00000000" w:usb3="00000000" w:csb0="00040000" w:csb1="00000000"/>
    <w:embedRegular r:id="rId5" w:fontKey="{FBD171C6-C191-4D66-9D79-39DA2337C50B}"/>
  </w:font>
  <w:font w:name="方正仿宋_GB2312">
    <w:panose1 w:val="02000000000000000000"/>
    <w:charset w:val="86"/>
    <w:family w:val="auto"/>
    <w:pitch w:val="default"/>
    <w:sig w:usb0="A00002BF" w:usb1="184F6CFA" w:usb2="00000012" w:usb3="00000000" w:csb0="00040001" w:csb1="00000000"/>
    <w:embedRegular r:id="rId6" w:fontKey="{A4F94083-AC08-43BF-8E9F-C730F96FD6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E4B8">
    <w:pPr>
      <w:pStyle w:val="11"/>
      <w:jc w:val="center"/>
    </w:pPr>
  </w:p>
  <w:p w14:paraId="7DC7317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D470">
    <w:pPr>
      <w:pStyle w:val="11"/>
      <w:jc w:val="center"/>
    </w:pPr>
  </w:p>
  <w:p w14:paraId="552AB6F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62A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E5A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872D4"/>
    <w:multiLevelType w:val="singleLevel"/>
    <w:tmpl w:val="892872D4"/>
    <w:lvl w:ilvl="0" w:tentative="0">
      <w:start w:val="3"/>
      <w:numFmt w:val="chineseCounting"/>
      <w:suff w:val="nothing"/>
      <w:lvlText w:val="（%1）"/>
      <w:lvlJc w:val="left"/>
      <w:rPr>
        <w:rFonts w:hint="eastAsia"/>
      </w:rPr>
    </w:lvl>
  </w:abstractNum>
  <w:abstractNum w:abstractNumId="1">
    <w:nsid w:val="904F6CBF"/>
    <w:multiLevelType w:val="singleLevel"/>
    <w:tmpl w:val="904F6CBF"/>
    <w:lvl w:ilvl="0" w:tentative="0">
      <w:start w:val="1"/>
      <w:numFmt w:val="chineseCounting"/>
      <w:suff w:val="nothing"/>
      <w:lvlText w:val="%1、"/>
      <w:lvlJc w:val="left"/>
      <w:rPr>
        <w:rFonts w:hint="eastAsia"/>
      </w:rPr>
    </w:lvl>
  </w:abstractNum>
  <w:abstractNum w:abstractNumId="2">
    <w:nsid w:val="A90123C6"/>
    <w:multiLevelType w:val="singleLevel"/>
    <w:tmpl w:val="A90123C6"/>
    <w:lvl w:ilvl="0" w:tentative="0">
      <w:start w:val="2"/>
      <w:numFmt w:val="chineseCounting"/>
      <w:suff w:val="nothing"/>
      <w:lvlText w:val="（%1）"/>
      <w:lvlJc w:val="left"/>
      <w:rPr>
        <w:rFonts w:hint="eastAsia"/>
      </w:rPr>
    </w:lvl>
  </w:abstractNum>
  <w:abstractNum w:abstractNumId="3">
    <w:nsid w:val="E30FC78F"/>
    <w:multiLevelType w:val="singleLevel"/>
    <w:tmpl w:val="E30FC78F"/>
    <w:lvl w:ilvl="0" w:tentative="0">
      <w:start w:val="2"/>
      <w:numFmt w:val="chineseCounting"/>
      <w:suff w:val="nothing"/>
      <w:lvlText w:val="（%1）"/>
      <w:lvlJc w:val="left"/>
      <w:rPr>
        <w:rFonts w:hint="eastAsia"/>
      </w:rPr>
    </w:lvl>
  </w:abstractNum>
  <w:abstractNum w:abstractNumId="4">
    <w:nsid w:val="EF5F693E"/>
    <w:multiLevelType w:val="singleLevel"/>
    <w:tmpl w:val="EF5F693E"/>
    <w:lvl w:ilvl="0" w:tentative="0">
      <w:start w:val="3"/>
      <w:numFmt w:val="decimal"/>
      <w:lvlText w:val="%1."/>
      <w:lvlJc w:val="left"/>
      <w:pPr>
        <w:tabs>
          <w:tab w:val="left" w:pos="312"/>
        </w:tabs>
      </w:pPr>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abstractNum w:abstractNumId="6">
    <w:nsid w:val="00000009"/>
    <w:multiLevelType w:val="multilevel"/>
    <w:tmpl w:val="00000009"/>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36C6A603"/>
    <w:multiLevelType w:val="singleLevel"/>
    <w:tmpl w:val="36C6A603"/>
    <w:lvl w:ilvl="0" w:tentative="0">
      <w:start w:val="3"/>
      <w:numFmt w:val="chineseCounting"/>
      <w:suff w:val="nothing"/>
      <w:lvlText w:val="（%1）"/>
      <w:lvlJc w:val="left"/>
      <w:rPr>
        <w:rFonts w:hint="eastAsia"/>
      </w:rPr>
    </w:lvl>
  </w:abstractNum>
  <w:num w:numId="1">
    <w:abstractNumId w:val="1"/>
  </w:num>
  <w:num w:numId="2">
    <w:abstractNumId w:val="6"/>
  </w:num>
  <w:num w:numId="3">
    <w:abstractNumId w:val="3"/>
  </w:num>
  <w:num w:numId="4">
    <w:abstractNumId w:val="7"/>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F3747"/>
    <w:rsid w:val="02ED00F5"/>
    <w:rsid w:val="043260DF"/>
    <w:rsid w:val="07B45746"/>
    <w:rsid w:val="080D1A4B"/>
    <w:rsid w:val="18643367"/>
    <w:rsid w:val="186F67B7"/>
    <w:rsid w:val="2E364E81"/>
    <w:rsid w:val="32854A0A"/>
    <w:rsid w:val="3CD744AD"/>
    <w:rsid w:val="4BA56157"/>
    <w:rsid w:val="4F7B2825"/>
    <w:rsid w:val="5E464980"/>
    <w:rsid w:val="7DF21A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4"/>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5"/>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6"/>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21">
    <w:name w:val="Default Paragraph Font"/>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customStyle="1" w:styleId="2">
    <w:name w:val="标题 5（有编号）（绿盟科技）"/>
    <w:next w:val="1"/>
    <w:uiPriority w:val="0"/>
    <w:pPr>
      <w:keepNext/>
      <w:keepLines/>
      <w:widowControl w:val="0"/>
      <w:spacing w:before="280" w:beforeLines="0" w:after="156" w:afterLines="0" w:line="377" w:lineRule="auto"/>
      <w:jc w:val="left"/>
      <w:outlineLvl w:val="4"/>
    </w:pPr>
    <w:rPr>
      <w:rFonts w:ascii="Arial" w:hAnsi="Arial" w:eastAsia="黑体" w:cs="Times New Roman"/>
      <w:b/>
      <w:kern w:val="2"/>
      <w:sz w:val="24"/>
      <w:szCs w:val="28"/>
      <w:lang w:val="en-US" w:eastAsia="zh-CN"/>
    </w:rPr>
  </w:style>
  <w:style w:type="paragraph" w:styleId="6">
    <w:name w:val="Body Text"/>
    <w:basedOn w:val="1"/>
    <w:next w:val="1"/>
    <w:link w:val="27"/>
    <w:uiPriority w:val="0"/>
    <w:pPr>
      <w:spacing w:before="93" w:beforeLines="30"/>
    </w:pPr>
    <w:rPr>
      <w:rFonts w:ascii="仿宋_GB2312" w:hAnsi="Times New Roman" w:eastAsia="仿宋_GB2312"/>
      <w:sz w:val="24"/>
    </w:rPr>
  </w:style>
  <w:style w:type="paragraph" w:styleId="7">
    <w:name w:val="Body Text Indent"/>
    <w:basedOn w:val="1"/>
    <w:next w:val="8"/>
    <w:qFormat/>
    <w:uiPriority w:val="0"/>
    <w:pPr>
      <w:ind w:left="200" w:leftChars="200"/>
    </w:pPr>
  </w:style>
  <w:style w:type="paragraph" w:styleId="8">
    <w:name w:val="Body Text First Indent 2"/>
    <w:basedOn w:val="7"/>
    <w:next w:val="1"/>
    <w:qFormat/>
    <w:uiPriority w:val="0"/>
    <w:pPr>
      <w:ind w:firstLine="200" w:firstLineChars="200"/>
    </w:pPr>
  </w:style>
  <w:style w:type="paragraph" w:styleId="9">
    <w:name w:val="toc 3"/>
    <w:basedOn w:val="1"/>
    <w:next w:val="1"/>
    <w:uiPriority w:val="0"/>
    <w:pPr>
      <w:tabs>
        <w:tab w:val="right" w:leader="dot" w:pos="8296"/>
      </w:tabs>
      <w:ind w:left="840" w:leftChars="400"/>
    </w:pPr>
  </w:style>
  <w:style w:type="paragraph" w:styleId="10">
    <w:name w:val="Balloon Text"/>
    <w:basedOn w:val="1"/>
    <w:link w:val="28"/>
    <w:uiPriority w:val="0"/>
    <w:rPr>
      <w:rFonts w:ascii="Times New Roman" w:hAnsi="Times New Roman"/>
      <w:kern w:val="2"/>
      <w:sz w:val="18"/>
      <w:szCs w:val="18"/>
    </w:rPr>
  </w:style>
  <w:style w:type="paragraph" w:styleId="11">
    <w:name w:val="footer"/>
    <w:basedOn w:val="1"/>
    <w:link w:val="29"/>
    <w:uiPriority w:val="0"/>
    <w:pPr>
      <w:tabs>
        <w:tab w:val="center" w:pos="4153"/>
        <w:tab w:val="right" w:pos="8306"/>
      </w:tabs>
      <w:snapToGrid w:val="0"/>
      <w:jc w:val="left"/>
    </w:pPr>
    <w:rPr>
      <w:sz w:val="18"/>
    </w:rPr>
  </w:style>
  <w:style w:type="paragraph" w:styleId="12">
    <w:name w:val="header"/>
    <w:basedOn w:val="1"/>
    <w:link w:val="30"/>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uiPriority w:val="0"/>
    <w:pPr>
      <w:tabs>
        <w:tab w:val="right" w:leader="dot" w:pos="8296"/>
      </w:tabs>
      <w:spacing w:before="93" w:beforeLines="0"/>
      <w:jc w:val="center"/>
    </w:pPr>
    <w:rPr>
      <w:rFonts w:ascii="仿宋" w:hAnsi="仿宋" w:eastAsia="仿宋"/>
      <w:sz w:val="28"/>
      <w:szCs w:val="28"/>
    </w:rPr>
  </w:style>
  <w:style w:type="paragraph" w:styleId="14">
    <w:name w:val="footnote text"/>
    <w:basedOn w:val="1"/>
    <w:next w:val="15"/>
    <w:uiPriority w:val="0"/>
    <w:pPr>
      <w:snapToGrid w:val="0"/>
      <w:jc w:val="left"/>
    </w:pPr>
    <w:rPr>
      <w:sz w:val="18"/>
      <w:szCs w:val="18"/>
    </w:rPr>
  </w:style>
  <w:style w:type="paragraph" w:customStyle="1" w:styleId="15">
    <w:name w:val="Body Text First Indent 2"/>
    <w:basedOn w:val="16"/>
    <w:uiPriority w:val="0"/>
    <w:pPr>
      <w:ind w:firstLine="420" w:firstLineChars="200"/>
    </w:pPr>
  </w:style>
  <w:style w:type="paragraph" w:customStyle="1" w:styleId="16">
    <w:name w:val="Body Text Indent"/>
    <w:basedOn w:val="1"/>
    <w:next w:val="15"/>
    <w:uiPriority w:val="0"/>
    <w:pPr>
      <w:spacing w:after="120" w:afterLines="0"/>
      <w:ind w:leftChars="200"/>
    </w:pPr>
    <w:rPr>
      <w:rFonts w:ascii="仿宋_GB2312"/>
      <w:szCs w:val="32"/>
    </w:rPr>
  </w:style>
  <w:style w:type="paragraph" w:styleId="17">
    <w:name w:val="table of figures"/>
    <w:basedOn w:val="1"/>
    <w:next w:val="1"/>
    <w:uiPriority w:val="0"/>
    <w:pPr>
      <w:ind w:leftChars="200" w:hanging="200" w:hangingChars="200"/>
    </w:pPr>
  </w:style>
  <w:style w:type="paragraph" w:styleId="18">
    <w:name w:val="toc 2"/>
    <w:basedOn w:val="1"/>
    <w:next w:val="1"/>
    <w:uiPriority w:val="0"/>
    <w:pPr>
      <w:tabs>
        <w:tab w:val="right" w:leader="dot" w:pos="8296"/>
      </w:tabs>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2">
    <w:name w:val="Strong"/>
    <w:basedOn w:val="21"/>
    <w:uiPriority w:val="0"/>
    <w:rPr>
      <w:b/>
    </w:rPr>
  </w:style>
  <w:style w:type="character" w:styleId="23">
    <w:name w:val="Hyperlink"/>
    <w:basedOn w:val="21"/>
    <w:uiPriority w:val="0"/>
    <w:rPr>
      <w:color w:val="0000FF"/>
      <w:u w:val="single"/>
    </w:rPr>
  </w:style>
  <w:style w:type="character" w:customStyle="1" w:styleId="24">
    <w:name w:val="标题 1 Char"/>
    <w:basedOn w:val="21"/>
    <w:link w:val="3"/>
    <w:uiPriority w:val="0"/>
    <w:rPr>
      <w:rFonts w:ascii="Times New Roman" w:hAnsi="Times New Roman"/>
      <w:b/>
      <w:bCs/>
      <w:kern w:val="44"/>
      <w:sz w:val="44"/>
      <w:szCs w:val="44"/>
    </w:rPr>
  </w:style>
  <w:style w:type="character" w:customStyle="1" w:styleId="25">
    <w:name w:val="标题 2 Char"/>
    <w:basedOn w:val="21"/>
    <w:link w:val="4"/>
    <w:uiPriority w:val="0"/>
    <w:rPr>
      <w:rFonts w:ascii="Cambria" w:hAnsi="Cambria" w:eastAsia="宋体" w:cs="黑体"/>
      <w:b/>
      <w:bCs/>
      <w:kern w:val="2"/>
      <w:sz w:val="32"/>
      <w:szCs w:val="32"/>
    </w:rPr>
  </w:style>
  <w:style w:type="character" w:customStyle="1" w:styleId="26">
    <w:name w:val="标题 3 Char"/>
    <w:basedOn w:val="21"/>
    <w:link w:val="5"/>
    <w:uiPriority w:val="0"/>
    <w:rPr>
      <w:rFonts w:ascii="Times New Roman" w:hAnsi="Times New Roman"/>
      <w:b/>
      <w:bCs/>
      <w:kern w:val="2"/>
      <w:sz w:val="32"/>
      <w:szCs w:val="32"/>
    </w:rPr>
  </w:style>
  <w:style w:type="character" w:customStyle="1" w:styleId="27">
    <w:name w:val="正文文本 Char"/>
    <w:link w:val="6"/>
    <w:uiPriority w:val="0"/>
    <w:rPr>
      <w:rFonts w:ascii="仿宋_GB2312" w:hAnsi="Times New Roman" w:eastAsia="仿宋_GB2312"/>
      <w:sz w:val="24"/>
    </w:rPr>
  </w:style>
  <w:style w:type="character" w:customStyle="1" w:styleId="28">
    <w:name w:val="批注框文本 Char"/>
    <w:basedOn w:val="21"/>
    <w:link w:val="10"/>
    <w:uiPriority w:val="0"/>
    <w:rPr>
      <w:rFonts w:ascii="Times New Roman" w:hAnsi="Times New Roman"/>
      <w:kern w:val="2"/>
      <w:sz w:val="18"/>
      <w:szCs w:val="18"/>
    </w:rPr>
  </w:style>
  <w:style w:type="character" w:customStyle="1" w:styleId="29">
    <w:name w:val="页脚 Char"/>
    <w:link w:val="11"/>
    <w:uiPriority w:val="0"/>
    <w:rPr>
      <w:sz w:val="18"/>
    </w:rPr>
  </w:style>
  <w:style w:type="character" w:customStyle="1" w:styleId="30">
    <w:name w:val="页眉 Char"/>
    <w:link w:val="12"/>
    <w:uiPriority w:val="0"/>
    <w:rPr>
      <w:sz w:val="18"/>
    </w:rPr>
  </w:style>
  <w:style w:type="character" w:customStyle="1" w:styleId="31">
    <w:name w:val="Header Char"/>
    <w:basedOn w:val="21"/>
    <w:uiPriority w:val="0"/>
    <w:rPr>
      <w:rFonts w:ascii="Times New Roman" w:hAnsi="Times New Roman"/>
      <w:sz w:val="18"/>
      <w:szCs w:val="18"/>
    </w:rPr>
  </w:style>
  <w:style w:type="character" w:customStyle="1" w:styleId="32">
    <w:name w:val="Body Text Char"/>
    <w:basedOn w:val="21"/>
    <w:uiPriority w:val="0"/>
    <w:rPr>
      <w:rFonts w:ascii="Times New Roman" w:hAnsi="Times New Roman"/>
      <w:szCs w:val="24"/>
    </w:rPr>
  </w:style>
  <w:style w:type="character" w:customStyle="1" w:styleId="33">
    <w:name w:val="15"/>
    <w:basedOn w:val="21"/>
    <w:uiPriority w:val="0"/>
    <w:rPr>
      <w:rFonts w:hint="default" w:ascii="Times New Roman" w:hAnsi="Times New Roman" w:cs="Times New Roman"/>
      <w:b/>
    </w:rPr>
  </w:style>
  <w:style w:type="character" w:customStyle="1" w:styleId="34">
    <w:name w:val="Footer Char"/>
    <w:basedOn w:val="21"/>
    <w:uiPriority w:val="0"/>
    <w:rPr>
      <w:rFonts w:ascii="Times New Roman" w:hAnsi="Times New Roman"/>
      <w:sz w:val="18"/>
      <w:szCs w:val="18"/>
    </w:rPr>
  </w:style>
  <w:style w:type="paragraph" w:customStyle="1" w:styleId="35">
    <w:name w:val="table of figures"/>
    <w:basedOn w:val="1"/>
    <w:next w:val="1"/>
    <w:qFormat/>
    <w:uiPriority w:val="0"/>
    <w:pPr>
      <w:ind w:left="200" w:leftChars="200" w:hanging="200" w:hangingChars="200"/>
    </w:pPr>
  </w:style>
  <w:style w:type="paragraph" w:customStyle="1" w:styleId="36">
    <w:name w:val="常用样式（方正仿宋简）"/>
    <w:basedOn w:val="1"/>
    <w:qFormat/>
    <w:uiPriority w:val="0"/>
    <w:pPr>
      <w:spacing w:line="560" w:lineRule="exact"/>
      <w:ind w:firstLine="640" w:firstLineChars="200"/>
    </w:pPr>
    <w:rPr>
      <w:rFonts w:eastAsia="方正仿宋简体"/>
    </w:rPr>
  </w:style>
  <w:style w:type="paragraph" w:customStyle="1" w:styleId="37">
    <w:name w:val="Default"/>
    <w:uiPriority w:val="0"/>
    <w:pPr>
      <w:widowControl w:val="0"/>
      <w:autoSpaceDE w:val="0"/>
      <w:autoSpaceDN w:val="0"/>
      <w:adjustRightInd w:val="0"/>
    </w:pPr>
    <w:rPr>
      <w:rFonts w:ascii="仿宋" w:hAnsi="Calibri" w:eastAsia="仿宋" w:cs="仿宋"/>
      <w:color w:val="000000"/>
      <w:sz w:val="24"/>
      <w:szCs w:val="24"/>
      <w:lang w:val="en-US" w:eastAsia="zh-CN"/>
    </w:rPr>
  </w:style>
  <w:style w:type="paragraph" w:customStyle="1" w:styleId="38">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9">
    <w:name w:val="List Paragraph"/>
    <w:basedOn w:val="1"/>
    <w:uiPriority w:val="0"/>
    <w:pPr>
      <w:ind w:firstLine="420" w:firstLineChars="200"/>
    </w:pPr>
  </w:style>
  <w:style w:type="paragraph" w:customStyle="1" w:styleId="40">
    <w:name w:val="TOC Heading"/>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1">
    <w:name w:val="四号正文"/>
    <w:basedOn w:val="1"/>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[工作簿2]Sheet1!$D$2</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[工作簿2]Sheet1!$E$1:$G$1</c:f>
              <c:strCache>
                <c:ptCount val="3"/>
                <c:pt idx="0">
                  <c:v>收入（万元）</c:v>
                </c:pt>
                <c:pt idx="1">
                  <c:v>支出（万元）</c:v>
                </c:pt>
              </c:strCache>
            </c:strRef>
          </c:cat>
          <c:val>
            <c:numRef>
              <c:f>[工作簿2]Sheet1!$E$2:$G$2</c:f>
              <c:numCache>
                <c:formatCode>General</c:formatCode>
                <c:ptCount val="3"/>
                <c:pt idx="0">
                  <c:v>3795.93</c:v>
                </c:pt>
                <c:pt idx="1">
                  <c:v>3795.93</c:v>
                </c:pt>
              </c:numCache>
            </c:numRef>
          </c:val>
        </c:ser>
        <c:ser>
          <c:idx val="1"/>
          <c:order val="1"/>
          <c:tx>
            <c:strRef>
              <c:f>[工作簿2]Sheet1!$D$3</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[工作簿2]Sheet1!$E$1:$G$1</c:f>
              <c:strCache>
                <c:ptCount val="3"/>
                <c:pt idx="0">
                  <c:v>收入（万元）</c:v>
                </c:pt>
                <c:pt idx="1">
                  <c:v>支出（万元）</c:v>
                </c:pt>
              </c:strCache>
            </c:strRef>
          </c:cat>
          <c:val>
            <c:numRef>
              <c:f>[工作簿2]Sheet1!$E$3:$G$3</c:f>
              <c:numCache>
                <c:formatCode>General</c:formatCode>
                <c:ptCount val="3"/>
                <c:pt idx="0">
                  <c:v>4387.36</c:v>
                </c:pt>
                <c:pt idx="1">
                  <c:v>4387.36</c:v>
                </c:pt>
              </c:numCache>
            </c:numRef>
          </c:val>
        </c:ser>
        <c:dLbls>
          <c:showLegendKey val="0"/>
          <c:showVal val="1"/>
          <c:showCatName val="0"/>
          <c:showSerName val="0"/>
          <c:showPercent val="0"/>
          <c:showBubbleSize val="0"/>
        </c:dLbls>
        <c:gapWidth val="219"/>
        <c:overlap val="-27"/>
        <c:axId val="830592767"/>
        <c:axId val="118489563"/>
      </c:barChart>
      <c:catAx>
        <c:axId val="83059276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8489563"/>
        <c:crosses val="autoZero"/>
        <c:auto val="1"/>
        <c:lblAlgn val="ctr"/>
        <c:lblOffset val="100"/>
        <c:noMultiLvlLbl val="0"/>
      </c:catAx>
      <c:valAx>
        <c:axId val="118489563"/>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05927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651e9c1-5c90-4e68-9986-3140491a705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manualLayout>
                  <c:x val="-0.067077052995516"/>
                  <c:y val="-0.1701737547459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4023.44（万元）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363.91（万元）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[工作簿2]Sheet1!$A$1:$B$1</c:f>
              <c:strCache>
                <c:ptCount val="2"/>
                <c:pt idx="0">
                  <c:v>一般公共预算财政拨款收入</c:v>
                </c:pt>
                <c:pt idx="1">
                  <c:v>政府性基金预算财政拨款收入</c:v>
                </c:pt>
              </c:strCache>
            </c:strRef>
          </c:cat>
          <c:val>
            <c:numRef>
              <c:f>[工作簿2]Sheet1!$A$2:$B$2</c:f>
              <c:numCache>
                <c:formatCode>General</c:formatCode>
                <c:ptCount val="2"/>
                <c:pt idx="0">
                  <c:v>4023.44</c:v>
                </c:pt>
                <c:pt idx="1">
                  <c:v>363.91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e1549b5-e72f-4792-a440-62e6e4e51e48}"/>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explosion val="1"/>
            <c:spPr>
              <a:solidFill>
                <a:srgbClr val="F79646"/>
              </a:solidFill>
              <a:ln w="19050">
                <a:solidFill>
                  <a:srgbClr val="FFFFFF"/>
                </a:solidFill>
              </a:ln>
              <a:effectLst/>
            </c:spPr>
          </c:dPt>
          <c:dPt>
            <c:idx val="1"/>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[工作簿2]Sheet1!$I$1:$J$1</c:f>
              <c:strCache>
                <c:ptCount val="2"/>
                <c:pt idx="0">
                  <c:v>基本支出</c:v>
                </c:pt>
                <c:pt idx="1">
                  <c:v>项目支出</c:v>
                </c:pt>
              </c:strCache>
            </c:strRef>
          </c:cat>
          <c:val>
            <c:numRef>
              <c:f>[工作簿2]Sheet1!$I$2:$J$2</c:f>
              <c:numCache>
                <c:formatCode>General</c:formatCode>
                <c:ptCount val="2"/>
                <c:pt idx="0">
                  <c:v>222.28</c:v>
                </c:pt>
                <c:pt idx="1">
                  <c:v>4165.07</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b27bd57-d175-4755-92b1-e5c7efe2564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[工作簿2]Sheet1!$I$2</c:f>
              <c:strCache>
                <c:ptCount val="1"/>
                <c:pt idx="0">
                  <c:v>2023年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[工作簿2]Sheet1!$J$1:$L$1</c:f>
              <c:strCache>
                <c:ptCount val="3"/>
                <c:pt idx="0">
                  <c:v>收入（万元）</c:v>
                </c:pt>
                <c:pt idx="1">
                  <c:v>支出（万元）</c:v>
                </c:pt>
              </c:strCache>
            </c:strRef>
          </c:cat>
          <c:val>
            <c:numRef>
              <c:f>[工作簿2]Sheet1!$J$2:$L$2</c:f>
              <c:numCache>
                <c:formatCode>General</c:formatCode>
                <c:ptCount val="3"/>
                <c:pt idx="0">
                  <c:v>3795.93</c:v>
                </c:pt>
                <c:pt idx="1">
                  <c:v>3795.93</c:v>
                </c:pt>
              </c:numCache>
            </c:numRef>
          </c:val>
        </c:ser>
        <c:ser>
          <c:idx val="1"/>
          <c:order val="1"/>
          <c:tx>
            <c:strRef>
              <c:f>[工作簿2]Sheet1!$I$3</c:f>
              <c:strCache>
                <c:ptCount val="1"/>
                <c:pt idx="0">
                  <c:v>2024年</c:v>
                </c:pt>
              </c:strCache>
            </c:strRef>
          </c:tx>
          <c:spPr>
            <a:solidFill>
              <a:srgbClr val="8064A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[工作簿2]Sheet1!$J$1:$L$1</c:f>
              <c:strCache>
                <c:ptCount val="3"/>
                <c:pt idx="0">
                  <c:v>收入（万元）</c:v>
                </c:pt>
                <c:pt idx="1">
                  <c:v>支出（万元）</c:v>
                </c:pt>
              </c:strCache>
            </c:strRef>
          </c:cat>
          <c:val>
            <c:numRef>
              <c:f>[工作簿2]Sheet1!$J$3:$L$3</c:f>
              <c:numCache>
                <c:formatCode>General</c:formatCode>
                <c:ptCount val="3"/>
                <c:pt idx="0">
                  <c:v>4387.36</c:v>
                </c:pt>
                <c:pt idx="1">
                  <c:v>4387.36</c:v>
                </c:pt>
              </c:numCache>
            </c:numRef>
          </c:val>
        </c:ser>
        <c:dLbls>
          <c:showLegendKey val="0"/>
          <c:showVal val="1"/>
          <c:showCatName val="0"/>
          <c:showSerName val="0"/>
          <c:showPercent val="0"/>
          <c:showBubbleSize val="0"/>
        </c:dLbls>
        <c:gapWidth val="219"/>
        <c:overlap val="-27"/>
        <c:axId val="830592767"/>
        <c:axId val="118489563"/>
      </c:barChart>
      <c:catAx>
        <c:axId val="830592767"/>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8489563"/>
        <c:crosses val="autoZero"/>
        <c:auto val="1"/>
        <c:lblAlgn val="ctr"/>
        <c:lblOffset val="100"/>
        <c:noMultiLvlLbl val="0"/>
      </c:catAx>
      <c:valAx>
        <c:axId val="118489563"/>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0592767"/>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b409661-fc41-46fb-9677-266fb7df547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c:rich>
      </c:tx>
      <c:layout>
        <c:manualLayout>
          <c:xMode val="edge"/>
          <c:yMode val="edge"/>
          <c:x val="0.149861111111111"/>
          <c:y val="0.0451388888888889"/>
        </c:manualLayout>
      </c:layout>
      <c:overlay val="0"/>
      <c:spPr>
        <a:noFill/>
        <a:ln>
          <a:noFill/>
        </a:ln>
        <a:effectLst/>
      </c:spPr>
    </c:title>
    <c:autoTitleDeleted val="0"/>
    <c:plotArea>
      <c:layout/>
      <c:barChart>
        <c:barDir val="col"/>
        <c:grouping val="stacked"/>
        <c:varyColors val="0"/>
        <c:ser>
          <c:idx val="0"/>
          <c:order val="0"/>
          <c:spPr>
            <a:solidFill>
              <a:srgbClr val="F79646"/>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[工作簿2]Sheet1!$A$27:$B$27</c:f>
              <c:strCache>
                <c:ptCount val="2"/>
                <c:pt idx="0">
                  <c:v>2024年</c:v>
                </c:pt>
                <c:pt idx="1">
                  <c:v>2023年</c:v>
                </c:pt>
              </c:strCache>
            </c:strRef>
          </c:cat>
          <c:val>
            <c:numRef>
              <c:f>[工作簿2]Sheet1!$A$28:$B$28</c:f>
              <c:numCache>
                <c:formatCode>General</c:formatCode>
                <c:ptCount val="2"/>
                <c:pt idx="0">
                  <c:v>4023.44</c:v>
                </c:pt>
                <c:pt idx="1">
                  <c:v>3795.93</c:v>
                </c:pt>
              </c:numCache>
            </c:numRef>
          </c:val>
        </c:ser>
        <c:dLbls>
          <c:showLegendKey val="0"/>
          <c:showVal val="0"/>
          <c:showCatName val="0"/>
          <c:showSerName val="0"/>
          <c:showPercent val="0"/>
          <c:showBubbleSize val="0"/>
        </c:dLbls>
        <c:gapWidth val="150"/>
        <c:overlap val="100"/>
        <c:axId val="257760272"/>
        <c:axId val="286568666"/>
      </c:barChart>
      <c:catAx>
        <c:axId val="25776027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86568666"/>
        <c:crosses val="autoZero"/>
        <c:auto val="1"/>
        <c:lblAlgn val="ctr"/>
        <c:lblOffset val="100"/>
        <c:noMultiLvlLbl val="0"/>
      </c:catAx>
      <c:valAx>
        <c:axId val="28656866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7760272"/>
        <c:crosses val="autoZero"/>
        <c:crossBetween val="between"/>
      </c:valAx>
      <c:spPr>
        <a:noFill/>
        <a:ln>
          <a:noFill/>
        </a:ln>
        <a:effectLst/>
      </c:spPr>
    </c:plotArea>
    <c:plotVisOnly val="1"/>
    <c:dispBlanksAs val="gap"/>
    <c:showDLblsOverMax val="0"/>
    <c:extLst>
      <c:ext uri="{0b15fc19-7d7d-44ad-8c2d-2c3a37ce22c3}">
        <chartProps xmlns="https://web.wps.cn/et/2018/main" chartId="{66be937c-259b-4a3e-bba6-e3ce7751b3ef}"/>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一般公共预算财政拨款支出决算结构（万元）</a:t>
            </a:r>
          </a:p>
        </c:rich>
      </c:tx>
      <c:layout/>
      <c:overlay val="0"/>
      <c:spPr>
        <a:noFill/>
        <a:ln>
          <a:noFill/>
        </a:ln>
        <a:effectLst/>
      </c:spPr>
    </c:title>
    <c:autoTitleDeleted val="0"/>
    <c:plotArea>
      <c:layout/>
      <c:ofPieChart>
        <c:ofPieType val="pie"/>
        <c:varyColors val="1"/>
        <c:ser>
          <c:idx val="0"/>
          <c:order val="0"/>
          <c:spPr/>
          <c:explosion val="0"/>
          <c:dPt>
            <c:idx val="0"/>
            <c:bubble3D val="0"/>
            <c:spPr>
              <a:solidFill>
                <a:srgbClr val="4F81BD"/>
              </a:solidFill>
              <a:ln>
                <a:noFill/>
              </a:ln>
              <a:effectLst/>
            </c:spPr>
          </c:dPt>
          <c:dPt>
            <c:idx val="1"/>
            <c:bubble3D val="0"/>
            <c:spPr>
              <a:solidFill>
                <a:srgbClr val="C0504D"/>
              </a:solidFill>
              <a:ln>
                <a:noFill/>
              </a:ln>
              <a:effectLst/>
            </c:spPr>
          </c:dPt>
          <c:dPt>
            <c:idx val="2"/>
            <c:bubble3D val="0"/>
            <c:spPr>
              <a:solidFill>
                <a:srgbClr val="9BBB59"/>
              </a:solidFill>
              <a:ln>
                <a:noFill/>
              </a:ln>
              <a:effectLst/>
            </c:spPr>
          </c:dPt>
          <c:dPt>
            <c:idx val="3"/>
            <c:bubble3D val="0"/>
            <c:spPr>
              <a:solidFill>
                <a:srgbClr val="8064A2"/>
              </a:solidFill>
              <a:ln>
                <a:noFill/>
              </a:ln>
              <a:effectLst/>
            </c:spPr>
          </c:dPt>
          <c:dPt>
            <c:idx val="4"/>
            <c:bubble3D val="0"/>
            <c:spPr>
              <a:solidFill>
                <a:srgbClr val="4BACC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[工作簿2]Sheet1!$A$30:$D$30</c:f>
              <c:strCache>
                <c:ptCount val="4"/>
                <c:pt idx="0">
                  <c:v>农林水支出</c:v>
                </c:pt>
                <c:pt idx="1">
                  <c:v>社会保障和就业支出</c:v>
                </c:pt>
                <c:pt idx="2">
                  <c:v>卫生健康支出</c:v>
                </c:pt>
                <c:pt idx="3">
                  <c:v>住房保障支出</c:v>
                </c:pt>
              </c:strCache>
            </c:strRef>
          </c:cat>
          <c:val>
            <c:numRef>
              <c:f>[工作簿2]Sheet1!$A$31:$D$31</c:f>
              <c:numCache>
                <c:formatCode>General</c:formatCode>
                <c:ptCount val="4"/>
                <c:pt idx="0">
                  <c:v>293.34</c:v>
                </c:pt>
                <c:pt idx="1">
                  <c:v>3703.17</c:v>
                </c:pt>
                <c:pt idx="2">
                  <c:v>13.01</c:v>
                </c:pt>
                <c:pt idx="3">
                  <c:v>13.92</c:v>
                </c:pt>
              </c:numCache>
            </c:numRef>
          </c:val>
        </c:ser>
        <c:dLbls>
          <c:showLegendKey val="0"/>
          <c:showVal val="1"/>
          <c:showCatName val="0"/>
          <c:showSerName val="0"/>
          <c:showPercent val="0"/>
          <c:showBubbleSize val="0"/>
          <c:showLeaderLines val="1"/>
        </c:dLbls>
        <c:gapWidth val="219"/>
        <c:secondPieSize val="75"/>
        <c:serLines>
          <c:spPr>
            <a:ln w="9525" cap="flat" cmpd="sng" algn="ctr">
              <a:solidFill>
                <a:srgbClr val="A6A6A6">
                  <a:lumMod val="35000"/>
                  <a:lumOff val="65000"/>
                </a:srgbClr>
              </a:solidFill>
              <a:round/>
            </a:ln>
            <a:effectLst/>
          </c:spPr>
        </c:serLines>
      </c:ofPieChart>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dTable>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d96eb30-3f52-468c-8f84-4d2c4c8efac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F79646"/>
              </a:solidFill>
              <a:ln w="19050">
                <a:solidFill>
                  <a:srgbClr val="FFFFFF"/>
                </a:solidFill>
              </a:ln>
              <a:effectLst/>
            </c:spPr>
          </c:dPt>
          <c:dPt>
            <c:idx val="1"/>
            <c:bubble3D val="0"/>
            <c:spPr>
              <a:solidFill>
                <a:srgbClr val="4BACC6"/>
              </a:solidFill>
              <a:ln w="19050">
                <a:solidFill>
                  <a:srgbClr val="FFFFFF"/>
                </a:solidFill>
              </a:ln>
              <a:effectLst/>
            </c:spPr>
          </c:dPt>
          <c:dPt>
            <c:idx val="2"/>
            <c:bubble3D val="0"/>
            <c:spPr>
              <a:solidFill>
                <a:srgbClr val="8064A2"/>
              </a:solidFill>
              <a:ln w="19050">
                <a:solidFill>
                  <a:srgbClr val="FFFFFF"/>
                </a:solidFill>
              </a:ln>
              <a:effectLst/>
            </c:spPr>
          </c:dPt>
          <c:dLbls>
            <c:dLbl>
              <c:idx val="0"/>
              <c:layout>
                <c:manualLayout>
                  <c:x val="-0.0333333333333333"/>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36577365441957"/>
                  <c:y val="0.01185360520655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[工作簿2]Sheet1!$A$33:$C$33</c:f>
              <c:strCache>
                <c:ptCount val="3"/>
                <c:pt idx="0">
                  <c:v>因公出国（境）费</c:v>
                </c:pt>
                <c:pt idx="1">
                  <c:v>公务用车购置及运行维护费</c:v>
                </c:pt>
                <c:pt idx="2">
                  <c:v>公务接待费</c:v>
                </c:pt>
              </c:strCache>
            </c:strRef>
          </c:cat>
          <c:val>
            <c:numRef>
              <c:f>[工作簿2]Sheet1!$A$34:$C$34</c:f>
              <c:numCache>
                <c:formatCode>General</c:formatCode>
                <c:ptCount val="3"/>
                <c:pt idx="0">
                  <c:v>0</c:v>
                </c:pt>
                <c:pt idx="1">
                  <c:v>11.6</c:v>
                </c:pt>
                <c:pt idx="2">
                  <c:v>0.16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c13928b3-5e2f-464e-ba80-4e586f3062dc}"/>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9">
  <a:srgbClr val="F79646"/>
</cs:colorStyle>
</file>

<file path=word/charts/colors6.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19084</Words>
  <Characters>20197</Characters>
  <Lines>61</Lines>
  <Paragraphs>17</Paragraphs>
  <TotalTime>0</TotalTime>
  <ScaleCrop>false</ScaleCrop>
  <LinksUpToDate>false</LinksUpToDate>
  <CharactersWithSpaces>20368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2025-10-14T07:07:05Z</dcterms:modified>
  <dc:title>测试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2D78571A1B7E44D081B85596BE0F2826_13</vt:lpwstr>
  </property>
  <property fmtid="{D5CDD505-2E9C-101B-9397-08002B2CF9AE}" pid="4" name="KSOTemplateDocerSaveRecord">
    <vt:lpwstr>eyJoZGlkIjoiNTU1MWNhN2ZmY2ZhZmY3ODhlYTg0MWU5OGMyY2QwZmUiLCJ1c2VySWQiOiI0MzQ2NTM0NzEifQ==</vt:lpwstr>
  </property>
</Properties>
</file>