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F8B694D">
      <w:pPr>
        <w:pStyle w:val="6"/>
        <w:rPr>
          <w:rFonts w:hint="eastAsia" w:ascii="Times New Roman" w:hAnsi="Times New Roman" w:eastAsia="方正小标宋简体" w:cs="Times New Roman"/>
          <w:color w:val="auto"/>
          <w:kern w:val="2"/>
          <w:sz w:val="72"/>
          <w:szCs w:val="72"/>
          <w:highlight w:val="none"/>
          <w:lang w:val="en-US" w:eastAsia="zh-CN"/>
        </w:rPr>
      </w:pPr>
      <w:bookmarkStart w:id="0" w:name="_Toc15377425"/>
      <w:bookmarkStart w:id="1" w:name="_Toc15396475"/>
      <w:bookmarkStart w:id="2" w:name="_Toc15377193"/>
      <w:bookmarkStart w:id="3" w:name="_Toc15396597"/>
      <w:bookmarkStart w:id="4" w:name="_Toc15378441"/>
      <w:bookmarkStart w:id="5" w:name="_Toc15306267"/>
      <w:bookmarkStart w:id="71" w:name="_GoBack"/>
      <w:bookmarkEnd w:id="71"/>
    </w:p>
    <w:p w14:paraId="29C04D0E">
      <w:pPr>
        <w:pStyle w:val="6"/>
        <w:rPr>
          <w:rFonts w:hint="eastAsia" w:ascii="Times New Roman" w:hAnsi="Times New Roman" w:eastAsia="方正小标宋简体" w:cs="Times New Roman"/>
          <w:color w:val="auto"/>
          <w:kern w:val="2"/>
          <w:sz w:val="72"/>
          <w:szCs w:val="72"/>
          <w:highlight w:val="none"/>
          <w:lang w:val="en-US" w:eastAsia="zh-CN"/>
        </w:rPr>
      </w:pPr>
    </w:p>
    <w:p w14:paraId="62E3F26E">
      <w:pPr>
        <w:pStyle w:val="6"/>
        <w:rPr>
          <w:rFonts w:hint="eastAsia" w:ascii="Times New Roman" w:hAnsi="Times New Roman" w:eastAsia="方正小标宋简体" w:cs="Times New Roman"/>
          <w:color w:val="auto"/>
          <w:kern w:val="2"/>
          <w:sz w:val="72"/>
          <w:szCs w:val="72"/>
          <w:highlight w:val="none"/>
          <w:lang w:val="en-US" w:eastAsia="zh-CN"/>
        </w:rPr>
      </w:pPr>
    </w:p>
    <w:p w14:paraId="039D8430">
      <w:pPr>
        <w:pStyle w:val="6"/>
        <w:jc w:val="center"/>
        <w:rPr>
          <w:rFonts w:hint="eastAsia"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2024年度</w:t>
      </w:r>
      <w:r>
        <w:rPr>
          <w:rFonts w:hint="eastAsia" w:ascii="Times New Roman" w:eastAsia="方正小标宋简体" w:cs="Times New Roman"/>
          <w:color w:val="auto"/>
          <w:kern w:val="2"/>
          <w:sz w:val="44"/>
          <w:szCs w:val="44"/>
          <w:highlight w:val="none"/>
          <w:lang w:val="en-US" w:eastAsia="zh-CN"/>
        </w:rPr>
        <w:t>松潘县民政局</w:t>
      </w:r>
      <w:r>
        <w:rPr>
          <w:rFonts w:hint="eastAsia" w:ascii="Times New Roman" w:hAnsi="Times New Roman" w:eastAsia="方正小标宋简体" w:cs="Times New Roman"/>
          <w:color w:val="auto"/>
          <w:kern w:val="2"/>
          <w:sz w:val="44"/>
          <w:szCs w:val="44"/>
          <w:highlight w:val="none"/>
          <w:lang w:val="en-US" w:eastAsia="zh-CN"/>
        </w:rPr>
        <w:t>部门决算</w:t>
      </w:r>
    </w:p>
    <w:p w14:paraId="0D5E6157">
      <w:pPr>
        <w:pStyle w:val="6"/>
        <w:jc w:val="center"/>
        <w:rPr>
          <w:rFonts w:hint="default"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公开文字说明</w:t>
      </w:r>
    </w:p>
    <w:p w14:paraId="145899BA">
      <w:pPr>
        <w:spacing w:line="600" w:lineRule="exact"/>
        <w:jc w:val="center"/>
        <w:outlineLvl w:val="0"/>
        <w:rPr>
          <w:rFonts w:ascii="Times New Roman" w:hAnsi="Times New Roman" w:eastAsia="方正小标宋简体"/>
          <w:color w:val="auto"/>
          <w:sz w:val="72"/>
          <w:szCs w:val="72"/>
          <w:highlight w:val="none"/>
        </w:rPr>
      </w:pPr>
    </w:p>
    <w:p w14:paraId="442CF263">
      <w:pPr>
        <w:pStyle w:val="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720" w:num="1"/>
          <w:titlePg/>
          <w:docGrid w:type="lines" w:linePitch="312" w:charSpace="0"/>
        </w:sectPr>
      </w:pPr>
    </w:p>
    <w:p w14:paraId="1C57EBA3">
      <w:pPr>
        <w:rPr>
          <w:rFonts w:ascii="Times New Roman" w:hAnsi="Times New Roman"/>
        </w:rPr>
      </w:pPr>
    </w:p>
    <w:p w14:paraId="3E77D75E">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05D69725">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124EB04D">
      <w:pPr>
        <w:pStyle w:val="6"/>
        <w:jc w:val="center"/>
        <w:rPr>
          <w:rFonts w:hint="eastAsia" w:ascii="Times New Roman" w:hAnsi="Times New Roman" w:eastAsia="方正小标宋简体" w:cs="Times New Roman"/>
          <w:color w:val="auto"/>
          <w:kern w:val="2"/>
          <w:sz w:val="44"/>
          <w:szCs w:val="44"/>
          <w:highlight w:val="none"/>
          <w:lang w:val="en-US" w:eastAsia="zh-CN"/>
        </w:rPr>
      </w:pPr>
    </w:p>
    <w:p w14:paraId="3C781249">
      <w:pPr>
        <w:pStyle w:val="6"/>
        <w:jc w:val="center"/>
        <w:rPr>
          <w:rFonts w:hint="eastAsia" w:ascii="Times New Roman" w:hAnsi="Times New Roman" w:eastAsia="方正小标宋简体" w:cs="Times New Roman"/>
          <w:color w:val="auto"/>
          <w:kern w:val="2"/>
          <w:sz w:val="44"/>
          <w:szCs w:val="44"/>
          <w:highlight w:val="none"/>
          <w:lang w:val="en-US" w:eastAsia="zh-CN"/>
        </w:rPr>
      </w:pPr>
    </w:p>
    <w:bookmarkEnd w:id="0"/>
    <w:bookmarkEnd w:id="1"/>
    <w:bookmarkEnd w:id="2"/>
    <w:bookmarkEnd w:id="3"/>
    <w:bookmarkEnd w:id="4"/>
    <w:p w14:paraId="7FEAF240">
      <w:pPr>
        <w:pStyle w:val="6"/>
        <w:jc w:val="center"/>
        <w:rPr>
          <w:rFonts w:hint="eastAsia" w:ascii="Times New Roman" w:eastAsia="方正小标宋简体" w:cs="Times New Roman"/>
          <w:color w:val="auto"/>
          <w:kern w:val="2"/>
          <w:sz w:val="44"/>
          <w:szCs w:val="44"/>
          <w:highlight w:val="none"/>
          <w:lang w:val="en-US" w:eastAsia="zh-CN"/>
        </w:rPr>
      </w:pPr>
      <w:bookmarkStart w:id="6" w:name="_Toc15378442"/>
      <w:bookmarkStart w:id="7" w:name="_Toc15396476"/>
      <w:bookmarkStart w:id="8" w:name="_Toc15377194"/>
      <w:bookmarkStart w:id="9" w:name="_Toc15377426"/>
      <w:bookmarkStart w:id="10" w:name="_Toc15396598"/>
      <w:r>
        <w:rPr>
          <w:rFonts w:hint="eastAsia" w:ascii="Times New Roman" w:hAnsi="Times New Roman" w:eastAsia="方正小标宋简体" w:cs="Times New Roman"/>
          <w:color w:val="auto"/>
          <w:kern w:val="2"/>
          <w:sz w:val="44"/>
          <w:szCs w:val="44"/>
          <w:highlight w:val="none"/>
          <w:lang w:val="en-US" w:eastAsia="zh-CN"/>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rPr>
        <w:t>阿坝州松潘县民政局</w:t>
      </w:r>
    </w:p>
    <w:p w14:paraId="0D5BEC70">
      <w:pPr>
        <w:pStyle w:val="6"/>
        <w:jc w:val="center"/>
        <w:rPr>
          <w:rFonts w:hint="eastAsia" w:ascii="Times New Roman" w:hAnsi="Times New Roman" w:eastAsia="方正小标宋简体" w:cs="Times New Roman"/>
          <w:color w:val="auto"/>
          <w:kern w:val="2"/>
          <w:sz w:val="44"/>
          <w:szCs w:val="44"/>
          <w:highlight w:val="none"/>
          <w:lang w:val="en-US" w:eastAsia="zh-CN"/>
        </w:rPr>
      </w:pPr>
      <w:r>
        <w:rPr>
          <w:rFonts w:hint="eastAsia" w:ascii="Times New Roman" w:hAnsi="Times New Roman" w:eastAsia="方正小标宋简体" w:cs="Times New Roman"/>
          <w:color w:val="auto"/>
          <w:kern w:val="2"/>
          <w:sz w:val="44"/>
          <w:szCs w:val="44"/>
          <w:highlight w:val="none"/>
          <w:lang w:val="en-US" w:eastAsia="zh-CN"/>
        </w:rPr>
        <w:t>部门决算</w:t>
      </w:r>
      <w:bookmarkEnd w:id="6"/>
      <w:bookmarkEnd w:id="7"/>
      <w:bookmarkEnd w:id="8"/>
      <w:bookmarkEnd w:id="9"/>
      <w:bookmarkEnd w:id="10"/>
      <w:bookmarkEnd w:id="11"/>
    </w:p>
    <w:p w14:paraId="41CE7222">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2214028B">
      <w:pPr>
        <w:widowControl/>
        <w:jc w:val="center"/>
        <w:rPr>
          <w:rFonts w:ascii="Times New Roman" w:hAnsi="Times New Roman" w:eastAsia="黑体" w:cs="黑体"/>
          <w:color w:val="auto"/>
          <w:sz w:val="28"/>
          <w:szCs w:val="28"/>
          <w:highlight w:val="none"/>
        </w:rPr>
      </w:pPr>
    </w:p>
    <w:p w14:paraId="7FDDB923">
      <w:pPr>
        <w:pStyle w:val="1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14 </w:t>
      </w:r>
      <w:r>
        <w:rPr>
          <w:rFonts w:hint="eastAsia" w:ascii="Times New Roman" w:hAnsi="Times New Roman" w:eastAsia="仿宋_GB2312" w:cs="仿宋_GB2312"/>
          <w:color w:val="auto"/>
          <w:sz w:val="32"/>
          <w:szCs w:val="32"/>
          <w:highlight w:val="none"/>
        </w:rPr>
        <w:t>日</w:t>
      </w:r>
    </w:p>
    <w:p w14:paraId="50B612DA">
      <w:pPr>
        <w:rPr>
          <w:rFonts w:ascii="Times New Roman" w:hAnsi="Times New Roman"/>
          <w:color w:val="auto"/>
          <w:highlight w:val="none"/>
        </w:rPr>
      </w:pPr>
    </w:p>
    <w:p w14:paraId="712D75BB">
      <w:pPr>
        <w:pStyle w:val="11"/>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第一部分 部门概况</w:t>
      </w:r>
    </w:p>
    <w:p w14:paraId="5EE269E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- 5 -</w:t>
      </w:r>
    </w:p>
    <w:p w14:paraId="6BC3661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- 7 -</w:t>
      </w:r>
    </w:p>
    <w:p w14:paraId="11B619F3">
      <w:pPr>
        <w:pStyle w:val="11"/>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p>
    <w:p w14:paraId="7074072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- 8 -</w:t>
      </w:r>
    </w:p>
    <w:p w14:paraId="7EFCE52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- 8 -</w:t>
      </w:r>
    </w:p>
    <w:p w14:paraId="4303739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- 9 -</w:t>
      </w:r>
    </w:p>
    <w:p w14:paraId="6851DB52">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- 9 -</w:t>
      </w:r>
    </w:p>
    <w:p w14:paraId="030208D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- 10 -</w:t>
      </w:r>
    </w:p>
    <w:p w14:paraId="781AA5AF">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-15-</w:t>
      </w:r>
    </w:p>
    <w:p w14:paraId="668AF0CD">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- 16 -</w:t>
      </w:r>
    </w:p>
    <w:p w14:paraId="1AF42C5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- 17 -</w:t>
      </w:r>
    </w:p>
    <w:p w14:paraId="2E2CEDB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49A5D86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- 18 -</w:t>
      </w:r>
    </w:p>
    <w:p w14:paraId="4E7D20FD">
      <w:pPr>
        <w:pStyle w:val="11"/>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- 19 -</w:t>
      </w:r>
    </w:p>
    <w:p w14:paraId="695CA454">
      <w:pPr>
        <w:pStyle w:val="11"/>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- 24 -</w:t>
      </w:r>
    </w:p>
    <w:p w14:paraId="36AF703B">
      <w:pPr>
        <w:pStyle w:val="11"/>
        <w:keepNext w:val="0"/>
        <w:keepLines w:val="0"/>
        <w:pageBreakBefore w:val="0"/>
        <w:kinsoku/>
        <w:wordWrap/>
        <w:overflowPunct/>
        <w:topLinePunct w:val="0"/>
        <w:autoSpaceDE/>
        <w:autoSpaceDN/>
        <w:bidi w:val="0"/>
        <w:adjustRightInd w:val="0"/>
        <w:snapToGrid w:val="0"/>
        <w:spacing w:before="0" w:beforeLines="0" w:line="560"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09DC6C15">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36D17D4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0C27CE97">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4A189BA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4B79C78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44E6538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32D41C6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77119458">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3DC3E106">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71C34B2B">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58318E22">
      <w:pPr>
        <w:pStyle w:val="16"/>
        <w:keepNext w:val="0"/>
        <w:keepLines w:val="0"/>
        <w:pageBreakBefore w:val="0"/>
        <w:widowControl w:val="0"/>
        <w:kinsoku/>
        <w:wordWrap/>
        <w:overflowPunct/>
        <w:topLinePunct w:val="0"/>
        <w:autoSpaceDE/>
        <w:autoSpaceDN/>
        <w:bidi w:val="0"/>
        <w:adjustRightInd w:val="0"/>
        <w:snapToGrid w:val="0"/>
        <w:spacing w:line="560" w:lineRule="exact"/>
        <w:ind w:left="958" w:leftChars="304" w:hanging="320" w:hangingChars="1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-48-</w:t>
      </w:r>
    </w:p>
    <w:p w14:paraId="725D4720">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717FE644">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- 48-</w:t>
      </w:r>
    </w:p>
    <w:p w14:paraId="7E358B0C">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590E4187">
      <w:pPr>
        <w:pStyle w:val="3"/>
        <w:jc w:val="center"/>
        <w:rPr>
          <w:rStyle w:val="22"/>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2"/>
          <w:rFonts w:hint="eastAsia" w:ascii="Times New Roman" w:hAnsi="Times New Roman" w:eastAsia="方正小标宋简体" w:cs="方正小标宋简体"/>
          <w:b w:val="0"/>
          <w:bCs w:val="0"/>
          <w:color w:val="auto"/>
          <w:highlight w:val="none"/>
        </w:rPr>
        <w:t>部门概况</w:t>
      </w:r>
      <w:bookmarkEnd w:id="12"/>
      <w:bookmarkEnd w:id="13"/>
    </w:p>
    <w:p w14:paraId="235711BE">
      <w:pPr>
        <w:widowControl/>
        <w:jc w:val="left"/>
        <w:rPr>
          <w:rFonts w:ascii="Times New Roman" w:hAnsi="Times New Roman" w:eastAsia="黑体"/>
          <w:color w:val="auto"/>
          <w:sz w:val="32"/>
          <w:szCs w:val="32"/>
          <w:highlight w:val="none"/>
        </w:rPr>
      </w:pPr>
    </w:p>
    <w:p w14:paraId="7B6688CA">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6B20DE8E">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lang w:eastAsia="zh-CN"/>
        </w:rPr>
        <w:t>）起草民政工作规范性文件草案，拟订全县民政事业发展规划、政策、标准并组织实施。</w:t>
      </w:r>
    </w:p>
    <w:p w14:paraId="191B5ED1">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lang w:eastAsia="zh-CN"/>
        </w:rPr>
        <w:t>）拟订社会团体、社会服务机构等社会组织登记和监督管理办法并组织实施，依法对社会组织进行登记管理和执法监督。</w:t>
      </w:r>
    </w:p>
    <w:p w14:paraId="40E8D3C3">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lang w:eastAsia="zh-CN"/>
        </w:rPr>
        <w:t>）牵头拟订社会救助规划、政策、标准，统筹推进社会救助体系建设，负责城乡居民最低生活保障、特困人员救助供养、临时救助、生活无着流浪乞讨人员救助工作。</w:t>
      </w:r>
    </w:p>
    <w:p w14:paraId="034A52F9">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4</w:t>
      </w:r>
      <w:r>
        <w:rPr>
          <w:rFonts w:hint="eastAsia" w:ascii="仿宋_GB2312" w:hAnsi="仿宋" w:eastAsia="仿宋_GB2312" w:cs="仿宋"/>
          <w:sz w:val="32"/>
          <w:szCs w:val="32"/>
          <w:lang w:eastAsia="zh-CN"/>
        </w:rPr>
        <w:t>）拟订行政区划、行政区域界线管理和地名管理政策，组织拟订全县行政区划优化设置建议方案，按照管理权限牵头负责全县行政区划设立、命名、撤销、变更和政府驻地迁移等审核报批工作。按照管理权限确定、公布行政区划代码，组织并指导全县行政区域界线的勘定、管理工作，调处行政区域边界争议，负责全县地名工作的统一监督管理工作。</w:t>
      </w:r>
    </w:p>
    <w:p w14:paraId="227B66AC">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lang w:eastAsia="zh-CN"/>
        </w:rPr>
        <w:t>）拟订婚姻管理政策并组织实施，推进婚俗改革。</w:t>
      </w:r>
    </w:p>
    <w:p w14:paraId="3FFCF376">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6</w:t>
      </w:r>
      <w:r>
        <w:rPr>
          <w:rFonts w:hint="eastAsia" w:ascii="仿宋_GB2312" w:hAnsi="仿宋" w:eastAsia="仿宋_GB2312" w:cs="仿宋"/>
          <w:sz w:val="32"/>
          <w:szCs w:val="32"/>
          <w:lang w:eastAsia="zh-CN"/>
        </w:rPr>
        <w:t>）拟订殡葬管理政策、服务规范并组织实施，负责殡葬管理工作，推进殡葬改革。</w:t>
      </w:r>
    </w:p>
    <w:p w14:paraId="41798B08">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lang w:eastAsia="zh-CN"/>
        </w:rPr>
        <w:t>）拟订社会福利事业发展规划、政策、标准，拟订社会福利机构管理办法并指导实施，拟订残疾人权益保护政策并监督实施。负责康复辅助器具行业管理，统筹推进残疾人福利制度建设和康复辅助器具产业发展。</w:t>
      </w:r>
    </w:p>
    <w:p w14:paraId="1FA70A0E">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8</w:t>
      </w:r>
      <w:r>
        <w:rPr>
          <w:rFonts w:hint="eastAsia" w:ascii="仿宋_GB2312" w:hAnsi="仿宋" w:eastAsia="仿宋_GB2312" w:cs="仿宋"/>
          <w:sz w:val="32"/>
          <w:szCs w:val="32"/>
          <w:lang w:eastAsia="zh-CN"/>
        </w:rPr>
        <w:t>）承担县老龄工作委员会的具体工作。组织拟订并协调落实积极应对人口老龄化政策措施。指导协调老年人权益保障工作。组织拟订老年人社会参与政策并组织实施。</w:t>
      </w:r>
    </w:p>
    <w:p w14:paraId="561CB374">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9</w:t>
      </w:r>
      <w:r>
        <w:rPr>
          <w:rFonts w:hint="eastAsia" w:ascii="仿宋_GB2312" w:hAnsi="仿宋" w:eastAsia="仿宋_GB2312" w:cs="仿宋"/>
          <w:sz w:val="32"/>
          <w:szCs w:val="32"/>
          <w:lang w:eastAsia="zh-CN"/>
        </w:rPr>
        <w:t>）组织拟订并协调落实促进养老事业发展的政策措施。统筹推进、督促指导、监督管理养老服务工作，拟订养老服务体系建设规划、政策、标准并组织实施，承担老年人福利和特殊困难老年人救助工作，协调推进农村留守老年人关爱服务工作。</w:t>
      </w:r>
    </w:p>
    <w:p w14:paraId="793824FD">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10</w:t>
      </w:r>
      <w:r>
        <w:rPr>
          <w:rFonts w:hint="eastAsia" w:ascii="仿宋_GB2312" w:hAnsi="仿宋" w:eastAsia="仿宋_GB2312" w:cs="仿宋"/>
          <w:sz w:val="32"/>
          <w:szCs w:val="32"/>
          <w:lang w:eastAsia="zh-CN"/>
        </w:rPr>
        <w:t>）拟订儿童福利、孤弃儿童保障、儿童收养、儿童救助保护政策和标准并组织实施，健全农村留守儿童关爱服务体系和困境儿童保障制度。</w:t>
      </w:r>
    </w:p>
    <w:p w14:paraId="227DB282">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11</w:t>
      </w:r>
      <w:r>
        <w:rPr>
          <w:rFonts w:hint="eastAsia" w:ascii="仿宋_GB2312" w:hAnsi="仿宋" w:eastAsia="仿宋_GB2312" w:cs="仿宋"/>
          <w:sz w:val="32"/>
          <w:szCs w:val="32"/>
          <w:lang w:eastAsia="zh-CN"/>
        </w:rPr>
        <w:t>）组织拟订促进慈善事业发展政策，指导社会捐助工作。负责职责范围内的福利彩票有关工作。</w:t>
      </w:r>
    </w:p>
    <w:p w14:paraId="1B148FE0">
      <w:pPr>
        <w:adjustRightInd/>
        <w:spacing w:after="0" w:afterLines="0" w:line="580" w:lineRule="exact"/>
        <w:ind w:firstLine="640" w:firstLineChars="200"/>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lang w:eastAsia="zh-CN"/>
        </w:rPr>
        <w:t>）依法依规负责社会福利、养老服务、殡葬服务、救助管理等机构安全生产监督管理工作。负责职责范围内的职业健康、生态环境保护、审批服务便民化等工作。</w:t>
      </w:r>
    </w:p>
    <w:p w14:paraId="5C94F568">
      <w:pPr>
        <w:numPr>
          <w:ilvl w:val="0"/>
          <w:numId w:val="0"/>
        </w:numPr>
        <w:rPr>
          <w:rFonts w:hint="eastAsia"/>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13</w:t>
      </w:r>
      <w:r>
        <w:rPr>
          <w:rFonts w:hint="eastAsia" w:ascii="仿宋_GB2312" w:hAnsi="仿宋" w:eastAsia="仿宋_GB2312" w:cs="仿宋"/>
          <w:sz w:val="32"/>
          <w:szCs w:val="32"/>
          <w:lang w:eastAsia="zh-CN"/>
        </w:rPr>
        <w:t>）完成县委、县政府交办的其他任务。</w:t>
      </w:r>
    </w:p>
    <w:p w14:paraId="7329F1E1">
      <w:pPr>
        <w:pStyle w:val="4"/>
        <w:rPr>
          <w:rStyle w:val="23"/>
          <w:rFonts w:ascii="Times New Roman" w:hAnsi="Times New Roman"/>
          <w:b w:val="0"/>
          <w:bCs w:val="0"/>
          <w:color w:val="auto"/>
          <w:highlight w:val="none"/>
        </w:rPr>
      </w:pPr>
      <w:bookmarkStart w:id="14" w:name="_Toc15396601"/>
      <w:bookmarkStart w:id="15" w:name="_Toc15377200"/>
      <w:r>
        <w:rPr>
          <w:rFonts w:hint="eastAsia" w:ascii="Times New Roman" w:hAnsi="Times New Roman" w:eastAsia="黑体"/>
          <w:b w:val="0"/>
          <w:color w:val="auto"/>
          <w:highlight w:val="none"/>
        </w:rPr>
        <w:t>二、机</w:t>
      </w:r>
      <w:r>
        <w:rPr>
          <w:rStyle w:val="23"/>
          <w:rFonts w:hint="eastAsia" w:ascii="Times New Roman" w:hAnsi="Times New Roman" w:eastAsia="黑体"/>
          <w:b w:val="0"/>
          <w:bCs w:val="0"/>
          <w:color w:val="auto"/>
          <w:highlight w:val="none"/>
        </w:rPr>
        <w:t>构设置</w:t>
      </w:r>
      <w:bookmarkEnd w:id="14"/>
      <w:bookmarkEnd w:id="15"/>
    </w:p>
    <w:p w14:paraId="5F97FBF4">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松潘县民政局下属二级预算单位2个，其中行政单位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p>
    <w:p w14:paraId="07F9839C">
      <w:pPr>
        <w:pStyle w:val="6"/>
        <w:adjustRightInd w:val="0"/>
        <w:snapToGrid w:val="0"/>
        <w:spacing w:before="93" w:beforeLines="0" w:line="600" w:lineRule="exact"/>
        <w:ind w:firstLine="672" w:firstLineChars="21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kern w:val="2"/>
          <w:sz w:val="32"/>
          <w:szCs w:val="32"/>
        </w:rPr>
        <w:t>松潘县民政局</w:t>
      </w:r>
      <w:r>
        <w:rPr>
          <w:rFonts w:hint="eastAsia" w:ascii="仿宋_GB2312" w:hAnsi="仿宋_GB2312" w:eastAsia="仿宋_GB2312" w:cs="仿宋_GB2312"/>
          <w:sz w:val="32"/>
          <w:szCs w:val="32"/>
        </w:rPr>
        <w:t>2023年度部门决算编制范围的二级预算单位包括：</w:t>
      </w:r>
    </w:p>
    <w:p w14:paraId="3C4550F1">
      <w:pPr>
        <w:widowControl/>
        <w:ind w:firstLine="640" w:firstLineChars="200"/>
        <w:jc w:val="left"/>
        <w:rPr>
          <w:rFonts w:ascii="Times New Roman" w:hAnsi="Times New Roman" w:eastAsia="仿宋"/>
          <w:color w:val="auto"/>
          <w:kern w:val="0"/>
          <w:sz w:val="32"/>
          <w:szCs w:val="32"/>
          <w:highlight w:val="none"/>
        </w:rPr>
      </w:pPr>
      <w:bookmarkStart w:id="16" w:name="_Toc15377202"/>
      <w:bookmarkStart w:id="17" w:name="_Toc15306276"/>
      <w:bookmarkStart w:id="18" w:name="_Toc15377433"/>
      <w:bookmarkStart w:id="19" w:name="_Toc15378449"/>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松潘县社会救助福利服务中心</w:t>
      </w:r>
      <w:bookmarkEnd w:id="16"/>
      <w:bookmarkEnd w:id="17"/>
      <w:bookmarkEnd w:id="18"/>
      <w:bookmarkEnd w:id="19"/>
      <w:r>
        <w:rPr>
          <w:rFonts w:ascii="Times New Roman" w:hAnsi="Times New Roman" w:eastAsia="仿宋"/>
          <w:color w:val="auto"/>
          <w:sz w:val="32"/>
          <w:szCs w:val="32"/>
          <w:highlight w:val="none"/>
        </w:rPr>
        <w:br w:type="page"/>
      </w:r>
    </w:p>
    <w:p w14:paraId="15C58A85">
      <w:pPr>
        <w:pStyle w:val="3"/>
        <w:jc w:val="center"/>
        <w:rPr>
          <w:rFonts w:hint="eastAsia" w:ascii="Times New Roman" w:hAnsi="Times New Roman" w:eastAsia="方正小标宋简体" w:cs="方正小标宋简体"/>
          <w:b w:val="0"/>
          <w:color w:val="auto"/>
          <w:highlight w:val="none"/>
        </w:rPr>
      </w:pPr>
      <w:bookmarkStart w:id="20" w:name="_Toc15377204"/>
      <w:bookmarkStart w:id="2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0"/>
      <w:bookmarkEnd w:id="21"/>
    </w:p>
    <w:p w14:paraId="3A415671">
      <w:pPr>
        <w:rPr>
          <w:rFonts w:ascii="Times New Roman" w:hAnsi="Times New Roman"/>
          <w:color w:val="auto"/>
          <w:highlight w:val="none"/>
        </w:rPr>
      </w:pPr>
    </w:p>
    <w:p w14:paraId="4B519F76">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3"/>
          <w:rFonts w:hint="eastAsia" w:ascii="Times New Roman" w:hAnsi="Times New Roman" w:eastAsia="黑体"/>
          <w:b w:val="0"/>
          <w:color w:val="auto"/>
          <w:highlight w:val="none"/>
        </w:rPr>
      </w:pPr>
      <w:bookmarkStart w:id="22" w:name="_Toc15377205"/>
      <w:bookmarkStart w:id="23"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3"/>
          <w:rFonts w:hint="eastAsia" w:ascii="Times New Roman" w:hAnsi="Times New Roman" w:eastAsia="黑体"/>
          <w:b w:val="0"/>
          <w:color w:val="auto"/>
          <w:highlight w:val="none"/>
        </w:rPr>
        <w:t>入支出决算总体情况说明</w:t>
      </w:r>
      <w:bookmarkEnd w:id="22"/>
      <w:bookmarkEnd w:id="23"/>
    </w:p>
    <w:p w14:paraId="2595F83B">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4986.88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578.54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13.12</w:t>
      </w:r>
      <w:r>
        <w:rPr>
          <w:rFonts w:hint="eastAsia" w:ascii="Times New Roman" w:hAnsi="Times New Roman" w:eastAsia="仿宋_GB2312" w:cs="仿宋_GB2312"/>
          <w:color w:val="auto"/>
          <w:sz w:val="32"/>
          <w:szCs w:val="32"/>
          <w:highlight w:val="none"/>
        </w:rPr>
        <w:t>%。主要变动原因是享受救助的人数增加</w:t>
      </w:r>
      <w:r>
        <w:rPr>
          <w:rFonts w:hint="eastAsia" w:eastAsia="仿宋_GB2312" w:cs="仿宋_GB2312"/>
          <w:color w:val="auto"/>
          <w:sz w:val="32"/>
          <w:szCs w:val="32"/>
          <w:highlight w:val="none"/>
          <w:lang w:eastAsia="zh-CN"/>
        </w:rPr>
        <w:t>。</w:t>
      </w:r>
    </w:p>
    <w:p w14:paraId="78EA82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3AE51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572000" cy="2743200"/>
            <wp:effectExtent l="4445" t="4445" r="14605" b="14605"/>
            <wp:docPr id="4" name="图表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DBA43A3">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4" w:name="_Toc15377206"/>
      <w:bookmarkStart w:id="25" w:name="_Toc15396604"/>
      <w:r>
        <w:rPr>
          <w:rFonts w:hint="eastAsia" w:ascii="Times New Roman" w:hAnsi="Times New Roman" w:eastAsia="黑体"/>
          <w:color w:val="auto"/>
          <w:sz w:val="32"/>
          <w:szCs w:val="32"/>
          <w:highlight w:val="none"/>
          <w:lang w:eastAsia="zh-CN"/>
        </w:rPr>
        <w:t>二、收入决算情况说明</w:t>
      </w:r>
      <w:bookmarkEnd w:id="24"/>
      <w:bookmarkEnd w:id="25"/>
    </w:p>
    <w:p w14:paraId="6A785502">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4986.88万元，其中：一般公共预算财政拨款收入4622.96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92.7</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363.91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7.29%</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3787E674">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74A7FA26">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5" name="图表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B2CBB8">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3"/>
          <w:rFonts w:hint="eastAsia" w:ascii="Times New Roman" w:hAnsi="Times New Roman" w:eastAsia="黑体"/>
          <w:b w:val="0"/>
          <w:color w:val="auto"/>
          <w:highlight w:val="none"/>
        </w:rPr>
      </w:pPr>
      <w:bookmarkStart w:id="26" w:name="_Toc15396605"/>
      <w:bookmarkStart w:id="2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3"/>
          <w:rFonts w:hint="eastAsia" w:ascii="Times New Roman" w:hAnsi="Times New Roman" w:eastAsia="黑体"/>
          <w:b w:val="0"/>
          <w:color w:val="auto"/>
          <w:highlight w:val="none"/>
        </w:rPr>
        <w:t>出决算情况说明</w:t>
      </w:r>
      <w:bookmarkEnd w:id="26"/>
      <w:bookmarkEnd w:id="27"/>
    </w:p>
    <w:p w14:paraId="519A4A0E">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4986.88</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636.81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12.76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4350.07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87.23</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71918166">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2DD0D724">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572000" cy="2743200"/>
            <wp:effectExtent l="4445" t="4445" r="14605" b="14605"/>
            <wp:docPr id="6" name="图表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24A419">
      <w:pPr>
        <w:spacing w:line="600" w:lineRule="exact"/>
        <w:ind w:firstLine="640" w:firstLineChars="200"/>
        <w:outlineLvl w:val="1"/>
        <w:rPr>
          <w:rStyle w:val="23"/>
          <w:rFonts w:ascii="Times New Roman" w:hAnsi="Times New Roman" w:eastAsia="黑体"/>
          <w:b w:val="0"/>
          <w:color w:val="auto"/>
          <w:highlight w:val="none"/>
        </w:rPr>
      </w:pPr>
      <w:bookmarkStart w:id="28" w:name="_Toc15377208"/>
      <w:bookmarkStart w:id="29" w:name="_Toc15396606"/>
      <w:r>
        <w:rPr>
          <w:rFonts w:hint="eastAsia" w:ascii="Times New Roman" w:hAnsi="Times New Roman" w:eastAsia="黑体"/>
          <w:color w:val="auto"/>
          <w:sz w:val="32"/>
          <w:szCs w:val="32"/>
          <w:highlight w:val="none"/>
        </w:rPr>
        <w:t>四、财</w:t>
      </w:r>
      <w:r>
        <w:rPr>
          <w:rStyle w:val="23"/>
          <w:rFonts w:hint="eastAsia" w:ascii="Times New Roman" w:hAnsi="Times New Roman" w:eastAsia="黑体"/>
          <w:b w:val="0"/>
          <w:color w:val="auto"/>
          <w:highlight w:val="none"/>
        </w:rPr>
        <w:t>政拨款收入支出决算总体情况说明</w:t>
      </w:r>
      <w:bookmarkEnd w:id="28"/>
      <w:bookmarkEnd w:id="29"/>
    </w:p>
    <w:p w14:paraId="6DBABFB5">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2024年度财政拨款收入、支出总计均为</w:t>
      </w:r>
      <w:r>
        <w:rPr>
          <w:rFonts w:hint="eastAsia" w:ascii="仿宋_GB2312" w:hAnsi="仿宋_GB2312" w:eastAsia="仿宋_GB2312" w:cs="仿宋_GB2312"/>
          <w:sz w:val="32"/>
          <w:szCs w:val="32"/>
        </w:rPr>
        <w:t>4986.88</w:t>
      </w:r>
      <w:r>
        <w:rPr>
          <w:rFonts w:hint="eastAsia" w:ascii="Times New Roman" w:hAnsi="Times New Roman" w:eastAsia="仿宋_GB2312" w:cs="仿宋_GB2312"/>
          <w:color w:val="auto"/>
          <w:kern w:val="2"/>
          <w:sz w:val="32"/>
          <w:szCs w:val="32"/>
          <w:highlight w:val="none"/>
          <w:lang w:val="en-US" w:eastAsia="zh-CN"/>
        </w:rPr>
        <w:t>万元。与2023年度相比，财政拨款收入总计、支出总计各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578.54</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13.12</w:t>
      </w:r>
      <w:r>
        <w:rPr>
          <w:rFonts w:hint="eastAsia" w:ascii="Times New Roman" w:hAnsi="Times New Roman" w:eastAsia="仿宋_GB2312" w:cs="仿宋_GB2312"/>
          <w:color w:val="auto"/>
          <w:sz w:val="32"/>
          <w:szCs w:val="32"/>
          <w:highlight w:val="none"/>
        </w:rPr>
        <w:t>%。主要变动原因是享受救助的人数增加</w:t>
      </w:r>
      <w:r>
        <w:rPr>
          <w:rFonts w:hint="eastAsia" w:eastAsia="仿宋_GB2312" w:cs="仿宋_GB2312"/>
          <w:color w:val="auto"/>
          <w:sz w:val="32"/>
          <w:szCs w:val="32"/>
          <w:highlight w:val="none"/>
          <w:lang w:eastAsia="zh-CN"/>
        </w:rPr>
        <w:t>。</w:t>
      </w:r>
    </w:p>
    <w:p w14:paraId="16B26EA9">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rPr>
      </w:pPr>
      <w:r>
        <w:drawing>
          <wp:anchor distT="0" distB="0" distL="114300" distR="114300" simplePos="0" relativeHeight="251659264" behindDoc="0" locked="0" layoutInCell="1" allowOverlap="1">
            <wp:simplePos x="0" y="0"/>
            <wp:positionH relativeFrom="column">
              <wp:posOffset>194945</wp:posOffset>
            </wp:positionH>
            <wp:positionV relativeFrom="paragraph">
              <wp:posOffset>733425</wp:posOffset>
            </wp:positionV>
            <wp:extent cx="4572000" cy="2743200"/>
            <wp:effectExtent l="4445" t="4445" r="14605" b="14605"/>
            <wp:wrapTopAndBottom/>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仿宋_GB2312"/>
          <w:color w:val="auto"/>
          <w:kern w:val="2"/>
          <w:sz w:val="32"/>
          <w:szCs w:val="32"/>
          <w:highlight w:val="none"/>
          <w:lang w:val="en-US" w:eastAsia="zh-CN"/>
        </w:rPr>
        <w:t>（图4：财政拨款收、支决算总计变动情况）（柱状图）</w:t>
      </w:r>
    </w:p>
    <w:p w14:paraId="6C1B4E96">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46CFCE6B">
      <w:pPr>
        <w:spacing w:line="600" w:lineRule="exact"/>
        <w:ind w:firstLine="640" w:firstLineChars="200"/>
        <w:outlineLvl w:val="1"/>
        <w:rPr>
          <w:rStyle w:val="23"/>
          <w:rFonts w:ascii="Times New Roman" w:hAnsi="Times New Roman" w:eastAsia="黑体"/>
          <w:b w:val="0"/>
          <w:color w:val="auto"/>
          <w:highlight w:val="none"/>
        </w:rPr>
      </w:pPr>
      <w:bookmarkStart w:id="30" w:name="_Toc15396607"/>
      <w:bookmarkStart w:id="3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3"/>
          <w:rFonts w:hint="eastAsia" w:ascii="Times New Roman" w:hAnsi="Times New Roman" w:eastAsia="黑体"/>
          <w:b w:val="0"/>
          <w:color w:val="auto"/>
          <w:highlight w:val="none"/>
        </w:rPr>
        <w:t>般公共预算财政拨款支出决算情况说明</w:t>
      </w:r>
      <w:bookmarkEnd w:id="30"/>
      <w:bookmarkEnd w:id="31"/>
    </w:p>
    <w:p w14:paraId="400A127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2"/>
    </w:p>
    <w:p w14:paraId="7C069828">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2024年度一般公共预算财政拨款支出</w:t>
      </w:r>
      <w:r>
        <w:rPr>
          <w:rFonts w:hint="eastAsia" w:ascii="仿宋_GB2312" w:hAnsi="仿宋_GB2312" w:eastAsia="仿宋_GB2312" w:cs="仿宋_GB2312"/>
          <w:sz w:val="32"/>
          <w:szCs w:val="32"/>
        </w:rPr>
        <w:t>4622.96</w:t>
      </w:r>
      <w:r>
        <w:rPr>
          <w:rFonts w:hint="eastAsia" w:ascii="仿宋_GB2312" w:hAnsi="仿宋_GB2312" w:eastAsia="仿宋_GB2312" w:cs="仿宋_GB2312"/>
          <w:color w:val="auto"/>
          <w:kern w:val="2"/>
          <w:sz w:val="32"/>
          <w:szCs w:val="32"/>
          <w:highlight w:val="none"/>
          <w:lang w:val="en-US" w:eastAsia="zh-CN"/>
        </w:rPr>
        <w:t>万元，占本年支出合计的</w:t>
      </w:r>
      <w:r>
        <w:rPr>
          <w:rFonts w:hint="eastAsia" w:ascii="仿宋_GB2312" w:hAnsi="仿宋_GB2312" w:eastAsia="仿宋_GB2312" w:cs="仿宋_GB2312"/>
          <w:sz w:val="32"/>
          <w:szCs w:val="32"/>
        </w:rPr>
        <w:t>92.7</w:t>
      </w:r>
      <w:r>
        <w:rPr>
          <w:rFonts w:hint="eastAsia" w:ascii="仿宋_GB2312" w:hAnsi="仿宋_GB2312" w:eastAsia="仿宋_GB2312" w:cs="仿宋_GB2312"/>
          <w:color w:val="auto"/>
          <w:kern w:val="2"/>
          <w:sz w:val="32"/>
          <w:szCs w:val="32"/>
          <w:highlight w:val="none"/>
          <w:lang w:val="en-US" w:eastAsia="zh-CN"/>
        </w:rPr>
        <w:t>%。与2023年度相比，一般公共预算财政拨款支出增加1020.65万元，增长28.33%。主要变动原因是</w:t>
      </w:r>
      <w:r>
        <w:rPr>
          <w:rFonts w:hint="eastAsia" w:ascii="Times New Roman" w:hAnsi="Times New Roman" w:eastAsia="仿宋_GB2312" w:cs="仿宋_GB2312"/>
          <w:color w:val="auto"/>
          <w:sz w:val="32"/>
          <w:szCs w:val="32"/>
          <w:highlight w:val="none"/>
        </w:rPr>
        <w:t>享受救助的人数增加</w:t>
      </w:r>
      <w:r>
        <w:rPr>
          <w:rFonts w:hint="eastAsia" w:ascii="Times New Roman" w:hAnsi="Times New Roman"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政府性基金预算财政拨款收入减少</w:t>
      </w:r>
      <w:r>
        <w:rPr>
          <w:rFonts w:hint="eastAsia" w:eastAsia="仿宋_GB2312" w:cs="仿宋_GB2312"/>
          <w:color w:val="auto"/>
          <w:sz w:val="32"/>
          <w:szCs w:val="32"/>
          <w:highlight w:val="none"/>
          <w:lang w:eastAsia="zh-CN"/>
        </w:rPr>
        <w:t>。</w:t>
      </w:r>
    </w:p>
    <w:p w14:paraId="641CA15A">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（图5：一般公共预算财政拨款支出决算变动情况）（柱状图）</w:t>
      </w:r>
    </w:p>
    <w:p w14:paraId="507AE0CC">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drawing>
          <wp:anchor distT="0" distB="0" distL="114300" distR="114300" simplePos="0" relativeHeight="251660288" behindDoc="0" locked="0" layoutInCell="1" allowOverlap="1">
            <wp:simplePos x="0" y="0"/>
            <wp:positionH relativeFrom="column">
              <wp:posOffset>462280</wp:posOffset>
            </wp:positionH>
            <wp:positionV relativeFrom="paragraph">
              <wp:posOffset>310515</wp:posOffset>
            </wp:positionV>
            <wp:extent cx="4572000" cy="2743200"/>
            <wp:effectExtent l="4445" t="4445" r="14605" b="14605"/>
            <wp:wrapTopAndBottom/>
            <wp:docPr id="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08EC70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3"/>
    </w:p>
    <w:p w14:paraId="74945FE5">
      <w:pPr>
        <w:spacing w:line="600" w:lineRule="exact"/>
        <w:ind w:firstLine="640"/>
        <w:rPr>
          <w:rFonts w:hint="eastAsia"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2024年度一般公共预算财政拨款支出</w:t>
      </w:r>
      <w:r>
        <w:rPr>
          <w:rFonts w:hint="eastAsia" w:ascii="仿宋_GB2312" w:hAnsi="仿宋_GB2312" w:eastAsia="仿宋_GB2312" w:cs="仿宋_GB2312"/>
          <w:sz w:val="32"/>
          <w:szCs w:val="32"/>
        </w:rPr>
        <w:t>4622.96</w:t>
      </w:r>
      <w:r>
        <w:rPr>
          <w:rFonts w:hint="eastAsia" w:ascii="仿宋_GB2312" w:hAnsi="仿宋_GB2312" w:eastAsia="仿宋_GB2312" w:cs="仿宋_GB2312"/>
          <w:color w:val="auto"/>
          <w:kern w:val="2"/>
          <w:sz w:val="32"/>
          <w:szCs w:val="32"/>
          <w:highlight w:val="none"/>
          <w:lang w:val="en-US" w:eastAsia="zh-CN"/>
        </w:rPr>
        <w:t>万元</w:t>
      </w:r>
      <w:r>
        <w:rPr>
          <w:rFonts w:hint="eastAsia" w:ascii="Times New Roman" w:hAnsi="Times New Roman" w:eastAsia="仿宋_GB2312" w:cs="仿宋_GB2312"/>
          <w:color w:val="auto"/>
          <w:kern w:val="2"/>
          <w:sz w:val="32"/>
          <w:szCs w:val="32"/>
          <w:highlight w:val="none"/>
          <w:lang w:val="en-US" w:eastAsia="zh-CN"/>
        </w:rPr>
        <w:t>，主要用于以下方面</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一般公共服务支出</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%；教育支出</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%；科学技术支出</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w:t>
      </w:r>
      <w:r>
        <w:rPr>
          <w:rFonts w:hint="eastAsia" w:eastAsia="仿宋_GB2312" w:cs="仿宋_GB2312"/>
          <w:color w:val="auto"/>
          <w:kern w:val="2"/>
          <w:sz w:val="32"/>
          <w:szCs w:val="32"/>
          <w:highlight w:val="none"/>
          <w:lang w:val="en-US" w:eastAsia="zh-CN"/>
        </w:rPr>
        <w:t>农林水</w:t>
      </w:r>
      <w:r>
        <w:rPr>
          <w:rFonts w:hint="eastAsia" w:ascii="Times New Roman" w:hAnsi="Times New Roman" w:eastAsia="仿宋_GB2312" w:cs="仿宋_GB2312"/>
          <w:color w:val="auto"/>
          <w:kern w:val="2"/>
          <w:sz w:val="32"/>
          <w:szCs w:val="32"/>
          <w:highlight w:val="none"/>
          <w:lang w:val="en-US" w:eastAsia="zh-CN"/>
        </w:rPr>
        <w:t>支出</w:t>
      </w:r>
      <w:r>
        <w:rPr>
          <w:rFonts w:hint="eastAsia" w:eastAsia="仿宋_GB2312" w:cs="仿宋_GB2312"/>
          <w:color w:val="auto"/>
          <w:kern w:val="2"/>
          <w:sz w:val="32"/>
          <w:szCs w:val="32"/>
          <w:highlight w:val="none"/>
          <w:lang w:val="en-US" w:eastAsia="zh-CN"/>
        </w:rPr>
        <w:t>293.34</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6.34</w:t>
      </w:r>
      <w:r>
        <w:rPr>
          <w:rFonts w:hint="eastAsia" w:ascii="Times New Roman" w:hAnsi="Times New Roman" w:eastAsia="仿宋_GB2312" w:cs="仿宋_GB2312"/>
          <w:color w:val="auto"/>
          <w:kern w:val="2"/>
          <w:sz w:val="32"/>
          <w:szCs w:val="32"/>
          <w:highlight w:val="none"/>
          <w:lang w:val="en-US" w:eastAsia="zh-CN"/>
        </w:rPr>
        <w:t>%；社会保障和就业支出</w:t>
      </w:r>
      <w:r>
        <w:rPr>
          <w:rFonts w:hint="eastAsia" w:eastAsia="仿宋_GB2312" w:cs="仿宋_GB2312"/>
          <w:color w:val="auto"/>
          <w:kern w:val="2"/>
          <w:sz w:val="32"/>
          <w:szCs w:val="32"/>
          <w:highlight w:val="none"/>
          <w:lang w:val="en-US" w:eastAsia="zh-CN"/>
        </w:rPr>
        <w:t>4070.3</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88.05</w:t>
      </w:r>
      <w:r>
        <w:rPr>
          <w:rFonts w:hint="eastAsia" w:ascii="Times New Roman" w:hAnsi="Times New Roman" w:eastAsia="仿宋_GB2312" w:cs="仿宋_GB2312"/>
          <w:color w:val="auto"/>
          <w:kern w:val="2"/>
          <w:sz w:val="32"/>
          <w:szCs w:val="32"/>
          <w:highlight w:val="none"/>
          <w:lang w:val="en-US" w:eastAsia="zh-CN"/>
        </w:rPr>
        <w:t>%；卫生健康支出</w:t>
      </w:r>
      <w:r>
        <w:rPr>
          <w:rFonts w:hint="eastAsia" w:eastAsia="仿宋_GB2312" w:cs="仿宋_GB2312"/>
          <w:color w:val="auto"/>
          <w:kern w:val="2"/>
          <w:sz w:val="32"/>
          <w:szCs w:val="32"/>
          <w:highlight w:val="none"/>
          <w:lang w:val="en-US" w:eastAsia="zh-CN"/>
        </w:rPr>
        <w:t>210.89</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4.56</w:t>
      </w:r>
      <w:r>
        <w:rPr>
          <w:rFonts w:hint="eastAsia" w:ascii="Times New Roman" w:hAnsi="Times New Roman" w:eastAsia="仿宋_GB2312" w:cs="仿宋_GB2312"/>
          <w:color w:val="auto"/>
          <w:kern w:val="2"/>
          <w:sz w:val="32"/>
          <w:szCs w:val="32"/>
          <w:highlight w:val="none"/>
          <w:lang w:val="en-US" w:eastAsia="zh-CN"/>
        </w:rPr>
        <w:t>%；住房保障支出</w:t>
      </w:r>
      <w:r>
        <w:rPr>
          <w:rFonts w:hint="eastAsia" w:eastAsia="仿宋_GB2312" w:cs="仿宋_GB2312"/>
          <w:color w:val="auto"/>
          <w:kern w:val="2"/>
          <w:sz w:val="32"/>
          <w:szCs w:val="32"/>
          <w:highlight w:val="none"/>
          <w:lang w:val="en-US" w:eastAsia="zh-CN"/>
        </w:rPr>
        <w:t>48.43</w:t>
      </w:r>
      <w:r>
        <w:rPr>
          <w:rFonts w:hint="eastAsia" w:ascii="Times New Roman" w:hAnsi="Times New Roman" w:eastAsia="仿宋_GB2312" w:cs="仿宋_GB2312"/>
          <w:color w:val="auto"/>
          <w:kern w:val="2"/>
          <w:sz w:val="32"/>
          <w:szCs w:val="32"/>
          <w:highlight w:val="none"/>
          <w:lang w:val="en-US" w:eastAsia="zh-CN"/>
        </w:rPr>
        <w:t>万元，占</w:t>
      </w:r>
      <w:r>
        <w:rPr>
          <w:rFonts w:hint="eastAsia" w:eastAsia="仿宋_GB2312" w:cs="仿宋_GB2312"/>
          <w:color w:val="auto"/>
          <w:kern w:val="2"/>
          <w:sz w:val="32"/>
          <w:szCs w:val="32"/>
          <w:highlight w:val="none"/>
          <w:lang w:val="en-US" w:eastAsia="zh-CN"/>
        </w:rPr>
        <w:t>1.05</w:t>
      </w:r>
      <w:r>
        <w:rPr>
          <w:rFonts w:hint="eastAsia" w:ascii="Times New Roman" w:hAnsi="Times New Roman" w:eastAsia="仿宋_GB2312" w:cs="仿宋_GB2312"/>
          <w:color w:val="auto"/>
          <w:kern w:val="2"/>
          <w:sz w:val="32"/>
          <w:szCs w:val="32"/>
          <w:highlight w:val="none"/>
          <w:lang w:val="en-US" w:eastAsia="zh-CN"/>
        </w:rPr>
        <w:t>%</w:t>
      </w:r>
      <w:r>
        <w:rPr>
          <w:rFonts w:hint="eastAsia" w:eastAsia="仿宋_GB2312" w:cs="仿宋_GB2312"/>
          <w:color w:val="auto"/>
          <w:kern w:val="2"/>
          <w:sz w:val="32"/>
          <w:szCs w:val="32"/>
          <w:highlight w:val="none"/>
          <w:lang w:val="en-US" w:eastAsia="zh-CN"/>
        </w:rPr>
        <w:t>。</w:t>
      </w:r>
    </w:p>
    <w:p w14:paraId="07378A3B">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drawing>
          <wp:anchor distT="0" distB="0" distL="114300" distR="114300" simplePos="0" relativeHeight="251661312" behindDoc="0" locked="0" layoutInCell="1" allowOverlap="1">
            <wp:simplePos x="0" y="0"/>
            <wp:positionH relativeFrom="column">
              <wp:posOffset>280670</wp:posOffset>
            </wp:positionH>
            <wp:positionV relativeFrom="paragraph">
              <wp:posOffset>528320</wp:posOffset>
            </wp:positionV>
            <wp:extent cx="4572000" cy="2743200"/>
            <wp:effectExtent l="4445" t="4445" r="14605" b="14605"/>
            <wp:wrapTopAndBottom/>
            <wp:docPr id="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仿宋_GB2312"/>
          <w:color w:val="auto"/>
          <w:kern w:val="2"/>
          <w:sz w:val="32"/>
          <w:szCs w:val="32"/>
          <w:highlight w:val="none"/>
          <w:lang w:val="en-US" w:eastAsia="zh-CN"/>
        </w:rPr>
        <w:t>（图6：一般公共预算财政拨款支出决算结构）（饼状图）</w:t>
      </w:r>
    </w:p>
    <w:p w14:paraId="5FF59FC6">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3610AC8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4"/>
    </w:p>
    <w:p w14:paraId="59344EE5">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bookmarkStart w:id="35" w:name="_Toc15377444"/>
      <w:bookmarkStart w:id="36" w:name="_Toc15378460"/>
      <w:bookmarkStart w:id="37" w:name="_Toc15377213"/>
      <w:r>
        <w:rPr>
          <w:rFonts w:hint="eastAsia" w:ascii="Times New Roman" w:hAnsi="Times New Roman" w:eastAsia="仿宋_GB2312" w:cs="仿宋_GB2312"/>
          <w:color w:val="auto"/>
          <w:kern w:val="2"/>
          <w:sz w:val="32"/>
          <w:szCs w:val="32"/>
          <w:highlight w:val="none"/>
          <w:lang w:val="en-US" w:eastAsia="zh-CN"/>
        </w:rPr>
        <w:t>2024年度一般公共预算财政拨款支出决算数为</w:t>
      </w:r>
      <w:r>
        <w:rPr>
          <w:rFonts w:hint="eastAsia" w:ascii="仿宋_GB2312" w:hAnsi="仿宋_GB2312" w:eastAsia="仿宋_GB2312" w:cs="仿宋_GB2312"/>
          <w:sz w:val="32"/>
          <w:szCs w:val="32"/>
        </w:rPr>
        <w:t>4622.96</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完成预算</w:t>
      </w:r>
      <w:r>
        <w:rPr>
          <w:rFonts w:hint="eastAsia" w:eastAsia="仿宋_GB2312" w:cs="仿宋_GB2312"/>
          <w:color w:val="auto"/>
          <w:kern w:val="2"/>
          <w:sz w:val="32"/>
          <w:szCs w:val="32"/>
          <w:highlight w:val="none"/>
          <w:lang w:val="en-US" w:eastAsia="zh-CN"/>
        </w:rPr>
        <w:t>100</w:t>
      </w:r>
      <w:r>
        <w:rPr>
          <w:rFonts w:hint="eastAsia" w:ascii="Times New Roman" w:hAnsi="Times New Roman" w:eastAsia="仿宋_GB2312" w:cs="仿宋_GB2312"/>
          <w:color w:val="auto"/>
          <w:kern w:val="2"/>
          <w:sz w:val="32"/>
          <w:szCs w:val="32"/>
          <w:highlight w:val="none"/>
          <w:lang w:val="en-US" w:eastAsia="zh-CN"/>
        </w:rPr>
        <w:t>%。其中：</w:t>
      </w:r>
      <w:bookmarkEnd w:id="35"/>
      <w:bookmarkEnd w:id="36"/>
      <w:bookmarkEnd w:id="37"/>
    </w:p>
    <w:p w14:paraId="27A49D02">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1.社会保障和就业（类）民政管理事务（款）行政运行（项）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支出决算为169.94万元，完成预算100%，决算数等于预算数。</w:t>
      </w:r>
    </w:p>
    <w:p w14:paraId="58A6EA34">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2.社会保障和就业（类）民政管理事务（款）一般行政管理事务（项）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支出决算为32.24万元，完成预算100%，决算数等于预算数。</w:t>
      </w:r>
    </w:p>
    <w:p w14:paraId="2396B34A">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3.社会保障和就业（类）民政管理事务（款）其他民政管理事务支出（项）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支出决算为453.25万元，完成预算100%，决算数等于预算数。</w:t>
      </w:r>
    </w:p>
    <w:p w14:paraId="144D40D6">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4.社会保障和就业（类）行政事业单位养老支出（款）机关事业单位基本养老保险缴费支出（项）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w:t>
      </w:r>
      <w:r>
        <w:rPr>
          <w:rFonts w:hint="eastAsia" w:eastAsia="仿宋_GB2312" w:cs="仿宋_GB2312"/>
          <w:color w:val="auto"/>
          <w:kern w:val="2"/>
          <w:sz w:val="32"/>
          <w:szCs w:val="32"/>
          <w:highlight w:val="none"/>
          <w:lang w:val="en-US" w:eastAsia="zh-CN"/>
        </w:rPr>
        <w:t>63.01</w:t>
      </w:r>
      <w:r>
        <w:rPr>
          <w:rFonts w:hint="eastAsia" w:ascii="Times New Roman" w:hAnsi="Times New Roman" w:eastAsia="仿宋_GB2312" w:cs="仿宋_GB2312"/>
          <w:color w:val="auto"/>
          <w:kern w:val="2"/>
          <w:sz w:val="32"/>
          <w:szCs w:val="32"/>
          <w:highlight w:val="none"/>
          <w:lang w:val="en-US" w:eastAsia="zh-CN"/>
        </w:rPr>
        <w:t>万元，完成预算100%，决算数等于预算数。</w:t>
      </w:r>
    </w:p>
    <w:p w14:paraId="663CC6F3">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5.社会保障和就业（类）行政事业单位养老支出（款）机关事业单位职业年金缴费支出（项）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w:t>
      </w:r>
      <w:r>
        <w:rPr>
          <w:rFonts w:hint="eastAsia" w:eastAsia="仿宋_GB2312" w:cs="仿宋_GB2312"/>
          <w:color w:val="auto"/>
          <w:kern w:val="2"/>
          <w:sz w:val="32"/>
          <w:szCs w:val="32"/>
          <w:highlight w:val="none"/>
          <w:lang w:val="en-US" w:eastAsia="zh-CN"/>
        </w:rPr>
        <w:t>22.06</w:t>
      </w:r>
      <w:r>
        <w:rPr>
          <w:rFonts w:hint="eastAsia" w:ascii="Times New Roman" w:hAnsi="Times New Roman" w:eastAsia="仿宋_GB2312" w:cs="仿宋_GB2312"/>
          <w:color w:val="auto"/>
          <w:kern w:val="2"/>
          <w:sz w:val="32"/>
          <w:szCs w:val="32"/>
          <w:highlight w:val="none"/>
          <w:lang w:val="en-US" w:eastAsia="zh-CN"/>
        </w:rPr>
        <w:t>万元，完成预算100%，决算数等于预算数。</w:t>
      </w:r>
    </w:p>
    <w:p w14:paraId="3D54CD0A">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6.社会保障和就业（类）社会福利（款）儿童福利（项）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支出决算为14.72万元，完成预算100%，决算数等于预算数。</w:t>
      </w:r>
    </w:p>
    <w:p w14:paraId="6A94DA64">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7.社会保障和就业（类）社会福利（款）老年福利（项）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支出决算为156.58万元，完成预算100%，决算数等于预算数。</w:t>
      </w:r>
    </w:p>
    <w:p w14:paraId="0B944E4B">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8.社会保障和就业（类）社会福利（款）社会福利事业单位（项）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支出决算为307.47万元，完成预算100%，决算数等于预算数。</w:t>
      </w:r>
    </w:p>
    <w:p w14:paraId="654C8BAC">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w:t>
      </w:r>
      <w:r>
        <w:rPr>
          <w:rFonts w:hint="eastAsia" w:eastAsia="仿宋_GB2312" w:cs="仿宋_GB2312"/>
          <w:color w:val="auto"/>
          <w:kern w:val="2"/>
          <w:sz w:val="32"/>
          <w:szCs w:val="32"/>
          <w:highlight w:val="none"/>
          <w:lang w:val="en-US" w:eastAsia="zh-CN"/>
        </w:rPr>
        <w:t>9</w:t>
      </w:r>
      <w:r>
        <w:rPr>
          <w:rFonts w:hint="eastAsia" w:ascii="Times New Roman" w:hAnsi="Times New Roman" w:eastAsia="仿宋_GB2312" w:cs="仿宋_GB2312"/>
          <w:color w:val="auto"/>
          <w:kern w:val="2"/>
          <w:sz w:val="32"/>
          <w:szCs w:val="32"/>
          <w:highlight w:val="none"/>
          <w:lang w:val="en-US" w:eastAsia="zh-CN"/>
        </w:rPr>
        <w:t>.社会保障和就业（类）社会福利（款）养老服务（项）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支出决算为13万元，完成预算100%，决算数等于预算数。</w:t>
      </w:r>
    </w:p>
    <w:p w14:paraId="016EB5A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w:t>
      </w:r>
      <w:r>
        <w:rPr>
          <w:rFonts w:hint="eastAsia" w:eastAsia="仿宋_GB2312" w:cs="仿宋_GB2312"/>
          <w:color w:val="auto"/>
          <w:kern w:val="2"/>
          <w:sz w:val="32"/>
          <w:szCs w:val="32"/>
          <w:highlight w:val="none"/>
          <w:lang w:val="en-US" w:eastAsia="zh-CN"/>
        </w:rPr>
        <w:t>10</w:t>
      </w:r>
      <w:r>
        <w:rPr>
          <w:rFonts w:hint="eastAsia" w:ascii="Times New Roman" w:hAnsi="Times New Roman" w:eastAsia="仿宋_GB2312" w:cs="仿宋_GB2312"/>
          <w:color w:val="auto"/>
          <w:kern w:val="2"/>
          <w:sz w:val="32"/>
          <w:szCs w:val="32"/>
          <w:highlight w:val="none"/>
          <w:lang w:val="en-US" w:eastAsia="zh-CN"/>
        </w:rPr>
        <w:t>.社会保障和就业（类）社会福利（款）其他社会福利支出（项）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支出决算为60万元，完成预算100%，决算数等于预算数。</w:t>
      </w:r>
    </w:p>
    <w:p w14:paraId="79428E3D">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w:t>
      </w:r>
      <w:r>
        <w:rPr>
          <w:rFonts w:hint="eastAsia" w:eastAsia="仿宋_GB2312" w:cs="仿宋_GB2312"/>
          <w:color w:val="auto"/>
          <w:kern w:val="2"/>
          <w:sz w:val="32"/>
          <w:szCs w:val="32"/>
          <w:highlight w:val="none"/>
          <w:lang w:val="en-US" w:eastAsia="zh-CN"/>
        </w:rPr>
        <w:t>1</w:t>
      </w:r>
      <w:r>
        <w:rPr>
          <w:rFonts w:hint="eastAsia" w:ascii="Times New Roman" w:hAnsi="Times New Roman" w:eastAsia="仿宋_GB2312" w:cs="仿宋_GB2312"/>
          <w:color w:val="auto"/>
          <w:kern w:val="2"/>
          <w:sz w:val="32"/>
          <w:szCs w:val="32"/>
          <w:highlight w:val="none"/>
          <w:lang w:val="en-US" w:eastAsia="zh-CN"/>
        </w:rPr>
        <w:t>.社会保障和就业（类）残疾人事业（款）残疾人生活和护理补贴支出（项）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支出决算为256.74万元，完成预算100%，决算数等于预算数。</w:t>
      </w:r>
    </w:p>
    <w:p w14:paraId="371D0354">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w:t>
      </w:r>
      <w:r>
        <w:rPr>
          <w:rFonts w:hint="eastAsia" w:eastAsia="仿宋_GB2312" w:cs="仿宋_GB2312"/>
          <w:color w:val="auto"/>
          <w:kern w:val="2"/>
          <w:sz w:val="32"/>
          <w:szCs w:val="32"/>
          <w:highlight w:val="none"/>
          <w:lang w:val="en-US" w:eastAsia="zh-CN"/>
        </w:rPr>
        <w:t>2</w:t>
      </w:r>
      <w:r>
        <w:rPr>
          <w:rFonts w:hint="eastAsia" w:ascii="Times New Roman" w:hAnsi="Times New Roman" w:eastAsia="仿宋_GB2312" w:cs="仿宋_GB2312"/>
          <w:color w:val="auto"/>
          <w:kern w:val="2"/>
          <w:sz w:val="32"/>
          <w:szCs w:val="32"/>
          <w:highlight w:val="none"/>
          <w:lang w:val="en-US" w:eastAsia="zh-CN"/>
        </w:rPr>
        <w:t>.社会保障和就业（类）最低生活保障（款）城市最低生活保障金支出（项）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支出决算为198.08万元，完成预算100%，决算数等于预算数。</w:t>
      </w:r>
    </w:p>
    <w:p w14:paraId="28BBA3D5">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w:t>
      </w:r>
      <w:r>
        <w:rPr>
          <w:rFonts w:hint="eastAsia" w:eastAsia="仿宋_GB2312" w:cs="仿宋_GB2312"/>
          <w:color w:val="auto"/>
          <w:kern w:val="2"/>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en-US" w:eastAsia="zh-CN"/>
        </w:rPr>
        <w:t>.社会保障和就业（类）最低生活保障（款）农村最低生活保障金支出（项）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支出决算为1877.92万元，完成预算100%，决算数等于预算数。</w:t>
      </w:r>
    </w:p>
    <w:p w14:paraId="6F6C18ED">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w:t>
      </w:r>
      <w:r>
        <w:rPr>
          <w:rFonts w:hint="eastAsia" w:eastAsia="仿宋_GB2312" w:cs="仿宋_GB2312"/>
          <w:color w:val="auto"/>
          <w:kern w:val="2"/>
          <w:sz w:val="32"/>
          <w:szCs w:val="32"/>
          <w:highlight w:val="none"/>
          <w:lang w:val="en-US" w:eastAsia="zh-CN"/>
        </w:rPr>
        <w:t>4</w:t>
      </w:r>
      <w:r>
        <w:rPr>
          <w:rFonts w:hint="eastAsia" w:ascii="Times New Roman" w:hAnsi="Times New Roman" w:eastAsia="仿宋_GB2312" w:cs="仿宋_GB2312"/>
          <w:color w:val="auto"/>
          <w:kern w:val="2"/>
          <w:sz w:val="32"/>
          <w:szCs w:val="32"/>
          <w:highlight w:val="none"/>
          <w:lang w:val="en-US" w:eastAsia="zh-CN"/>
        </w:rPr>
        <w:t>.社会保障和就业（类）临时救助（款）临时救助支出（项）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支出决算为109.9万元，完成预算100%，决算数等于预算数。</w:t>
      </w:r>
    </w:p>
    <w:p w14:paraId="195DF04B">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w:t>
      </w:r>
      <w:r>
        <w:rPr>
          <w:rFonts w:hint="eastAsia" w:eastAsia="仿宋_GB2312" w:cs="仿宋_GB2312"/>
          <w:color w:val="auto"/>
          <w:kern w:val="2"/>
          <w:sz w:val="32"/>
          <w:szCs w:val="32"/>
          <w:highlight w:val="none"/>
          <w:lang w:val="en-US" w:eastAsia="zh-CN"/>
        </w:rPr>
        <w:t>5</w:t>
      </w:r>
      <w:r>
        <w:rPr>
          <w:rFonts w:hint="eastAsia" w:ascii="Times New Roman" w:hAnsi="Times New Roman" w:eastAsia="仿宋_GB2312" w:cs="仿宋_GB2312"/>
          <w:color w:val="auto"/>
          <w:kern w:val="2"/>
          <w:sz w:val="32"/>
          <w:szCs w:val="32"/>
          <w:highlight w:val="none"/>
          <w:lang w:val="en-US" w:eastAsia="zh-CN"/>
        </w:rPr>
        <w:t>.社会保障和就业（类）临时救助（款）流浪乞讨人员救助支出（项）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支出决算为1.06万元，完成预算100%，决算数等于预算数。</w:t>
      </w:r>
    </w:p>
    <w:p w14:paraId="56B08E17">
      <w:pPr>
        <w:spacing w:line="240" w:lineRule="auto"/>
        <w:ind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w:t>
      </w:r>
      <w:r>
        <w:rPr>
          <w:rFonts w:hint="eastAsia" w:eastAsia="仿宋_GB2312" w:cs="仿宋_GB2312"/>
          <w:color w:val="auto"/>
          <w:kern w:val="2"/>
          <w:sz w:val="32"/>
          <w:szCs w:val="32"/>
          <w:highlight w:val="none"/>
          <w:lang w:val="en-US" w:eastAsia="zh-CN"/>
        </w:rPr>
        <w:t>6</w:t>
      </w:r>
      <w:r>
        <w:rPr>
          <w:rFonts w:hint="eastAsia" w:ascii="Times New Roman" w:hAnsi="Times New Roman" w:eastAsia="仿宋_GB2312" w:cs="仿宋_GB2312"/>
          <w:color w:val="auto"/>
          <w:kern w:val="2"/>
          <w:sz w:val="32"/>
          <w:szCs w:val="32"/>
          <w:highlight w:val="none"/>
          <w:lang w:val="en-US" w:eastAsia="zh-CN"/>
        </w:rPr>
        <w:t>.社会保障和就业（类）特困人员救助供养（款）城市特困人员救助供养支出（项）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支出决算为14.18万元，完成预算100%，决算数等于预算数。</w:t>
      </w:r>
    </w:p>
    <w:p w14:paraId="78CEEF3A">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1</w:t>
      </w:r>
      <w:r>
        <w:rPr>
          <w:rFonts w:hint="eastAsia" w:eastAsia="仿宋_GB2312" w:cs="仿宋_GB2312"/>
          <w:color w:val="auto"/>
          <w:kern w:val="2"/>
          <w:sz w:val="32"/>
          <w:szCs w:val="32"/>
          <w:highlight w:val="none"/>
          <w:lang w:val="en-US" w:eastAsia="zh-CN"/>
        </w:rPr>
        <w:t>7</w:t>
      </w:r>
      <w:r>
        <w:rPr>
          <w:rFonts w:hint="eastAsia" w:ascii="Times New Roman" w:hAnsi="Times New Roman" w:eastAsia="仿宋_GB2312" w:cs="仿宋_GB2312"/>
          <w:color w:val="auto"/>
          <w:kern w:val="2"/>
          <w:sz w:val="32"/>
          <w:szCs w:val="32"/>
          <w:highlight w:val="none"/>
          <w:lang w:val="en-US" w:eastAsia="zh-CN"/>
        </w:rPr>
        <w:t>.社会保障和就业（类）特困人员救助供养（款）农村特困人员救助供养支出（项）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支出决算为316.83万元，完成预算100%，决算数等于预算数。</w:t>
      </w:r>
    </w:p>
    <w:p w14:paraId="423A5326">
      <w:pPr>
        <w:pStyle w:val="15"/>
        <w:ind w:left="0" w:leftChars="0"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w:t>
      </w:r>
      <w:r>
        <w:rPr>
          <w:rFonts w:hint="eastAsia" w:eastAsia="仿宋_GB2312" w:cs="仿宋_GB2312"/>
          <w:color w:val="auto"/>
          <w:kern w:val="2"/>
          <w:sz w:val="32"/>
          <w:szCs w:val="32"/>
          <w:highlight w:val="none"/>
          <w:lang w:val="en-US" w:eastAsia="zh-CN"/>
        </w:rPr>
        <w:t>8</w:t>
      </w:r>
      <w:r>
        <w:rPr>
          <w:rFonts w:hint="eastAsia" w:ascii="Times New Roman" w:hAnsi="Times New Roman" w:eastAsia="仿宋_GB2312" w:cs="仿宋_GB2312"/>
          <w:color w:val="auto"/>
          <w:kern w:val="2"/>
          <w:sz w:val="32"/>
          <w:szCs w:val="32"/>
          <w:highlight w:val="none"/>
          <w:lang w:val="en-US" w:eastAsia="zh-CN"/>
        </w:rPr>
        <w:t>.社会保障和就业（类）其他生活救助（款）其他城市生活救助（项）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支出决算为1.9万元，完成预算100%，决算数等于预算数。</w:t>
      </w:r>
    </w:p>
    <w:p w14:paraId="7CBF9F1D">
      <w:pPr>
        <w:pStyle w:val="15"/>
        <w:ind w:left="0" w:leftChars="0"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w:t>
      </w:r>
      <w:r>
        <w:rPr>
          <w:rFonts w:hint="eastAsia" w:eastAsia="仿宋_GB2312" w:cs="仿宋_GB2312"/>
          <w:color w:val="auto"/>
          <w:kern w:val="2"/>
          <w:sz w:val="32"/>
          <w:szCs w:val="32"/>
          <w:highlight w:val="none"/>
          <w:lang w:val="en-US" w:eastAsia="zh-CN"/>
        </w:rPr>
        <w:t>9</w:t>
      </w:r>
      <w:r>
        <w:rPr>
          <w:rFonts w:hint="eastAsia" w:ascii="Times New Roman" w:hAnsi="Times New Roman" w:eastAsia="仿宋_GB2312" w:cs="仿宋_GB2312"/>
          <w:color w:val="auto"/>
          <w:kern w:val="2"/>
          <w:sz w:val="32"/>
          <w:szCs w:val="32"/>
          <w:highlight w:val="none"/>
          <w:lang w:val="en-US" w:eastAsia="zh-CN"/>
        </w:rPr>
        <w:t>.社会保障和就业（类）其他社会保障和就业支出（款）其他社会保障和就业支出（项）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支出决算为0.7万元，完成预算100%，决算数等于预算数。</w:t>
      </w:r>
    </w:p>
    <w:p w14:paraId="0CDD16E6">
      <w:pPr>
        <w:pStyle w:val="15"/>
        <w:ind w:left="0" w:leftChars="0"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20</w:t>
      </w:r>
      <w:r>
        <w:rPr>
          <w:rFonts w:hint="eastAsia" w:ascii="Times New Roman" w:hAnsi="Times New Roman" w:eastAsia="仿宋_GB2312" w:cs="仿宋_GB2312"/>
          <w:color w:val="auto"/>
          <w:kern w:val="2"/>
          <w:sz w:val="32"/>
          <w:szCs w:val="32"/>
          <w:highlight w:val="none"/>
          <w:lang w:val="en-US" w:eastAsia="zh-CN"/>
        </w:rPr>
        <w:t>.社会保障和就业（类）其他生活救助（款）其他农村生活救助（项）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 xml:space="preserve"> 支出决算为0.72万元，完成预算100%，决算数等于预算数。</w:t>
      </w:r>
    </w:p>
    <w:p w14:paraId="0F73374E">
      <w:pPr>
        <w:rPr>
          <w:rFonts w:hint="eastAsia"/>
          <w:lang w:val="en-US" w:eastAsia="zh-CN"/>
        </w:rPr>
      </w:pPr>
    </w:p>
    <w:p w14:paraId="734832FB">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2</w:t>
      </w:r>
      <w:r>
        <w:rPr>
          <w:rFonts w:hint="eastAsia" w:eastAsia="仿宋_GB2312" w:cs="仿宋_GB2312"/>
          <w:color w:val="auto"/>
          <w:kern w:val="2"/>
          <w:sz w:val="32"/>
          <w:szCs w:val="32"/>
          <w:highlight w:val="none"/>
          <w:lang w:val="en-US" w:eastAsia="zh-CN"/>
        </w:rPr>
        <w:t>1</w:t>
      </w:r>
      <w:r>
        <w:rPr>
          <w:rFonts w:hint="eastAsia" w:ascii="Times New Roman" w:hAnsi="Times New Roman" w:eastAsia="仿宋_GB2312" w:cs="仿宋_GB2312"/>
          <w:color w:val="auto"/>
          <w:kern w:val="2"/>
          <w:sz w:val="32"/>
          <w:szCs w:val="32"/>
          <w:highlight w:val="none"/>
          <w:lang w:val="en-US" w:eastAsia="zh-CN"/>
        </w:rPr>
        <w:t>.卫生健康（类）行政事业单位医疗（款）行政单位医疗（项）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支出决算为8万元，完成预算100%，决算数等于预算数。</w:t>
      </w:r>
    </w:p>
    <w:p w14:paraId="1D85AA30">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2</w:t>
      </w:r>
      <w:r>
        <w:rPr>
          <w:rFonts w:hint="eastAsia" w:eastAsia="仿宋_GB2312" w:cs="仿宋_GB2312"/>
          <w:color w:val="auto"/>
          <w:kern w:val="2"/>
          <w:sz w:val="32"/>
          <w:szCs w:val="32"/>
          <w:highlight w:val="none"/>
          <w:lang w:val="en-US" w:eastAsia="zh-CN"/>
        </w:rPr>
        <w:t>2</w:t>
      </w:r>
      <w:r>
        <w:rPr>
          <w:rFonts w:hint="eastAsia" w:ascii="Times New Roman" w:hAnsi="Times New Roman" w:eastAsia="仿宋_GB2312" w:cs="仿宋_GB2312"/>
          <w:color w:val="auto"/>
          <w:kern w:val="2"/>
          <w:sz w:val="32"/>
          <w:szCs w:val="32"/>
          <w:highlight w:val="none"/>
          <w:lang w:val="en-US" w:eastAsia="zh-CN"/>
        </w:rPr>
        <w:t>.卫生健康（类）行政事业单位医疗（款）事业单位医疗（项）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支出决算为21.69万元，完成预算100%，决算数等于预算数。</w:t>
      </w:r>
    </w:p>
    <w:p w14:paraId="71373348">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w:t>
      </w:r>
      <w:r>
        <w:rPr>
          <w:rFonts w:hint="eastAsia" w:eastAsia="仿宋_GB2312" w:cs="仿宋_GB2312"/>
          <w:color w:val="auto"/>
          <w:kern w:val="2"/>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en-US" w:eastAsia="zh-CN"/>
        </w:rPr>
        <w:t>.卫生健康（类）行政事业单位医疗（款）公务员医疗补助（项）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支出决算为5.01万元，完成预算100%，决算数等于预算数。</w:t>
      </w:r>
    </w:p>
    <w:p w14:paraId="6CF7180F">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rPr>
        <w:t>2</w:t>
      </w:r>
      <w:r>
        <w:rPr>
          <w:rFonts w:hint="eastAsia" w:eastAsia="仿宋_GB2312" w:cs="仿宋_GB2312"/>
          <w:color w:val="auto"/>
          <w:kern w:val="2"/>
          <w:sz w:val="32"/>
          <w:szCs w:val="32"/>
          <w:highlight w:val="none"/>
          <w:lang w:val="en-US" w:eastAsia="zh-CN"/>
        </w:rPr>
        <w:t>4</w:t>
      </w:r>
      <w:r>
        <w:rPr>
          <w:rFonts w:hint="eastAsia" w:ascii="Times New Roman" w:hAnsi="Times New Roman" w:eastAsia="仿宋_GB2312" w:cs="仿宋_GB2312"/>
          <w:color w:val="auto"/>
          <w:kern w:val="2"/>
          <w:sz w:val="32"/>
          <w:szCs w:val="32"/>
          <w:highlight w:val="none"/>
          <w:lang w:val="en-US" w:eastAsia="zh-CN"/>
        </w:rPr>
        <w:t>.卫生健康（类）行政事业单位医疗（款）其他行政事业单位医疗支出（项）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支出决算为3.32万元，完成预算100%，决算数等于预算数。</w:t>
      </w:r>
    </w:p>
    <w:p w14:paraId="7B87FFEE">
      <w:pPr>
        <w:spacing w:line="240" w:lineRule="auto"/>
        <w:ind w:firstLine="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2</w:t>
      </w:r>
      <w:r>
        <w:rPr>
          <w:rFonts w:hint="eastAsia" w:eastAsia="仿宋_GB2312" w:cs="仿宋_GB2312"/>
          <w:color w:val="auto"/>
          <w:kern w:val="2"/>
          <w:sz w:val="32"/>
          <w:szCs w:val="32"/>
          <w:highlight w:val="none"/>
          <w:lang w:val="en-US" w:eastAsia="zh-CN"/>
        </w:rPr>
        <w:t>5</w:t>
      </w:r>
      <w:r>
        <w:rPr>
          <w:rFonts w:hint="eastAsia" w:ascii="Times New Roman" w:hAnsi="Times New Roman" w:eastAsia="仿宋_GB2312" w:cs="仿宋_GB2312"/>
          <w:color w:val="auto"/>
          <w:kern w:val="2"/>
          <w:sz w:val="32"/>
          <w:szCs w:val="32"/>
          <w:highlight w:val="none"/>
          <w:lang w:val="en-US" w:eastAsia="zh-CN"/>
        </w:rPr>
        <w:t>.农林水（类）农村综合改革（款）对村民委员会和村党支部的补助（项）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支出决算为293.34万元，完成预算100%，决算数等于预算数。</w:t>
      </w:r>
    </w:p>
    <w:p w14:paraId="68DB6A23">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 2</w:t>
      </w:r>
      <w:r>
        <w:rPr>
          <w:rFonts w:hint="eastAsia" w:eastAsia="仿宋_GB2312" w:cs="仿宋_GB2312"/>
          <w:color w:val="auto"/>
          <w:kern w:val="2"/>
          <w:sz w:val="32"/>
          <w:szCs w:val="32"/>
          <w:highlight w:val="none"/>
          <w:lang w:val="en-US" w:eastAsia="zh-CN"/>
        </w:rPr>
        <w:t>6</w:t>
      </w:r>
      <w:r>
        <w:rPr>
          <w:rFonts w:hint="eastAsia" w:ascii="Times New Roman" w:hAnsi="Times New Roman" w:eastAsia="仿宋_GB2312" w:cs="仿宋_GB2312"/>
          <w:color w:val="auto"/>
          <w:kern w:val="2"/>
          <w:sz w:val="32"/>
          <w:szCs w:val="32"/>
          <w:highlight w:val="none"/>
          <w:lang w:val="en-US" w:eastAsia="zh-CN"/>
        </w:rPr>
        <w:t>.住房保障（类）住房改革（款）住房公积金（项）</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支出决算为</w:t>
      </w:r>
      <w:r>
        <w:rPr>
          <w:rFonts w:hint="eastAsia" w:eastAsia="仿宋_GB2312" w:cs="仿宋_GB2312"/>
          <w:color w:val="auto"/>
          <w:kern w:val="2"/>
          <w:sz w:val="32"/>
          <w:szCs w:val="32"/>
          <w:highlight w:val="none"/>
          <w:lang w:val="en-US" w:eastAsia="zh-CN"/>
        </w:rPr>
        <w:t>48.43</w:t>
      </w:r>
      <w:r>
        <w:rPr>
          <w:rFonts w:hint="eastAsia" w:ascii="Times New Roman" w:hAnsi="Times New Roman" w:eastAsia="仿宋_GB2312" w:cs="仿宋_GB2312"/>
          <w:color w:val="auto"/>
          <w:kern w:val="2"/>
          <w:sz w:val="32"/>
          <w:szCs w:val="32"/>
          <w:highlight w:val="none"/>
          <w:lang w:val="en-US" w:eastAsia="zh-CN"/>
        </w:rPr>
        <w:t>万元，完成预算100%，决算数等于预算数。</w:t>
      </w:r>
    </w:p>
    <w:p w14:paraId="05B6A7C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3DC6A15B">
      <w:pPr>
        <w:tabs>
          <w:tab w:val="right" w:pos="8306"/>
        </w:tabs>
        <w:spacing w:line="600" w:lineRule="exact"/>
        <w:ind w:firstLine="640"/>
        <w:outlineLvl w:val="1"/>
        <w:rPr>
          <w:rStyle w:val="23"/>
          <w:rFonts w:ascii="Times New Roman" w:hAnsi="Times New Roman"/>
          <w:color w:val="auto"/>
          <w:highlight w:val="none"/>
        </w:rPr>
      </w:pPr>
      <w:bookmarkStart w:id="38" w:name="_Toc15377214"/>
      <w:bookmarkStart w:id="39"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3"/>
          <w:rFonts w:hint="eastAsia" w:ascii="Times New Roman" w:hAnsi="Times New Roman" w:eastAsia="黑体"/>
          <w:b w:val="0"/>
          <w:color w:val="auto"/>
          <w:highlight w:val="none"/>
        </w:rPr>
        <w:t>般公共预算财政拨款基本支出决算情况说明</w:t>
      </w:r>
      <w:bookmarkEnd w:id="38"/>
      <w:bookmarkEnd w:id="39"/>
      <w:r>
        <w:rPr>
          <w:rStyle w:val="23"/>
          <w:rFonts w:ascii="Times New Roman" w:hAnsi="Times New Roman" w:eastAsia="黑体"/>
          <w:b w:val="0"/>
          <w:color w:val="auto"/>
          <w:highlight w:val="none"/>
        </w:rPr>
        <w:tab/>
      </w:r>
    </w:p>
    <w:p w14:paraId="092A5011">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2024年度一般公共预算财政拨款基本支出</w:t>
      </w:r>
      <w:r>
        <w:rPr>
          <w:rFonts w:hint="eastAsia" w:ascii="仿宋_GB2312" w:hAnsi="仿宋_GB2312" w:eastAsia="仿宋_GB2312" w:cs="仿宋_GB2312"/>
          <w:sz w:val="32"/>
          <w:szCs w:val="32"/>
        </w:rPr>
        <w:t>636.81</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元，其中：</w:t>
      </w:r>
    </w:p>
    <w:p w14:paraId="2373A3E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人员经费</w:t>
      </w:r>
      <w:r>
        <w:rPr>
          <w:rFonts w:hint="eastAsia" w:ascii="仿宋_GB2312" w:hAnsi="仿宋_GB2312" w:eastAsia="仿宋_GB2312" w:cs="仿宋_GB2312"/>
          <w:sz w:val="32"/>
          <w:szCs w:val="32"/>
        </w:rPr>
        <w:t>606.4</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rPr>
        <w:br w:type="textWrapping"/>
      </w:r>
      <w:r>
        <w:rPr>
          <w:rFonts w:hint="eastAsia" w:ascii="Times New Roman" w:hAnsi="Times New Roman" w:eastAsia="仿宋_GB2312" w:cs="仿宋_GB2312"/>
          <w:color w:val="auto"/>
          <w:kern w:val="2"/>
          <w:sz w:val="32"/>
          <w:szCs w:val="32"/>
          <w:highlight w:val="none"/>
          <w:lang w:val="en-US" w:eastAsia="zh-CN"/>
        </w:rPr>
        <w:t>　　公用经费</w:t>
      </w:r>
      <w:r>
        <w:rPr>
          <w:rFonts w:hint="eastAsia" w:ascii="仿宋_GB2312" w:hAnsi="仿宋_GB2312" w:eastAsia="仿宋_GB2312" w:cs="仿宋_GB2312"/>
          <w:sz w:val="32"/>
          <w:szCs w:val="32"/>
        </w:rPr>
        <w:t>30.41</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47F8690">
      <w:pPr>
        <w:spacing w:line="600" w:lineRule="exact"/>
        <w:rPr>
          <w:rFonts w:hint="eastAsia" w:ascii="Times New Roman" w:hAnsi="Times New Roman" w:eastAsia="仿宋_GB2312" w:cs="仿宋_GB2312"/>
          <w:color w:val="auto"/>
          <w:kern w:val="2"/>
          <w:sz w:val="32"/>
          <w:szCs w:val="32"/>
          <w:highlight w:val="none"/>
          <w:lang w:val="en-US" w:eastAsia="zh-CN"/>
        </w:rPr>
      </w:pPr>
    </w:p>
    <w:p w14:paraId="4488CB93">
      <w:pPr>
        <w:spacing w:line="600" w:lineRule="exact"/>
        <w:ind w:firstLine="640"/>
        <w:outlineLvl w:val="1"/>
        <w:rPr>
          <w:rStyle w:val="23"/>
          <w:rFonts w:ascii="Times New Roman" w:hAnsi="Times New Roman" w:eastAsia="黑体"/>
          <w:b w:val="0"/>
          <w:color w:val="auto"/>
          <w:highlight w:val="none"/>
        </w:rPr>
      </w:pPr>
      <w:bookmarkStart w:id="40" w:name="_Toc15377215"/>
      <w:bookmarkStart w:id="41" w:name="_Toc15396609"/>
      <w:r>
        <w:rPr>
          <w:rFonts w:hint="eastAsia" w:ascii="Times New Roman" w:hAnsi="Times New Roman" w:eastAsia="黑体"/>
          <w:color w:val="auto"/>
          <w:sz w:val="32"/>
          <w:szCs w:val="32"/>
          <w:highlight w:val="none"/>
        </w:rPr>
        <w:t>七、</w:t>
      </w:r>
      <w:r>
        <w:rPr>
          <w:rStyle w:val="23"/>
          <w:rFonts w:hint="eastAsia" w:ascii="Times New Roman" w:hAnsi="Times New Roman" w:eastAsia="黑体"/>
          <w:b w:val="0"/>
          <w:color w:val="auto"/>
          <w:highlight w:val="none"/>
        </w:rPr>
        <w:t>财政拨款</w:t>
      </w:r>
      <w:r>
        <w:rPr>
          <w:rStyle w:val="23"/>
          <w:rFonts w:hint="eastAsia" w:ascii="Times New Roman" w:hAnsi="Times New Roman" w:eastAsia="黑体"/>
          <w:color w:val="auto"/>
          <w:highlight w:val="none"/>
        </w:rPr>
        <w:t>“</w:t>
      </w:r>
      <w:r>
        <w:rPr>
          <w:rStyle w:val="23"/>
          <w:rFonts w:hint="eastAsia" w:ascii="Times New Roman" w:hAnsi="Times New Roman" w:eastAsia="黑体"/>
          <w:b w:val="0"/>
          <w:color w:val="auto"/>
          <w:highlight w:val="none"/>
        </w:rPr>
        <w:t>三公”经费支出决算情况说明</w:t>
      </w:r>
      <w:bookmarkEnd w:id="40"/>
      <w:bookmarkEnd w:id="41"/>
    </w:p>
    <w:p w14:paraId="512E581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2"/>
    </w:p>
    <w:p w14:paraId="32D3320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2024年度“三公”经费财政拨款支出决算为</w:t>
      </w:r>
      <w:r>
        <w:rPr>
          <w:rFonts w:hint="eastAsia" w:ascii="仿宋_GB2312" w:hAnsi="仿宋_GB2312" w:eastAsia="仿宋_GB2312" w:cs="仿宋_GB2312"/>
          <w:sz w:val="32"/>
          <w:szCs w:val="32"/>
        </w:rPr>
        <w:t>11.76</w:t>
      </w:r>
      <w:r>
        <w:rPr>
          <w:rFonts w:hint="eastAsia" w:ascii="仿宋_GB2312" w:hAnsi="仿宋_GB2312" w:eastAsia="仿宋_GB2312" w:cs="仿宋_GB2312"/>
          <w:color w:val="auto"/>
          <w:kern w:val="2"/>
          <w:sz w:val="32"/>
          <w:szCs w:val="32"/>
          <w:highlight w:val="none"/>
          <w:lang w:val="en-US" w:eastAsia="zh-CN"/>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较上年度减少</w:t>
      </w:r>
      <w:r>
        <w:rPr>
          <w:rFonts w:hint="eastAsia" w:eastAsia="仿宋_GB2312" w:cs="仿宋_GB2312"/>
          <w:color w:val="auto"/>
          <w:kern w:val="2"/>
          <w:sz w:val="32"/>
          <w:szCs w:val="32"/>
          <w:highlight w:val="none"/>
          <w:lang w:val="en-US" w:eastAsia="zh-CN"/>
        </w:rPr>
        <w:t>0.52</w:t>
      </w:r>
      <w:r>
        <w:rPr>
          <w:rFonts w:hint="eastAsia" w:ascii="Times New Roman" w:hAnsi="Times New Roman" w:eastAsia="仿宋_GB2312" w:cs="仿宋_GB2312"/>
          <w:color w:val="auto"/>
          <w:kern w:val="2"/>
          <w:sz w:val="32"/>
          <w:szCs w:val="32"/>
          <w:highlight w:val="none"/>
          <w:lang w:val="en-US" w:eastAsia="zh-CN"/>
        </w:rPr>
        <w:t>万元，下降</w:t>
      </w:r>
      <w:r>
        <w:rPr>
          <w:rFonts w:hint="eastAsia" w:eastAsia="仿宋_GB2312" w:cs="仿宋_GB2312"/>
          <w:color w:val="auto"/>
          <w:kern w:val="2"/>
          <w:sz w:val="32"/>
          <w:szCs w:val="32"/>
          <w:highlight w:val="none"/>
          <w:lang w:val="en-US" w:eastAsia="zh-CN"/>
        </w:rPr>
        <w:t>4.23</w:t>
      </w:r>
      <w:r>
        <w:rPr>
          <w:rFonts w:hint="eastAsia" w:ascii="Times New Roman" w:hAnsi="Times New Roman" w:eastAsia="仿宋_GB2312" w:cs="仿宋_GB2312"/>
          <w:color w:val="auto"/>
          <w:kern w:val="2"/>
          <w:sz w:val="32"/>
          <w:szCs w:val="32"/>
          <w:highlight w:val="none"/>
          <w:lang w:val="en-US" w:eastAsia="zh-CN"/>
        </w:rPr>
        <w:t>%。</w:t>
      </w:r>
    </w:p>
    <w:p w14:paraId="37502A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3"/>
    </w:p>
    <w:p w14:paraId="7F12485A">
      <w:pPr>
        <w:spacing w:line="600" w:lineRule="exact"/>
        <w:ind w:firstLine="640"/>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万元，占0%；公务用车购置及运行维护费支出决算</w:t>
      </w:r>
      <w:r>
        <w:rPr>
          <w:rFonts w:hint="eastAsia" w:ascii="仿宋_GB2312" w:hAnsi="仿宋_GB2312" w:eastAsia="仿宋_GB2312" w:cs="仿宋_GB2312"/>
          <w:sz w:val="32"/>
          <w:szCs w:val="32"/>
        </w:rPr>
        <w:t>11.6</w:t>
      </w:r>
      <w:r>
        <w:rPr>
          <w:rFonts w:hint="eastAsia" w:ascii="仿宋_GB2312" w:hAnsi="仿宋_GB2312" w:eastAsia="仿宋_GB2312" w:cs="仿宋_GB2312"/>
          <w:color w:val="auto"/>
          <w:kern w:val="2"/>
          <w:sz w:val="32"/>
          <w:szCs w:val="32"/>
          <w:highlight w:val="none"/>
          <w:lang w:val="en-US" w:eastAsia="zh-CN"/>
        </w:rPr>
        <w:t>万元，占98.64%；公务接待费支出决算</w:t>
      </w:r>
      <w:r>
        <w:rPr>
          <w:rFonts w:hint="eastAsia" w:ascii="仿宋_GB2312" w:hAnsi="仿宋_GB2312" w:eastAsia="仿宋_GB2312" w:cs="仿宋_GB2312"/>
          <w:sz w:val="32"/>
          <w:szCs w:val="32"/>
        </w:rPr>
        <w:t>0.16</w:t>
      </w:r>
      <w:r>
        <w:rPr>
          <w:rFonts w:hint="eastAsia" w:ascii="仿宋_GB2312" w:hAnsi="仿宋_GB2312" w:eastAsia="仿宋_GB2312" w:cs="仿宋_GB2312"/>
          <w:color w:val="auto"/>
          <w:kern w:val="2"/>
          <w:sz w:val="32"/>
          <w:szCs w:val="32"/>
          <w:highlight w:val="none"/>
          <w:lang w:val="en-US" w:eastAsia="zh-CN"/>
        </w:rPr>
        <w:t>万元，占1.36%。具体情况如下：</w:t>
      </w:r>
    </w:p>
    <w:p w14:paraId="4FC8B8D9">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（图7：“三公”经费财政拨款支出结构）（饼状图）</w:t>
      </w:r>
    </w:p>
    <w:p w14:paraId="16A4F136">
      <w:pPr>
        <w:pStyle w:val="15"/>
        <w:rPr>
          <w:rFonts w:hint="eastAsia"/>
          <w:lang w:val="en-US" w:eastAsia="zh-CN"/>
        </w:rPr>
      </w:pPr>
      <w:r>
        <w:drawing>
          <wp:inline distT="0" distB="0" distL="114300" distR="114300">
            <wp:extent cx="4390390" cy="2633980"/>
            <wp:effectExtent l="4445" t="4445" r="5715" b="9525"/>
            <wp:docPr id="7" name="图片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8F05AE">
      <w:pPr>
        <w:spacing w:line="600" w:lineRule="exact"/>
        <w:ind w:firstLine="640"/>
        <w:rPr>
          <w:rFonts w:hint="eastAsia" w:eastAsia="仿宋_GB2312" w:cs="仿宋_GB2312"/>
          <w:color w:val="auto"/>
          <w:kern w:val="2"/>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rPr>
        <w:t>1.因公出国（境）经费支出</w:t>
      </w:r>
      <w:r>
        <w:rPr>
          <w:rFonts w:hint="eastAsia" w:eastAsia="仿宋_GB2312" w:cs="仿宋_GB2312"/>
          <w:b/>
          <w:bCs/>
          <w:color w:val="auto"/>
          <w:kern w:val="2"/>
          <w:sz w:val="32"/>
          <w:szCs w:val="32"/>
          <w:highlight w:val="none"/>
          <w:lang w:val="en-US" w:eastAsia="zh-CN"/>
        </w:rPr>
        <w:t>0</w:t>
      </w:r>
      <w:r>
        <w:rPr>
          <w:rFonts w:hint="eastAsia" w:ascii="Times New Roman" w:hAnsi="Times New Roman" w:eastAsia="仿宋_GB2312" w:cs="仿宋_GB2312"/>
          <w:b/>
          <w:bCs/>
          <w:color w:val="auto"/>
          <w:kern w:val="2"/>
          <w:sz w:val="32"/>
          <w:szCs w:val="32"/>
          <w:highlight w:val="none"/>
          <w:lang w:val="en-US" w:eastAsia="zh-CN"/>
        </w:rPr>
        <w:t>万元，完成预算</w:t>
      </w:r>
      <w:r>
        <w:rPr>
          <w:rFonts w:hint="eastAsia" w:eastAsia="仿宋_GB2312" w:cs="仿宋_GB2312"/>
          <w:b/>
          <w:bCs/>
          <w:color w:val="auto"/>
          <w:kern w:val="2"/>
          <w:sz w:val="32"/>
          <w:szCs w:val="32"/>
          <w:highlight w:val="none"/>
          <w:lang w:val="en-US" w:eastAsia="zh-CN"/>
        </w:rPr>
        <w:t>0</w:t>
      </w:r>
      <w:r>
        <w:rPr>
          <w:rFonts w:hint="eastAsia" w:ascii="Times New Roman" w:hAnsi="Times New Roman" w:eastAsia="仿宋_GB2312" w:cs="仿宋_GB2312"/>
          <w:b/>
          <w:bCs/>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全年安排因公出国（境）团</w:t>
      </w:r>
      <w:r>
        <w:rPr>
          <w:rFonts w:hint="eastAsia" w:ascii="仿宋_GB2312" w:hAnsi="仿宋_GB2312" w:eastAsia="仿宋_GB2312" w:cs="仿宋_GB2312"/>
          <w:color w:val="auto"/>
          <w:kern w:val="2"/>
          <w:sz w:val="32"/>
          <w:szCs w:val="32"/>
          <w:highlight w:val="none"/>
          <w:lang w:val="en-US" w:eastAsia="zh-CN"/>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人</w:t>
      </w:r>
      <w:r>
        <w:rPr>
          <w:rFonts w:hint="eastAsia" w:ascii="Times New Roman" w:hAnsi="Times New Roman" w:eastAsia="仿宋_GB2312" w:cs="仿宋_GB2312"/>
          <w:color w:val="auto"/>
          <w:kern w:val="2"/>
          <w:sz w:val="32"/>
          <w:szCs w:val="32"/>
          <w:highlight w:val="none"/>
          <w:lang w:val="en-US" w:eastAsia="zh-CN"/>
        </w:rPr>
        <w:t>。因公出国（境）支出决算比2023年增加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%。主要原因是</w:t>
      </w:r>
      <w:r>
        <w:rPr>
          <w:rFonts w:hint="eastAsia" w:eastAsia="仿宋_GB2312" w:cs="仿宋_GB2312"/>
          <w:color w:val="auto"/>
          <w:kern w:val="2"/>
          <w:sz w:val="32"/>
          <w:szCs w:val="32"/>
          <w:highlight w:val="none"/>
          <w:lang w:val="en-US" w:eastAsia="zh-CN"/>
        </w:rPr>
        <w:t>未发生因公出国（境）费用。</w:t>
      </w:r>
    </w:p>
    <w:p w14:paraId="14FB14C0">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rPr>
        <w:t>2.公务用车购置及运行维护费支出</w:t>
      </w:r>
      <w:r>
        <w:rPr>
          <w:rFonts w:hint="eastAsia" w:ascii="仿宋_GB2312" w:hAnsi="仿宋_GB2312" w:eastAsia="仿宋_GB2312" w:cs="仿宋_GB2312"/>
          <w:b/>
          <w:bCs/>
          <w:color w:val="auto"/>
          <w:kern w:val="2"/>
          <w:sz w:val="32"/>
          <w:szCs w:val="32"/>
          <w:highlight w:val="none"/>
          <w:lang w:val="en-US" w:eastAsia="zh-CN"/>
        </w:rPr>
        <w:t>11.6万</w:t>
      </w:r>
      <w:r>
        <w:rPr>
          <w:rFonts w:hint="eastAsia" w:ascii="Times New Roman" w:hAnsi="Times New Roman" w:eastAsia="仿宋_GB2312" w:cs="仿宋_GB2312"/>
          <w:b/>
          <w:bCs/>
          <w:color w:val="auto"/>
          <w:kern w:val="2"/>
          <w:sz w:val="32"/>
          <w:szCs w:val="32"/>
          <w:highlight w:val="none"/>
          <w:lang w:val="en-US" w:eastAsia="zh-CN"/>
        </w:rPr>
        <w:t>元</w:t>
      </w:r>
      <w:r>
        <w:rPr>
          <w:rFonts w:hint="eastAsia" w:eastAsia="仿宋_GB2312" w:cs="仿宋_GB2312"/>
          <w:b/>
          <w:bCs/>
          <w:color w:val="auto"/>
          <w:kern w:val="2"/>
          <w:sz w:val="32"/>
          <w:szCs w:val="32"/>
          <w:highlight w:val="none"/>
          <w:lang w:val="en-US" w:eastAsia="zh-CN"/>
        </w:rPr>
        <w:t>，</w:t>
      </w:r>
      <w:r>
        <w:rPr>
          <w:rFonts w:hint="eastAsia" w:ascii="Times New Roman" w:hAnsi="Times New Roman" w:eastAsia="仿宋_GB2312" w:cs="仿宋_GB2312"/>
          <w:b/>
          <w:bCs/>
          <w:color w:val="auto"/>
          <w:kern w:val="2"/>
          <w:sz w:val="32"/>
          <w:szCs w:val="32"/>
          <w:highlight w:val="none"/>
          <w:lang w:val="en-US" w:eastAsia="zh-CN"/>
        </w:rPr>
        <w:t>完成预算</w:t>
      </w:r>
      <w:r>
        <w:rPr>
          <w:rFonts w:hint="eastAsia" w:eastAsia="仿宋_GB2312" w:cs="仿宋_GB2312"/>
          <w:b/>
          <w:bCs/>
          <w:color w:val="auto"/>
          <w:kern w:val="2"/>
          <w:sz w:val="32"/>
          <w:szCs w:val="32"/>
          <w:highlight w:val="none"/>
          <w:lang w:val="en-US" w:eastAsia="zh-CN"/>
        </w:rPr>
        <w:t>100</w:t>
      </w:r>
      <w:r>
        <w:rPr>
          <w:rFonts w:hint="eastAsia" w:ascii="Times New Roman" w:hAnsi="Times New Roman" w:eastAsia="仿宋_GB2312" w:cs="仿宋_GB2312"/>
          <w:b/>
          <w:bCs/>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公务用车购置及运行维护费支出决算比2023年度减少</w:t>
      </w:r>
      <w:r>
        <w:rPr>
          <w:rFonts w:hint="eastAsia" w:eastAsia="仿宋_GB2312" w:cs="仿宋_GB2312"/>
          <w:color w:val="auto"/>
          <w:kern w:val="2"/>
          <w:sz w:val="32"/>
          <w:szCs w:val="32"/>
          <w:highlight w:val="none"/>
          <w:lang w:val="en-US" w:eastAsia="zh-CN"/>
        </w:rPr>
        <w:t>0.4</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3.33</w:t>
      </w:r>
      <w:r>
        <w:rPr>
          <w:rFonts w:hint="eastAsia" w:ascii="Times New Roman" w:hAnsi="Times New Roman" w:eastAsia="仿宋_GB2312" w:cs="仿宋_GB2312"/>
          <w:color w:val="auto"/>
          <w:kern w:val="2"/>
          <w:sz w:val="32"/>
          <w:szCs w:val="32"/>
          <w:highlight w:val="none"/>
          <w:lang w:val="en-US" w:eastAsia="zh-CN"/>
        </w:rPr>
        <w:t>%。主要原因是公车使用减少</w:t>
      </w:r>
      <w:r>
        <w:rPr>
          <w:rFonts w:hint="eastAsia" w:eastAsia="仿宋_GB2312" w:cs="仿宋_GB2312"/>
          <w:color w:val="auto"/>
          <w:kern w:val="2"/>
          <w:sz w:val="32"/>
          <w:szCs w:val="32"/>
          <w:highlight w:val="none"/>
          <w:lang w:val="en-US" w:eastAsia="zh-CN"/>
        </w:rPr>
        <w:t>。</w:t>
      </w:r>
    </w:p>
    <w:p w14:paraId="2B004274">
      <w:pPr>
        <w:spacing w:line="600" w:lineRule="exact"/>
        <w:ind w:firstLine="640"/>
        <w:rPr>
          <w:rFonts w:hint="eastAsia"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其中：公务用车购置支</w:t>
      </w:r>
      <w:r>
        <w:rPr>
          <w:rFonts w:hint="eastAsia" w:ascii="仿宋_GB2312" w:hAnsi="仿宋_GB2312" w:eastAsia="仿宋_GB2312" w:cs="仿宋_GB2312"/>
          <w:color w:val="auto"/>
          <w:kern w:val="2"/>
          <w:sz w:val="32"/>
          <w:szCs w:val="32"/>
          <w:highlight w:val="none"/>
          <w:lang w:val="en-US" w:eastAsia="zh-CN"/>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rPr>
        <w:t>万元。截至2024年12月31日，单位共有公务用车</w:t>
      </w:r>
      <w:r>
        <w:rPr>
          <w:rFonts w:hint="eastAsia" w:eastAsia="仿宋_GB2312" w:cs="仿宋_GB2312"/>
          <w:color w:val="auto"/>
          <w:kern w:val="2"/>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en-US" w:eastAsia="zh-CN"/>
        </w:rPr>
        <w:t>辆</w:t>
      </w:r>
      <w:r>
        <w:rPr>
          <w:rFonts w:hint="eastAsia" w:eastAsia="仿宋_GB2312" w:cs="仿宋_GB2312"/>
          <w:color w:val="auto"/>
          <w:kern w:val="2"/>
          <w:sz w:val="32"/>
          <w:szCs w:val="32"/>
          <w:highlight w:val="none"/>
          <w:lang w:val="en-US" w:eastAsia="zh-CN"/>
        </w:rPr>
        <w:t>。</w:t>
      </w:r>
    </w:p>
    <w:p w14:paraId="538A4B85">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公务用车运行维护费支</w:t>
      </w:r>
      <w:r>
        <w:rPr>
          <w:rFonts w:hint="eastAsia" w:ascii="仿宋_GB2312" w:hAnsi="仿宋_GB2312" w:eastAsia="仿宋_GB2312" w:cs="仿宋_GB2312"/>
          <w:color w:val="auto"/>
          <w:kern w:val="2"/>
          <w:sz w:val="32"/>
          <w:szCs w:val="32"/>
          <w:highlight w:val="none"/>
          <w:lang w:val="en-US" w:eastAsia="zh-CN"/>
        </w:rPr>
        <w:t>出</w:t>
      </w:r>
      <w:r>
        <w:rPr>
          <w:rFonts w:hint="eastAsia" w:ascii="仿宋_GB2312" w:hAnsi="仿宋_GB2312" w:eastAsia="仿宋_GB2312" w:cs="仿宋_GB2312"/>
          <w:sz w:val="32"/>
          <w:szCs w:val="32"/>
        </w:rPr>
        <w:t>11.6</w:t>
      </w:r>
      <w:r>
        <w:rPr>
          <w:rFonts w:hint="eastAsia" w:ascii="Times New Roman" w:hAnsi="Times New Roman" w:eastAsia="仿宋_GB2312" w:cs="仿宋_GB2312"/>
          <w:color w:val="auto"/>
          <w:kern w:val="2"/>
          <w:sz w:val="32"/>
          <w:szCs w:val="32"/>
          <w:highlight w:val="none"/>
          <w:lang w:val="en-US" w:eastAsia="zh-CN"/>
        </w:rPr>
        <w:t>万元。主要用于</w:t>
      </w:r>
      <w:r>
        <w:rPr>
          <w:rFonts w:hint="eastAsia" w:ascii="仿宋_GB2312" w:eastAsia="仿宋_GB2312"/>
          <w:sz w:val="32"/>
          <w:szCs w:val="32"/>
          <w:lang w:eastAsia="zh-CN"/>
        </w:rPr>
        <w:t>民政开展走访困难群众，查看民政项目等工作</w:t>
      </w:r>
      <w:r>
        <w:rPr>
          <w:rFonts w:hint="eastAsia" w:ascii="Times New Roman" w:hAnsi="Times New Roman" w:eastAsia="仿宋_GB2312" w:cs="仿宋_GB2312"/>
          <w:color w:val="auto"/>
          <w:kern w:val="2"/>
          <w:sz w:val="32"/>
          <w:szCs w:val="32"/>
          <w:highlight w:val="none"/>
          <w:lang w:val="en-US" w:eastAsia="zh-CN"/>
        </w:rPr>
        <w:t>所需的公务用车燃料费、维修费、过路过桥费、保险费等支出。</w:t>
      </w:r>
    </w:p>
    <w:p w14:paraId="778247E7">
      <w:pPr>
        <w:numPr>
          <w:ilvl w:val="0"/>
          <w:numId w:val="2"/>
        </w:num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rPr>
        <w:t>公务接待费支出</w:t>
      </w:r>
      <w:r>
        <w:rPr>
          <w:rFonts w:hint="eastAsia" w:ascii="仿宋_GB2312" w:hAnsi="仿宋_GB2312" w:eastAsia="仿宋_GB2312" w:cs="仿宋_GB2312"/>
          <w:b/>
          <w:bCs/>
          <w:color w:val="auto"/>
          <w:kern w:val="2"/>
          <w:sz w:val="32"/>
          <w:szCs w:val="32"/>
          <w:highlight w:val="none"/>
          <w:lang w:val="en-US" w:eastAsia="zh-CN"/>
        </w:rPr>
        <w:t>0.16万</w:t>
      </w:r>
      <w:r>
        <w:rPr>
          <w:rFonts w:hint="eastAsia" w:ascii="Times New Roman" w:hAnsi="Times New Roman" w:eastAsia="仿宋_GB2312" w:cs="仿宋_GB2312"/>
          <w:b/>
          <w:bCs/>
          <w:color w:val="auto"/>
          <w:kern w:val="2"/>
          <w:sz w:val="32"/>
          <w:szCs w:val="32"/>
          <w:highlight w:val="none"/>
          <w:lang w:val="en-US" w:eastAsia="zh-CN"/>
        </w:rPr>
        <w:t>元，完成预算</w:t>
      </w:r>
      <w:r>
        <w:rPr>
          <w:rFonts w:hint="eastAsia" w:eastAsia="仿宋_GB2312" w:cs="仿宋_GB2312"/>
          <w:b/>
          <w:bCs/>
          <w:color w:val="auto"/>
          <w:kern w:val="2"/>
          <w:sz w:val="32"/>
          <w:szCs w:val="32"/>
          <w:highlight w:val="none"/>
          <w:lang w:val="en-US" w:eastAsia="zh-CN"/>
        </w:rPr>
        <w:t>100</w:t>
      </w:r>
      <w:r>
        <w:rPr>
          <w:rFonts w:hint="eastAsia" w:ascii="Times New Roman" w:hAnsi="Times New Roman" w:eastAsia="仿宋_GB2312" w:cs="仿宋_GB2312"/>
          <w:b/>
          <w:bCs/>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公务接待费支出决算比2023年度增加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%。其中：</w:t>
      </w:r>
    </w:p>
    <w:p w14:paraId="124E6C6A">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bookmarkStart w:id="44" w:name="_Toc15396610"/>
      <w:bookmarkStart w:id="45" w:name="_Toc15377218"/>
      <w:r>
        <w:rPr>
          <w:rFonts w:hint="eastAsia" w:ascii="Times New Roman" w:hAnsi="Times New Roman" w:eastAsia="仿宋_GB2312" w:cs="仿宋_GB2312"/>
          <w:color w:val="auto"/>
          <w:kern w:val="2"/>
          <w:sz w:val="32"/>
          <w:szCs w:val="32"/>
          <w:highlight w:val="none"/>
          <w:lang w:val="en-US" w:eastAsia="zh-CN"/>
        </w:rPr>
        <w:t>国内公务接待支</w:t>
      </w:r>
      <w:r>
        <w:rPr>
          <w:rFonts w:hint="eastAsia" w:ascii="仿宋_GB2312" w:hAnsi="仿宋_GB2312" w:eastAsia="仿宋_GB2312" w:cs="仿宋_GB2312"/>
          <w:color w:val="auto"/>
          <w:kern w:val="2"/>
          <w:sz w:val="32"/>
          <w:szCs w:val="32"/>
          <w:highlight w:val="none"/>
          <w:lang w:val="en-US" w:eastAsia="zh-CN"/>
        </w:rPr>
        <w:t>出</w:t>
      </w:r>
      <w:r>
        <w:rPr>
          <w:rFonts w:hint="eastAsia" w:ascii="仿宋_GB2312" w:hAnsi="仿宋_GB2312" w:eastAsia="仿宋_GB2312" w:cs="仿宋_GB2312"/>
          <w:sz w:val="32"/>
          <w:szCs w:val="32"/>
        </w:rPr>
        <w:t>0.16</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元，主要用于</w:t>
      </w:r>
      <w:r>
        <w:rPr>
          <w:rFonts w:hint="eastAsia" w:ascii="仿宋_GB2312" w:eastAsia="仿宋_GB2312"/>
          <w:sz w:val="32"/>
          <w:szCs w:val="32"/>
          <w:lang w:eastAsia="zh-CN"/>
        </w:rPr>
        <w:t>困难群众实地走访工作（</w:t>
      </w:r>
      <w:r>
        <w:rPr>
          <w:rFonts w:hint="eastAsia" w:ascii="Times New Roman" w:hAnsi="Times New Roman" w:eastAsia="仿宋_GB2312" w:cs="仿宋_GB2312"/>
          <w:color w:val="auto"/>
          <w:kern w:val="2"/>
          <w:sz w:val="32"/>
          <w:szCs w:val="32"/>
          <w:highlight w:val="none"/>
          <w:lang w:val="en-US" w:eastAsia="zh-CN"/>
        </w:rPr>
        <w:t>执行公务、开展业务活动开支的交通费、住宿费、用餐费等</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。国内公务接</w:t>
      </w:r>
      <w:r>
        <w:rPr>
          <w:rFonts w:hint="eastAsia" w:ascii="仿宋_GB2312" w:hAnsi="仿宋_GB2312" w:eastAsia="仿宋_GB2312" w:cs="仿宋_GB2312"/>
          <w:color w:val="auto"/>
          <w:kern w:val="2"/>
          <w:sz w:val="32"/>
          <w:szCs w:val="32"/>
          <w:highlight w:val="none"/>
          <w:lang w:val="en-US" w:eastAsia="zh-CN"/>
        </w:rPr>
        <w:t>待</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rPr>
        <w:t>批次，</w:t>
      </w:r>
      <w:r>
        <w:rPr>
          <w:rFonts w:hint="eastAsia" w:ascii="仿宋_GB2312" w:hAnsi="仿宋_GB2312" w:eastAsia="仿宋_GB2312" w:cs="仿宋_GB2312"/>
          <w:sz w:val="32"/>
          <w:szCs w:val="32"/>
        </w:rPr>
        <w:t>11</w:t>
      </w:r>
      <w:r>
        <w:rPr>
          <w:rFonts w:hint="eastAsia" w:ascii="Times New Roman" w:hAnsi="Times New Roman" w:eastAsia="仿宋_GB2312" w:cs="仿宋_GB2312"/>
          <w:color w:val="auto"/>
          <w:kern w:val="2"/>
          <w:sz w:val="32"/>
          <w:szCs w:val="32"/>
          <w:highlight w:val="none"/>
          <w:lang w:val="en-US" w:eastAsia="zh-CN"/>
        </w:rPr>
        <w:t>人次（不包括陪同人员），共计支出</w:t>
      </w:r>
      <w:r>
        <w:rPr>
          <w:rFonts w:hint="eastAsia" w:eastAsia="仿宋_GB2312" w:cs="仿宋_GB2312"/>
          <w:color w:val="auto"/>
          <w:kern w:val="2"/>
          <w:sz w:val="32"/>
          <w:szCs w:val="32"/>
          <w:highlight w:val="none"/>
          <w:lang w:val="en-US" w:eastAsia="zh-CN"/>
        </w:rPr>
        <w:t>0.16</w:t>
      </w:r>
      <w:r>
        <w:rPr>
          <w:rFonts w:hint="eastAsia" w:ascii="Times New Roman" w:hAnsi="Times New Roman" w:eastAsia="仿宋_GB2312" w:cs="仿宋_GB2312"/>
          <w:color w:val="auto"/>
          <w:kern w:val="2"/>
          <w:sz w:val="32"/>
          <w:szCs w:val="32"/>
          <w:highlight w:val="none"/>
          <w:lang w:val="en-US" w:eastAsia="zh-CN"/>
        </w:rPr>
        <w:t>万元，具体内容包括</w:t>
      </w:r>
      <w:r>
        <w:rPr>
          <w:rFonts w:hint="eastAsia" w:eastAsia="仿宋_GB2312" w:cs="仿宋_GB2312"/>
          <w:color w:val="auto"/>
          <w:kern w:val="2"/>
          <w:sz w:val="32"/>
          <w:szCs w:val="32"/>
          <w:highlight w:val="none"/>
          <w:lang w:val="en-US" w:eastAsia="zh-CN"/>
        </w:rPr>
        <w:t>：嘉兴市民政局局长赴阿坝州开展民政工作调研</w:t>
      </w:r>
      <w:r>
        <w:rPr>
          <w:rFonts w:hint="eastAsia" w:ascii="Times New Roman" w:hAnsi="Times New Roman" w:eastAsia="仿宋_GB2312" w:cs="仿宋_GB2312"/>
          <w:color w:val="auto"/>
          <w:kern w:val="2"/>
          <w:sz w:val="32"/>
          <w:szCs w:val="32"/>
          <w:highlight w:val="none"/>
          <w:lang w:val="en-US" w:eastAsia="zh-CN"/>
        </w:rPr>
        <w:t>。</w:t>
      </w:r>
    </w:p>
    <w:p w14:paraId="6553B3F2">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外事接待支</w:t>
      </w:r>
      <w:r>
        <w:rPr>
          <w:rFonts w:hint="eastAsia" w:ascii="仿宋_GB2312" w:hAnsi="仿宋_GB2312" w:eastAsia="仿宋_GB2312" w:cs="仿宋_GB2312"/>
          <w:color w:val="auto"/>
          <w:kern w:val="2"/>
          <w:sz w:val="32"/>
          <w:szCs w:val="32"/>
          <w:highlight w:val="none"/>
          <w:lang w:val="en-US" w:eastAsia="zh-CN"/>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人次（不包括陪同人员），共计支出0万</w:t>
      </w:r>
      <w:r>
        <w:rPr>
          <w:rFonts w:hint="eastAsia" w:ascii="Times New Roman" w:hAnsi="Times New Roman" w:eastAsia="仿宋_GB2312" w:cs="仿宋_GB2312"/>
          <w:color w:val="auto"/>
          <w:kern w:val="2"/>
          <w:sz w:val="32"/>
          <w:szCs w:val="32"/>
          <w:highlight w:val="none"/>
          <w:lang w:val="en-US" w:eastAsia="zh-CN"/>
        </w:rPr>
        <w:t>元。</w:t>
      </w:r>
    </w:p>
    <w:p w14:paraId="3C05E971">
      <w:pPr>
        <w:spacing w:line="600" w:lineRule="exact"/>
        <w:ind w:firstLine="640"/>
        <w:outlineLvl w:val="1"/>
        <w:rPr>
          <w:rStyle w:val="23"/>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3"/>
          <w:rFonts w:hint="eastAsia" w:ascii="Times New Roman" w:hAnsi="Times New Roman" w:eastAsia="黑体"/>
          <w:b w:val="0"/>
          <w:color w:val="auto"/>
          <w:highlight w:val="none"/>
        </w:rPr>
        <w:t>政府性基金预算支出决算情况说明</w:t>
      </w:r>
      <w:bookmarkEnd w:id="44"/>
      <w:bookmarkEnd w:id="45"/>
    </w:p>
    <w:p w14:paraId="633AEAF7">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2024年度政府性基金预算财政拨款支出</w:t>
      </w:r>
      <w:r>
        <w:rPr>
          <w:rFonts w:hint="eastAsia" w:ascii="仿宋_GB2312" w:hAnsi="仿宋_GB2312" w:eastAsia="仿宋_GB2312" w:cs="仿宋_GB2312"/>
          <w:sz w:val="32"/>
          <w:szCs w:val="32"/>
        </w:rPr>
        <w:t>363.91</w:t>
      </w:r>
      <w:r>
        <w:rPr>
          <w:rFonts w:hint="eastAsia" w:ascii="仿宋_GB2312" w:hAnsi="仿宋_GB2312" w:eastAsia="仿宋_GB2312" w:cs="仿宋_GB2312"/>
          <w:color w:val="auto"/>
          <w:kern w:val="2"/>
          <w:sz w:val="32"/>
          <w:szCs w:val="32"/>
          <w:highlight w:val="none"/>
          <w:lang w:val="en-US" w:eastAsia="zh-CN"/>
        </w:rPr>
        <w:t>万元，占本年支出合计的</w:t>
      </w:r>
      <w:r>
        <w:rPr>
          <w:rFonts w:hint="eastAsia" w:ascii="仿宋_GB2312" w:hAnsi="仿宋_GB2312" w:eastAsia="仿宋_GB2312" w:cs="仿宋_GB2312"/>
          <w:sz w:val="32"/>
          <w:szCs w:val="32"/>
        </w:rPr>
        <w:t>7.29</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。与2023年度相比，政府性基金预算财政拨款支出减少</w:t>
      </w:r>
      <w:r>
        <w:rPr>
          <w:rFonts w:hint="eastAsia" w:eastAsia="仿宋_GB2312" w:cs="仿宋_GB2312"/>
          <w:color w:val="auto"/>
          <w:kern w:val="2"/>
          <w:sz w:val="32"/>
          <w:szCs w:val="32"/>
          <w:highlight w:val="none"/>
          <w:lang w:val="en-US" w:eastAsia="zh-CN"/>
        </w:rPr>
        <w:t>442.12</w:t>
      </w:r>
      <w:r>
        <w:rPr>
          <w:rFonts w:hint="eastAsia" w:ascii="Times New Roman" w:hAnsi="Times New Roman" w:eastAsia="仿宋_GB2312" w:cs="仿宋_GB2312"/>
          <w:color w:val="auto"/>
          <w:kern w:val="2"/>
          <w:sz w:val="32"/>
          <w:szCs w:val="32"/>
          <w:highlight w:val="none"/>
          <w:lang w:val="en-US" w:eastAsia="zh-CN"/>
        </w:rPr>
        <w:t>万元，下降</w:t>
      </w:r>
      <w:r>
        <w:rPr>
          <w:rFonts w:hint="eastAsia" w:eastAsia="仿宋_GB2312" w:cs="仿宋_GB2312"/>
          <w:color w:val="auto"/>
          <w:kern w:val="2"/>
          <w:sz w:val="32"/>
          <w:szCs w:val="32"/>
          <w:highlight w:val="none"/>
          <w:lang w:val="en-US" w:eastAsia="zh-CN"/>
        </w:rPr>
        <w:t>54.85</w:t>
      </w:r>
      <w:r>
        <w:rPr>
          <w:rFonts w:hint="eastAsia" w:ascii="Times New Roman" w:hAnsi="Times New Roman" w:eastAsia="仿宋_GB2312" w:cs="仿宋_GB2312"/>
          <w:color w:val="auto"/>
          <w:kern w:val="2"/>
          <w:sz w:val="32"/>
          <w:szCs w:val="32"/>
          <w:highlight w:val="none"/>
          <w:lang w:val="en-US" w:eastAsia="zh-CN"/>
        </w:rPr>
        <w:t>%。主要变动原因是征地拆迁补偿金额减少</w:t>
      </w:r>
      <w:r>
        <w:rPr>
          <w:rFonts w:hint="eastAsia" w:eastAsia="仿宋_GB2312" w:cs="仿宋_GB2312"/>
          <w:color w:val="auto"/>
          <w:kern w:val="2"/>
          <w:sz w:val="32"/>
          <w:szCs w:val="32"/>
          <w:highlight w:val="none"/>
          <w:lang w:val="en-US" w:eastAsia="zh-CN"/>
        </w:rPr>
        <w:t>。</w:t>
      </w:r>
    </w:p>
    <w:p w14:paraId="2B1D0740">
      <w:pPr>
        <w:numPr>
          <w:ilvl w:val="0"/>
          <w:numId w:val="0"/>
        </w:numPr>
        <w:spacing w:line="600" w:lineRule="exact"/>
        <w:ind w:left="630" w:leftChars="0"/>
        <w:outlineLvl w:val="1"/>
        <w:rPr>
          <w:rStyle w:val="23"/>
          <w:rFonts w:ascii="Times New Roman" w:hAnsi="Times New Roman" w:eastAsia="黑体"/>
          <w:b w:val="0"/>
          <w:color w:val="auto"/>
          <w:highlight w:val="none"/>
        </w:rPr>
      </w:pPr>
      <w:bookmarkStart w:id="46" w:name="_Toc15377219"/>
      <w:bookmarkStart w:id="47" w:name="_Toc15396611"/>
      <w:r>
        <w:rPr>
          <w:rStyle w:val="23"/>
          <w:rFonts w:hint="eastAsia" w:ascii="Times New Roman" w:hAnsi="Times New Roman" w:eastAsia="黑体"/>
          <w:b w:val="0"/>
          <w:color w:val="auto"/>
          <w:highlight w:val="none"/>
          <w:lang w:eastAsia="zh-CN"/>
        </w:rPr>
        <w:t>九、</w:t>
      </w:r>
      <w:r>
        <w:rPr>
          <w:rStyle w:val="23"/>
          <w:rFonts w:hint="eastAsia" w:ascii="Times New Roman" w:hAnsi="Times New Roman" w:eastAsia="黑体"/>
          <w:b w:val="0"/>
          <w:color w:val="auto"/>
          <w:highlight w:val="none"/>
        </w:rPr>
        <w:t>国有资本经营预算支出决算情况说明</w:t>
      </w:r>
      <w:bookmarkEnd w:id="46"/>
      <w:bookmarkEnd w:id="47"/>
    </w:p>
    <w:p w14:paraId="248439AA">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。与2023年度相比，国有资本经营预算财政拨款支出增加</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万元，增长</w:t>
      </w:r>
      <w:r>
        <w:rPr>
          <w:rFonts w:hint="eastAsia" w:eastAsia="仿宋_GB2312" w:cs="仿宋_GB2312"/>
          <w:color w:val="auto"/>
          <w:kern w:val="2"/>
          <w:sz w:val="32"/>
          <w:szCs w:val="32"/>
          <w:highlight w:val="none"/>
          <w:lang w:val="en-US" w:eastAsia="zh-CN"/>
        </w:rPr>
        <w:t>0</w:t>
      </w:r>
      <w:r>
        <w:rPr>
          <w:rFonts w:hint="eastAsia" w:ascii="Times New Roman" w:hAnsi="Times New Roman" w:eastAsia="仿宋_GB2312" w:cs="仿宋_GB2312"/>
          <w:color w:val="auto"/>
          <w:kern w:val="2"/>
          <w:sz w:val="32"/>
          <w:szCs w:val="32"/>
          <w:highlight w:val="none"/>
          <w:lang w:val="en-US" w:eastAsia="zh-CN"/>
        </w:rPr>
        <w:t>%。</w:t>
      </w:r>
    </w:p>
    <w:p w14:paraId="349DEDAB">
      <w:pPr>
        <w:numPr>
          <w:ilvl w:val="0"/>
          <w:numId w:val="0"/>
        </w:numPr>
        <w:spacing w:line="600" w:lineRule="exact"/>
        <w:ind w:left="630" w:leftChars="0"/>
        <w:outlineLvl w:val="1"/>
        <w:rPr>
          <w:rStyle w:val="23"/>
          <w:rFonts w:hint="eastAsia" w:ascii="Times New Roman" w:hAnsi="Times New Roman" w:eastAsia="黑体"/>
          <w:b w:val="0"/>
          <w:color w:val="auto"/>
          <w:highlight w:val="none"/>
        </w:rPr>
      </w:pPr>
      <w:bookmarkStart w:id="48" w:name="_Toc15396612"/>
      <w:bookmarkStart w:id="49" w:name="_Toc15377221"/>
      <w:r>
        <w:rPr>
          <w:rStyle w:val="23"/>
          <w:rFonts w:hint="eastAsia" w:ascii="Times New Roman" w:hAnsi="Times New Roman" w:eastAsia="黑体"/>
          <w:b w:val="0"/>
          <w:color w:val="auto"/>
          <w:highlight w:val="none"/>
          <w:lang w:eastAsia="zh-CN"/>
        </w:rPr>
        <w:t>十、</w:t>
      </w:r>
      <w:r>
        <w:rPr>
          <w:rStyle w:val="23"/>
          <w:rFonts w:hint="eastAsia" w:ascii="Times New Roman" w:hAnsi="Times New Roman" w:eastAsia="黑体"/>
          <w:b w:val="0"/>
          <w:color w:val="auto"/>
          <w:highlight w:val="none"/>
        </w:rPr>
        <w:t>其他重要事项的情况说明</w:t>
      </w:r>
      <w:bookmarkEnd w:id="48"/>
      <w:bookmarkEnd w:id="49"/>
    </w:p>
    <w:p w14:paraId="7E2D84E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2"/>
      <w:r>
        <w:rPr>
          <w:rFonts w:hint="eastAsia" w:ascii="Times New Roman" w:hAnsi="Times New Roman" w:eastAsia="楷体_GB2312" w:cs="楷体_GB2312"/>
          <w:b/>
          <w:color w:val="auto"/>
          <w:sz w:val="32"/>
          <w:szCs w:val="32"/>
          <w:highlight w:val="none"/>
        </w:rPr>
        <w:t>（一）机关运行经费支出情况</w:t>
      </w:r>
      <w:bookmarkEnd w:id="50"/>
    </w:p>
    <w:p w14:paraId="1C9C211B">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2024年度</w:t>
      </w:r>
      <w:r>
        <w:rPr>
          <w:rFonts w:hint="eastAsia" w:ascii="仿宋_GB2312" w:hAnsi="仿宋_GB2312" w:eastAsia="仿宋_GB2312" w:cs="仿宋_GB2312"/>
          <w:color w:val="auto"/>
          <w:kern w:val="2"/>
          <w:sz w:val="32"/>
          <w:szCs w:val="32"/>
          <w:highlight w:val="none"/>
          <w:lang w:val="en-US" w:eastAsia="zh-CN"/>
        </w:rPr>
        <w:t>，</w:t>
      </w:r>
      <w:r>
        <w:rPr>
          <w:rFonts w:hint="eastAsia" w:ascii="仿宋_GB2312" w:hAnsi="仿宋_GB2312" w:eastAsia="仿宋_GB2312" w:cs="仿宋_GB2312"/>
          <w:sz w:val="32"/>
          <w:szCs w:val="32"/>
        </w:rPr>
        <w:t>松潘县民政局</w:t>
      </w:r>
      <w:r>
        <w:rPr>
          <w:rFonts w:hint="eastAsia" w:ascii="仿宋_GB2312" w:hAnsi="仿宋_GB2312" w:eastAsia="仿宋_GB2312" w:cs="仿宋_GB2312"/>
          <w:color w:val="auto"/>
          <w:kern w:val="2"/>
          <w:sz w:val="32"/>
          <w:szCs w:val="32"/>
          <w:highlight w:val="none"/>
          <w:lang w:val="en-US" w:eastAsia="zh-CN"/>
        </w:rPr>
        <w:t>机关运行经费支出</w:t>
      </w:r>
      <w:r>
        <w:rPr>
          <w:rFonts w:hint="eastAsia" w:ascii="仿宋_GB2312" w:hAnsi="仿宋_GB2312" w:eastAsia="仿宋_GB2312" w:cs="仿宋_GB2312"/>
          <w:sz w:val="32"/>
          <w:szCs w:val="32"/>
        </w:rPr>
        <w:t>19.55</w:t>
      </w:r>
      <w:r>
        <w:rPr>
          <w:rFonts w:hint="eastAsia" w:ascii="仿宋_GB2312" w:hAnsi="仿宋_GB2312" w:eastAsia="仿宋_GB2312" w:cs="仿宋_GB2312"/>
          <w:color w:val="auto"/>
          <w:kern w:val="2"/>
          <w:sz w:val="32"/>
          <w:szCs w:val="32"/>
          <w:highlight w:val="none"/>
          <w:lang w:val="en-US" w:eastAsia="zh-CN"/>
        </w:rPr>
        <w:t>万</w:t>
      </w:r>
      <w:r>
        <w:rPr>
          <w:rFonts w:hint="eastAsia" w:ascii="Times New Roman" w:hAnsi="Times New Roman" w:eastAsia="仿宋_GB2312" w:cs="仿宋_GB2312"/>
          <w:color w:val="auto"/>
          <w:kern w:val="2"/>
          <w:sz w:val="32"/>
          <w:szCs w:val="32"/>
          <w:highlight w:val="none"/>
          <w:lang w:val="en-US" w:eastAsia="zh-CN"/>
        </w:rPr>
        <w:t>元，比2023年度增加减少</w:t>
      </w:r>
      <w:r>
        <w:rPr>
          <w:rFonts w:hint="eastAsia" w:eastAsia="仿宋_GB2312" w:cs="仿宋_GB2312"/>
          <w:color w:val="auto"/>
          <w:kern w:val="2"/>
          <w:sz w:val="32"/>
          <w:szCs w:val="32"/>
          <w:highlight w:val="none"/>
          <w:lang w:val="en-US" w:eastAsia="zh-CN"/>
        </w:rPr>
        <w:t>2.09</w:t>
      </w:r>
      <w:r>
        <w:rPr>
          <w:rFonts w:hint="eastAsia" w:ascii="Times New Roman" w:hAnsi="Times New Roman" w:eastAsia="仿宋_GB2312" w:cs="仿宋_GB2312"/>
          <w:color w:val="auto"/>
          <w:kern w:val="2"/>
          <w:sz w:val="32"/>
          <w:szCs w:val="32"/>
          <w:highlight w:val="none"/>
          <w:lang w:val="en-US" w:eastAsia="zh-CN"/>
        </w:rPr>
        <w:t>万元，增长/下降</w:t>
      </w:r>
      <w:r>
        <w:rPr>
          <w:rFonts w:hint="eastAsia" w:eastAsia="仿宋_GB2312" w:cs="仿宋_GB2312"/>
          <w:color w:val="auto"/>
          <w:kern w:val="2"/>
          <w:sz w:val="32"/>
          <w:szCs w:val="32"/>
          <w:highlight w:val="none"/>
          <w:lang w:val="en-US" w:eastAsia="zh-CN"/>
        </w:rPr>
        <w:t>9.65</w:t>
      </w:r>
      <w:r>
        <w:rPr>
          <w:rFonts w:hint="eastAsia" w:ascii="Times New Roman" w:hAnsi="Times New Roman" w:eastAsia="仿宋_GB2312" w:cs="仿宋_GB2312"/>
          <w:color w:val="auto"/>
          <w:kern w:val="2"/>
          <w:sz w:val="32"/>
          <w:szCs w:val="32"/>
          <w:highlight w:val="none"/>
          <w:lang w:val="en-US" w:eastAsia="zh-CN"/>
        </w:rPr>
        <w:t>%（或与2023年度决算数持平）。主要原因是</w:t>
      </w:r>
      <w:r>
        <w:rPr>
          <w:rFonts w:hint="eastAsia" w:eastAsia="仿宋_GB2312" w:cs="仿宋_GB2312"/>
          <w:color w:val="auto"/>
          <w:kern w:val="2"/>
          <w:sz w:val="32"/>
          <w:szCs w:val="32"/>
          <w:highlight w:val="none"/>
          <w:lang w:val="en-US" w:eastAsia="zh-CN"/>
        </w:rPr>
        <w:t>2024年底系统关闭部分资金未支付。</w:t>
      </w:r>
    </w:p>
    <w:p w14:paraId="2F77AA6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1" w:name="_Toc15377223"/>
      <w:r>
        <w:rPr>
          <w:rFonts w:hint="eastAsia" w:ascii="Times New Roman" w:hAnsi="Times New Roman" w:eastAsia="楷体_GB2312" w:cs="楷体_GB2312"/>
          <w:b/>
          <w:color w:val="auto"/>
          <w:sz w:val="32"/>
          <w:szCs w:val="32"/>
          <w:highlight w:val="none"/>
        </w:rPr>
        <w:t>（二）政府采购支出情况</w:t>
      </w:r>
      <w:bookmarkEnd w:id="51"/>
    </w:p>
    <w:p w14:paraId="551B6FB7">
      <w:pPr>
        <w:spacing w:line="600" w:lineRule="exact"/>
        <w:ind w:firstLine="640"/>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2024年度，</w:t>
      </w:r>
      <w:r>
        <w:rPr>
          <w:rFonts w:hint="eastAsia" w:ascii="仿宋_GB2312" w:hAnsi="仿宋_GB2312" w:eastAsia="仿宋_GB2312" w:cs="仿宋_GB2312"/>
          <w:sz w:val="32"/>
          <w:szCs w:val="32"/>
        </w:rPr>
        <w:t>松潘县民政局</w:t>
      </w:r>
      <w:r>
        <w:rPr>
          <w:rFonts w:hint="eastAsia" w:ascii="仿宋_GB2312" w:hAnsi="仿宋_GB2312" w:eastAsia="仿宋_GB2312" w:cs="仿宋_GB2312"/>
          <w:color w:val="auto"/>
          <w:kern w:val="2"/>
          <w:sz w:val="32"/>
          <w:szCs w:val="32"/>
          <w:highlight w:val="none"/>
          <w:lang w:val="en-US" w:eastAsia="zh-CN"/>
        </w:rPr>
        <w:t>政府采购支出总额</w:t>
      </w:r>
      <w:r>
        <w:rPr>
          <w:rFonts w:hint="eastAsia" w:ascii="仿宋_GB2312" w:hAnsi="仿宋_GB2312" w:eastAsia="仿宋_GB2312" w:cs="仿宋_GB2312"/>
          <w:sz w:val="32"/>
          <w:szCs w:val="32"/>
        </w:rPr>
        <w:t>389.59</w:t>
      </w:r>
      <w:r>
        <w:rPr>
          <w:rFonts w:hint="eastAsia" w:ascii="仿宋_GB2312" w:hAnsi="仿宋_GB2312" w:eastAsia="仿宋_GB2312" w:cs="仿宋_GB2312"/>
          <w:color w:val="auto"/>
          <w:kern w:val="2"/>
          <w:sz w:val="32"/>
          <w:szCs w:val="32"/>
          <w:highlight w:val="none"/>
          <w:lang w:val="en-US" w:eastAsia="zh-CN"/>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万元、政府采购工程支出</w:t>
      </w:r>
      <w:r>
        <w:rPr>
          <w:rFonts w:hint="eastAsia" w:ascii="仿宋_GB2312" w:hAnsi="仿宋_GB2312" w:eastAsia="仿宋_GB2312" w:cs="仿宋_GB2312"/>
          <w:sz w:val="32"/>
          <w:szCs w:val="32"/>
        </w:rPr>
        <w:t>350.09</w:t>
      </w:r>
      <w:r>
        <w:rPr>
          <w:rFonts w:hint="eastAsia" w:ascii="仿宋_GB2312" w:hAnsi="仿宋_GB2312" w:eastAsia="仿宋_GB2312" w:cs="仿宋_GB2312"/>
          <w:color w:val="auto"/>
          <w:kern w:val="2"/>
          <w:sz w:val="32"/>
          <w:szCs w:val="32"/>
          <w:highlight w:val="none"/>
          <w:lang w:val="en-US" w:eastAsia="zh-CN"/>
        </w:rPr>
        <w:t>万元、政府采购服务支出</w:t>
      </w:r>
      <w:r>
        <w:rPr>
          <w:rFonts w:hint="eastAsia" w:ascii="仿宋_GB2312" w:hAnsi="仿宋_GB2312" w:eastAsia="仿宋_GB2312" w:cs="仿宋_GB2312"/>
          <w:sz w:val="32"/>
          <w:szCs w:val="32"/>
        </w:rPr>
        <w:t>39.5</w:t>
      </w:r>
      <w:r>
        <w:rPr>
          <w:rFonts w:hint="eastAsia" w:ascii="仿宋_GB2312" w:hAnsi="仿宋_GB2312" w:eastAsia="仿宋_GB2312" w:cs="仿宋_GB2312"/>
          <w:color w:val="auto"/>
          <w:kern w:val="2"/>
          <w:sz w:val="32"/>
          <w:szCs w:val="32"/>
          <w:highlight w:val="none"/>
          <w:lang w:val="en-US" w:eastAsia="zh-CN"/>
        </w:rPr>
        <w:t>万元。主要用于社区养老服务综合体建设、村级办公场所和综合服务设施维修改造项目、精神障碍社区康复服务。授予中小企业合同金额</w:t>
      </w:r>
      <w:r>
        <w:rPr>
          <w:rFonts w:hint="eastAsia" w:ascii="仿宋_GB2312" w:hAnsi="仿宋_GB2312" w:eastAsia="仿宋_GB2312" w:cs="仿宋_GB2312"/>
          <w:sz w:val="32"/>
          <w:szCs w:val="32"/>
        </w:rPr>
        <w:t>389.59</w:t>
      </w:r>
      <w:r>
        <w:rPr>
          <w:rFonts w:hint="eastAsia" w:ascii="仿宋_GB2312" w:hAnsi="仿宋_GB2312" w:eastAsia="仿宋_GB2312" w:cs="仿宋_GB2312"/>
          <w:color w:val="auto"/>
          <w:kern w:val="2"/>
          <w:sz w:val="32"/>
          <w:szCs w:val="32"/>
          <w:highlight w:val="none"/>
          <w:lang w:val="en-US" w:eastAsia="zh-CN"/>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rPr>
        <w:t>%，其中：授予小微企业合同金额</w:t>
      </w:r>
      <w:r>
        <w:rPr>
          <w:rFonts w:hint="eastAsia" w:ascii="仿宋_GB2312" w:hAnsi="仿宋_GB2312" w:eastAsia="仿宋_GB2312" w:cs="仿宋_GB2312"/>
          <w:sz w:val="32"/>
          <w:szCs w:val="32"/>
        </w:rPr>
        <w:t>389.59</w:t>
      </w:r>
      <w:r>
        <w:rPr>
          <w:rFonts w:hint="eastAsia" w:ascii="仿宋_GB2312" w:hAnsi="仿宋_GB2312" w:eastAsia="仿宋_GB2312" w:cs="仿宋_GB2312"/>
          <w:color w:val="auto"/>
          <w:kern w:val="2"/>
          <w:sz w:val="32"/>
          <w:szCs w:val="32"/>
          <w:highlight w:val="none"/>
          <w:lang w:val="en-US" w:eastAsia="zh-CN"/>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rPr>
        <w:t>%。</w:t>
      </w:r>
    </w:p>
    <w:p w14:paraId="32214CFA">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4E6A26A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2" w:name="_Toc15377224"/>
      <w:r>
        <w:rPr>
          <w:rFonts w:hint="eastAsia" w:ascii="Times New Roman" w:hAnsi="Times New Roman" w:eastAsia="楷体_GB2312" w:cs="楷体_GB2312"/>
          <w:b/>
          <w:color w:val="auto"/>
          <w:sz w:val="32"/>
          <w:szCs w:val="32"/>
          <w:highlight w:val="none"/>
        </w:rPr>
        <w:t>（三）国有资产占有使用情况</w:t>
      </w:r>
      <w:bookmarkEnd w:id="52"/>
    </w:p>
    <w:p w14:paraId="2076229C">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rPr>
        <w:t>截至2024年12月31日，</w:t>
      </w:r>
      <w:r>
        <w:rPr>
          <w:rFonts w:hint="eastAsia" w:ascii="仿宋_GB2312" w:hAnsi="仿宋_GB2312" w:eastAsia="仿宋_GB2312" w:cs="仿宋_GB2312"/>
          <w:sz w:val="32"/>
          <w:szCs w:val="32"/>
        </w:rPr>
        <w:t>松潘县民政局</w:t>
      </w:r>
      <w:r>
        <w:rPr>
          <w:rFonts w:hint="eastAsia" w:ascii="仿宋_GB2312" w:hAnsi="仿宋_GB2312" w:eastAsia="仿宋_GB2312" w:cs="仿宋_GB2312"/>
          <w:color w:val="auto"/>
          <w:kern w:val="2"/>
          <w:sz w:val="32"/>
          <w:szCs w:val="32"/>
          <w:highlight w:val="none"/>
          <w:lang w:val="en-US" w:eastAsia="zh-CN"/>
        </w:rPr>
        <w:t>共有车辆</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辆、应急保障用车</w:t>
      </w:r>
      <w:r>
        <w:rPr>
          <w:rFonts w:hint="eastAsia" w:ascii="仿宋_GB2312" w:hAnsi="仿宋_GB2312" w:eastAsia="仿宋_GB2312" w:cs="仿宋_GB2312"/>
          <w:sz w:val="32"/>
          <w:szCs w:val="32"/>
        </w:rPr>
        <w:t>3</w:t>
      </w:r>
      <w:r>
        <w:rPr>
          <w:rFonts w:hint="eastAsia" w:ascii="仿宋_GB2312" w:hAnsi="仿宋_GB2312" w:eastAsia="仿宋_GB2312" w:cs="仿宋_GB2312"/>
          <w:color w:val="auto"/>
          <w:kern w:val="2"/>
          <w:sz w:val="32"/>
          <w:szCs w:val="32"/>
          <w:highlight w:val="none"/>
          <w:lang w:val="en-US" w:eastAsia="zh-CN"/>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rPr>
        <w:t>台（套）</w:t>
      </w:r>
      <w:r>
        <w:rPr>
          <w:rFonts w:hint="eastAsia" w:ascii="Times New Roman" w:hAnsi="Times New Roman" w:eastAsia="仿宋_GB2312" w:cs="仿宋_GB2312"/>
          <w:color w:val="auto"/>
          <w:kern w:val="2"/>
          <w:sz w:val="32"/>
          <w:szCs w:val="32"/>
          <w:highlight w:val="none"/>
          <w:lang w:val="en-US" w:eastAsia="zh-CN"/>
        </w:rPr>
        <w:t>。</w:t>
      </w:r>
    </w:p>
    <w:p w14:paraId="7FAAB053">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08C5868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7566438A">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根据预算绩效管理要求，</w:t>
      </w:r>
      <w:r>
        <w:rPr>
          <w:rFonts w:hint="eastAsia" w:eastAsia="仿宋_GB2312" w:cs="仿宋_GB2312"/>
          <w:color w:val="auto"/>
          <w:kern w:val="2"/>
          <w:sz w:val="32"/>
          <w:szCs w:val="32"/>
          <w:highlight w:val="none"/>
          <w:lang w:val="en-US" w:eastAsia="zh-CN"/>
        </w:rPr>
        <w:t>松潘县民政局</w:t>
      </w:r>
      <w:r>
        <w:rPr>
          <w:rFonts w:hint="eastAsia" w:ascii="Times New Roman" w:hAnsi="Times New Roman" w:eastAsia="仿宋_GB2312" w:cs="仿宋_GB2312"/>
          <w:color w:val="auto"/>
          <w:kern w:val="2"/>
          <w:sz w:val="32"/>
          <w:szCs w:val="32"/>
          <w:highlight w:val="none"/>
          <w:lang w:val="en-US" w:eastAsia="zh-CN"/>
        </w:rPr>
        <w:t>在2024年度预算编制阶段，组织对</w:t>
      </w:r>
      <w:r>
        <w:rPr>
          <w:rFonts w:hint="eastAsia" w:ascii="仿宋_GB2312" w:eastAsia="仿宋_GB2312"/>
          <w:sz w:val="32"/>
          <w:szCs w:val="32"/>
          <w:lang w:eastAsia="zh-CN"/>
        </w:rPr>
        <w:t>城镇低保、农村低保、临时救助、城镇五保、农村五保、儿童福利、高龄津贴、养老服务</w:t>
      </w:r>
      <w:r>
        <w:rPr>
          <w:rFonts w:hint="eastAsia" w:ascii="Times New Roman" w:hAnsi="Times New Roman" w:eastAsia="仿宋_GB2312" w:cs="仿宋_GB2312"/>
          <w:color w:val="auto"/>
          <w:kern w:val="2"/>
          <w:sz w:val="32"/>
          <w:szCs w:val="32"/>
          <w:highlight w:val="none"/>
          <w:lang w:val="en-US" w:eastAsia="zh-CN"/>
        </w:rPr>
        <w:t>等</w:t>
      </w:r>
      <w:r>
        <w:rPr>
          <w:rFonts w:hint="eastAsia" w:eastAsia="仿宋_GB2312" w:cs="仿宋_GB2312"/>
          <w:color w:val="auto"/>
          <w:kern w:val="2"/>
          <w:sz w:val="32"/>
          <w:szCs w:val="32"/>
          <w:highlight w:val="none"/>
          <w:lang w:val="en-US" w:eastAsia="zh-CN"/>
        </w:rPr>
        <w:t>39</w:t>
      </w:r>
      <w:r>
        <w:rPr>
          <w:rFonts w:hint="eastAsia" w:ascii="Times New Roman" w:hAnsi="Times New Roman" w:eastAsia="仿宋_GB2312" w:cs="仿宋_GB2312"/>
          <w:color w:val="auto"/>
          <w:kern w:val="2"/>
          <w:sz w:val="32"/>
          <w:szCs w:val="32"/>
          <w:highlight w:val="none"/>
          <w:lang w:val="en-US" w:eastAsia="zh-CN"/>
        </w:rPr>
        <w:t>个项目开展了预算事前绩效评估，对</w:t>
      </w:r>
      <w:r>
        <w:rPr>
          <w:rFonts w:hint="eastAsia" w:eastAsia="仿宋_GB2312" w:cs="仿宋_GB2312"/>
          <w:color w:val="auto"/>
          <w:kern w:val="2"/>
          <w:sz w:val="32"/>
          <w:szCs w:val="32"/>
          <w:highlight w:val="none"/>
          <w:lang w:val="en-US" w:eastAsia="zh-CN"/>
        </w:rPr>
        <w:t>39</w:t>
      </w:r>
      <w:r>
        <w:rPr>
          <w:rFonts w:hint="eastAsia" w:ascii="Times New Roman" w:hAnsi="Times New Roman" w:eastAsia="仿宋_GB2312" w:cs="仿宋_GB2312"/>
          <w:color w:val="auto"/>
          <w:kern w:val="2"/>
          <w:sz w:val="32"/>
          <w:szCs w:val="32"/>
          <w:highlight w:val="none"/>
          <w:lang w:val="en-US" w:eastAsia="zh-CN"/>
        </w:rPr>
        <w:t>个项目编制了绩效目标</w:t>
      </w:r>
      <w:r>
        <w:rPr>
          <w:rFonts w:hint="eastAsia" w:eastAsia="仿宋_GB2312" w:cs="仿宋_GB2312"/>
          <w:color w:val="auto"/>
          <w:kern w:val="2"/>
          <w:sz w:val="32"/>
          <w:szCs w:val="32"/>
          <w:highlight w:val="none"/>
          <w:lang w:val="en-US" w:eastAsia="zh-CN"/>
        </w:rPr>
        <w:t>，在</w:t>
      </w:r>
      <w:r>
        <w:rPr>
          <w:rFonts w:hint="eastAsia" w:ascii="Times New Roman" w:hAnsi="Times New Roman" w:eastAsia="仿宋_GB2312" w:cs="仿宋_GB2312"/>
          <w:color w:val="auto"/>
          <w:kern w:val="2"/>
          <w:sz w:val="32"/>
          <w:szCs w:val="32"/>
          <w:highlight w:val="none"/>
          <w:lang w:val="en-US" w:eastAsia="zh-CN"/>
        </w:rPr>
        <w:t>预算执行过程中，选取</w:t>
      </w:r>
      <w:r>
        <w:rPr>
          <w:rFonts w:hint="eastAsia" w:eastAsia="仿宋_GB2312" w:cs="仿宋_GB2312"/>
          <w:color w:val="auto"/>
          <w:kern w:val="2"/>
          <w:sz w:val="32"/>
          <w:szCs w:val="32"/>
          <w:highlight w:val="none"/>
          <w:lang w:val="en-US" w:eastAsia="zh-CN"/>
        </w:rPr>
        <w:t>11</w:t>
      </w:r>
      <w:r>
        <w:rPr>
          <w:rFonts w:hint="eastAsia" w:ascii="Times New Roman" w:hAnsi="Times New Roman" w:eastAsia="仿宋_GB2312" w:cs="仿宋_GB2312"/>
          <w:color w:val="auto"/>
          <w:kern w:val="2"/>
          <w:sz w:val="32"/>
          <w:szCs w:val="32"/>
          <w:highlight w:val="none"/>
          <w:lang w:val="en-US" w:eastAsia="zh-CN"/>
        </w:rPr>
        <w:t>个项目开展绩效监控。</w:t>
      </w:r>
    </w:p>
    <w:p w14:paraId="4E09BC2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rPr>
        <w:t>松潘县民政局</w:t>
      </w:r>
      <w:r>
        <w:rPr>
          <w:rFonts w:hint="eastAsia" w:ascii="Times New Roman" w:hAnsi="Times New Roman" w:eastAsia="仿宋_GB2312" w:cs="仿宋_GB2312"/>
          <w:color w:val="auto"/>
          <w:kern w:val="2"/>
          <w:sz w:val="32"/>
          <w:szCs w:val="32"/>
          <w:highlight w:val="none"/>
          <w:lang w:val="en-US" w:eastAsia="zh-CN"/>
        </w:rPr>
        <w:t>部门整体（含部门预算项目）绩效自评报告、</w:t>
      </w:r>
      <w:r>
        <w:rPr>
          <w:rFonts w:hint="eastAsia" w:eastAsia="仿宋_GB2312" w:cs="仿宋_GB2312"/>
          <w:color w:val="auto"/>
          <w:kern w:val="2"/>
          <w:sz w:val="32"/>
          <w:szCs w:val="32"/>
          <w:highlight w:val="none"/>
          <w:lang w:val="en-US" w:eastAsia="zh-CN"/>
        </w:rPr>
        <w:t>困难群众资金、社会救助救济资金、养老服务发展资金</w:t>
      </w:r>
      <w:r>
        <w:rPr>
          <w:rFonts w:hint="eastAsia" w:ascii="Times New Roman" w:hAnsi="Times New Roman" w:eastAsia="仿宋_GB2312" w:cs="仿宋_GB2312"/>
          <w:color w:val="auto"/>
          <w:kern w:val="2"/>
          <w:sz w:val="32"/>
          <w:szCs w:val="32"/>
          <w:highlight w:val="none"/>
          <w:lang w:val="en-US" w:eastAsia="zh-CN"/>
        </w:rPr>
        <w:t>等专项预算项目绩效自评报告。绩效自评报告详见附件。</w:t>
      </w:r>
      <w:r>
        <w:rPr>
          <w:rFonts w:hint="eastAsia" w:ascii="Times New Roman" w:hAnsi="Times New Roman" w:eastAsia="仿宋_GB2312" w:cs="仿宋_GB2312"/>
          <w:b/>
          <w:bCs/>
          <w:color w:val="auto"/>
          <w:kern w:val="2"/>
          <w:sz w:val="32"/>
          <w:szCs w:val="32"/>
          <w:highlight w:val="none"/>
          <w:lang w:val="en-US" w:eastAsia="zh-CN"/>
        </w:rPr>
        <w:t>（</w:t>
      </w:r>
      <w:r>
        <w:rPr>
          <w:rFonts w:hint="eastAsia" w:eastAsia="仿宋_GB2312" w:cs="仿宋_GB2312"/>
          <w:b/>
          <w:bCs/>
          <w:color w:val="auto"/>
          <w:kern w:val="2"/>
          <w:sz w:val="32"/>
          <w:szCs w:val="32"/>
          <w:highlight w:val="none"/>
          <w:lang w:val="en-US" w:eastAsia="zh-CN"/>
        </w:rPr>
        <w:t>注：</w:t>
      </w:r>
      <w:r>
        <w:rPr>
          <w:rFonts w:hint="eastAsia" w:ascii="Times New Roman" w:hAnsi="Times New Roman" w:eastAsia="仿宋_GB2312" w:cs="仿宋_GB2312"/>
          <w:b/>
          <w:bCs/>
          <w:color w:val="auto"/>
          <w:kern w:val="2"/>
          <w:sz w:val="32"/>
          <w:szCs w:val="32"/>
          <w:highlight w:val="none"/>
          <w:lang w:val="en-US" w:eastAsia="zh-CN"/>
        </w:rPr>
        <w:t>如不涉及，可根据实际修改表述。）</w:t>
      </w:r>
    </w:p>
    <w:p w14:paraId="6A6758F6">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6EF41410">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p>
    <w:p w14:paraId="54D1EF48">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3" w:name="_Toc15377225"/>
      <w:bookmarkStart w:id="5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3"/>
      <w:bookmarkEnd w:id="54"/>
    </w:p>
    <w:p w14:paraId="68CFCF62">
      <w:pPr>
        <w:spacing w:line="600" w:lineRule="exact"/>
        <w:jc w:val="left"/>
        <w:rPr>
          <w:rFonts w:ascii="Times New Roman" w:hAnsi="Times New Roman"/>
          <w:b/>
          <w:color w:val="auto"/>
          <w:sz w:val="44"/>
          <w:szCs w:val="44"/>
          <w:highlight w:val="none"/>
        </w:rPr>
      </w:pPr>
    </w:p>
    <w:p w14:paraId="1CC4894D">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1.财政拨款收入：指单位从同级财政部门取得的财政预算资金。</w:t>
      </w:r>
    </w:p>
    <w:p w14:paraId="42A08C3F">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2.事业收入：指事业单位开展专业业务活动及辅助活动取得的收入。如……（二级预算单位事业收入情况）等。</w:t>
      </w:r>
    </w:p>
    <w:p w14:paraId="73A73EED">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3.经营收入：指事业单位在专业业务活动及其辅助活动之外开展非独立核算经营活动取得的收入。如……（二级预算单位经营收入情况）等。</w:t>
      </w:r>
    </w:p>
    <w:p w14:paraId="40685941">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4.其他收入：指单位取得的除上述收入以外的各项收入。主要是……（收入类型）等。 </w:t>
      </w:r>
    </w:p>
    <w:p w14:paraId="487D343F">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5.使用非财政拨款结余（含专用结余）：指事业单位使用以前年度积累的非财政拨款结余弥补当年收支差额的金额。 </w:t>
      </w:r>
    </w:p>
    <w:p w14:paraId="7BA3CF27">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 xml:space="preserve">6.年初结转和结余：指以前年度尚未完成、结转到本年按有关规定继续使用的资金。 </w:t>
      </w:r>
    </w:p>
    <w:p w14:paraId="079B4BE3">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7.结余分配：指事业单位按照会计制度规定缴纳的所得税、提取的专用结余以及转入非财政拨款结余的金额等。</w:t>
      </w:r>
    </w:p>
    <w:p w14:paraId="02427AB5">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8.年末结转和结余：指单位按有关规定结转到下年或以后年度继续使用的资金。</w:t>
      </w:r>
    </w:p>
    <w:p w14:paraId="24A104F1">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eastAsia" w:ascii="仿宋_GB2312" w:eastAsia="仿宋_GB2312"/>
          <w:sz w:val="32"/>
          <w:szCs w:val="32"/>
        </w:rPr>
        <w:t>社会保障和就业（类）民政管理事务（款）行政运行（项）</w:t>
      </w:r>
      <w:r>
        <w:rPr>
          <w:rFonts w:hint="eastAsia" w:ascii="仿宋_GB2312" w:eastAsia="仿宋_GB2312"/>
          <w:sz w:val="32"/>
          <w:szCs w:val="32"/>
          <w:lang w:eastAsia="zh-CN"/>
        </w:rPr>
        <w:t>：指单位工资福利支出。</w:t>
      </w:r>
    </w:p>
    <w:p w14:paraId="40618985">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社会保障和就业（类）民政管理事务（款）一般行政管理事务（项）</w:t>
      </w:r>
      <w:r>
        <w:rPr>
          <w:rFonts w:hint="eastAsia" w:ascii="仿宋_GB2312" w:eastAsia="仿宋_GB2312"/>
          <w:sz w:val="32"/>
          <w:szCs w:val="32"/>
          <w:lang w:eastAsia="zh-CN"/>
        </w:rPr>
        <w:t>：指春节慰问金。</w:t>
      </w:r>
    </w:p>
    <w:p w14:paraId="73A0A576">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eastAsia" w:ascii="仿宋_GB2312" w:eastAsia="仿宋_GB2312"/>
          <w:sz w:val="32"/>
          <w:szCs w:val="32"/>
        </w:rPr>
        <w:t>社会保障和就业（类）民政管理事务（款）其他民政管理事务支出（项）</w:t>
      </w:r>
      <w:r>
        <w:rPr>
          <w:rFonts w:hint="eastAsia" w:ascii="仿宋_GB2312" w:eastAsia="仿宋_GB2312"/>
          <w:sz w:val="32"/>
          <w:szCs w:val="32"/>
          <w:lang w:eastAsia="zh-CN"/>
        </w:rPr>
        <w:t>：指用于社会救助和未成年人等工作经费。</w:t>
      </w:r>
    </w:p>
    <w:p w14:paraId="7BBEA28F">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社会保障和就业（类）行政事业单位养老支出（款）机关事业单位基本养老保险缴费支出（项）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Style w:val="20"/>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w:t>
      </w:r>
      <w:r>
        <w:rPr>
          <w:rFonts w:hint="eastAsia" w:ascii="仿宋_GB2312" w:hAnsi="仿宋_GB2312" w:eastAsia="仿宋_GB2312" w:cs="仿宋_GB2312"/>
          <w:color w:val="000000"/>
          <w:kern w:val="0"/>
          <w:sz w:val="32"/>
          <w:szCs w:val="32"/>
          <w:lang w:eastAsia="zh-CN"/>
        </w:rPr>
        <w:t>养老保险费</w:t>
      </w:r>
      <w:r>
        <w:rPr>
          <w:rFonts w:hint="eastAsia" w:ascii="仿宋_GB2312" w:hAnsi="仿宋_GB2312" w:eastAsia="仿宋_GB2312" w:cs="仿宋_GB2312"/>
          <w:color w:val="000000"/>
          <w:kern w:val="0"/>
          <w:sz w:val="32"/>
          <w:szCs w:val="32"/>
        </w:rPr>
        <w:t>的支出</w:t>
      </w:r>
      <w:r>
        <w:rPr>
          <w:rStyle w:val="20"/>
          <w:rFonts w:hint="eastAsia" w:ascii="仿宋_GB2312" w:hAnsi="仿宋_GB2312" w:eastAsia="仿宋_GB2312" w:cs="仿宋_GB2312"/>
          <w:b w:val="0"/>
          <w:color w:val="000000"/>
          <w:sz w:val="32"/>
          <w:szCs w:val="32"/>
        </w:rPr>
        <w:t>。</w:t>
      </w:r>
    </w:p>
    <w:p w14:paraId="4C12F855">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13.</w:t>
      </w:r>
      <w:r>
        <w:rPr>
          <w:rFonts w:hint="eastAsia" w:ascii="仿宋_GB2312" w:eastAsia="仿宋_GB2312"/>
          <w:sz w:val="32"/>
          <w:szCs w:val="32"/>
        </w:rPr>
        <w:t>社会保障和就业（类）行政事业单位养老支出（款）机关事业单位职业年金缴费支出（项）</w:t>
      </w:r>
      <w:r>
        <w:rPr>
          <w:rFonts w:hint="eastAsia" w:ascii="仿宋_GB2312" w:eastAsia="仿宋_GB2312"/>
          <w:sz w:val="32"/>
          <w:szCs w:val="32"/>
          <w:lang w:eastAsia="zh-CN"/>
        </w:rPr>
        <w:t>：</w:t>
      </w:r>
      <w:r>
        <w:rPr>
          <w:rStyle w:val="20"/>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w:t>
      </w:r>
      <w:r>
        <w:rPr>
          <w:rFonts w:hint="eastAsia" w:ascii="仿宋_GB2312" w:hAnsi="仿宋_GB2312" w:eastAsia="仿宋_GB2312" w:cs="仿宋_GB2312"/>
          <w:color w:val="000000"/>
          <w:kern w:val="0"/>
          <w:sz w:val="32"/>
          <w:szCs w:val="32"/>
          <w:lang w:eastAsia="zh-CN"/>
        </w:rPr>
        <w:t>职业年金</w:t>
      </w:r>
      <w:r>
        <w:rPr>
          <w:rFonts w:hint="eastAsia" w:ascii="仿宋_GB2312" w:hAnsi="仿宋_GB2312" w:eastAsia="仿宋_GB2312" w:cs="仿宋_GB2312"/>
          <w:color w:val="000000"/>
          <w:kern w:val="0"/>
          <w:sz w:val="32"/>
          <w:szCs w:val="32"/>
        </w:rPr>
        <w:t>的支出</w:t>
      </w:r>
      <w:r>
        <w:rPr>
          <w:rStyle w:val="20"/>
          <w:rFonts w:hint="eastAsia" w:ascii="仿宋_GB2312" w:hAnsi="仿宋_GB2312" w:eastAsia="仿宋_GB2312" w:cs="仿宋_GB2312"/>
          <w:b w:val="0"/>
          <w:color w:val="000000"/>
          <w:sz w:val="32"/>
          <w:szCs w:val="32"/>
        </w:rPr>
        <w:t>。</w:t>
      </w:r>
    </w:p>
    <w:p w14:paraId="75659ACA">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社会保障和就业（类）社会福利（款）儿童福利（项）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指孤儿和事实无人抚养孤儿生活补助。</w:t>
      </w:r>
    </w:p>
    <w:p w14:paraId="368FBDCA">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社会保障和就业（类）社会福利（款）老年福利（项）</w:t>
      </w:r>
      <w:r>
        <w:rPr>
          <w:rFonts w:hint="eastAsia" w:ascii="仿宋_GB2312" w:eastAsia="仿宋_GB2312"/>
          <w:sz w:val="32"/>
          <w:szCs w:val="32"/>
          <w:lang w:eastAsia="zh-CN"/>
        </w:rPr>
        <w:t>：指高龄津贴。</w:t>
      </w:r>
      <w:r>
        <w:rPr>
          <w:rFonts w:hint="eastAsia" w:ascii="仿宋_GB2312" w:eastAsia="仿宋_GB2312"/>
          <w:sz w:val="32"/>
          <w:szCs w:val="32"/>
        </w:rPr>
        <w:t xml:space="preserve"> </w:t>
      </w:r>
    </w:p>
    <w:p w14:paraId="141CDD7D">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16.</w:t>
      </w:r>
      <w:r>
        <w:rPr>
          <w:rFonts w:hint="eastAsia" w:ascii="仿宋_GB2312" w:eastAsia="仿宋_GB2312"/>
          <w:sz w:val="32"/>
          <w:szCs w:val="32"/>
        </w:rPr>
        <w:t>社会保障和就业（类）社会福利（款）养老服务（项）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指养老服务业发展资金。</w:t>
      </w:r>
    </w:p>
    <w:p w14:paraId="51AC7112">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17.</w:t>
      </w:r>
      <w:r>
        <w:rPr>
          <w:rFonts w:hint="eastAsia" w:ascii="仿宋_GB2312" w:eastAsia="仿宋_GB2312"/>
          <w:sz w:val="32"/>
          <w:szCs w:val="32"/>
        </w:rPr>
        <w:t>社会保障和就业（类）社会福利（款）其他社会福利支出（项）</w:t>
      </w:r>
      <w:r>
        <w:rPr>
          <w:rFonts w:hint="eastAsia" w:ascii="仿宋_GB2312" w:eastAsia="仿宋_GB2312"/>
          <w:sz w:val="32"/>
          <w:szCs w:val="32"/>
          <w:lang w:eastAsia="zh-CN"/>
        </w:rPr>
        <w:t>：指用于城乡社区综合服务能力提升资金。</w:t>
      </w:r>
    </w:p>
    <w:p w14:paraId="4D15577C">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hint="eastAsia" w:ascii="仿宋_GB2312" w:eastAsia="仿宋_GB2312"/>
          <w:sz w:val="32"/>
          <w:szCs w:val="32"/>
        </w:rPr>
        <w:t>社会保障和就业（类）残疾人事业（款）残疾人生活和护理补贴支出（项）</w:t>
      </w:r>
      <w:r>
        <w:rPr>
          <w:rFonts w:hint="eastAsia" w:ascii="仿宋_GB2312" w:eastAsia="仿宋_GB2312"/>
          <w:sz w:val="32"/>
          <w:szCs w:val="32"/>
          <w:lang w:eastAsia="zh-CN"/>
        </w:rPr>
        <w:t>：指用于发放残疾人生活补贴和护理补贴。</w:t>
      </w:r>
    </w:p>
    <w:p w14:paraId="4E4AEEEF">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19.</w:t>
      </w:r>
      <w:r>
        <w:rPr>
          <w:rFonts w:hint="eastAsia" w:ascii="仿宋_GB2312" w:eastAsia="仿宋_GB2312"/>
          <w:sz w:val="32"/>
          <w:szCs w:val="32"/>
        </w:rPr>
        <w:t>社会保障和就业（类）最低生活保障（款）城市最低生活保障金支出（项）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指用于发放城市低保生活补贴。</w:t>
      </w:r>
    </w:p>
    <w:p w14:paraId="2EBD2D83">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20.</w:t>
      </w:r>
      <w:r>
        <w:rPr>
          <w:rFonts w:hint="eastAsia" w:ascii="仿宋_GB2312" w:eastAsia="仿宋_GB2312"/>
          <w:sz w:val="32"/>
          <w:szCs w:val="32"/>
        </w:rPr>
        <w:t>社会保障和就业（类）最低生活保障（款）农村最低生活保障金支出（项）</w:t>
      </w:r>
      <w:r>
        <w:rPr>
          <w:rFonts w:hint="eastAsia" w:ascii="仿宋_GB2312" w:eastAsia="仿宋_GB2312"/>
          <w:sz w:val="32"/>
          <w:szCs w:val="32"/>
          <w:lang w:eastAsia="zh-CN"/>
        </w:rPr>
        <w:t>：指用于发放农村低保生活补贴。</w:t>
      </w:r>
    </w:p>
    <w:p w14:paraId="0A47A9B6">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21.</w:t>
      </w:r>
      <w:r>
        <w:rPr>
          <w:rFonts w:hint="eastAsia" w:ascii="仿宋_GB2312" w:eastAsia="仿宋_GB2312"/>
          <w:sz w:val="32"/>
          <w:szCs w:val="32"/>
        </w:rPr>
        <w:t>社会保障和就业（类）临时救助（款）临时救助支出（项）</w:t>
      </w:r>
      <w:r>
        <w:rPr>
          <w:rFonts w:hint="eastAsia" w:ascii="仿宋_GB2312" w:eastAsia="仿宋_GB2312"/>
          <w:sz w:val="32"/>
          <w:szCs w:val="32"/>
          <w:lang w:eastAsia="zh-CN"/>
        </w:rPr>
        <w:t>：指主要用于自费</w:t>
      </w:r>
      <w:r>
        <w:rPr>
          <w:rFonts w:hint="eastAsia" w:ascii="仿宋_GB2312" w:eastAsia="仿宋_GB2312"/>
          <w:sz w:val="32"/>
          <w:szCs w:val="32"/>
          <w:lang w:val="en-US" w:eastAsia="zh-CN"/>
        </w:rPr>
        <w:t>3万元以上大病临时补助。</w:t>
      </w:r>
    </w:p>
    <w:p w14:paraId="2271C140">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22.</w:t>
      </w:r>
      <w:r>
        <w:rPr>
          <w:rFonts w:hint="eastAsia" w:ascii="仿宋_GB2312" w:eastAsia="仿宋_GB2312"/>
          <w:sz w:val="32"/>
          <w:szCs w:val="32"/>
        </w:rPr>
        <w:t>社会保障和就业（类）临时救助（款）流浪乞讨人员救助支出（项）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指用于安置流浪乞讨人员的车费、住宿费等。</w:t>
      </w:r>
    </w:p>
    <w:p w14:paraId="17874F0F">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23.</w:t>
      </w:r>
      <w:r>
        <w:rPr>
          <w:rFonts w:hint="eastAsia" w:ascii="仿宋_GB2312" w:eastAsia="仿宋_GB2312"/>
          <w:sz w:val="32"/>
          <w:szCs w:val="32"/>
        </w:rPr>
        <w:t>社会保障和就业（类）特困人员救助供养（款）城市特困人员救助供养支出（项）</w:t>
      </w:r>
      <w:r>
        <w:rPr>
          <w:rFonts w:hint="eastAsia" w:ascii="仿宋_GB2312" w:eastAsia="仿宋_GB2312"/>
          <w:sz w:val="32"/>
          <w:szCs w:val="32"/>
          <w:lang w:eastAsia="zh-CN"/>
        </w:rPr>
        <w:t>：</w:t>
      </w:r>
      <w:r>
        <w:rPr>
          <w:rFonts w:hint="eastAsia" w:ascii="仿宋_GB2312" w:eastAsia="仿宋_GB2312"/>
          <w:sz w:val="32"/>
          <w:szCs w:val="32"/>
        </w:rPr>
        <w:t xml:space="preserve"> </w:t>
      </w:r>
      <w:r>
        <w:rPr>
          <w:rFonts w:hint="eastAsia" w:ascii="仿宋_GB2312" w:eastAsia="仿宋_GB2312"/>
          <w:sz w:val="32"/>
          <w:szCs w:val="32"/>
          <w:lang w:eastAsia="zh-CN"/>
        </w:rPr>
        <w:t>指用于发放城镇特困人员生活补贴和护理费。</w:t>
      </w:r>
    </w:p>
    <w:p w14:paraId="39B2EFB1">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24.</w:t>
      </w:r>
      <w:r>
        <w:rPr>
          <w:rFonts w:hint="eastAsia" w:ascii="仿宋_GB2312" w:eastAsia="仿宋_GB2312"/>
          <w:sz w:val="32"/>
          <w:szCs w:val="32"/>
        </w:rPr>
        <w:t>社会保障和就业（类）特困人员救助供养（款）农村特困人员救助供养支出（项）</w:t>
      </w:r>
      <w:r>
        <w:rPr>
          <w:rFonts w:hint="eastAsia" w:ascii="仿宋_GB2312" w:eastAsia="仿宋_GB2312"/>
          <w:sz w:val="32"/>
          <w:szCs w:val="32"/>
          <w:lang w:eastAsia="zh-CN"/>
        </w:rPr>
        <w:t>：指用于发放农村特困人员生活补贴和护理费。</w:t>
      </w:r>
    </w:p>
    <w:p w14:paraId="6DD6F932">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25.</w:t>
      </w:r>
      <w:r>
        <w:rPr>
          <w:rFonts w:hint="eastAsia" w:ascii="仿宋_GB2312" w:eastAsia="仿宋_GB2312"/>
          <w:sz w:val="32"/>
          <w:szCs w:val="32"/>
        </w:rPr>
        <w:t>卫生健康（类）行政事业单位医疗（款）行政单位医疗（项）</w:t>
      </w:r>
      <w:r>
        <w:rPr>
          <w:rFonts w:hint="eastAsia" w:ascii="仿宋_GB2312" w:eastAsia="仿宋_GB2312"/>
          <w:sz w:val="32"/>
          <w:szCs w:val="32"/>
          <w:lang w:eastAsia="zh-CN"/>
        </w:rPr>
        <w:t>：</w:t>
      </w:r>
      <w:r>
        <w:rPr>
          <w:rStyle w:val="20"/>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单位用于缴纳单位基本医疗保险支出</w:t>
      </w:r>
      <w:r>
        <w:rPr>
          <w:rStyle w:val="20"/>
          <w:rFonts w:hint="eastAsia" w:ascii="仿宋_GB2312" w:hAnsi="仿宋_GB2312" w:eastAsia="仿宋_GB2312" w:cs="仿宋_GB2312"/>
          <w:b w:val="0"/>
          <w:color w:val="000000"/>
          <w:sz w:val="32"/>
          <w:szCs w:val="32"/>
        </w:rPr>
        <w:t>。</w:t>
      </w:r>
    </w:p>
    <w:p w14:paraId="606244B9">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26.</w:t>
      </w:r>
      <w:r>
        <w:rPr>
          <w:rFonts w:hint="eastAsia" w:ascii="仿宋_GB2312" w:eastAsia="仿宋_GB2312"/>
          <w:sz w:val="32"/>
          <w:szCs w:val="32"/>
        </w:rPr>
        <w:t>卫生健康（类）行政事业单位医疗（款）公务员医疗补助（项）</w:t>
      </w:r>
      <w:r>
        <w:rPr>
          <w:rFonts w:hint="eastAsia" w:ascii="仿宋_GB2312" w:eastAsia="仿宋_GB2312"/>
          <w:sz w:val="32"/>
          <w:szCs w:val="32"/>
          <w:lang w:eastAsia="zh-CN"/>
        </w:rPr>
        <w:t>：</w:t>
      </w:r>
      <w:r>
        <w:rPr>
          <w:rStyle w:val="20"/>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单位用于缴纳单位医疗保险</w:t>
      </w:r>
      <w:r>
        <w:rPr>
          <w:rFonts w:hint="eastAsia" w:ascii="仿宋_GB2312" w:hAnsi="仿宋_GB2312" w:eastAsia="仿宋_GB2312" w:cs="仿宋_GB2312"/>
          <w:color w:val="000000"/>
          <w:kern w:val="0"/>
          <w:sz w:val="32"/>
          <w:szCs w:val="32"/>
          <w:lang w:eastAsia="zh-CN"/>
        </w:rPr>
        <w:t>补助</w:t>
      </w:r>
      <w:r>
        <w:rPr>
          <w:rFonts w:hint="eastAsia" w:ascii="仿宋_GB2312" w:hAnsi="仿宋_GB2312" w:eastAsia="仿宋_GB2312" w:cs="仿宋_GB2312"/>
          <w:color w:val="000000"/>
          <w:kern w:val="0"/>
          <w:sz w:val="32"/>
          <w:szCs w:val="32"/>
        </w:rPr>
        <w:t>支出</w:t>
      </w:r>
      <w:r>
        <w:rPr>
          <w:rStyle w:val="20"/>
          <w:rFonts w:hint="eastAsia" w:ascii="仿宋_GB2312" w:hAnsi="仿宋_GB2312" w:eastAsia="仿宋_GB2312" w:cs="仿宋_GB2312"/>
          <w:b w:val="0"/>
          <w:color w:val="000000"/>
          <w:sz w:val="32"/>
          <w:szCs w:val="32"/>
        </w:rPr>
        <w:t>。</w:t>
      </w:r>
    </w:p>
    <w:p w14:paraId="50B1FCA4">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27.</w:t>
      </w:r>
      <w:r>
        <w:rPr>
          <w:rFonts w:hint="eastAsia" w:ascii="仿宋_GB2312" w:eastAsia="仿宋_GB2312"/>
          <w:sz w:val="32"/>
          <w:szCs w:val="32"/>
        </w:rPr>
        <w:t>农林水（类）农村综合改革（款）对村民委员会和村党支部的补助（项）</w:t>
      </w:r>
      <w:r>
        <w:rPr>
          <w:rFonts w:hint="eastAsia" w:ascii="仿宋_GB2312" w:eastAsia="仿宋_GB2312"/>
          <w:sz w:val="32"/>
          <w:szCs w:val="32"/>
          <w:lang w:eastAsia="zh-CN"/>
        </w:rPr>
        <w:t>：指用于离任村干部生活补贴。</w:t>
      </w:r>
    </w:p>
    <w:p w14:paraId="233AFC37">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28.</w:t>
      </w:r>
      <w:r>
        <w:rPr>
          <w:rFonts w:hint="eastAsia" w:ascii="仿宋_GB2312" w:eastAsia="仿宋_GB2312"/>
          <w:sz w:val="32"/>
          <w:szCs w:val="32"/>
        </w:rPr>
        <w:t>住房保障（类）住房改革（款）住房公积金（项）</w:t>
      </w:r>
      <w:r>
        <w:rPr>
          <w:rFonts w:hint="eastAsia" w:ascii="仿宋_GB2312" w:eastAsia="仿宋_GB2312"/>
          <w:sz w:val="32"/>
          <w:szCs w:val="32"/>
          <w:lang w:eastAsia="zh-CN"/>
        </w:rPr>
        <w:t>：</w:t>
      </w:r>
      <w:r>
        <w:rPr>
          <w:rStyle w:val="20"/>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Fonts w:hint="eastAsia" w:ascii="仿宋_GB2312" w:eastAsia="仿宋_GB2312"/>
          <w:sz w:val="32"/>
          <w:szCs w:val="32"/>
        </w:rPr>
        <w:t>。</w:t>
      </w:r>
    </w:p>
    <w:p w14:paraId="24F85AAA">
      <w:pPr>
        <w:ind w:firstLine="640" w:firstLineChars="200"/>
        <w:rPr>
          <w:rFonts w:hint="eastAsia" w:ascii="Times New Roman" w:hAnsi="Times New Roman" w:eastAsia="仿宋_GB2312" w:cs="仿宋_GB2312"/>
          <w:color w:val="auto"/>
          <w:kern w:val="2"/>
          <w:sz w:val="32"/>
          <w:szCs w:val="32"/>
          <w:highlight w:val="none"/>
          <w:lang w:val="en-US" w:eastAsia="zh-CN"/>
        </w:rPr>
      </w:pPr>
      <w:r>
        <w:rPr>
          <w:rFonts w:hint="eastAsia" w:ascii="仿宋_GB2312" w:eastAsia="仿宋_GB2312"/>
          <w:sz w:val="32"/>
          <w:szCs w:val="32"/>
          <w:lang w:val="en-US" w:eastAsia="zh-CN"/>
        </w:rPr>
        <w:t>29.</w:t>
      </w:r>
      <w:r>
        <w:rPr>
          <w:rFonts w:hint="eastAsia" w:ascii="仿宋_GB2312" w:eastAsia="仿宋_GB2312"/>
          <w:sz w:val="32"/>
          <w:szCs w:val="32"/>
        </w:rPr>
        <w:t>其他支出（类）其他支出（款）其他支出（项）</w:t>
      </w:r>
      <w:r>
        <w:rPr>
          <w:rFonts w:hint="eastAsia" w:ascii="仿宋_GB2312" w:eastAsia="仿宋_GB2312"/>
          <w:sz w:val="32"/>
          <w:szCs w:val="32"/>
          <w:lang w:eastAsia="zh-CN"/>
        </w:rPr>
        <w:t>：指用于村、社区综合服务设施建设。</w:t>
      </w:r>
    </w:p>
    <w:p w14:paraId="177A7845">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30</w:t>
      </w:r>
      <w:r>
        <w:rPr>
          <w:rFonts w:hint="eastAsia" w:ascii="Times New Roman" w:hAnsi="Times New Roman" w:eastAsia="仿宋_GB2312" w:cs="仿宋_GB2312"/>
          <w:color w:val="auto"/>
          <w:kern w:val="2"/>
          <w:sz w:val="32"/>
          <w:szCs w:val="32"/>
          <w:highlight w:val="none"/>
          <w:lang w:val="en-US" w:eastAsia="zh-CN"/>
        </w:rPr>
        <w:t>.基本支出：指为保障机构正常运转、完成日常工作任务而发生的人员支出和公用支出。</w:t>
      </w:r>
    </w:p>
    <w:p w14:paraId="1240EF4D">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31</w:t>
      </w:r>
      <w:r>
        <w:rPr>
          <w:rFonts w:hint="eastAsia" w:ascii="Times New Roman" w:hAnsi="Times New Roman" w:eastAsia="仿宋_GB2312" w:cs="仿宋_GB2312"/>
          <w:color w:val="auto"/>
          <w:kern w:val="2"/>
          <w:sz w:val="32"/>
          <w:szCs w:val="32"/>
          <w:highlight w:val="none"/>
          <w:lang w:val="en-US" w:eastAsia="zh-CN"/>
        </w:rPr>
        <w:t xml:space="preserve">.项目支出：指在基本支出之外为完成特定行政任务和事业发展目标所发生的支出。 </w:t>
      </w:r>
    </w:p>
    <w:p w14:paraId="7C67B1FE">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eastAsia="仿宋_GB2312" w:cs="仿宋_GB2312"/>
          <w:color w:val="auto"/>
          <w:kern w:val="2"/>
          <w:sz w:val="32"/>
          <w:szCs w:val="32"/>
          <w:highlight w:val="none"/>
          <w:lang w:val="en-US" w:eastAsia="zh-CN"/>
        </w:rPr>
        <w:t>32</w:t>
      </w:r>
      <w:r>
        <w:rPr>
          <w:rFonts w:hint="eastAsia" w:ascii="Times New Roman" w:hAnsi="Times New Roman" w:eastAsia="仿宋_GB2312" w:cs="仿宋_GB2312"/>
          <w:color w:val="auto"/>
          <w:kern w:val="2"/>
          <w:sz w:val="32"/>
          <w:szCs w:val="32"/>
          <w:highlight w:val="none"/>
          <w:lang w:val="en-US" w:eastAsia="zh-CN"/>
        </w:rPr>
        <w:t>.经营支出：指事业单位在专业业务活动及其辅助活动之外开展非独立核算经营活动发生的支出。</w:t>
      </w:r>
    </w:p>
    <w:p w14:paraId="53395BED">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3</w:t>
      </w:r>
      <w:r>
        <w:rPr>
          <w:rFonts w:hint="eastAsia" w:eastAsia="仿宋_GB2312" w:cs="仿宋_GB2312"/>
          <w:color w:val="auto"/>
          <w:kern w:val="2"/>
          <w:sz w:val="32"/>
          <w:szCs w:val="32"/>
          <w:highlight w:val="none"/>
          <w:lang w:val="en-US" w:eastAsia="zh-CN"/>
        </w:rPr>
        <w:t>3</w:t>
      </w:r>
      <w:r>
        <w:rPr>
          <w:rFonts w:hint="eastAsia" w:ascii="Times New Roman" w:hAnsi="Times New Roman" w:eastAsia="仿宋_GB2312" w:cs="仿宋_GB2312"/>
          <w:color w:val="auto"/>
          <w:kern w:val="2"/>
          <w:sz w:val="32"/>
          <w:szCs w:val="32"/>
          <w:highlight w:val="none"/>
          <w:lang w:val="en-US" w:eastAsia="zh-CN"/>
        </w:rPr>
        <w:t>.</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三公</w:t>
      </w:r>
      <w:r>
        <w:rPr>
          <w:rFonts w:hint="eastAsia" w:eastAsia="仿宋_GB2312" w:cs="仿宋_GB2312"/>
          <w:color w:val="auto"/>
          <w:kern w:val="2"/>
          <w:sz w:val="32"/>
          <w:szCs w:val="32"/>
          <w:highlight w:val="none"/>
          <w:lang w:val="en-US" w:eastAsia="zh-CN"/>
        </w:rPr>
        <w:t>”</w:t>
      </w:r>
      <w:r>
        <w:rPr>
          <w:rFonts w:hint="eastAsia" w:ascii="Times New Roman" w:hAnsi="Times New Roman" w:eastAsia="仿宋_GB2312" w:cs="仿宋_GB2312"/>
          <w:color w:val="auto"/>
          <w:kern w:val="2"/>
          <w:sz w:val="32"/>
          <w:szCs w:val="32"/>
          <w:highlight w:val="none"/>
          <w:lang w:val="en-US" w:eastAsia="zh-CN"/>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B9ED410">
      <w:pPr>
        <w:spacing w:line="600" w:lineRule="exact"/>
        <w:ind w:firstLine="640"/>
        <w:rPr>
          <w:rFonts w:hint="eastAsia" w:ascii="Times New Roman" w:hAnsi="Times New Roman" w:eastAsia="仿宋_GB2312" w:cs="仿宋_GB2312"/>
          <w:color w:val="auto"/>
          <w:kern w:val="2"/>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rPr>
        <w:t>3</w:t>
      </w:r>
      <w:r>
        <w:rPr>
          <w:rFonts w:hint="eastAsia" w:eastAsia="仿宋_GB2312" w:cs="仿宋_GB2312"/>
          <w:color w:val="auto"/>
          <w:kern w:val="2"/>
          <w:sz w:val="32"/>
          <w:szCs w:val="32"/>
          <w:highlight w:val="none"/>
          <w:lang w:val="en-US" w:eastAsia="zh-CN"/>
        </w:rPr>
        <w:t>4</w:t>
      </w:r>
      <w:r>
        <w:rPr>
          <w:rFonts w:hint="eastAsia" w:ascii="Times New Roman" w:hAnsi="Times New Roman" w:eastAsia="仿宋_GB2312" w:cs="仿宋_GB2312"/>
          <w:color w:val="auto"/>
          <w:kern w:val="2"/>
          <w:sz w:val="32"/>
          <w:szCs w:val="32"/>
          <w:highlight w:val="none"/>
          <w:lang w:val="en-US" w:eastAsia="zh-CN"/>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29DEE4B">
      <w:pPr>
        <w:spacing w:line="600" w:lineRule="exact"/>
        <w:jc w:val="center"/>
        <w:rPr>
          <w:rStyle w:val="22"/>
          <w:rFonts w:hint="eastAsia" w:ascii="Times New Roman" w:hAnsi="Times New Roman" w:eastAsia="黑体"/>
          <w:b w:val="0"/>
          <w:color w:val="auto"/>
          <w:highlight w:val="none"/>
          <w:lang w:eastAsia="zh-CN"/>
        </w:rPr>
      </w:pPr>
      <w:bookmarkStart w:id="55" w:name="_Toc15377226"/>
      <w:r>
        <w:rPr>
          <w:rFonts w:hint="eastAsia" w:ascii="Times New Roman" w:hAnsi="Times New Roman" w:eastAsia="仿宋_GB2312" w:cs="仿宋_GB2312"/>
          <w:color w:val="auto"/>
          <w:kern w:val="2"/>
          <w:sz w:val="32"/>
          <w:szCs w:val="32"/>
          <w:highlight w:val="none"/>
          <w:lang w:val="en-US" w:eastAsia="zh-CN"/>
        </w:rPr>
        <w:br w:type="page"/>
      </w:r>
      <w:bookmarkStart w:id="56"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6"/>
    </w:p>
    <w:p w14:paraId="520A9D69">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BF98C3F">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6EE71C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1CB6399C">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01B7AD38">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1AB4C6D7">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B09631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59AAB7EF">
      <w:pPr>
        <w:pStyle w:val="5"/>
        <w:ind w:firstLine="643" w:firstLineChars="200"/>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hAnsi="仿宋_GB2312" w:eastAsia="仿宋_GB2312" w:cs="仿宋_GB2312"/>
          <w:b w:val="0"/>
          <w:kern w:val="2"/>
          <w:sz w:val="32"/>
          <w:szCs w:val="32"/>
          <w:lang w:val="en-US" w:eastAsia="zh-CN" w:bidi="ar-SA"/>
        </w:rPr>
        <w:t>松潘县民政局内设</w:t>
      </w:r>
      <w:r>
        <w:rPr>
          <w:rFonts w:hint="default" w:ascii="仿宋_GB2312" w:hAnsi="仿宋_GB2312" w:eastAsia="仿宋_GB2312" w:cs="仿宋_GB2312"/>
          <w:b w:val="0"/>
          <w:kern w:val="2"/>
          <w:sz w:val="32"/>
          <w:szCs w:val="32"/>
          <w:lang w:val="en-US" w:eastAsia="zh-CN" w:bidi="ar-SA"/>
        </w:rPr>
        <w:t>处室</w:t>
      </w:r>
      <w:r>
        <w:rPr>
          <w:rFonts w:hint="eastAsia" w:ascii="仿宋_GB2312" w:hAnsi="仿宋_GB2312" w:eastAsia="仿宋_GB2312" w:cs="仿宋_GB2312"/>
          <w:b w:val="0"/>
          <w:kern w:val="2"/>
          <w:sz w:val="32"/>
          <w:szCs w:val="32"/>
          <w:lang w:val="en-US" w:eastAsia="zh-CN" w:bidi="ar-SA"/>
        </w:rPr>
        <w:t>情况：（1）综合办公室（信访、财务）。（2）社会救助与社会福利股（慈善事业促进）。（3）社会组织管理与社会事务（区划地名工作）。（4）养老服务与儿童保障事业发展科（老龄工作）。下属单位情况：（1）松潘县社会救助福利服务中心</w:t>
      </w:r>
      <w:r>
        <w:rPr>
          <w:rFonts w:hint="eastAsia" w:ascii="仿宋_GB2312" w:hAnsi="仿宋_GB2312" w:cs="仿宋_GB2312"/>
          <w:b w:val="0"/>
          <w:kern w:val="2"/>
          <w:sz w:val="32"/>
          <w:szCs w:val="32"/>
          <w:lang w:val="en-US" w:eastAsia="zh-CN" w:bidi="ar-SA"/>
        </w:rPr>
        <w:t>。</w:t>
      </w:r>
    </w:p>
    <w:p w14:paraId="0289DA17">
      <w:pPr>
        <w:ind w:firstLine="643" w:firstLineChars="200"/>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p>
    <w:p w14:paraId="27675FB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综合办公室（信访、财务）。负责文电、会务、档案、机要等机关日常运转工作。承担保密、信息、绩效管理、政务公开、法治教育、新闻宣传、对外交流合作、有关综合性文稿起草和史志编纂工作。组织办理人大代表建议、政协提案。负责信访事项的接待、处理、分析、排查和化解，督查督办重大信访案件，协调处理有关民政的群体性突发事件，指导全县民政系统信访工作。负责意识形态工作。组织起草规范性文件草案。承担民政行业标准化工作。负责本系统、本部门依法行政工作的组织协调和督促指导，承担行政执法监督、有关行政复议、行政应诉、行政调解等工作。负责规范性文件的合法性审查、报备和本系统权责清单制度建设、动态调整等工作。承担机关和所属事业单位的机构编制、干部人事、教育培训、队伍建设等工作。负责机关退休人员工作，指导所属单位退休干部工作。负责机关和所属单位的</w:t>
      </w:r>
      <w:r>
        <w:rPr>
          <w:rFonts w:hint="eastAsia" w:ascii="仿宋_GB2312" w:hAnsi="仿宋_GB2312" w:eastAsia="仿宋_GB2312" w:cs="仿宋_GB2312"/>
          <w:sz w:val="32"/>
          <w:szCs w:val="32"/>
        </w:rPr>
        <w:t>党建与群团工作。承担民政相关行业领域安全生产监督管理综合工作。拟订全县民政事业发展规划和民政基础设施建设标准并监督实施。指导并监督中央、省级、州级和县级财政拨付的民政事业资金管理工作。拟定民政部门彩票公益金使用管理办法，管理本级彩票公益金。承担民政统计管理和机关及所属单位预决算、财务、内部审计和资产管理工作。承担机关劳动工资工作。</w:t>
      </w:r>
    </w:p>
    <w:p w14:paraId="67A6A2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社会救助与社会福利股（慈善事业促进）。拟订全县社会救助规划、政策、标准并监督实施，统筹推进社会救助体系建设，负责城乡居民最低生活保障、特困人员救助供养、临时救助、生活无着流浪乞讨人员救助工作。承办中央和省、州、县级财政困难群众救助补助资金分配和监管工作。参与拟订医疗、住房、教育、就业、司法等救助相关办法。指导并监督生活无着流浪乞讨人员救助管理机构管理工作，协调跨县（市）生活无着流浪乞讨人员救助事务，指导开展家庭暴力受害人临时庇护救助工</w:t>
      </w:r>
      <w:r>
        <w:rPr>
          <w:rFonts w:hint="eastAsia" w:ascii="仿宋_GB2312" w:hAnsi="仿宋_GB2312" w:eastAsia="仿宋_GB2312" w:cs="仿宋_GB2312"/>
          <w:sz w:val="32"/>
          <w:szCs w:val="32"/>
        </w:rPr>
        <w:t>作。负责二十世纪 60年代初精简退职老职工生活困难救济工作。拟订全县残疾人和其他特殊困难群体福利事业发展规划、政策、标准并组织实施。拟订社会福利机构管理办法，拟订残疾人权益保护政策并监督实施，参与拟订残疾人集中就业扶持政策。牵头推进精神障碍社区康复服务工作。指导并监督残疾人社会福利机构、民政精神卫生福利机构管理工作。组织实施康复辅助器具配置工作。负责康复辅助器具行业管理，拟订康复辅助器具产业发展规划、政策、标准并组织实施。承担生活无着流浪乞讨人员救助管理机构、康复辅助器具行业和残疾人社会福利机构、民政精神卫生福利机构安全生产监督管理工作。拟定促进慈善事业发展政策和慈善信托、慈善组织及其活动管理办法，指导社会捐助工作。负责职责范围内的福利彩票有关工作。承担需要以政府名义出面的涉及村民委员会、居民委员会等有关工作。</w:t>
      </w:r>
    </w:p>
    <w:p w14:paraId="4C8483FE">
      <w:pPr>
        <w:pStyle w:val="17"/>
        <w:keepNext w:val="0"/>
        <w:keepLines w:val="0"/>
        <w:widowControl/>
        <w:suppressLineNumbers w:val="0"/>
        <w:ind w:left="0" w:firstLine="640"/>
      </w:pPr>
      <w:r>
        <w:rPr>
          <w:rFonts w:hint="eastAsia" w:ascii="仿宋_GB2312" w:hAnsi="仿宋_GB2312" w:eastAsia="仿宋_GB2312" w:cs="仿宋_GB2312"/>
          <w:kern w:val="2"/>
          <w:sz w:val="32"/>
          <w:szCs w:val="32"/>
          <w:lang w:val="en-US" w:eastAsia="zh-CN"/>
        </w:rPr>
        <w:t>（3）养老服务与儿童保障事业发展科（老龄工作）。</w:t>
      </w:r>
      <w:r>
        <w:rPr>
          <w:rFonts w:ascii="仿宋_GB2312" w:eastAsia="仿宋_GB2312" w:cs="仿宋_GB2312"/>
          <w:color w:val="000000"/>
          <w:sz w:val="31"/>
          <w:szCs w:val="31"/>
        </w:rPr>
        <w:t>拟订</w:t>
      </w:r>
      <w:r>
        <w:rPr>
          <w:rFonts w:hint="eastAsia" w:ascii="仿宋_GB2312" w:eastAsia="仿宋_GB2312" w:cs="仿宋_GB2312"/>
          <w:color w:val="000000"/>
          <w:sz w:val="31"/>
          <w:szCs w:val="31"/>
        </w:rPr>
        <w:t>并协调落实促进养老事业发展的政策措施，拟订养老服务体系建设规划、政策、标准并组织实施，拟订老年人福利补贴制度并监督实施，健全为老志愿服务制度。承担老年人福利和特殊困难老年人救助、帮扶和关爱工作，协调推进农村留守老年人关爱服务工作。指导并监督养老服务、老年人福利、特困人员救助供养机构管理工作。承担养老服务机构安全生产监督管理工作。承担县老龄工作委员会办公室具体工作。拟订并协调落实积极应对人口老龄化的政策措施，组织推进全县老龄事业发展。指导协调老年人权益保障工作，组织开展人口老龄化国情、省情、州情及县情宣传教育，拟订老年人社会参与政策并组织实施，承担全县老年人口状况、老龄事业发展的统计调查工作。组织开展老年人教育和敬老、孝老、爱老宣传工作。拟订全县儿童福利、孤弃儿童保障、儿童收养、儿童救助保护政策和标准并组织实施，健全农村留守儿童关爱服务体系，完善困境儿童保障制度。指导并监督儿童福利机构、儿童收养登记机构、未成年人救助保护机构管理工作。承担儿童福利机构、未成年人救助保护机构安全生产监督管理工作。</w:t>
      </w:r>
    </w:p>
    <w:p w14:paraId="0B2254F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社会组织管理与社会事务（区划地名工作）。负责社会组织登记工作。拟订社会团体、社会服务机构等社会组织监督管理办法并组织实施，按照权限依法对社会组织进行管理和执法监督，引导社会组织健康有序发展。负责县本级社会组织年检、培训、信息管理和执法监督工作，指导并监督对社会组织的管理和执法工作。负责社会组织信息管理。拟订全县婚姻、殡葬管理政策并组织实施。推进婚俗和殡葬改革。负责殡葬管理工作，拟</w:t>
      </w:r>
      <w:r>
        <w:rPr>
          <w:rFonts w:hint="eastAsia" w:ascii="仿宋_GB2312" w:hAnsi="仿宋_GB2312" w:eastAsia="仿宋_GB2312" w:cs="仿宋_GB2312"/>
          <w:sz w:val="32"/>
          <w:szCs w:val="32"/>
        </w:rPr>
        <w:t>订殡葬服务规范并组织实施。指导并监督婚姻登记机关、殡葬服务机构管理工作，承担全县婚姻登记信息管理工作。承担殡葬服务机构安全生产监督管理工作。牵头协调推进本系统“放管服”改革，承担审批服务便民化有关工作，集中承担县本级有关审批服务事项的受理、审批等工作，推进纳入一体化政务服务平台。</w:t>
      </w:r>
    </w:p>
    <w:p w14:paraId="43A24BC5">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拟订全县行政区划优化设置建议方案，按照管理权限承担全县行政区划设立、命名、撤销、变更和政府驻地迁移审核报批工作。按照管理权限确定、公布行政区划代码，组织并指导全县行政区域界线的勘定、管理工作。调处行政区域边界争议。负责监督管理地名工作。会同有关部门组织编制公布行政区划信息的松潘县行政区划图。</w:t>
      </w:r>
    </w:p>
    <w:p w14:paraId="341BEB41">
      <w:pPr>
        <w:snapToGrid w:val="0"/>
        <w:spacing w:line="520" w:lineRule="exact"/>
        <w:ind w:firstLine="640" w:firstLineChars="200"/>
        <w:rPr>
          <w:rFonts w:hint="default"/>
          <w:lang w:val="zh-CN"/>
        </w:rPr>
      </w:pPr>
      <w:r>
        <w:rPr>
          <w:rFonts w:hint="eastAsia" w:ascii="仿宋_GB2312" w:hAnsi="仿宋_GB2312" w:eastAsia="仿宋_GB2312" w:cs="仿宋_GB2312"/>
          <w:b w:val="0"/>
          <w:kern w:val="2"/>
          <w:sz w:val="32"/>
          <w:szCs w:val="32"/>
          <w:lang w:val="en-US" w:eastAsia="zh-CN" w:bidi="ar-SA"/>
        </w:rPr>
        <w:t>（5）社会救助福利服务中心。负责福利院相关工作。做好老年人服务工作，为全县在院老人提供护理服务，精神文化服务，医疗保健服务。</w:t>
      </w:r>
    </w:p>
    <w:p w14:paraId="2917AB9A">
      <w:pPr>
        <w:adjustRightInd/>
        <w:spacing w:after="0" w:afterLines="0" w:line="580" w:lineRule="exact"/>
        <w:ind w:firstLine="643" w:firstLineChars="200"/>
        <w:rPr>
          <w:rFonts w:hint="eastAsia" w:eastAsia="仿宋_GB2312"/>
          <w:kern w:val="0"/>
          <w:sz w:val="32"/>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仿宋_GB2312" w:cs="Times New Roman"/>
          <w:sz w:val="32"/>
          <w:szCs w:val="32"/>
          <w:lang w:val="en-US" w:eastAsia="zh-CN"/>
        </w:rPr>
        <w:t>截至202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年末，</w:t>
      </w:r>
      <w:r>
        <w:rPr>
          <w:rFonts w:hint="eastAsia" w:ascii="仿宋_GB2312" w:hAnsi="仿宋_GB2312" w:eastAsia="仿宋_GB2312" w:cs="仿宋_GB2312"/>
          <w:sz w:val="32"/>
          <w:szCs w:val="32"/>
        </w:rPr>
        <w:t>松潘县民政局行政编制</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名，实有：党组书记1名、局长1名、副局长2名；科级干部</w:t>
      </w:r>
      <w:r>
        <w:rPr>
          <w:rFonts w:hint="eastAsia" w:ascii="仿宋_GB2312" w:hAnsi="仿宋_GB2312" w:eastAsia="仿宋_GB2312" w:cs="仿宋_GB2312"/>
          <w:sz w:val="32"/>
          <w:szCs w:val="32"/>
          <w:lang w:val="en-US" w:eastAsia="zh-CN"/>
        </w:rPr>
        <w:t>4</w:t>
      </w:r>
      <w:r>
        <w:rPr>
          <w:rFonts w:eastAsia="仿宋_GB2312"/>
          <w:kern w:val="0"/>
          <w:sz w:val="32"/>
          <w:szCs w:val="32"/>
        </w:rPr>
        <w:t>名</w:t>
      </w:r>
      <w:r>
        <w:rPr>
          <w:rFonts w:hint="eastAsia" w:eastAsia="仿宋_GB2312"/>
          <w:kern w:val="0"/>
          <w:sz w:val="32"/>
          <w:szCs w:val="32"/>
        </w:rPr>
        <w:t>，行政</w:t>
      </w:r>
      <w:r>
        <w:rPr>
          <w:rFonts w:eastAsia="仿宋_GB2312"/>
          <w:kern w:val="0"/>
          <w:sz w:val="32"/>
          <w:szCs w:val="32"/>
        </w:rPr>
        <w:t>机关工勤人员事业编制</w:t>
      </w:r>
      <w:r>
        <w:rPr>
          <w:rFonts w:hint="eastAsia" w:eastAsia="仿宋_GB2312"/>
          <w:kern w:val="0"/>
          <w:sz w:val="32"/>
          <w:szCs w:val="32"/>
        </w:rPr>
        <w:t>1</w:t>
      </w:r>
      <w:r>
        <w:rPr>
          <w:rFonts w:eastAsia="仿宋_GB2312"/>
          <w:kern w:val="0"/>
          <w:sz w:val="32"/>
          <w:szCs w:val="32"/>
        </w:rPr>
        <w:t>名。</w:t>
      </w:r>
      <w:r>
        <w:rPr>
          <w:rFonts w:hint="eastAsia" w:eastAsia="仿宋_GB2312"/>
          <w:kern w:val="0"/>
          <w:sz w:val="32"/>
          <w:szCs w:val="32"/>
        </w:rPr>
        <w:t>退休人员</w:t>
      </w:r>
      <w:r>
        <w:rPr>
          <w:rFonts w:hint="eastAsia" w:eastAsia="仿宋_GB2312"/>
          <w:kern w:val="0"/>
          <w:sz w:val="32"/>
          <w:szCs w:val="32"/>
          <w:lang w:val="en-US" w:eastAsia="zh-CN"/>
        </w:rPr>
        <w:t>15</w:t>
      </w:r>
      <w:r>
        <w:rPr>
          <w:rFonts w:hint="eastAsia" w:eastAsia="仿宋_GB2312"/>
          <w:kern w:val="0"/>
          <w:sz w:val="32"/>
          <w:szCs w:val="32"/>
        </w:rPr>
        <w:t>人，遗属</w:t>
      </w:r>
      <w:r>
        <w:rPr>
          <w:rFonts w:hint="eastAsia" w:eastAsia="仿宋_GB2312"/>
          <w:kern w:val="0"/>
          <w:sz w:val="32"/>
          <w:szCs w:val="32"/>
          <w:lang w:val="en-US" w:eastAsia="zh-CN"/>
        </w:rPr>
        <w:t>2</w:t>
      </w:r>
      <w:r>
        <w:rPr>
          <w:rFonts w:hint="eastAsia" w:eastAsia="仿宋_GB2312"/>
          <w:kern w:val="0"/>
          <w:sz w:val="32"/>
          <w:szCs w:val="32"/>
        </w:rPr>
        <w:t>人。</w:t>
      </w:r>
    </w:p>
    <w:p w14:paraId="6A6FF34D">
      <w:pPr>
        <w:adjustRightInd/>
        <w:spacing w:after="0" w:afterLines="0" w:line="580"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eastAsia="zh-CN"/>
        </w:rPr>
        <w:t>松潘县低收入平台中心事业编制</w:t>
      </w:r>
      <w:r>
        <w:rPr>
          <w:rFonts w:hint="eastAsia" w:ascii="仿宋_GB2312" w:hAnsi="仿宋" w:eastAsia="仿宋_GB2312" w:cs="仿宋"/>
          <w:sz w:val="32"/>
          <w:szCs w:val="32"/>
          <w:lang w:val="en-US" w:eastAsia="zh-CN"/>
        </w:rPr>
        <w:t>2名</w:t>
      </w:r>
    </w:p>
    <w:p w14:paraId="2872C6EE">
      <w:pPr>
        <w:adjustRightInd/>
        <w:spacing w:after="0" w:line="580" w:lineRule="exact"/>
        <w:ind w:firstLine="640" w:firstLineChars="200"/>
        <w:rPr>
          <w:rFonts w:hint="default" w:ascii="Times New Roman" w:hAnsi="Times New Roman" w:cs="Times New Roman"/>
          <w:szCs w:val="32"/>
        </w:rPr>
      </w:pPr>
      <w:r>
        <w:rPr>
          <w:rFonts w:hint="eastAsia" w:ascii="仿宋_GB2312" w:hAnsi="仿宋" w:eastAsia="仿宋_GB2312" w:cs="仿宋"/>
          <w:sz w:val="32"/>
          <w:szCs w:val="32"/>
        </w:rPr>
        <w:t>松潘县社会救助福利服务中心事业编制</w:t>
      </w:r>
      <w:r>
        <w:rPr>
          <w:rFonts w:hint="eastAsia" w:ascii="仿宋_GB2312" w:hAnsi="仿宋" w:eastAsia="仿宋_GB2312" w:cs="仿宋"/>
          <w:sz w:val="32"/>
          <w:szCs w:val="32"/>
          <w:lang w:val="en-US" w:eastAsia="zh-CN"/>
        </w:rPr>
        <w:t>12</w:t>
      </w:r>
      <w:r>
        <w:rPr>
          <w:rFonts w:hint="eastAsia" w:ascii="仿宋_GB2312" w:hAnsi="仿宋" w:eastAsia="仿宋_GB2312" w:cs="仿宋"/>
          <w:sz w:val="32"/>
          <w:szCs w:val="32"/>
        </w:rPr>
        <w:t>名。</w:t>
      </w:r>
      <w:r>
        <w:rPr>
          <w:rFonts w:hint="eastAsia" w:eastAsia="仿宋_GB2312"/>
          <w:kern w:val="0"/>
          <w:sz w:val="32"/>
          <w:szCs w:val="32"/>
        </w:rPr>
        <w:t>退休人员</w:t>
      </w:r>
      <w:r>
        <w:rPr>
          <w:rFonts w:hint="eastAsia" w:eastAsia="仿宋_GB2312"/>
          <w:kern w:val="0"/>
          <w:sz w:val="32"/>
          <w:szCs w:val="32"/>
          <w:lang w:val="en-US" w:eastAsia="zh-CN"/>
        </w:rPr>
        <w:t>1人。</w:t>
      </w:r>
    </w:p>
    <w:p w14:paraId="1230B96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29CA858">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kern w:val="0"/>
          <w:sz w:val="32"/>
          <w:szCs w:val="32"/>
          <w:shd w:val="clear" w:color="auto" w:fill="FFFFFF"/>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eastAsia="仿宋_GB2312" w:cs="仿宋_GB2312"/>
          <w:color w:val="auto"/>
          <w:kern w:val="2"/>
          <w:sz w:val="32"/>
          <w:szCs w:val="32"/>
          <w:highlight w:val="none"/>
          <w:lang w:val="en-US" w:eastAsia="zh-CN"/>
        </w:rPr>
        <w:t>本单位</w:t>
      </w:r>
      <w:r>
        <w:rPr>
          <w:rFonts w:hint="eastAsia" w:ascii="Times New Roman" w:hAnsi="Times New Roman" w:eastAsia="仿宋_GB2312" w:cs="Times New Roman"/>
          <w:sz w:val="32"/>
          <w:szCs w:val="32"/>
          <w:lang w:val="en-US" w:eastAsia="zh-CN"/>
        </w:rPr>
        <w:t>2024年</w:t>
      </w:r>
      <w:r>
        <w:rPr>
          <w:rFonts w:hint="eastAsia" w:eastAsia="仿宋_GB2312" w:cs="Times New Roman"/>
          <w:sz w:val="32"/>
          <w:szCs w:val="32"/>
          <w:lang w:val="en-US" w:eastAsia="zh-CN"/>
        </w:rPr>
        <w:t>年初预算</w:t>
      </w:r>
      <w:r>
        <w:rPr>
          <w:rFonts w:hint="eastAsia" w:ascii="仿宋_GB2312" w:hAnsi="仿宋_GB2312" w:eastAsia="仿宋_GB2312" w:cs="仿宋_GB2312"/>
          <w:kern w:val="0"/>
          <w:sz w:val="32"/>
          <w:szCs w:val="32"/>
          <w:shd w:val="clear" w:color="auto" w:fill="FFFFFF"/>
        </w:rPr>
        <w:t>数为</w:t>
      </w:r>
      <w:r>
        <w:rPr>
          <w:rFonts w:hint="eastAsia" w:ascii="仿宋_GB2312" w:hAnsi="仿宋_GB2312" w:eastAsia="仿宋_GB2312" w:cs="仿宋_GB2312"/>
          <w:kern w:val="0"/>
          <w:sz w:val="32"/>
          <w:szCs w:val="32"/>
          <w:shd w:val="clear" w:color="040000" w:fill="FFFFFF"/>
          <w:lang w:val="en-US" w:eastAsia="zh-CN"/>
        </w:rPr>
        <w:t>1991.77</w:t>
      </w:r>
      <w:r>
        <w:rPr>
          <w:rFonts w:hint="eastAsia" w:ascii="仿宋_GB2312" w:hAnsi="仿宋_GB2312" w:eastAsia="仿宋_GB2312" w:cs="仿宋_GB2312"/>
          <w:kern w:val="0"/>
          <w:sz w:val="32"/>
          <w:szCs w:val="32"/>
          <w:shd w:val="clear" w:color="auto" w:fill="FFFFFF"/>
        </w:rPr>
        <w:t>万元，本单位</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rPr>
        <w:t>年度收入全年预算数</w:t>
      </w:r>
      <w:r>
        <w:rPr>
          <w:rFonts w:hint="eastAsia" w:ascii="仿宋_GB2312" w:hAnsi="仿宋_GB2312" w:eastAsia="仿宋_GB2312" w:cs="仿宋_GB2312"/>
          <w:kern w:val="0"/>
          <w:sz w:val="32"/>
          <w:szCs w:val="32"/>
          <w:shd w:val="clear" w:color="auto" w:fill="FFFFFF"/>
          <w:lang w:eastAsia="zh-CN"/>
        </w:rPr>
        <w:t>为</w:t>
      </w:r>
      <w:r>
        <w:rPr>
          <w:rFonts w:hint="eastAsia" w:ascii="仿宋_GB2312" w:hAnsi="仿宋_GB2312" w:eastAsia="仿宋_GB2312" w:cs="仿宋_GB2312"/>
          <w:kern w:val="0"/>
          <w:sz w:val="32"/>
          <w:szCs w:val="32"/>
          <w:shd w:val="clear" w:color="040000" w:fill="FFFFFF"/>
          <w:lang w:val="en-US" w:eastAsia="zh-CN"/>
        </w:rPr>
        <w:t>5258.14</w:t>
      </w:r>
      <w:r>
        <w:rPr>
          <w:rFonts w:hint="eastAsia" w:ascii="仿宋_GB2312" w:hAnsi="仿宋_GB2312" w:eastAsia="仿宋_GB2312" w:cs="仿宋_GB2312"/>
          <w:kern w:val="0"/>
          <w:sz w:val="32"/>
          <w:szCs w:val="32"/>
          <w:shd w:val="clear" w:color="auto" w:fill="FFFFFF"/>
        </w:rPr>
        <w:t>万元，收入决算数为</w:t>
      </w:r>
      <w:r>
        <w:rPr>
          <w:rFonts w:hint="eastAsia" w:ascii="仿宋_GB2312" w:hAnsi="仿宋_GB2312" w:eastAsia="仿宋_GB2312" w:cs="仿宋_GB2312"/>
          <w:kern w:val="0"/>
          <w:sz w:val="32"/>
          <w:szCs w:val="32"/>
          <w:shd w:val="clear" w:color="040000" w:fill="FFFFFF"/>
          <w:lang w:val="en-US" w:eastAsia="zh-CN"/>
        </w:rPr>
        <w:t>4986.88</w:t>
      </w:r>
      <w:r>
        <w:rPr>
          <w:rFonts w:hint="eastAsia" w:ascii="仿宋_GB2312" w:hAnsi="仿宋_GB2312" w:eastAsia="仿宋_GB2312" w:cs="仿宋_GB2312"/>
          <w:kern w:val="0"/>
          <w:sz w:val="32"/>
          <w:szCs w:val="32"/>
          <w:shd w:val="clear" w:color="auto" w:fill="FFFFFF"/>
        </w:rPr>
        <w:t>万元</w:t>
      </w:r>
      <w:r>
        <w:rPr>
          <w:rFonts w:hint="eastAsia" w:ascii="仿宋_GB2312" w:hAnsi="仿宋_GB2312" w:cs="仿宋_GB2312"/>
          <w:kern w:val="0"/>
          <w:sz w:val="32"/>
          <w:szCs w:val="32"/>
          <w:shd w:val="clear" w:color="auto" w:fill="FFFFFF"/>
          <w:lang w:eastAsia="zh-CN"/>
        </w:rPr>
        <w:t>。</w:t>
      </w:r>
    </w:p>
    <w:p w14:paraId="7DB6EFC6">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仿宋_GB2312" w:hAnsi="仿宋_GB2312" w:eastAsia="仿宋_GB2312" w:cs="仿宋_GB2312"/>
          <w:kern w:val="0"/>
          <w:sz w:val="32"/>
          <w:szCs w:val="32"/>
          <w:shd w:val="clear" w:color="auto" w:fill="FFFFFF"/>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Times New Roman"/>
          <w:sz w:val="32"/>
          <w:szCs w:val="32"/>
          <w:lang w:val="zh-CN" w:eastAsia="zh-CN"/>
        </w:rPr>
        <w:t>本单位</w:t>
      </w:r>
      <w:r>
        <w:rPr>
          <w:rFonts w:hint="eastAsia" w:ascii="Times New Roman" w:hAnsi="Times New Roman" w:eastAsia="仿宋_GB2312" w:cs="Times New Roman"/>
          <w:sz w:val="32"/>
          <w:szCs w:val="32"/>
          <w:lang w:val="en-US" w:eastAsia="zh-CN"/>
        </w:rPr>
        <w:t>2024年年初预算</w:t>
      </w:r>
      <w:r>
        <w:rPr>
          <w:rFonts w:hint="eastAsia" w:ascii="仿宋_GB2312" w:hAnsi="仿宋_GB2312" w:eastAsia="仿宋_GB2312" w:cs="仿宋_GB2312"/>
          <w:kern w:val="0"/>
          <w:sz w:val="32"/>
          <w:szCs w:val="32"/>
          <w:shd w:val="clear" w:color="auto" w:fill="FFFFFF"/>
        </w:rPr>
        <w:t>数为</w:t>
      </w:r>
      <w:r>
        <w:rPr>
          <w:rFonts w:hint="eastAsia" w:ascii="仿宋_GB2312" w:hAnsi="仿宋_GB2312" w:eastAsia="仿宋_GB2312" w:cs="仿宋_GB2312"/>
          <w:kern w:val="0"/>
          <w:sz w:val="32"/>
          <w:szCs w:val="32"/>
          <w:shd w:val="clear" w:color="040000" w:fill="FFFFFF"/>
          <w:lang w:val="en-US" w:eastAsia="zh-CN"/>
        </w:rPr>
        <w:t>1991.77</w:t>
      </w:r>
      <w:r>
        <w:rPr>
          <w:rFonts w:hint="eastAsia" w:ascii="仿宋_GB2312" w:hAnsi="仿宋_GB2312" w:eastAsia="仿宋_GB2312" w:cs="仿宋_GB2312"/>
          <w:kern w:val="0"/>
          <w:sz w:val="32"/>
          <w:szCs w:val="32"/>
          <w:shd w:val="clear" w:color="auto" w:fill="FFFFFF"/>
        </w:rPr>
        <w:t>万元，本单位</w:t>
      </w:r>
      <w:r>
        <w:rPr>
          <w:rFonts w:hint="eastAsia" w:ascii="仿宋_GB2312" w:hAnsi="仿宋_GB2312" w:eastAsia="仿宋_GB2312" w:cs="仿宋_GB2312"/>
          <w:kern w:val="0"/>
          <w:sz w:val="32"/>
          <w:szCs w:val="32"/>
          <w:shd w:val="clear" w:color="auto" w:fill="FFFFFF"/>
          <w:lang w:val="en-US" w:eastAsia="zh-CN"/>
        </w:rPr>
        <w:t>2024</w:t>
      </w:r>
      <w:r>
        <w:rPr>
          <w:rFonts w:hint="eastAsia" w:ascii="仿宋_GB2312" w:hAnsi="仿宋_GB2312" w:eastAsia="仿宋_GB2312" w:cs="仿宋_GB2312"/>
          <w:kern w:val="0"/>
          <w:sz w:val="32"/>
          <w:szCs w:val="32"/>
          <w:shd w:val="clear" w:color="auto" w:fill="FFFFFF"/>
        </w:rPr>
        <w:t>年度</w:t>
      </w:r>
      <w:r>
        <w:rPr>
          <w:rFonts w:hint="eastAsia" w:ascii="仿宋_GB2312" w:hAnsi="仿宋_GB2312" w:eastAsia="仿宋_GB2312" w:cs="仿宋_GB2312"/>
          <w:kern w:val="0"/>
          <w:sz w:val="32"/>
          <w:szCs w:val="32"/>
          <w:shd w:val="clear" w:color="auto" w:fill="FFFFFF"/>
          <w:lang w:eastAsia="zh-CN"/>
        </w:rPr>
        <w:t>支出</w:t>
      </w:r>
      <w:r>
        <w:rPr>
          <w:rFonts w:hint="eastAsia" w:ascii="仿宋_GB2312" w:hAnsi="仿宋_GB2312" w:eastAsia="仿宋_GB2312" w:cs="仿宋_GB2312"/>
          <w:kern w:val="0"/>
          <w:sz w:val="32"/>
          <w:szCs w:val="32"/>
          <w:shd w:val="clear" w:color="auto" w:fill="FFFFFF"/>
        </w:rPr>
        <w:t>全年预算数</w:t>
      </w:r>
      <w:r>
        <w:rPr>
          <w:rFonts w:hint="eastAsia" w:ascii="仿宋_GB2312" w:hAnsi="仿宋_GB2312" w:eastAsia="仿宋_GB2312" w:cs="仿宋_GB2312"/>
          <w:kern w:val="0"/>
          <w:sz w:val="32"/>
          <w:szCs w:val="32"/>
          <w:shd w:val="clear" w:color="auto" w:fill="FFFFFF"/>
          <w:lang w:eastAsia="zh-CN"/>
        </w:rPr>
        <w:t>为</w:t>
      </w:r>
      <w:r>
        <w:rPr>
          <w:rFonts w:hint="eastAsia" w:ascii="仿宋_GB2312" w:hAnsi="仿宋_GB2312" w:eastAsia="仿宋_GB2312" w:cs="仿宋_GB2312"/>
          <w:kern w:val="0"/>
          <w:sz w:val="32"/>
          <w:szCs w:val="32"/>
          <w:shd w:val="clear" w:color="040000" w:fill="FFFFFF"/>
          <w:lang w:val="en-US" w:eastAsia="zh-CN"/>
        </w:rPr>
        <w:t>5258.14</w:t>
      </w:r>
      <w:r>
        <w:rPr>
          <w:rFonts w:hint="eastAsia" w:ascii="仿宋_GB2312" w:hAnsi="仿宋_GB2312" w:eastAsia="仿宋_GB2312" w:cs="仿宋_GB2312"/>
          <w:kern w:val="0"/>
          <w:sz w:val="32"/>
          <w:szCs w:val="32"/>
          <w:shd w:val="clear" w:color="auto" w:fill="FFFFFF"/>
        </w:rPr>
        <w:t>万元，</w:t>
      </w:r>
      <w:r>
        <w:rPr>
          <w:rFonts w:hint="eastAsia" w:ascii="仿宋_GB2312" w:hAnsi="仿宋_GB2312" w:eastAsia="仿宋_GB2312" w:cs="仿宋_GB2312"/>
          <w:kern w:val="0"/>
          <w:sz w:val="32"/>
          <w:szCs w:val="32"/>
          <w:shd w:val="clear" w:color="auto" w:fill="FFFFFF"/>
          <w:lang w:eastAsia="zh-CN"/>
        </w:rPr>
        <w:t>支出</w:t>
      </w:r>
      <w:r>
        <w:rPr>
          <w:rFonts w:hint="eastAsia" w:ascii="仿宋_GB2312" w:hAnsi="仿宋_GB2312" w:eastAsia="仿宋_GB2312" w:cs="仿宋_GB2312"/>
          <w:kern w:val="0"/>
          <w:sz w:val="32"/>
          <w:szCs w:val="32"/>
          <w:shd w:val="clear" w:color="auto" w:fill="FFFFFF"/>
        </w:rPr>
        <w:t>决算数为</w:t>
      </w:r>
      <w:r>
        <w:rPr>
          <w:rFonts w:hint="eastAsia" w:ascii="仿宋_GB2312" w:hAnsi="仿宋_GB2312" w:eastAsia="仿宋_GB2312" w:cs="仿宋_GB2312"/>
          <w:kern w:val="0"/>
          <w:sz w:val="32"/>
          <w:szCs w:val="32"/>
          <w:shd w:val="clear" w:color="040000" w:fill="FFFFFF"/>
          <w:lang w:val="en-US" w:eastAsia="zh-CN"/>
        </w:rPr>
        <w:t>4986.88</w:t>
      </w:r>
      <w:r>
        <w:rPr>
          <w:rFonts w:hint="eastAsia" w:ascii="仿宋_GB2312" w:hAnsi="仿宋_GB2312" w:eastAsia="仿宋_GB2312" w:cs="仿宋_GB2312"/>
          <w:kern w:val="0"/>
          <w:sz w:val="32"/>
          <w:szCs w:val="32"/>
          <w:shd w:val="clear" w:color="auto" w:fill="FFFFFF"/>
        </w:rPr>
        <w:t>万元</w:t>
      </w:r>
      <w:r>
        <w:rPr>
          <w:rFonts w:hint="eastAsia" w:ascii="仿宋_GB2312" w:hAnsi="仿宋_GB2312" w:cs="仿宋_GB2312"/>
          <w:kern w:val="0"/>
          <w:sz w:val="32"/>
          <w:szCs w:val="32"/>
          <w:shd w:val="clear" w:color="auto" w:fill="FFFFFF"/>
          <w:lang w:eastAsia="zh-CN"/>
        </w:rPr>
        <w:t>。</w:t>
      </w:r>
    </w:p>
    <w:p w14:paraId="41DBCBAC">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仿宋_GB2312" w:cs="仿宋_GB2312"/>
          <w:color w:val="auto"/>
          <w:kern w:val="2"/>
          <w:sz w:val="32"/>
          <w:szCs w:val="32"/>
          <w:highlight w:val="none"/>
          <w:lang w:val="en-US" w:eastAsia="zh-CN"/>
        </w:rPr>
        <w:t>本单位</w:t>
      </w:r>
      <w:r>
        <w:rPr>
          <w:rFonts w:hint="eastAsia" w:ascii="Times New Roman" w:hAnsi="Times New Roman" w:eastAsia="仿宋_GB2312" w:cs="Times New Roman"/>
          <w:sz w:val="32"/>
          <w:szCs w:val="32"/>
          <w:lang w:val="en-US" w:eastAsia="zh-CN"/>
        </w:rPr>
        <w:t>2024年决算报表</w:t>
      </w:r>
      <w:r>
        <w:rPr>
          <w:rFonts w:hint="eastAsia" w:eastAsia="仿宋_GB2312" w:cs="Times New Roman"/>
          <w:sz w:val="32"/>
          <w:szCs w:val="32"/>
          <w:lang w:val="en-US" w:eastAsia="zh-CN"/>
        </w:rPr>
        <w:t>无</w:t>
      </w:r>
      <w:r>
        <w:rPr>
          <w:rFonts w:hint="default" w:ascii="Times New Roman" w:hAnsi="Times New Roman" w:eastAsia="仿宋_GB2312" w:cs="Times New Roman"/>
          <w:sz w:val="32"/>
          <w:szCs w:val="32"/>
          <w:lang w:val="en-US" w:eastAsia="zh-CN"/>
        </w:rPr>
        <w:t>结转结余。</w:t>
      </w:r>
    </w:p>
    <w:p w14:paraId="20B36F5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343B6FC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rPr>
        <w:t>根据部门预算绩效评价指标体系</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总体绩效</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涉及</w:t>
      </w:r>
      <w:r>
        <w:rPr>
          <w:rFonts w:hint="eastAsia" w:ascii="Times New Roman" w:hAnsi="Times New Roman" w:eastAsia="仿宋_GB2312" w:cs="仿宋_GB2312"/>
          <w:color w:val="auto"/>
          <w:kern w:val="2"/>
          <w:sz w:val="32"/>
          <w:szCs w:val="32"/>
          <w:highlight w:val="none"/>
          <w:lang w:val="zh-CN" w:eastAsia="zh-CN"/>
        </w:rPr>
        <w:t>二、三级</w:t>
      </w:r>
      <w:r>
        <w:rPr>
          <w:rFonts w:hint="default" w:ascii="Times New Roman" w:hAnsi="Times New Roman" w:eastAsia="仿宋_GB2312" w:cs="仿宋_GB2312"/>
          <w:color w:val="auto"/>
          <w:kern w:val="2"/>
          <w:sz w:val="32"/>
          <w:szCs w:val="32"/>
          <w:highlight w:val="none"/>
          <w:lang w:val="zh-CN" w:eastAsia="zh-CN"/>
        </w:rPr>
        <w:t>指标进行</w:t>
      </w:r>
      <w:r>
        <w:rPr>
          <w:rFonts w:hint="eastAsia" w:ascii="Times New Roman" w:hAnsi="Times New Roman" w:eastAsia="仿宋_GB2312" w:cs="仿宋_GB2312"/>
          <w:color w:val="auto"/>
          <w:kern w:val="2"/>
          <w:sz w:val="32"/>
          <w:szCs w:val="32"/>
          <w:highlight w:val="none"/>
          <w:lang w:val="zh-CN" w:eastAsia="zh-CN"/>
        </w:rPr>
        <w:t>逐项</w:t>
      </w:r>
      <w:r>
        <w:rPr>
          <w:rFonts w:hint="default" w:ascii="Times New Roman" w:hAnsi="Times New Roman" w:eastAsia="仿宋_GB2312" w:cs="仿宋_GB2312"/>
          <w:color w:val="auto"/>
          <w:kern w:val="2"/>
          <w:sz w:val="32"/>
          <w:szCs w:val="32"/>
          <w:highlight w:val="none"/>
          <w:lang w:val="zh-CN" w:eastAsia="zh-CN"/>
        </w:rPr>
        <w:t>绩效分析</w:t>
      </w:r>
      <w:r>
        <w:rPr>
          <w:rFonts w:hint="eastAsia" w:ascii="Times New Roman" w:hAnsi="Times New Roman" w:eastAsia="仿宋_GB2312" w:cs="仿宋_GB2312"/>
          <w:color w:val="auto"/>
          <w:kern w:val="2"/>
          <w:sz w:val="32"/>
          <w:szCs w:val="32"/>
          <w:highlight w:val="none"/>
          <w:lang w:val="zh-CN" w:eastAsia="zh-CN"/>
        </w:rPr>
        <w:t>并评分</w:t>
      </w:r>
      <w:r>
        <w:rPr>
          <w:rFonts w:hint="default" w:ascii="Times New Roman" w:hAnsi="Times New Roman" w:eastAsia="仿宋_GB2312" w:cs="仿宋_GB2312"/>
          <w:color w:val="auto"/>
          <w:kern w:val="2"/>
          <w:sz w:val="32"/>
          <w:szCs w:val="32"/>
          <w:highlight w:val="none"/>
          <w:lang w:val="zh-CN" w:eastAsia="zh-CN"/>
        </w:rPr>
        <w:t>，依次包括履职效能、预算管理、财务管理、资产管理、采购管理等情况。</w:t>
      </w:r>
    </w:p>
    <w:p w14:paraId="10E8FEB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zh-CN" w:eastAsia="zh-CN"/>
        </w:rPr>
        <w:t>1.履职效能。工作成果方面：项目工作人员能够按时完成任务并达到预期目标；财务人员能够按照项目合同资金支付要求，对验收合格的项目按时足额支付项目资金。工作质量方面，项目工作人员注重细节，保证工作的准确性和可靠性。执行力方面，项目工作人员能够按照项目要求主动、迅速地执行工作。</w:t>
      </w:r>
    </w:p>
    <w:p w14:paraId="7B8510C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zh-CN" w:eastAsia="zh-CN"/>
        </w:rPr>
        <w:t>2.预算管理。建立以法人代表为主、由财会部门参加的预算编审班子。预算编审班子严格规定各自的工作职责，保证预算编制任务的完成。预算编审班子根据上年度的预算执行情况和本年度经济发展情况，综合考虑各方面的因素，制定本单位本年度的总体目标。本单位本年度收入全年预算数为</w:t>
      </w:r>
      <w:r>
        <w:rPr>
          <w:rFonts w:hint="eastAsia" w:ascii="仿宋_GB2312" w:hAnsi="仿宋_GB2312" w:eastAsia="仿宋_GB2312" w:cs="仿宋_GB2312"/>
          <w:kern w:val="0"/>
          <w:sz w:val="32"/>
          <w:szCs w:val="32"/>
          <w:shd w:val="clear" w:color="040000" w:fill="FFFFFF"/>
          <w:lang w:val="en-US" w:eastAsia="zh-CN"/>
        </w:rPr>
        <w:t>5258.14</w:t>
      </w:r>
      <w:r>
        <w:rPr>
          <w:rFonts w:hint="default" w:ascii="Times New Roman" w:hAnsi="Times New Roman" w:eastAsia="仿宋_GB2312" w:cs="仿宋_GB2312"/>
          <w:color w:val="auto"/>
          <w:kern w:val="2"/>
          <w:sz w:val="32"/>
          <w:szCs w:val="32"/>
          <w:highlight w:val="none"/>
          <w:lang w:val="zh-CN" w:eastAsia="zh-CN"/>
        </w:rPr>
        <w:t>万元，收入决算数为</w:t>
      </w:r>
      <w:r>
        <w:rPr>
          <w:rFonts w:hint="eastAsia" w:ascii="仿宋_GB2312" w:hAnsi="仿宋_GB2312" w:eastAsia="仿宋_GB2312" w:cs="仿宋_GB2312"/>
          <w:kern w:val="0"/>
          <w:sz w:val="32"/>
          <w:szCs w:val="32"/>
          <w:shd w:val="clear" w:color="040000" w:fill="FFFFFF"/>
          <w:lang w:val="en-US" w:eastAsia="zh-CN"/>
        </w:rPr>
        <w:t>4986.88</w:t>
      </w:r>
      <w:r>
        <w:rPr>
          <w:rFonts w:hint="default" w:ascii="Times New Roman" w:hAnsi="Times New Roman" w:eastAsia="仿宋_GB2312" w:cs="仿宋_GB2312"/>
          <w:color w:val="auto"/>
          <w:kern w:val="2"/>
          <w:sz w:val="32"/>
          <w:szCs w:val="32"/>
          <w:highlight w:val="none"/>
          <w:lang w:val="zh-CN" w:eastAsia="zh-CN"/>
        </w:rPr>
        <w:t>万元，预算完成度为</w:t>
      </w:r>
      <w:r>
        <w:rPr>
          <w:rFonts w:hint="eastAsia" w:ascii="仿宋_GB2312" w:hAnsi="仿宋_GB2312" w:eastAsia="仿宋_GB2312" w:cs="仿宋_GB2312"/>
          <w:kern w:val="0"/>
          <w:sz w:val="32"/>
          <w:szCs w:val="32"/>
          <w:shd w:val="clear" w:color="040000" w:fill="FFFFFF"/>
          <w:lang w:val="en-US" w:eastAsia="zh-CN"/>
        </w:rPr>
        <w:t>94.84</w:t>
      </w:r>
      <w:r>
        <w:rPr>
          <w:rFonts w:hint="eastAsia" w:ascii="仿宋_GB2312" w:hAnsi="仿宋_GB2312" w:eastAsia="仿宋_GB2312" w:cs="仿宋_GB2312"/>
          <w:kern w:val="0"/>
          <w:sz w:val="32"/>
          <w:szCs w:val="32"/>
          <w:shd w:val="clear" w:color="040000" w:fill="FFFFFF"/>
        </w:rPr>
        <w:t>%</w:t>
      </w:r>
      <w:r>
        <w:rPr>
          <w:rFonts w:hint="default" w:ascii="Times New Roman" w:hAnsi="Times New Roman" w:eastAsia="仿宋_GB2312" w:cs="仿宋_GB2312"/>
          <w:color w:val="auto"/>
          <w:kern w:val="2"/>
          <w:sz w:val="32"/>
          <w:szCs w:val="32"/>
          <w:highlight w:val="none"/>
          <w:lang w:val="zh-CN" w:eastAsia="zh-CN"/>
        </w:rPr>
        <w:t>，严格按照上级文件进行预算编制，专款专用。</w:t>
      </w:r>
    </w:p>
    <w:p w14:paraId="10FD2B1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zh-CN" w:eastAsia="zh-CN"/>
        </w:rPr>
        <w:t>3.财务管理。在办公室下设财务室，副局长为财务负责人，下设会计、出纳各一名，负责本单位日常收支。健全单位财务管理制度，成立财务联审会签制度。各项支出按照批准的预算和有关规定审核办理，防止无计划开支。基本支出必须坚持节约的原则，严格执行规定的开支范围及开支标准。专项支出按照计划或预算批准的项目和用途使用。保障项目资金安全，确保资金专款专用，我局从资金申请、资金使用、会计核算三个环节加强资金管理。在项目资金申请环节，严格按照国库集中支付流程向县财政局申请财政资金；在资金使用环节，严格按照我局资金财务审批流程办理款项支付手续，通过一体化系统直接支付。在会计核算环节，对本项目资金实际核算，确保专款专用。通过上述三个环节的管理，极力避免挪用、挤占、截留项目资金的现象，保证财政资金安全有效使用。</w:t>
      </w:r>
    </w:p>
    <w:p w14:paraId="7CFDBB5A">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zh-CN" w:eastAsia="zh-CN"/>
        </w:rPr>
        <w:t>4.资产管理。一是加强会计核算工作。严格执行现行固定资产管理制度，对已完工的基建工程、购入的固定资产、收到的捐赠资产等及时入账，并按照数量、金额登记明细账，编制固定资产卡片，确保账面上能真实、完整</w:t>
      </w:r>
      <w:r>
        <w:rPr>
          <w:rFonts w:hint="eastAsia" w:eastAsia="仿宋_GB2312" w:cs="仿宋_GB2312"/>
          <w:color w:val="auto"/>
          <w:kern w:val="2"/>
          <w:sz w:val="32"/>
          <w:szCs w:val="32"/>
          <w:highlight w:val="none"/>
          <w:lang w:val="zh-CN" w:eastAsia="zh-CN"/>
        </w:rPr>
        <w:t>地</w:t>
      </w:r>
      <w:r>
        <w:rPr>
          <w:rFonts w:hint="default" w:ascii="Times New Roman" w:hAnsi="Times New Roman" w:eastAsia="仿宋_GB2312" w:cs="仿宋_GB2312"/>
          <w:color w:val="auto"/>
          <w:kern w:val="2"/>
          <w:sz w:val="32"/>
          <w:szCs w:val="32"/>
          <w:highlight w:val="none"/>
          <w:lang w:val="zh-CN" w:eastAsia="zh-CN"/>
        </w:rPr>
        <w:t>反映单位的固定资产情况，并结合本单位的实际情况，完善固定资产管理制度。二是加强内部监督。定期或不定期</w:t>
      </w:r>
      <w:r>
        <w:rPr>
          <w:rFonts w:hint="eastAsia" w:eastAsia="仿宋_GB2312" w:cs="仿宋_GB2312"/>
          <w:color w:val="auto"/>
          <w:kern w:val="2"/>
          <w:sz w:val="32"/>
          <w:szCs w:val="32"/>
          <w:highlight w:val="none"/>
          <w:lang w:val="zh-CN" w:eastAsia="zh-CN"/>
        </w:rPr>
        <w:t>地</w:t>
      </w:r>
      <w:r>
        <w:rPr>
          <w:rFonts w:hint="default" w:ascii="Times New Roman" w:hAnsi="Times New Roman" w:eastAsia="仿宋_GB2312" w:cs="仿宋_GB2312"/>
          <w:color w:val="auto"/>
          <w:kern w:val="2"/>
          <w:sz w:val="32"/>
          <w:szCs w:val="32"/>
          <w:highlight w:val="none"/>
          <w:lang w:val="zh-CN" w:eastAsia="zh-CN"/>
        </w:rPr>
        <w:t>对固定资产进行抽查。检查固定资产的购置、领用、处置等程序是否合规，账实是否相符等，防止国有资产的流失。</w:t>
      </w:r>
    </w:p>
    <w:p w14:paraId="76A1EE10">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仿宋_GB2312" w:cs="仿宋_GB2312"/>
          <w:color w:val="auto"/>
          <w:kern w:val="2"/>
          <w:sz w:val="32"/>
          <w:szCs w:val="32"/>
          <w:highlight w:val="none"/>
          <w:lang w:val="zh-CN" w:eastAsia="zh-CN"/>
        </w:rPr>
        <w:t>5.采购管理。加强程序管理。对纳入政府采购目录范围内的资产采购，必须报政府采购中心进行政府采购；未纳入政府采购目录范围内的资产采购，采用其他形式采购。</w:t>
      </w:r>
    </w:p>
    <w:p w14:paraId="76F65D82">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r>
        <w:rPr>
          <w:rFonts w:hint="eastAsia" w:ascii="Times New Roman" w:hAnsi="Times New Roman" w:eastAsia="仿宋_GB2312" w:cs="仿宋_GB2312"/>
          <w:color w:val="auto"/>
          <w:kern w:val="2"/>
          <w:sz w:val="32"/>
          <w:szCs w:val="32"/>
          <w:highlight w:val="none"/>
          <w:lang w:val="zh-CN" w:eastAsia="zh-CN"/>
        </w:rPr>
        <w:t>填报以下数据，并</w:t>
      </w:r>
      <w:r>
        <w:rPr>
          <w:rFonts w:hint="default" w:ascii="Times New Roman" w:hAnsi="Times New Roman" w:eastAsia="仿宋_GB2312" w:cs="仿宋_GB2312"/>
          <w:color w:val="auto"/>
          <w:kern w:val="2"/>
          <w:sz w:val="32"/>
          <w:szCs w:val="32"/>
          <w:highlight w:val="none"/>
          <w:lang w:val="zh-CN" w:eastAsia="zh-CN"/>
        </w:rPr>
        <w:t>根据部门预算绩效评价指标体系</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项目绩效</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涉及</w:t>
      </w:r>
      <w:r>
        <w:rPr>
          <w:rFonts w:hint="eastAsia" w:ascii="Times New Roman" w:hAnsi="Times New Roman" w:eastAsia="仿宋_GB2312" w:cs="仿宋_GB2312"/>
          <w:color w:val="auto"/>
          <w:kern w:val="2"/>
          <w:sz w:val="32"/>
          <w:szCs w:val="32"/>
          <w:highlight w:val="none"/>
          <w:lang w:val="zh-CN" w:eastAsia="zh-CN"/>
        </w:rPr>
        <w:t>二、三级</w:t>
      </w:r>
      <w:r>
        <w:rPr>
          <w:rFonts w:hint="default" w:ascii="Times New Roman" w:hAnsi="Times New Roman" w:eastAsia="仿宋_GB2312" w:cs="仿宋_GB2312"/>
          <w:color w:val="auto"/>
          <w:kern w:val="2"/>
          <w:sz w:val="32"/>
          <w:szCs w:val="32"/>
          <w:highlight w:val="none"/>
          <w:lang w:val="zh-CN" w:eastAsia="zh-CN"/>
        </w:rPr>
        <w:t>指标进行</w:t>
      </w:r>
      <w:r>
        <w:rPr>
          <w:rFonts w:hint="eastAsia" w:ascii="Times New Roman" w:hAnsi="Times New Roman" w:eastAsia="仿宋_GB2312" w:cs="仿宋_GB2312"/>
          <w:color w:val="auto"/>
          <w:kern w:val="2"/>
          <w:sz w:val="32"/>
          <w:szCs w:val="32"/>
          <w:highlight w:val="none"/>
          <w:lang w:val="zh-CN" w:eastAsia="zh-CN"/>
        </w:rPr>
        <w:t>逐项</w:t>
      </w:r>
      <w:r>
        <w:rPr>
          <w:rFonts w:hint="default" w:ascii="Times New Roman" w:hAnsi="Times New Roman" w:eastAsia="仿宋_GB2312" w:cs="仿宋_GB2312"/>
          <w:color w:val="auto"/>
          <w:kern w:val="2"/>
          <w:sz w:val="32"/>
          <w:szCs w:val="32"/>
          <w:highlight w:val="none"/>
          <w:lang w:val="zh-CN" w:eastAsia="zh-CN"/>
        </w:rPr>
        <w:t>绩效分析</w:t>
      </w:r>
      <w:r>
        <w:rPr>
          <w:rFonts w:hint="eastAsia" w:ascii="Times New Roman" w:hAnsi="Times New Roman" w:eastAsia="仿宋_GB2312" w:cs="仿宋_GB2312"/>
          <w:color w:val="auto"/>
          <w:kern w:val="2"/>
          <w:sz w:val="32"/>
          <w:szCs w:val="32"/>
          <w:highlight w:val="none"/>
          <w:lang w:val="zh-CN" w:eastAsia="zh-CN"/>
        </w:rPr>
        <w:t>并评分</w:t>
      </w:r>
      <w:r>
        <w:rPr>
          <w:rFonts w:hint="default" w:ascii="Times New Roman" w:hAnsi="Times New Roman" w:eastAsia="仿宋_GB2312" w:cs="仿宋_GB2312"/>
          <w:color w:val="auto"/>
          <w:kern w:val="2"/>
          <w:sz w:val="32"/>
          <w:szCs w:val="32"/>
          <w:highlight w:val="none"/>
          <w:lang w:val="zh-CN" w:eastAsia="zh-CN"/>
        </w:rPr>
        <w:t>，依次包括项目</w:t>
      </w:r>
      <w:r>
        <w:rPr>
          <w:rFonts w:hint="default" w:ascii="Times New Roman" w:hAnsi="Times New Roman" w:eastAsia="仿宋_GB2312" w:cs="仿宋_GB2312"/>
          <w:color w:val="auto"/>
          <w:kern w:val="2"/>
          <w:sz w:val="32"/>
          <w:szCs w:val="32"/>
          <w:highlight w:val="none"/>
          <w:lang w:val="en-US" w:eastAsia="zh-CN"/>
        </w:rPr>
        <w:t>决策、项目执行、目标实现等情况</w:t>
      </w:r>
      <w:r>
        <w:rPr>
          <w:rFonts w:hint="eastAsia" w:ascii="Times New Roman" w:hAnsi="Times New Roman" w:eastAsia="仿宋_GB2312" w:cs="仿宋_GB2312"/>
          <w:color w:val="auto"/>
          <w:kern w:val="2"/>
          <w:sz w:val="32"/>
          <w:szCs w:val="32"/>
          <w:highlight w:val="none"/>
          <w:lang w:val="en-US" w:eastAsia="zh-CN"/>
        </w:rPr>
        <w:t>。</w:t>
      </w:r>
    </w:p>
    <w:p w14:paraId="3D1B7BF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en-US" w:eastAsia="zh-CN"/>
        </w:rPr>
        <w:t>常年项目绩效分析。</w:t>
      </w:r>
      <w:r>
        <w:rPr>
          <w:rFonts w:hint="default" w:ascii="Times New Roman" w:hAnsi="Times New Roman" w:eastAsia="仿宋_GB2312" w:cs="仿宋_GB2312"/>
          <w:color w:val="auto"/>
          <w:kern w:val="2"/>
          <w:sz w:val="32"/>
          <w:szCs w:val="32"/>
          <w:highlight w:val="none"/>
          <w:lang w:val="zh-CN" w:eastAsia="zh-CN"/>
        </w:rPr>
        <w:t>该类项目总数</w:t>
      </w:r>
      <w:r>
        <w:rPr>
          <w:rFonts w:hint="eastAsia" w:eastAsia="仿宋_GB2312" w:cs="仿宋_GB2312"/>
          <w:color w:val="auto"/>
          <w:kern w:val="2"/>
          <w:sz w:val="32"/>
          <w:szCs w:val="32"/>
          <w:highlight w:val="none"/>
          <w:lang w:val="en-US" w:eastAsia="zh-CN"/>
        </w:rPr>
        <w:t>18</w:t>
      </w:r>
      <w:r>
        <w:rPr>
          <w:rFonts w:hint="default" w:ascii="Times New Roman" w:hAnsi="Times New Roman" w:eastAsia="仿宋_GB2312" w:cs="仿宋_GB2312"/>
          <w:color w:val="auto"/>
          <w:kern w:val="2"/>
          <w:sz w:val="32"/>
          <w:szCs w:val="32"/>
          <w:highlight w:val="none"/>
          <w:lang w:val="zh-CN" w:eastAsia="zh-CN"/>
        </w:rPr>
        <w:t>个，涉及预算总金额</w:t>
      </w:r>
      <w:r>
        <w:rPr>
          <w:rFonts w:hint="eastAsia" w:eastAsia="仿宋_GB2312" w:cs="仿宋_GB2312"/>
          <w:color w:val="auto"/>
          <w:kern w:val="2"/>
          <w:sz w:val="32"/>
          <w:szCs w:val="32"/>
          <w:highlight w:val="none"/>
          <w:lang w:val="en-US" w:eastAsia="zh-CN"/>
        </w:rPr>
        <w:t>3164.54</w:t>
      </w:r>
      <w:r>
        <w:rPr>
          <w:rFonts w:hint="default" w:ascii="Times New Roman" w:hAnsi="Times New Roman" w:eastAsia="仿宋_GB2312" w:cs="仿宋_GB2312"/>
          <w:color w:val="auto"/>
          <w:kern w:val="2"/>
          <w:sz w:val="32"/>
          <w:szCs w:val="32"/>
          <w:highlight w:val="none"/>
          <w:lang w:val="zh-CN" w:eastAsia="zh-CN"/>
        </w:rPr>
        <w:t>万元，1</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1</w:t>
      </w:r>
      <w:r>
        <w:rPr>
          <w:rFonts w:hint="default" w:ascii="Times New Roman" w:hAnsi="Times New Roman" w:eastAsia="仿宋_GB2312" w:cs="仿宋_GB2312"/>
          <w:color w:val="auto"/>
          <w:kern w:val="2"/>
          <w:sz w:val="32"/>
          <w:szCs w:val="32"/>
          <w:highlight w:val="none"/>
          <w:lang w:val="en-US" w:eastAsia="zh-CN"/>
        </w:rPr>
        <w:t>2</w:t>
      </w:r>
      <w:r>
        <w:rPr>
          <w:rFonts w:hint="default" w:ascii="Times New Roman" w:hAnsi="Times New Roman" w:eastAsia="仿宋_GB2312" w:cs="仿宋_GB2312"/>
          <w:color w:val="auto"/>
          <w:kern w:val="2"/>
          <w:sz w:val="32"/>
          <w:szCs w:val="32"/>
          <w:highlight w:val="none"/>
          <w:lang w:val="zh-CN" w:eastAsia="zh-CN"/>
        </w:rPr>
        <w:t>月预算执行总体进度为</w:t>
      </w:r>
      <w:r>
        <w:rPr>
          <w:rFonts w:hint="eastAsia" w:eastAsia="仿宋_GB2312" w:cs="仿宋_GB2312"/>
          <w:color w:val="auto"/>
          <w:kern w:val="2"/>
          <w:sz w:val="32"/>
          <w:szCs w:val="32"/>
          <w:highlight w:val="none"/>
          <w:lang w:val="en-US" w:eastAsia="zh-CN"/>
        </w:rPr>
        <w:t>100</w:t>
      </w:r>
      <w:r>
        <w:rPr>
          <w:rFonts w:hint="default" w:ascii="Times New Roman" w:hAnsi="Times New Roman" w:eastAsia="仿宋_GB2312" w:cs="仿宋_GB2312"/>
          <w:color w:val="auto"/>
          <w:kern w:val="2"/>
          <w:sz w:val="32"/>
          <w:szCs w:val="32"/>
          <w:highlight w:val="none"/>
          <w:lang w:val="zh-CN" w:eastAsia="zh-CN"/>
        </w:rPr>
        <w:t>%，其中：预算结余率大于</w:t>
      </w:r>
      <w:r>
        <w:rPr>
          <w:rFonts w:hint="default" w:ascii="Times New Roman" w:hAnsi="Times New Roman" w:eastAsia="仿宋_GB2312" w:cs="仿宋_GB2312"/>
          <w:color w:val="auto"/>
          <w:kern w:val="2"/>
          <w:sz w:val="32"/>
          <w:szCs w:val="32"/>
          <w:highlight w:val="none"/>
          <w:lang w:val="en-US" w:eastAsia="zh-CN"/>
        </w:rPr>
        <w:t>10%</w:t>
      </w:r>
      <w:r>
        <w:rPr>
          <w:rFonts w:hint="default" w:ascii="Times New Roman" w:hAnsi="Times New Roman" w:eastAsia="仿宋_GB2312" w:cs="仿宋_GB2312"/>
          <w:color w:val="auto"/>
          <w:kern w:val="2"/>
          <w:sz w:val="32"/>
          <w:szCs w:val="32"/>
          <w:highlight w:val="none"/>
          <w:lang w:val="zh-CN" w:eastAsia="zh-CN"/>
        </w:rPr>
        <w:t>的项目共计</w:t>
      </w:r>
      <w:r>
        <w:rPr>
          <w:rFonts w:hint="eastAsia" w:eastAsia="仿宋_GB2312" w:cs="仿宋_GB2312"/>
          <w:color w:val="auto"/>
          <w:kern w:val="2"/>
          <w:sz w:val="32"/>
          <w:szCs w:val="32"/>
          <w:highlight w:val="none"/>
          <w:lang w:val="en-US" w:eastAsia="zh-CN"/>
        </w:rPr>
        <w:t>0</w:t>
      </w:r>
      <w:r>
        <w:rPr>
          <w:rFonts w:hint="default" w:ascii="Times New Roman" w:hAnsi="Times New Roman" w:eastAsia="仿宋_GB2312" w:cs="仿宋_GB2312"/>
          <w:color w:val="auto"/>
          <w:kern w:val="2"/>
          <w:sz w:val="32"/>
          <w:szCs w:val="32"/>
          <w:highlight w:val="none"/>
          <w:lang w:val="zh-CN" w:eastAsia="zh-CN"/>
        </w:rPr>
        <w:t>个。</w:t>
      </w:r>
    </w:p>
    <w:p w14:paraId="3784E009">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zh-CN" w:eastAsia="zh-CN"/>
        </w:rPr>
      </w:pPr>
      <w:r>
        <w:rPr>
          <w:rFonts w:hint="default" w:ascii="Times New Roman" w:hAnsi="Times New Roman" w:eastAsia="仿宋_GB2312" w:cs="仿宋_GB2312"/>
          <w:color w:val="auto"/>
          <w:kern w:val="2"/>
          <w:sz w:val="32"/>
          <w:szCs w:val="32"/>
          <w:highlight w:val="none"/>
          <w:lang w:val="en-US" w:eastAsia="zh-CN"/>
        </w:rPr>
        <w:t>阶段</w:t>
      </w:r>
      <w:r>
        <w:rPr>
          <w:rFonts w:hint="eastAsia" w:ascii="Times New Roman" w:hAnsi="Times New Roman" w:eastAsia="仿宋_GB2312" w:cs="仿宋_GB2312"/>
          <w:color w:val="auto"/>
          <w:kern w:val="2"/>
          <w:sz w:val="32"/>
          <w:szCs w:val="32"/>
          <w:highlight w:val="none"/>
          <w:lang w:val="en-US" w:eastAsia="zh-CN"/>
        </w:rPr>
        <w:t>（</w:t>
      </w:r>
      <w:r>
        <w:rPr>
          <w:rFonts w:hint="default" w:ascii="Times New Roman" w:hAnsi="Times New Roman" w:eastAsia="仿宋_GB2312" w:cs="仿宋_GB2312"/>
          <w:color w:val="auto"/>
          <w:kern w:val="2"/>
          <w:sz w:val="32"/>
          <w:szCs w:val="32"/>
          <w:highlight w:val="none"/>
          <w:lang w:val="en-US" w:eastAsia="zh-CN"/>
        </w:rPr>
        <w:t>一次性</w:t>
      </w:r>
      <w:r>
        <w:rPr>
          <w:rFonts w:hint="eastAsia" w:ascii="Times New Roman" w:hAnsi="Times New Roman" w:eastAsia="仿宋_GB2312" w:cs="仿宋_GB2312"/>
          <w:color w:val="auto"/>
          <w:kern w:val="2"/>
          <w:sz w:val="32"/>
          <w:szCs w:val="32"/>
          <w:highlight w:val="none"/>
          <w:lang w:val="en-US" w:eastAsia="zh-CN"/>
        </w:rPr>
        <w:t>）</w:t>
      </w:r>
      <w:r>
        <w:rPr>
          <w:rFonts w:hint="default" w:ascii="Times New Roman" w:hAnsi="Times New Roman" w:eastAsia="仿宋_GB2312" w:cs="仿宋_GB2312"/>
          <w:color w:val="auto"/>
          <w:kern w:val="2"/>
          <w:sz w:val="32"/>
          <w:szCs w:val="32"/>
          <w:highlight w:val="none"/>
          <w:lang w:val="en-US" w:eastAsia="zh-CN"/>
        </w:rPr>
        <w:t>项目绩效分析。</w:t>
      </w:r>
      <w:r>
        <w:rPr>
          <w:rFonts w:hint="default" w:ascii="Times New Roman" w:hAnsi="Times New Roman" w:eastAsia="仿宋_GB2312" w:cs="仿宋_GB2312"/>
          <w:color w:val="auto"/>
          <w:kern w:val="2"/>
          <w:sz w:val="32"/>
          <w:szCs w:val="32"/>
          <w:highlight w:val="none"/>
          <w:lang w:val="zh-CN" w:eastAsia="zh-CN"/>
        </w:rPr>
        <w:t>该类项目总数</w:t>
      </w:r>
      <w:r>
        <w:rPr>
          <w:rFonts w:hint="eastAsia" w:eastAsia="仿宋_GB2312" w:cs="仿宋_GB2312"/>
          <w:color w:val="auto"/>
          <w:kern w:val="2"/>
          <w:sz w:val="32"/>
          <w:szCs w:val="32"/>
          <w:highlight w:val="none"/>
          <w:lang w:val="en-US" w:eastAsia="zh-CN"/>
        </w:rPr>
        <w:t>14</w:t>
      </w:r>
      <w:r>
        <w:rPr>
          <w:rFonts w:hint="default" w:ascii="Times New Roman" w:hAnsi="Times New Roman" w:eastAsia="仿宋_GB2312" w:cs="仿宋_GB2312"/>
          <w:color w:val="auto"/>
          <w:kern w:val="2"/>
          <w:sz w:val="32"/>
          <w:szCs w:val="32"/>
          <w:highlight w:val="none"/>
          <w:lang w:val="zh-CN" w:eastAsia="zh-CN"/>
        </w:rPr>
        <w:t>个，涉及预算总金额</w:t>
      </w:r>
      <w:r>
        <w:rPr>
          <w:rFonts w:hint="eastAsia" w:eastAsia="仿宋_GB2312" w:cs="仿宋_GB2312"/>
          <w:color w:val="auto"/>
          <w:kern w:val="2"/>
          <w:sz w:val="32"/>
          <w:szCs w:val="32"/>
          <w:highlight w:val="none"/>
          <w:lang w:val="en-US" w:eastAsia="zh-CN"/>
        </w:rPr>
        <w:t>885.05</w:t>
      </w:r>
      <w:r>
        <w:rPr>
          <w:rFonts w:hint="default" w:ascii="Times New Roman" w:hAnsi="Times New Roman" w:eastAsia="仿宋_GB2312" w:cs="仿宋_GB2312"/>
          <w:color w:val="auto"/>
          <w:kern w:val="2"/>
          <w:sz w:val="32"/>
          <w:szCs w:val="32"/>
          <w:highlight w:val="none"/>
          <w:lang w:val="zh-CN" w:eastAsia="zh-CN"/>
        </w:rPr>
        <w:t>万元，1</w:t>
      </w:r>
      <w:r>
        <w:rPr>
          <w:rFonts w:hint="eastAsia" w:ascii="Times New Roman" w:hAnsi="Times New Roman" w:eastAsia="仿宋_GB2312" w:cs="仿宋_GB2312"/>
          <w:color w:val="auto"/>
          <w:kern w:val="2"/>
          <w:sz w:val="32"/>
          <w:szCs w:val="32"/>
          <w:highlight w:val="none"/>
          <w:lang w:val="zh-CN" w:eastAsia="zh-CN"/>
        </w:rPr>
        <w:t>—</w:t>
      </w:r>
      <w:r>
        <w:rPr>
          <w:rFonts w:hint="default" w:ascii="Times New Roman" w:hAnsi="Times New Roman" w:eastAsia="仿宋_GB2312" w:cs="仿宋_GB2312"/>
          <w:color w:val="auto"/>
          <w:kern w:val="2"/>
          <w:sz w:val="32"/>
          <w:szCs w:val="32"/>
          <w:highlight w:val="none"/>
          <w:lang w:val="zh-CN" w:eastAsia="zh-CN"/>
        </w:rPr>
        <w:t>1</w:t>
      </w:r>
      <w:r>
        <w:rPr>
          <w:rFonts w:hint="default" w:ascii="Times New Roman" w:hAnsi="Times New Roman" w:eastAsia="仿宋_GB2312" w:cs="仿宋_GB2312"/>
          <w:color w:val="auto"/>
          <w:kern w:val="2"/>
          <w:sz w:val="32"/>
          <w:szCs w:val="32"/>
          <w:highlight w:val="none"/>
          <w:lang w:val="en-US" w:eastAsia="zh-CN"/>
        </w:rPr>
        <w:t>2</w:t>
      </w:r>
      <w:r>
        <w:rPr>
          <w:rFonts w:hint="default" w:ascii="Times New Roman" w:hAnsi="Times New Roman" w:eastAsia="仿宋_GB2312" w:cs="仿宋_GB2312"/>
          <w:color w:val="auto"/>
          <w:kern w:val="2"/>
          <w:sz w:val="32"/>
          <w:szCs w:val="32"/>
          <w:highlight w:val="none"/>
          <w:lang w:val="zh-CN" w:eastAsia="zh-CN"/>
        </w:rPr>
        <w:t>月预算执行总体进度为</w:t>
      </w:r>
      <w:r>
        <w:rPr>
          <w:rFonts w:hint="eastAsia" w:eastAsia="仿宋_GB2312" w:cs="仿宋_GB2312"/>
          <w:color w:val="auto"/>
          <w:kern w:val="2"/>
          <w:sz w:val="32"/>
          <w:szCs w:val="32"/>
          <w:highlight w:val="none"/>
          <w:lang w:val="en-US" w:eastAsia="zh-CN"/>
        </w:rPr>
        <w:t>73.95</w:t>
      </w:r>
      <w:r>
        <w:rPr>
          <w:rFonts w:hint="default" w:ascii="Times New Roman" w:hAnsi="Times New Roman" w:eastAsia="仿宋_GB2312" w:cs="仿宋_GB2312"/>
          <w:color w:val="auto"/>
          <w:kern w:val="2"/>
          <w:sz w:val="32"/>
          <w:szCs w:val="32"/>
          <w:highlight w:val="none"/>
          <w:lang w:val="zh-CN" w:eastAsia="zh-CN"/>
        </w:rPr>
        <w:t>%，其中：预算结余率大于</w:t>
      </w:r>
      <w:r>
        <w:rPr>
          <w:rFonts w:hint="default" w:ascii="Times New Roman" w:hAnsi="Times New Roman" w:eastAsia="仿宋_GB2312" w:cs="仿宋_GB2312"/>
          <w:color w:val="auto"/>
          <w:kern w:val="2"/>
          <w:sz w:val="32"/>
          <w:szCs w:val="32"/>
          <w:highlight w:val="none"/>
          <w:lang w:val="en-US" w:eastAsia="zh-CN"/>
        </w:rPr>
        <w:t>10%</w:t>
      </w:r>
      <w:r>
        <w:rPr>
          <w:rFonts w:hint="default" w:ascii="Times New Roman" w:hAnsi="Times New Roman" w:eastAsia="仿宋_GB2312" w:cs="仿宋_GB2312"/>
          <w:color w:val="auto"/>
          <w:kern w:val="2"/>
          <w:sz w:val="32"/>
          <w:szCs w:val="32"/>
          <w:highlight w:val="none"/>
          <w:lang w:val="zh-CN" w:eastAsia="zh-CN"/>
        </w:rPr>
        <w:t>的项目共计</w:t>
      </w:r>
      <w:r>
        <w:rPr>
          <w:rFonts w:hint="eastAsia" w:eastAsia="仿宋_GB2312" w:cs="仿宋_GB2312"/>
          <w:color w:val="auto"/>
          <w:kern w:val="2"/>
          <w:sz w:val="32"/>
          <w:szCs w:val="32"/>
          <w:highlight w:val="none"/>
          <w:lang w:val="en-US" w:eastAsia="zh-CN"/>
        </w:rPr>
        <w:t>5</w:t>
      </w:r>
      <w:r>
        <w:rPr>
          <w:rFonts w:hint="default" w:ascii="Times New Roman" w:hAnsi="Times New Roman" w:eastAsia="仿宋_GB2312" w:cs="仿宋_GB2312"/>
          <w:color w:val="auto"/>
          <w:kern w:val="2"/>
          <w:sz w:val="32"/>
          <w:szCs w:val="32"/>
          <w:highlight w:val="none"/>
          <w:lang w:val="zh-CN" w:eastAsia="zh-CN"/>
        </w:rPr>
        <w:t>个。</w:t>
      </w:r>
    </w:p>
    <w:p w14:paraId="3179519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项目决策。围绕决策程序、规划论证、资金投向进行绩效分析。采购、施工、服务类项目采用政府集采、签订合同（协议）方式实施。按程序确定承接机构，通过制定实施方案、图纸设计、财评、项目立项等程序，项目由县民政局组织实施，由具体项目实施单位承办，项目实施完成后，经验收合格</w:t>
      </w:r>
      <w:r>
        <w:rPr>
          <w:rFonts w:hint="eastAsia" w:eastAsia="仿宋_GB2312" w:cs="Times New Roman"/>
          <w:sz w:val="32"/>
          <w:szCs w:val="32"/>
          <w:highlight w:val="none"/>
          <w:lang w:val="en-US" w:eastAsia="zh-CN"/>
        </w:rPr>
        <w:t>，将</w:t>
      </w:r>
      <w:r>
        <w:rPr>
          <w:rFonts w:hint="default" w:ascii="Times New Roman" w:hAnsi="Times New Roman" w:eastAsia="仿宋_GB2312" w:cs="Times New Roman"/>
          <w:sz w:val="32"/>
          <w:szCs w:val="32"/>
          <w:highlight w:val="none"/>
          <w:lang w:val="en-US" w:eastAsia="zh-CN"/>
        </w:rPr>
        <w:t xml:space="preserve">项目资金支付到具体项目实施单位账户。全部项目实施过程中，县民政局负责指导和监督。 </w:t>
      </w:r>
    </w:p>
    <w:p w14:paraId="52F5B433">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2.项目执行。结合项目特点，按照相关法律法规、项目管理制度，按程序</w:t>
      </w:r>
      <w:r>
        <w:rPr>
          <w:rFonts w:hint="eastAsia" w:eastAsia="仿宋_GB2312" w:cs="Times New Roman"/>
          <w:sz w:val="32"/>
          <w:szCs w:val="32"/>
          <w:highlight w:val="none"/>
          <w:lang w:val="en-US" w:eastAsia="zh-CN"/>
        </w:rPr>
        <w:t>实施</w:t>
      </w:r>
      <w:r>
        <w:rPr>
          <w:rFonts w:hint="default" w:ascii="Times New Roman" w:hAnsi="Times New Roman" w:eastAsia="仿宋_GB2312" w:cs="Times New Roman"/>
          <w:sz w:val="32"/>
          <w:szCs w:val="32"/>
          <w:highlight w:val="none"/>
          <w:lang w:val="en-US" w:eastAsia="zh-CN"/>
        </w:rPr>
        <w:t>。在项目建设管理中严格按照相关管理制度执行有关建设标准及规范，严格执行招投标、政府采购、项目公示制等相关规定，加强项目质量与安全管理，切实发挥民政资金投资效益。</w:t>
      </w:r>
    </w:p>
    <w:p w14:paraId="780C9C6C">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3.目标实现。202</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年民政项目工作符合年初绩效总体目标，未偏离原定计划。下一步工作将继续按照总体绩效目标要求，不断完善制度，落实政策，保障群众利益。</w:t>
      </w:r>
    </w:p>
    <w:p w14:paraId="5FF4D687">
      <w:pPr>
        <w:keepNext w:val="0"/>
        <w:keepLines w:val="0"/>
        <w:pageBreakBefore w:val="0"/>
        <w:widowControl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ascii="仿宋_GB2312" w:hAnsi="宋体" w:eastAsia="仿宋_GB2312" w:cs="仿宋_GB2312"/>
          <w:i w:val="0"/>
          <w:caps w:val="0"/>
          <w:color w:val="555555"/>
          <w:spacing w:val="0"/>
          <w:sz w:val="31"/>
          <w:szCs w:val="31"/>
          <w:shd w:val="clear" w:color="auto" w:fill="FFFFFF"/>
        </w:rPr>
        <w:t>严格按照项目资金管理办法对资金进行计划申请、划拨、使用，全面推行信息公开、公告、告示制度，确保项目建设资金使用公正透明</w:t>
      </w:r>
      <w:r>
        <w:rPr>
          <w:rFonts w:hint="eastAsia" w:ascii="仿宋_GB2312" w:hAnsi="宋体" w:eastAsia="仿宋_GB2312" w:cs="仿宋_GB2312"/>
          <w:i w:val="0"/>
          <w:caps w:val="0"/>
          <w:color w:val="555555"/>
          <w:spacing w:val="0"/>
          <w:sz w:val="31"/>
          <w:szCs w:val="31"/>
          <w:shd w:val="clear" w:color="auto" w:fill="FFFFFF"/>
          <w:lang w:eastAsia="zh-CN"/>
        </w:rPr>
        <w:t>，对</w:t>
      </w:r>
      <w:r>
        <w:rPr>
          <w:rFonts w:ascii="仿宋_GB2312" w:hAnsi="宋体" w:eastAsia="仿宋_GB2312" w:cs="仿宋_GB2312"/>
          <w:i w:val="0"/>
          <w:caps w:val="0"/>
          <w:color w:val="555555"/>
          <w:spacing w:val="0"/>
          <w:sz w:val="31"/>
          <w:szCs w:val="31"/>
          <w:shd w:val="clear" w:color="auto" w:fill="FFFFFF"/>
        </w:rPr>
        <w:t>项目资金实行单独核算、专项使用，对项目资金的拨付都要求用途合理，手续齐全，极力避免专项资金被挤占、截留、挪用。按照计划，分工明确、仔细，完成计划工作</w:t>
      </w:r>
      <w:r>
        <w:rPr>
          <w:rFonts w:hint="eastAsia" w:ascii="仿宋_GB2312" w:hAnsi="宋体" w:eastAsia="仿宋_GB2312" w:cs="仿宋_GB2312"/>
          <w:i w:val="0"/>
          <w:caps w:val="0"/>
          <w:color w:val="555555"/>
          <w:spacing w:val="0"/>
          <w:sz w:val="31"/>
          <w:szCs w:val="31"/>
          <w:shd w:val="clear" w:color="auto" w:fill="FFFFFF"/>
        </w:rPr>
        <w:t>。</w:t>
      </w:r>
    </w:p>
    <w:p w14:paraId="2C1C747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158E7689">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hint="eastAsia" w:ascii="仿宋_GB2312" w:hAnsi="仿宋" w:eastAsia="仿宋_GB2312"/>
          <w:sz w:val="32"/>
          <w:szCs w:val="32"/>
        </w:rPr>
        <w:t>本年度财政资金支出符合国家的政策，与实际需求高度相关；项目资金到位及时，项目实施过程中严格按实际需要实施，具有较好的经济效益和社会效益，项目实施效果较好；项目后期政策、资金、人员的落实，为项目可持续运行提供了较好的保障，具有高度可持续性。</w:t>
      </w:r>
      <w:r>
        <w:rPr>
          <w:rFonts w:hint="eastAsia" w:ascii="仿宋_GB2312" w:hAnsi="Times New Roman" w:eastAsia="仿宋_GB2312" w:cs="Times New Roman"/>
          <w:kern w:val="2"/>
          <w:position w:val="0"/>
          <w:sz w:val="32"/>
          <w:szCs w:val="32"/>
          <w:lang w:val="en-US" w:eastAsia="zh-CN" w:bidi="ar-SA"/>
        </w:rPr>
        <w:t>项目资金</w:t>
      </w:r>
      <w:r>
        <w:rPr>
          <w:rFonts w:hint="eastAsia" w:ascii="仿宋_GB2312" w:hAnsi="Times New Roman" w:cs="Times New Roman"/>
          <w:kern w:val="2"/>
          <w:position w:val="0"/>
          <w:sz w:val="32"/>
          <w:szCs w:val="32"/>
          <w:lang w:val="en-US" w:eastAsia="zh-CN" w:bidi="ar-SA"/>
        </w:rPr>
        <w:t>支出</w:t>
      </w:r>
      <w:r>
        <w:rPr>
          <w:rFonts w:hint="eastAsia" w:ascii="仿宋_GB2312" w:hAnsi="Times New Roman" w:eastAsia="仿宋_GB2312" w:cs="Times New Roman"/>
          <w:kern w:val="2"/>
          <w:position w:val="0"/>
          <w:sz w:val="32"/>
          <w:szCs w:val="32"/>
          <w:lang w:val="en-US" w:eastAsia="zh-CN" w:bidi="ar-SA"/>
        </w:rPr>
        <w:t>充分体现了</w:t>
      </w:r>
      <w:r>
        <w:rPr>
          <w:rFonts w:hint="eastAsia" w:ascii="仿宋_GB2312" w:hAnsi="Times New Roman" w:cs="Times New Roman"/>
          <w:kern w:val="2"/>
          <w:position w:val="0"/>
          <w:sz w:val="32"/>
          <w:szCs w:val="32"/>
          <w:lang w:val="en-US" w:eastAsia="zh-CN" w:bidi="ar-SA"/>
        </w:rPr>
        <w:t>民政资</w:t>
      </w:r>
      <w:r>
        <w:rPr>
          <w:rFonts w:hint="eastAsia" w:ascii="仿宋_GB2312" w:hAnsi="Times New Roman" w:eastAsia="仿宋_GB2312" w:cs="Times New Roman"/>
          <w:kern w:val="2"/>
          <w:position w:val="0"/>
          <w:sz w:val="32"/>
          <w:szCs w:val="32"/>
          <w:lang w:val="en-US" w:eastAsia="zh-CN" w:bidi="ar-SA"/>
        </w:rPr>
        <w:t>金“</w:t>
      </w:r>
      <w:r>
        <w:rPr>
          <w:rFonts w:hint="default" w:ascii="仿宋_GB2312" w:hAnsi="Times New Roman" w:eastAsia="仿宋_GB2312" w:cs="Times New Roman"/>
          <w:kern w:val="2"/>
          <w:position w:val="0"/>
          <w:sz w:val="32"/>
          <w:szCs w:val="32"/>
          <w:lang w:val="en-US" w:eastAsia="zh-CN" w:bidi="ar-SA"/>
        </w:rPr>
        <w:t>扶老、助残、救孤、济困”的发行宗旨，</w:t>
      </w:r>
      <w:r>
        <w:rPr>
          <w:rFonts w:hint="eastAsia" w:ascii="仿宋_GB2312" w:hAnsi="Times New Roman" w:cs="Times New Roman"/>
          <w:kern w:val="2"/>
          <w:position w:val="0"/>
          <w:sz w:val="32"/>
          <w:szCs w:val="32"/>
          <w:lang w:val="en-US" w:eastAsia="zh-CN" w:bidi="ar-SA"/>
        </w:rPr>
        <w:t>民政资金</w:t>
      </w:r>
      <w:r>
        <w:rPr>
          <w:rFonts w:hint="default" w:ascii="仿宋_GB2312" w:hAnsi="Times New Roman" w:eastAsia="仿宋_GB2312" w:cs="Times New Roman"/>
          <w:kern w:val="2"/>
          <w:position w:val="0"/>
          <w:sz w:val="32"/>
          <w:szCs w:val="32"/>
          <w:lang w:val="en-US" w:eastAsia="zh-CN" w:bidi="ar-SA"/>
        </w:rPr>
        <w:t>在老年人福利类、残疾人福利类、儿童福利和社会</w:t>
      </w:r>
      <w:r>
        <w:rPr>
          <w:rFonts w:hint="eastAsia" w:ascii="仿宋_GB2312" w:hAnsi="Times New Roman" w:cs="Times New Roman"/>
          <w:kern w:val="2"/>
          <w:position w:val="0"/>
          <w:sz w:val="32"/>
          <w:szCs w:val="32"/>
          <w:lang w:val="en-US" w:eastAsia="zh-CN" w:bidi="ar-SA"/>
        </w:rPr>
        <w:t>救助</w:t>
      </w:r>
      <w:r>
        <w:rPr>
          <w:rFonts w:hint="default" w:ascii="仿宋_GB2312" w:hAnsi="Times New Roman" w:eastAsia="仿宋_GB2312" w:cs="Times New Roman"/>
          <w:kern w:val="2"/>
          <w:position w:val="0"/>
          <w:sz w:val="32"/>
          <w:szCs w:val="32"/>
          <w:lang w:val="en-US" w:eastAsia="zh-CN" w:bidi="ar-SA"/>
        </w:rPr>
        <w:t>类等项目体现了项目的针对性、时效性，改善了困难群众生活，方便了老年人、残疾人生活，提升了广大困难群众的幸福感、获得感和安全感，切实解决了群众的服务需求，</w:t>
      </w:r>
      <w:r>
        <w:rPr>
          <w:rFonts w:hint="eastAsia" w:ascii="仿宋_GB2312" w:hAnsi="Times New Roman" w:eastAsia="仿宋_GB2312" w:cs="Times New Roman"/>
          <w:kern w:val="2"/>
          <w:position w:val="0"/>
          <w:sz w:val="32"/>
          <w:szCs w:val="32"/>
          <w:lang w:val="en-US" w:eastAsia="zh-CN" w:bidi="ar-SA"/>
        </w:rPr>
        <w:t>增进了</w:t>
      </w:r>
      <w:r>
        <w:rPr>
          <w:rFonts w:hint="eastAsia" w:cs="Times New Roman"/>
          <w:kern w:val="2"/>
          <w:position w:val="0"/>
          <w:sz w:val="32"/>
          <w:szCs w:val="32"/>
          <w:lang w:val="en-US" w:eastAsia="zh-CN" w:bidi="ar-SA"/>
        </w:rPr>
        <w:t>民生</w:t>
      </w:r>
      <w:r>
        <w:rPr>
          <w:rFonts w:hint="eastAsia" w:ascii="仿宋_GB2312" w:hAnsi="Times New Roman" w:eastAsia="仿宋_GB2312" w:cs="Times New Roman"/>
          <w:kern w:val="2"/>
          <w:position w:val="0"/>
          <w:sz w:val="32"/>
          <w:szCs w:val="32"/>
          <w:lang w:val="en-US" w:eastAsia="zh-CN" w:bidi="ar-SA"/>
        </w:rPr>
        <w:t>福祉。项目整体</w:t>
      </w:r>
      <w:r>
        <w:rPr>
          <w:rFonts w:hint="default" w:ascii="仿宋_GB2312" w:hAnsi="Times New Roman" w:eastAsia="仿宋_GB2312" w:cs="Times New Roman"/>
          <w:kern w:val="2"/>
          <w:position w:val="0"/>
          <w:sz w:val="32"/>
          <w:szCs w:val="32"/>
          <w:lang w:val="en-US" w:eastAsia="zh-CN" w:bidi="ar-SA"/>
        </w:rPr>
        <w:t>社会评价反馈良好</w:t>
      </w:r>
      <w:r>
        <w:rPr>
          <w:rFonts w:hint="eastAsia" w:ascii="仿宋_GB2312" w:cs="Times New Roman"/>
          <w:kern w:val="2"/>
          <w:position w:val="0"/>
          <w:sz w:val="32"/>
          <w:szCs w:val="32"/>
          <w:lang w:val="en-US" w:eastAsia="zh-CN" w:bidi="ar-SA"/>
        </w:rPr>
        <w:t>，通过自评综合得分</w:t>
      </w:r>
      <w:r>
        <w:rPr>
          <w:rFonts w:hint="eastAsia" w:cs="Times New Roman"/>
          <w:kern w:val="2"/>
          <w:position w:val="0"/>
          <w:sz w:val="32"/>
          <w:szCs w:val="32"/>
          <w:lang w:val="en-US" w:eastAsia="zh-CN" w:bidi="ar-SA"/>
        </w:rPr>
        <w:t>85</w:t>
      </w:r>
      <w:r>
        <w:rPr>
          <w:rFonts w:hint="eastAsia" w:ascii="仿宋_GB2312" w:cs="Times New Roman"/>
          <w:kern w:val="2"/>
          <w:position w:val="0"/>
          <w:sz w:val="32"/>
          <w:szCs w:val="32"/>
          <w:lang w:val="en-US" w:eastAsia="zh-CN" w:bidi="ar-SA"/>
        </w:rPr>
        <w:t>分。</w:t>
      </w:r>
    </w:p>
    <w:p w14:paraId="7C431A4A">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r>
        <w:rPr>
          <w:rFonts w:hint="default" w:ascii="仿宋_GB2312" w:hAnsi="Times New Roman" w:eastAsia="仿宋_GB2312" w:cs="Times New Roman"/>
          <w:kern w:val="2"/>
          <w:position w:val="0"/>
          <w:sz w:val="32"/>
          <w:szCs w:val="32"/>
          <w:lang w:val="zh-CN" w:eastAsia="zh-CN" w:bidi="ar-SA"/>
        </w:rPr>
        <w:t>注重项目资金的争取，项目建设工作，</w:t>
      </w:r>
      <w:r>
        <w:rPr>
          <w:rFonts w:hint="eastAsia" w:ascii="仿宋_GB2312" w:eastAsia="仿宋_GB2312" w:cs="Times New Roman"/>
          <w:kern w:val="2"/>
          <w:position w:val="0"/>
          <w:sz w:val="32"/>
          <w:szCs w:val="32"/>
          <w:lang w:val="zh-CN" w:eastAsia="zh-CN" w:bidi="ar-SA"/>
        </w:rPr>
        <w:t>轻视</w:t>
      </w:r>
      <w:r>
        <w:rPr>
          <w:rFonts w:hint="default" w:ascii="仿宋_GB2312" w:hAnsi="Times New Roman" w:eastAsia="仿宋_GB2312" w:cs="Times New Roman"/>
          <w:kern w:val="2"/>
          <w:position w:val="0"/>
          <w:sz w:val="32"/>
          <w:szCs w:val="32"/>
          <w:lang w:val="zh-CN" w:eastAsia="zh-CN" w:bidi="ar-SA"/>
        </w:rPr>
        <w:t>项目后续绩效评价工作。</w:t>
      </w:r>
    </w:p>
    <w:p w14:paraId="59F2BF32">
      <w:pPr>
        <w:keepNext w:val="0"/>
        <w:keepLines w:val="0"/>
        <w:pageBreakBefore w:val="0"/>
        <w:widowControl/>
        <w:kinsoku/>
        <w:wordWrap/>
        <w:overflowPunct/>
        <w:topLinePunct w:val="0"/>
        <w:autoSpaceDE/>
        <w:autoSpaceDN/>
        <w:bidi w:val="0"/>
        <w:adjustRightInd w:val="0"/>
        <w:snapToGrid w:val="0"/>
        <w:spacing w:line="578" w:lineRule="exact"/>
        <w:ind w:firstLine="643" w:firstLineChars="200"/>
        <w:contextualSpacing/>
        <w:jc w:val="left"/>
        <w:textAlignment w:val="auto"/>
        <w:outlineLvl w:val="9"/>
        <w:rPr>
          <w:rFonts w:hint="eastAsia" w:ascii="Times New Roman" w:hAnsi="Times New Roman" w:cs="Times New Roman"/>
          <w:sz w:val="32"/>
          <w:szCs w:val="32"/>
          <w:highlight w:val="yellow"/>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r>
        <w:rPr>
          <w:rFonts w:hint="eastAsia" w:ascii="仿宋_GB2312" w:hAnsi="Times New Roman" w:eastAsia="仿宋_GB2312" w:cs="Times New Roman"/>
          <w:kern w:val="2"/>
          <w:position w:val="0"/>
          <w:sz w:val="32"/>
          <w:szCs w:val="32"/>
          <w:lang w:val="en-US" w:eastAsia="zh-CN" w:bidi="ar-SA"/>
        </w:rPr>
        <w:t>加强部门预算绩效评价报告编写工作培训。</w:t>
      </w:r>
    </w:p>
    <w:p w14:paraId="17C9AD74">
      <w:pPr>
        <w:pStyle w:val="6"/>
        <w:rPr>
          <w:rFonts w:hint="eastAsia" w:ascii="Times New Roman" w:hAnsi="Times New Roman" w:cs="宋体"/>
          <w:color w:val="FF0000"/>
          <w:kern w:val="0"/>
          <w:sz w:val="32"/>
          <w:szCs w:val="32"/>
          <w:highlight w:val="yellow"/>
          <w:shd w:val="clear" w:color="auto" w:fill="FFFFFF"/>
          <w:lang w:val="zh-CN"/>
        </w:rPr>
      </w:pPr>
    </w:p>
    <w:p w14:paraId="4F0AD4D3">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0A1F16C9">
      <w:pPr>
        <w:pStyle w:val="6"/>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5453B9B5">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06A6D25B">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bookmarkStart w:id="57" w:name="_Toc15396618"/>
      <w:r>
        <w:rPr>
          <w:rFonts w:hint="eastAsia" w:ascii="方正小标宋简体" w:hAnsi="方正小标宋简体" w:eastAsia="方正小标宋简体" w:cs="方正小标宋简体"/>
          <w:color w:val="auto"/>
          <w:kern w:val="2"/>
          <w:sz w:val="44"/>
          <w:szCs w:val="44"/>
          <w:highlight w:val="none"/>
          <w:lang w:val="en-US" w:eastAsia="zh-CN"/>
        </w:rPr>
        <w:t>困难群众救助资金</w:t>
      </w:r>
    </w:p>
    <w:p w14:paraId="75399645">
      <w:pPr>
        <w:pStyle w:val="38"/>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rPr>
      </w:pPr>
      <w:r>
        <w:rPr>
          <w:rFonts w:hint="eastAsia" w:ascii="方正小标宋简体" w:hAnsi="方正小标宋简体" w:eastAsia="方正小标宋简体" w:cs="方正小标宋简体"/>
          <w:color w:val="auto"/>
          <w:kern w:val="2"/>
          <w:sz w:val="44"/>
          <w:szCs w:val="44"/>
          <w:highlight w:val="none"/>
          <w:lang w:val="en-US" w:eastAsia="zh-CN"/>
        </w:rPr>
        <w:t>专项预算项目绩效评价报告</w:t>
      </w:r>
    </w:p>
    <w:p w14:paraId="0CE12DB7">
      <w:pPr>
        <w:pStyle w:val="38"/>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宋体" w:hAnsi="宋体"/>
          <w:color w:val="auto"/>
          <w:kern w:val="2"/>
          <w:sz w:val="32"/>
          <w:szCs w:val="32"/>
          <w:highlight w:val="none"/>
        </w:rPr>
      </w:pPr>
    </w:p>
    <w:p w14:paraId="2E99D249">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rPr>
        <w:t>一、</w:t>
      </w:r>
      <w:r>
        <w:rPr>
          <w:rFonts w:hint="eastAsia" w:ascii="仿宋_GB2312" w:hAnsi="仿宋_GB2312" w:eastAsia="仿宋_GB2312" w:cs="仿宋_GB2312"/>
          <w:sz w:val="32"/>
          <w:szCs w:val="32"/>
          <w:highlight w:val="none"/>
          <w:lang w:val="zh-CN"/>
        </w:rPr>
        <w:t>项目概况</w:t>
      </w:r>
    </w:p>
    <w:p w14:paraId="2CA3B1C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3" w:firstLineChars="200"/>
        <w:contextualSpacing/>
        <w:jc w:val="left"/>
        <w:textAlignment w:val="auto"/>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（一）设立背景及基本情况。</w:t>
      </w:r>
    </w:p>
    <w:p w14:paraId="3859306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全面落实困难群众救助工作，巩固拓展脱贫攻坚成果同乡村振兴有效衔接，切实兜牢基本民生保障底线，加强困难群众救助资金规范化管理，坚持“应保尽保、应救尽救，公平公正、动态管理、统筹兼顾”的基本原则，科学制定救助标准，完善认定条件，规范审核审批程序，强化动态管理，健全监管机制，加强与其他救助制度的有效衔接，不断提高社会救助工作的科学性和执行力，完善审核、审批和发放程序。</w:t>
      </w:r>
    </w:p>
    <w:p w14:paraId="5789CEF8">
      <w:pPr>
        <w:keepNext w:val="0"/>
        <w:keepLines w:val="0"/>
        <w:pageBreakBefore w:val="0"/>
        <w:numPr>
          <w:ilvl w:val="0"/>
          <w:numId w:val="3"/>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b/>
          <w:color w:val="auto"/>
          <w:sz w:val="32"/>
          <w:szCs w:val="32"/>
          <w:highlight w:val="none"/>
          <w:u w:val="none"/>
          <w:lang w:val="en-US" w:eastAsia="zh-CN"/>
        </w:rPr>
        <w:t>实施目的及支持方向。</w:t>
      </w:r>
    </w:p>
    <w:p w14:paraId="43DF1773">
      <w:pPr>
        <w:pStyle w:val="15"/>
        <w:numPr>
          <w:ilvl w:val="0"/>
          <w:numId w:val="0"/>
        </w:numPr>
        <w:ind w:firstLine="640" w:firstLineChars="200"/>
        <w:rPr>
          <w:rFonts w:hint="eastAsia" w:ascii="仿宋_GB2312" w:hAnsi="仿宋_GB2312" w:eastAsia="仿宋_GB2312" w:cs="仿宋_GB2312"/>
          <w:smallCaps w:val="0"/>
          <w:color w:val="auto"/>
          <w:kern w:val="0"/>
          <w:sz w:val="32"/>
          <w:szCs w:val="32"/>
          <w:highlight w:val="none"/>
          <w:u w:val="none"/>
          <w:shd w:val="clear" w:color="auto" w:fill="FFFFFF"/>
          <w:lang w:val="zh-CN" w:eastAsia="zh-CN" w:bidi="ar-SA"/>
        </w:rPr>
      </w:pPr>
      <w:r>
        <w:rPr>
          <w:rFonts w:hint="eastAsia" w:ascii="仿宋_GB2312" w:hAnsi="仿宋_GB2312" w:eastAsia="仿宋_GB2312" w:cs="仿宋_GB2312"/>
          <w:smallCaps w:val="0"/>
          <w:color w:val="auto"/>
          <w:kern w:val="0"/>
          <w:sz w:val="32"/>
          <w:szCs w:val="32"/>
          <w:highlight w:val="none"/>
          <w:u w:val="none"/>
          <w:shd w:val="clear" w:color="auto" w:fill="FFFFFF"/>
          <w:lang w:val="zh-CN" w:eastAsia="zh-CN" w:bidi="ar-SA"/>
        </w:rPr>
        <w:t>该项补助资金统筹用于城乡低保、特困供养、临时救助、流浪乞讨人员救助（含农村留守儿童、困境儿童、流浪乞讨儿童的应急处置、救助帮扶、监护支持）和孤儿（含艾滋病病毒感染儿童、生活困难家庭中的纳入特困人员救助供养范围的事实无人抚养儿童）基本生活保障支出。</w:t>
      </w:r>
    </w:p>
    <w:p w14:paraId="32D1A273">
      <w:pPr>
        <w:keepNext w:val="0"/>
        <w:keepLines w:val="0"/>
        <w:pageBreakBefore w:val="0"/>
        <w:numPr>
          <w:ilvl w:val="0"/>
          <w:numId w:val="3"/>
        </w:numPr>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b/>
          <w:color w:val="auto"/>
          <w:sz w:val="32"/>
          <w:szCs w:val="32"/>
          <w:highlight w:val="none"/>
          <w:u w:val="none"/>
          <w:lang w:val="zh-CN" w:eastAsia="zh-CN"/>
        </w:rPr>
      </w:pPr>
      <w:r>
        <w:rPr>
          <w:rFonts w:hint="eastAsia" w:ascii="仿宋_GB2312" w:hAnsi="仿宋_GB2312" w:eastAsia="仿宋_GB2312" w:cs="仿宋_GB2312"/>
          <w:b/>
          <w:color w:val="auto"/>
          <w:sz w:val="32"/>
          <w:szCs w:val="32"/>
          <w:highlight w:val="none"/>
          <w:u w:val="none"/>
          <w:lang w:val="en-US" w:eastAsia="zh-CN"/>
        </w:rPr>
        <w:t>预算安排及分配管理</w:t>
      </w:r>
      <w:r>
        <w:rPr>
          <w:rFonts w:hint="eastAsia" w:ascii="仿宋_GB2312" w:hAnsi="仿宋_GB2312" w:eastAsia="仿宋_GB2312" w:cs="仿宋_GB2312"/>
          <w:b/>
          <w:color w:val="auto"/>
          <w:sz w:val="32"/>
          <w:szCs w:val="32"/>
          <w:highlight w:val="none"/>
          <w:u w:val="none"/>
          <w:lang w:val="zh-CN" w:eastAsia="zh-CN"/>
        </w:rPr>
        <w:t>。</w:t>
      </w:r>
    </w:p>
    <w:p w14:paraId="6EA59A18">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仿宋_GB2312" w:hAnsi="仿宋_GB2312" w:eastAsia="仿宋_GB2312" w:cs="仿宋_GB2312"/>
          <w:sz w:val="32"/>
          <w:szCs w:val="32"/>
          <w:lang w:val="zh-CN"/>
        </w:rPr>
        <w:t>该项补助资金主要采用因素法、据实据效法等办法进行分配。因素法适用于最低生活保障、特困人员供养、临时救助和流浪乞讨人员救助资金分配。据实据效法适用于孤儿基本生活保障资金分配。根据孤儿（含艾滋病感染儿童）人数和县级财政分担水平据实分配。</w:t>
      </w:r>
      <w:r>
        <w:rPr>
          <w:rFonts w:hint="eastAsia" w:ascii="仿宋_GB2312" w:hAnsi="仿宋_GB2312" w:eastAsia="仿宋_GB2312" w:cs="仿宋_GB2312"/>
          <w:sz w:val="32"/>
          <w:szCs w:val="32"/>
          <w:lang w:val="en-US" w:eastAsia="zh-CN"/>
        </w:rPr>
        <w:t>2024年预算安排2535.294万元，其中：</w:t>
      </w:r>
      <w:r>
        <w:rPr>
          <w:rFonts w:hint="eastAsia" w:ascii="仿宋_GB2312" w:hAnsi="仿宋_GB2312" w:eastAsia="仿宋_GB2312" w:cs="仿宋_GB2312"/>
          <w:color w:val="auto"/>
          <w:sz w:val="32"/>
          <w:szCs w:val="32"/>
          <w:lang w:eastAsia="zh-CN"/>
        </w:rPr>
        <w:t>阿州财社〔</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15号文件下达资金1199万元，</w:t>
      </w:r>
      <w:r>
        <w:rPr>
          <w:rFonts w:hint="eastAsia" w:ascii="仿宋_GB2312" w:hAnsi="仿宋_GB2312" w:eastAsia="仿宋_GB2312" w:cs="仿宋_GB2312"/>
          <w:color w:val="auto"/>
          <w:sz w:val="32"/>
          <w:szCs w:val="32"/>
          <w:lang w:eastAsia="zh-CN"/>
        </w:rPr>
        <w:t>阿州财社〔</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43号文件下达资金72.52万元，</w:t>
      </w:r>
      <w:r>
        <w:rPr>
          <w:rFonts w:hint="eastAsia" w:ascii="仿宋_GB2312" w:hAnsi="仿宋_GB2312" w:eastAsia="仿宋_GB2312" w:cs="仿宋_GB2312"/>
          <w:color w:val="auto"/>
          <w:sz w:val="32"/>
          <w:szCs w:val="32"/>
          <w:lang w:eastAsia="zh-CN"/>
        </w:rPr>
        <w:t>阿州财社〔</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66号文件下达资金515万元，</w:t>
      </w:r>
      <w:r>
        <w:rPr>
          <w:rFonts w:hint="eastAsia" w:ascii="仿宋_GB2312" w:hAnsi="仿宋_GB2312" w:eastAsia="仿宋_GB2312" w:cs="仿宋_GB2312"/>
          <w:color w:val="auto"/>
          <w:sz w:val="32"/>
          <w:szCs w:val="32"/>
          <w:lang w:eastAsia="zh-CN"/>
        </w:rPr>
        <w:t>阿州财社〔</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127号文件下达资金39万元，</w:t>
      </w:r>
      <w:r>
        <w:rPr>
          <w:rFonts w:hint="eastAsia" w:ascii="仿宋_GB2312" w:hAnsi="仿宋_GB2312" w:eastAsia="仿宋_GB2312" w:cs="仿宋_GB2312"/>
          <w:color w:val="auto"/>
          <w:sz w:val="32"/>
          <w:szCs w:val="32"/>
          <w:lang w:eastAsia="zh-CN"/>
        </w:rPr>
        <w:t>阿州财社〔</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80号文件下达资金120.9万元，县级预算安排588.874万元。</w:t>
      </w:r>
      <w:r>
        <w:rPr>
          <w:rFonts w:hint="eastAsia" w:ascii="仿宋_GB2312" w:hAnsi="仿宋_GB2312" w:eastAsia="仿宋_GB2312" w:cs="仿宋_GB2312"/>
          <w:sz w:val="32"/>
          <w:szCs w:val="32"/>
          <w:lang w:val="zh-CN"/>
        </w:rPr>
        <w:t>根据各类人员人数和发放标准困难群众救助资金预算安排如下：城乡低保</w:t>
      </w:r>
      <w:r>
        <w:rPr>
          <w:rFonts w:hint="eastAsia" w:ascii="仿宋_GB2312" w:hAnsi="仿宋_GB2312" w:eastAsia="仿宋_GB2312" w:cs="仿宋_GB2312"/>
          <w:sz w:val="32"/>
          <w:szCs w:val="32"/>
          <w:lang w:val="en-US" w:eastAsia="zh-CN"/>
        </w:rPr>
        <w:t>1987.2007万元、特困供养302.3074万元、孤儿13.92万元、困难群众一次性生活补贴120.9万元、流浪乞讨1.0648万元、临时救助109.9011万元。</w:t>
      </w:r>
    </w:p>
    <w:p w14:paraId="183FFD94">
      <w:pPr>
        <w:keepNext w:val="0"/>
        <w:keepLines w:val="0"/>
        <w:pageBreakBefore w:val="0"/>
        <w:numPr>
          <w:ilvl w:val="0"/>
          <w:numId w:val="3"/>
        </w:numPr>
        <w:kinsoku/>
        <w:wordWrap/>
        <w:overflowPunct/>
        <w:topLinePunct w:val="0"/>
        <w:autoSpaceDE/>
        <w:autoSpaceDN/>
        <w:bidi w:val="0"/>
        <w:adjustRightInd w:val="0"/>
        <w:snapToGrid w:val="0"/>
        <w:spacing w:line="578" w:lineRule="exact"/>
        <w:ind w:left="0" w:leftChars="0" w:firstLine="643" w:firstLineChars="200"/>
        <w:textAlignment w:val="auto"/>
        <w:rPr>
          <w:rFonts w:hint="eastAsia" w:ascii="仿宋_GB2312" w:hAnsi="仿宋_GB2312" w:eastAsia="仿宋_GB2312" w:cs="仿宋_GB2312"/>
          <w:b/>
          <w:color w:val="auto"/>
          <w:sz w:val="32"/>
          <w:szCs w:val="32"/>
          <w:highlight w:val="none"/>
          <w:u w:val="none"/>
          <w:lang w:val="zh-CN" w:eastAsia="zh-CN"/>
        </w:rPr>
      </w:pPr>
      <w:r>
        <w:rPr>
          <w:rFonts w:hint="eastAsia" w:ascii="仿宋_GB2312" w:hAnsi="仿宋_GB2312" w:eastAsia="仿宋_GB2312" w:cs="仿宋_GB2312"/>
          <w:b/>
          <w:color w:val="auto"/>
          <w:sz w:val="32"/>
          <w:szCs w:val="32"/>
          <w:highlight w:val="none"/>
          <w:u w:val="none"/>
          <w:lang w:val="zh-CN" w:eastAsia="zh-CN"/>
        </w:rPr>
        <w:t>项目绩效目标设置。</w:t>
      </w:r>
    </w:p>
    <w:p w14:paraId="7D7661CC">
      <w:pPr>
        <w:spacing w:line="540" w:lineRule="exact"/>
        <w:ind w:firstLine="640"/>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rPr>
        <w:t>我县城乡困难群众保障范围有增无减，保障标准逐步提高，救助资金发放及时到位，救助有效，各项社会救助制度逐步完善，救助申报及审批程序总体趋于公平、公正、公开，救助政策宣传及实施不断推进，困难群众及低收入群体对政策知晓率逐步提高，对社会救助政策及项目满意度较高，困难群众得到及时帮助，困难群体的基本生活有一定的改善。困难群众基本生活救助为维护社会稳定、社会和谐发挥了积极作用，取得了较好的社会效益。经过各项指标的认真评价和综合评审，我县困难群众救助绩效自评良好。</w:t>
      </w:r>
    </w:p>
    <w:p w14:paraId="2F7AEB20">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二、</w:t>
      </w:r>
      <w:r>
        <w:rPr>
          <w:rFonts w:hint="eastAsia" w:ascii="仿宋_GB2312" w:hAnsi="仿宋_GB2312" w:eastAsia="仿宋_GB2312" w:cs="仿宋_GB2312"/>
          <w:sz w:val="32"/>
          <w:szCs w:val="32"/>
          <w:highlight w:val="none"/>
          <w:lang w:eastAsia="zh-CN"/>
        </w:rPr>
        <w:t>评价实施</w:t>
      </w:r>
    </w:p>
    <w:p w14:paraId="114ACAFB">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（一）评价目的。</w:t>
      </w:r>
    </w:p>
    <w:p w14:paraId="5D7A4866">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通过对</w:t>
      </w:r>
      <w:r>
        <w:rPr>
          <w:rFonts w:hint="eastAsia" w:ascii="仿宋_GB2312" w:hAnsi="仿宋_GB2312" w:eastAsia="仿宋_GB2312" w:cs="仿宋_GB2312"/>
          <w:sz w:val="32"/>
          <w:szCs w:val="32"/>
          <w:lang w:eastAsia="zh-CN"/>
        </w:rPr>
        <w:t>困难群众救助专项资金</w:t>
      </w:r>
      <w:r>
        <w:rPr>
          <w:rFonts w:hint="eastAsia" w:ascii="仿宋_GB2312" w:hAnsi="仿宋_GB2312" w:eastAsia="仿宋_GB2312" w:cs="仿宋_GB2312"/>
          <w:sz w:val="32"/>
          <w:szCs w:val="32"/>
        </w:rPr>
        <w:t>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14:paraId="07B00786">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（二）预设问题及评价重点。</w:t>
      </w:r>
    </w:p>
    <w:p w14:paraId="7E9B3A37">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重点评价该项目财政专项资金使用的规范性、安全性和有效性及评价项目的社会效益、经济效益、可持续性。</w:t>
      </w:r>
    </w:p>
    <w:p w14:paraId="516DC240">
      <w:pPr>
        <w:keepNext w:val="0"/>
        <w:keepLines w:val="0"/>
        <w:pageBreakBefore w:val="0"/>
        <w:widowControl w:val="0"/>
        <w:numPr>
          <w:ilvl w:val="0"/>
          <w:numId w:val="4"/>
        </w:numPr>
        <w:kinsoku/>
        <w:wordWrap/>
        <w:overflowPunct/>
        <w:topLinePunct w:val="0"/>
        <w:autoSpaceDE/>
        <w:autoSpaceDN/>
        <w:bidi w:val="0"/>
        <w:adjustRightInd w:val="0"/>
        <w:snapToGrid w:val="0"/>
        <w:spacing w:line="578" w:lineRule="exact"/>
        <w:ind w:left="0" w:leftChars="0" w:firstLine="643" w:firstLineChars="20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评价选点。</w:t>
      </w:r>
    </w:p>
    <w:p w14:paraId="678269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选取具有代表性的项目实施地点在各乡镇按比例抽取领取困难群众资金的人员。</w:t>
      </w:r>
    </w:p>
    <w:p w14:paraId="103F9E1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（四）评价方法。</w:t>
      </w:r>
    </w:p>
    <w:p w14:paraId="6E0C02F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rPr>
        <w:t>本次评价采取现场和非现场评价相结合的方式实施，具体采用了比较法、</w:t>
      </w:r>
      <w:r>
        <w:rPr>
          <w:rFonts w:hint="eastAsia" w:ascii="仿宋_GB2312" w:hAnsi="仿宋_GB2312" w:eastAsia="仿宋_GB2312" w:cs="仿宋_GB2312"/>
          <w:sz w:val="32"/>
          <w:szCs w:val="32"/>
        </w:rPr>
        <w:t>单位自评法、实地勘察法、问卷调查法、座谈调研法等多种方法</w:t>
      </w:r>
      <w:r>
        <w:rPr>
          <w:rFonts w:hint="eastAsia" w:ascii="仿宋_GB2312" w:hAnsi="仿宋_GB2312" w:eastAsia="仿宋_GB2312" w:cs="仿宋_GB2312"/>
          <w:sz w:val="32"/>
          <w:szCs w:val="32"/>
          <w:lang w:eastAsia="zh-CN"/>
        </w:rPr>
        <w:t>。</w:t>
      </w:r>
    </w:p>
    <w:p w14:paraId="4E863653">
      <w:pPr>
        <w:keepNext w:val="0"/>
        <w:keepLines w:val="0"/>
        <w:pageBreakBefore w:val="0"/>
        <w:widowControl w:val="0"/>
        <w:numPr>
          <w:ilvl w:val="0"/>
          <w:numId w:val="3"/>
        </w:numPr>
        <w:kinsoku/>
        <w:wordWrap/>
        <w:overflowPunct/>
        <w:topLinePunct w:val="0"/>
        <w:autoSpaceDE/>
        <w:autoSpaceDN/>
        <w:bidi w:val="0"/>
        <w:spacing w:line="578" w:lineRule="exact"/>
        <w:ind w:left="0" w:leftChars="0" w:firstLine="643" w:firstLineChars="200"/>
        <w:textAlignment w:val="auto"/>
        <w:outlineLvl w:val="9"/>
        <w:rPr>
          <w:rFonts w:hint="eastAsia" w:ascii="仿宋_GB2312" w:hAnsi="仿宋_GB2312" w:eastAsia="仿宋_GB2312" w:cs="仿宋_GB2312"/>
          <w:b/>
          <w:color w:val="auto"/>
          <w:sz w:val="32"/>
          <w:szCs w:val="32"/>
          <w:highlight w:val="none"/>
          <w:u w:val="none"/>
          <w:lang w:val="zh-CN"/>
        </w:rPr>
      </w:pPr>
      <w:r>
        <w:rPr>
          <w:rFonts w:hint="eastAsia" w:ascii="仿宋_GB2312" w:hAnsi="仿宋_GB2312" w:eastAsia="仿宋_GB2312" w:cs="仿宋_GB2312"/>
          <w:b/>
          <w:color w:val="auto"/>
          <w:sz w:val="32"/>
          <w:szCs w:val="32"/>
          <w:highlight w:val="none"/>
          <w:u w:val="none"/>
          <w:lang w:val="zh-CN"/>
        </w:rPr>
        <w:t>评价组织。</w:t>
      </w:r>
    </w:p>
    <w:p w14:paraId="38479CB3">
      <w:pPr>
        <w:keepNext w:val="0"/>
        <w:keepLines w:val="0"/>
        <w:pageBreakBefore w:val="0"/>
        <w:widowControl w:val="0"/>
        <w:numPr>
          <w:ilvl w:val="0"/>
          <w:numId w:val="0"/>
        </w:numPr>
        <w:kinsoku/>
        <w:wordWrap/>
        <w:overflowPunct/>
        <w:topLinePunct w:val="0"/>
        <w:autoSpaceDE/>
        <w:autoSpaceDN/>
        <w:bidi w:val="0"/>
        <w:spacing w:line="578" w:lineRule="exact"/>
        <w:ind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eastAsia="zh-CN"/>
        </w:rPr>
        <w:t>成立以局长曹玉林为组长，副局长文德艳为副组长，社会救助股、财务室、办公室工作人员为成员的绩效评价小组。</w:t>
      </w:r>
    </w:p>
    <w:p w14:paraId="7ED0DAAA">
      <w:pPr>
        <w:keepNext w:val="0"/>
        <w:keepLines w:val="0"/>
        <w:pageBreakBefore w:val="0"/>
        <w:kinsoku/>
        <w:wordWrap/>
        <w:overflowPunct/>
        <w:topLinePunct w:val="0"/>
        <w:autoSpaceDE/>
        <w:autoSpaceDN/>
        <w:bidi w:val="0"/>
        <w:adjustRightInd w:val="0"/>
        <w:snapToGrid w:val="0"/>
        <w:spacing w:line="578" w:lineRule="exact"/>
        <w:ind w:firstLine="640" w:firstLineChars="200"/>
        <w:textAlignment w:val="auto"/>
        <w:rPr>
          <w:rFonts w:hint="eastAsia" w:ascii="仿宋_GB2312" w:hAnsi="仿宋_GB2312" w:eastAsia="仿宋_GB2312" w:cs="仿宋_GB2312"/>
          <w:color w:val="auto"/>
          <w:sz w:val="32"/>
          <w:szCs w:val="32"/>
          <w:highlight w:val="none"/>
          <w:u w:val="none"/>
          <w:lang w:val="zh-CN"/>
        </w:rPr>
      </w:pPr>
      <w:r>
        <w:rPr>
          <w:rFonts w:hint="eastAsia" w:ascii="仿宋_GB2312" w:hAnsi="仿宋_GB2312" w:eastAsia="仿宋_GB2312" w:cs="仿宋_GB2312"/>
          <w:color w:val="auto"/>
          <w:sz w:val="32"/>
          <w:szCs w:val="32"/>
          <w:highlight w:val="none"/>
          <w:u w:val="none"/>
        </w:rPr>
        <w:t>三、</w:t>
      </w:r>
      <w:r>
        <w:rPr>
          <w:rFonts w:hint="eastAsia" w:ascii="仿宋_GB2312" w:hAnsi="仿宋_GB2312" w:eastAsia="仿宋_GB2312" w:cs="仿宋_GB2312"/>
          <w:color w:val="auto"/>
          <w:sz w:val="32"/>
          <w:szCs w:val="32"/>
          <w:highlight w:val="none"/>
          <w:u w:val="none"/>
          <w:lang w:eastAsia="zh-CN"/>
        </w:rPr>
        <w:t>绩效分析</w:t>
      </w:r>
      <w:r>
        <w:rPr>
          <w:rFonts w:hint="eastAsia" w:ascii="仿宋_GB2312" w:hAnsi="仿宋_GB2312" w:eastAsia="仿宋_GB2312" w:cs="仿宋_GB2312"/>
          <w:color w:val="auto"/>
          <w:sz w:val="32"/>
          <w:szCs w:val="32"/>
          <w:highlight w:val="none"/>
          <w:u w:val="none"/>
          <w:lang w:val="zh-CN"/>
        </w:rPr>
        <w:tab/>
      </w:r>
    </w:p>
    <w:p w14:paraId="23692F0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b/>
          <w:color w:val="auto"/>
          <w:sz w:val="32"/>
          <w:szCs w:val="32"/>
          <w:highlight w:val="none"/>
          <w:u w:val="none"/>
          <w:lang w:val="en-US" w:eastAsia="zh-CN"/>
        </w:rPr>
      </w:pPr>
      <w:r>
        <w:rPr>
          <w:rFonts w:hint="eastAsia" w:ascii="仿宋_GB2312" w:hAnsi="仿宋_GB2312" w:eastAsia="仿宋_GB2312" w:cs="仿宋_GB2312"/>
          <w:b/>
          <w:color w:val="auto"/>
          <w:sz w:val="32"/>
          <w:szCs w:val="32"/>
          <w:highlight w:val="none"/>
          <w:u w:val="none"/>
          <w:lang w:val="zh-CN"/>
        </w:rPr>
        <w:t>（一）</w:t>
      </w:r>
      <w:r>
        <w:rPr>
          <w:rFonts w:hint="eastAsia" w:ascii="仿宋_GB2312" w:hAnsi="仿宋_GB2312" w:eastAsia="仿宋_GB2312" w:cs="仿宋_GB2312"/>
          <w:b/>
          <w:color w:val="auto"/>
          <w:sz w:val="32"/>
          <w:szCs w:val="32"/>
          <w:highlight w:val="none"/>
          <w:u w:val="none"/>
          <w:lang w:val="en-US" w:eastAsia="zh-CN"/>
        </w:rPr>
        <w:t>通用指标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p>
    <w:p w14:paraId="73819580">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项目决策。</w:t>
      </w:r>
      <w:r>
        <w:rPr>
          <w:rFonts w:hint="eastAsia" w:ascii="仿宋_GB2312" w:hAnsi="仿宋_GB2312" w:eastAsia="仿宋_GB2312" w:cs="仿宋_GB2312"/>
          <w:i w:val="0"/>
          <w:caps w:val="0"/>
          <w:color w:val="333333"/>
          <w:spacing w:val="0"/>
          <w:sz w:val="32"/>
          <w:szCs w:val="32"/>
          <w:shd w:val="clear" w:color="auto" w:fill="FFFFFF"/>
        </w:rPr>
        <w:t>困难群众救助补助资金支出决策符合法律法规、相关政策、发展规划以及部门职责，支出申请、拨付、发放符合相关要求，绩效目标设定依据充分，符合客观实际，绩效指标清晰、细化、可衡量。</w:t>
      </w:r>
      <w:r>
        <w:rPr>
          <w:rFonts w:hint="eastAsia" w:ascii="仿宋_GB2312" w:hAnsi="仿宋_GB2312" w:eastAsia="仿宋_GB2312" w:cs="仿宋_GB2312"/>
          <w:i w:val="0"/>
          <w:caps w:val="0"/>
          <w:color w:val="333333"/>
          <w:spacing w:val="0"/>
          <w:sz w:val="32"/>
          <w:szCs w:val="32"/>
          <w:shd w:val="clear" w:color="auto" w:fill="FFFFFF"/>
          <w:lang w:eastAsia="zh-CN"/>
        </w:rPr>
        <w:t>县</w:t>
      </w:r>
      <w:r>
        <w:rPr>
          <w:rFonts w:hint="eastAsia" w:ascii="仿宋_GB2312" w:hAnsi="仿宋_GB2312" w:eastAsia="仿宋_GB2312" w:cs="仿宋_GB2312"/>
          <w:i w:val="0"/>
          <w:caps w:val="0"/>
          <w:color w:val="333333"/>
          <w:spacing w:val="0"/>
          <w:sz w:val="32"/>
          <w:szCs w:val="32"/>
          <w:shd w:val="clear" w:color="auto" w:fill="FFFFFF"/>
        </w:rPr>
        <w:t>财政局会</w:t>
      </w:r>
      <w:r>
        <w:rPr>
          <w:rFonts w:hint="eastAsia" w:ascii="仿宋_GB2312" w:hAnsi="仿宋_GB2312" w:eastAsia="仿宋_GB2312" w:cs="仿宋_GB2312"/>
          <w:i w:val="0"/>
          <w:caps w:val="0"/>
          <w:color w:val="333333"/>
          <w:spacing w:val="0"/>
          <w:sz w:val="32"/>
          <w:szCs w:val="32"/>
          <w:shd w:val="clear" w:color="auto" w:fill="FFFFFF"/>
          <w:lang w:eastAsia="zh-CN"/>
        </w:rPr>
        <w:t>县</w:t>
      </w:r>
      <w:r>
        <w:rPr>
          <w:rFonts w:hint="eastAsia" w:ascii="仿宋_GB2312" w:hAnsi="仿宋_GB2312" w:eastAsia="仿宋_GB2312" w:cs="仿宋_GB2312"/>
          <w:i w:val="0"/>
          <w:caps w:val="0"/>
          <w:color w:val="333333"/>
          <w:spacing w:val="0"/>
          <w:sz w:val="32"/>
          <w:szCs w:val="32"/>
          <w:shd w:val="clear" w:color="auto" w:fill="FFFFFF"/>
        </w:rPr>
        <w:t>区民政局优化财政支出结构，科学合理编制预算，加强救助补助资金统筹使用，发挥救助补助资金合力，提升资金使用效益，有效保障低保对象、特困人员等城乡困难群众基本生活，为生活无着的流浪乞讨人员提供临时救助，对流浪未成年人履行临时监护责任，使其生活得更有尊严，更好融入社会。</w:t>
      </w:r>
    </w:p>
    <w:p w14:paraId="74258F4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项目管理。</w:t>
      </w:r>
      <w:r>
        <w:rPr>
          <w:rFonts w:hint="eastAsia" w:ascii="仿宋_GB2312" w:hAnsi="仿宋_GB2312" w:eastAsia="仿宋_GB2312" w:cs="仿宋_GB2312"/>
          <w:i w:val="0"/>
          <w:caps w:val="0"/>
          <w:color w:val="000000"/>
          <w:spacing w:val="0"/>
          <w:sz w:val="32"/>
          <w:szCs w:val="32"/>
          <w:shd w:val="clear" w:color="auto" w:fill="FFFFFF"/>
        </w:rPr>
        <w:t>困难群众救助资金的使用，严格按照</w:t>
      </w:r>
      <w:r>
        <w:rPr>
          <w:rFonts w:hint="eastAsia" w:ascii="仿宋_GB2312" w:hAnsi="仿宋_GB2312" w:eastAsia="仿宋_GB2312" w:cs="仿宋_GB2312"/>
          <w:i w:val="0"/>
          <w:caps w:val="0"/>
          <w:color w:val="333333"/>
          <w:spacing w:val="0"/>
          <w:sz w:val="32"/>
          <w:szCs w:val="32"/>
          <w:shd w:val="clear" w:color="auto" w:fill="FFFFFF"/>
        </w:rPr>
        <w:t>《</w:t>
      </w:r>
      <w:r>
        <w:rPr>
          <w:rFonts w:hint="eastAsia" w:ascii="仿宋_GB2312" w:hAnsi="仿宋_GB2312" w:eastAsia="仿宋_GB2312" w:cs="仿宋_GB2312"/>
          <w:i w:val="0"/>
          <w:caps w:val="0"/>
          <w:color w:val="333333"/>
          <w:spacing w:val="0"/>
          <w:sz w:val="32"/>
          <w:szCs w:val="32"/>
          <w:shd w:val="clear" w:color="auto" w:fill="FFFFFF"/>
          <w:lang w:eastAsia="zh-CN"/>
        </w:rPr>
        <w:t>四川</w:t>
      </w:r>
      <w:r>
        <w:rPr>
          <w:rFonts w:hint="eastAsia" w:ascii="仿宋_GB2312" w:hAnsi="仿宋_GB2312" w:eastAsia="仿宋_GB2312" w:cs="仿宋_GB2312"/>
          <w:i w:val="0"/>
          <w:caps w:val="0"/>
          <w:color w:val="333333"/>
          <w:spacing w:val="0"/>
          <w:sz w:val="32"/>
          <w:szCs w:val="32"/>
          <w:shd w:val="clear" w:color="auto" w:fill="FFFFFF"/>
        </w:rPr>
        <w:t>省困难群众救助补助资金管理办法》实行</w:t>
      </w:r>
      <w:r>
        <w:rPr>
          <w:rFonts w:hint="eastAsia" w:ascii="仿宋_GB2312" w:hAnsi="仿宋_GB2312" w:eastAsia="仿宋_GB2312" w:cs="仿宋_GB2312"/>
          <w:i w:val="0"/>
          <w:caps w:val="0"/>
          <w:color w:val="000000"/>
          <w:spacing w:val="0"/>
          <w:sz w:val="32"/>
          <w:szCs w:val="32"/>
          <w:shd w:val="clear" w:color="auto" w:fill="FFFFFF"/>
        </w:rPr>
        <w:t>。建立健全了各项规章制度，规范了资金使用与管理。一是严格资金分配，坚持资金分配的客观性，坚持每一笔资金分配都在党组会上研究审议，杜绝主观随意性。二是严格执行国库集中支付制度，实行财政惠民惠农资金“一卡通”发放，不存在截留、挤占、挪用、虚列支出等情况，确保发放时效和资金安全。三是强化资金监管，实行政务公开公示，每月按时在“互</w:t>
      </w:r>
      <w:r>
        <w:rPr>
          <w:rFonts w:hint="eastAsia" w:ascii="仿宋_GB2312" w:hAnsi="仿宋_GB2312" w:eastAsia="仿宋_GB2312" w:cs="仿宋_GB2312"/>
          <w:i w:val="0"/>
          <w:caps w:val="0"/>
          <w:color w:val="000000"/>
          <w:spacing w:val="0"/>
          <w:sz w:val="32"/>
          <w:szCs w:val="32"/>
          <w:shd w:val="clear" w:color="auto" w:fill="FFFFFF"/>
          <w:lang w:eastAsia="zh-CN"/>
        </w:rPr>
        <w:t>联网</w:t>
      </w:r>
      <w:r>
        <w:rPr>
          <w:rFonts w:hint="eastAsia" w:ascii="仿宋_GB2312" w:hAnsi="仿宋_GB2312" w:eastAsia="仿宋_GB2312" w:cs="仿宋_GB2312"/>
          <w:i w:val="0"/>
          <w:caps w:val="0"/>
          <w:color w:val="000000"/>
          <w:spacing w:val="0"/>
          <w:sz w:val="32"/>
          <w:szCs w:val="32"/>
          <w:shd w:val="clear" w:color="auto" w:fill="FFFFFF"/>
        </w:rPr>
        <w:t>+监督”公示资金发放名单，主动接受群众监督，同时积极接受和配合审计、纪检监察、财政部门的监督检查。</w:t>
      </w:r>
    </w:p>
    <w:p w14:paraId="11DD7CFC">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3.项目实施。</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2024年困难群众补助资金共计支付2535.294万元，其中</w:t>
      </w:r>
      <w:r>
        <w:rPr>
          <w:rFonts w:hint="eastAsia" w:ascii="仿宋_GB2312" w:hAnsi="仿宋_GB2312" w:eastAsia="仿宋_GB2312" w:cs="仿宋_GB2312"/>
          <w:sz w:val="32"/>
          <w:szCs w:val="32"/>
          <w:lang w:val="zh-CN"/>
        </w:rPr>
        <w:t>城乡低保</w:t>
      </w:r>
      <w:r>
        <w:rPr>
          <w:rFonts w:hint="eastAsia" w:ascii="仿宋_GB2312" w:hAnsi="仿宋_GB2312" w:eastAsia="仿宋_GB2312" w:cs="仿宋_GB2312"/>
          <w:sz w:val="32"/>
          <w:szCs w:val="32"/>
          <w:lang w:val="en-US" w:eastAsia="zh-CN"/>
        </w:rPr>
        <w:t>1987.2007万元、特困供养302.3074万元、孤儿13.92万元、困难群众一次性生活补贴120.9万元、流浪乞讨1.0648万元、临时救助109.9011万元。</w:t>
      </w:r>
    </w:p>
    <w:p w14:paraId="751F891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4.项目结果。2024年困难群众救助资金严格按照文件要求于每月初按时发放</w:t>
      </w:r>
      <w:r>
        <w:rPr>
          <w:rFonts w:hint="eastAsia" w:ascii="仿宋_GB2312" w:hAnsi="仿宋_GB2312" w:eastAsia="仿宋_GB2312" w:cs="仿宋_GB2312"/>
          <w:color w:val="auto"/>
          <w:sz w:val="32"/>
          <w:szCs w:val="32"/>
          <w:lang w:eastAsia="zh-CN"/>
        </w:rPr>
        <w:t>。拨付过程做到及时、足额发放。</w:t>
      </w:r>
    </w:p>
    <w:p w14:paraId="1D729EF2">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color w:val="auto"/>
          <w:sz w:val="32"/>
          <w:szCs w:val="32"/>
          <w:highlight w:val="none"/>
          <w:u w:val="none"/>
          <w:lang w:val="zh-CN"/>
        </w:rPr>
        <w:t>（二）</w:t>
      </w:r>
      <w:r>
        <w:rPr>
          <w:rFonts w:hint="eastAsia" w:ascii="仿宋_GB2312" w:hAnsi="仿宋_GB2312" w:eastAsia="仿宋_GB2312" w:cs="仿宋_GB2312"/>
          <w:b/>
          <w:color w:val="auto"/>
          <w:sz w:val="32"/>
          <w:szCs w:val="32"/>
          <w:highlight w:val="none"/>
          <w:u w:val="none"/>
          <w:lang w:val="en-US" w:eastAsia="zh-CN"/>
        </w:rPr>
        <w:t>专用指标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p>
    <w:p w14:paraId="6366915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eastAsia="zh-CN"/>
        </w:rPr>
        <w:t>民生保障。</w:t>
      </w:r>
      <w:r>
        <w:rPr>
          <w:rFonts w:hint="eastAsia" w:ascii="仿宋_GB2312" w:hAnsi="仿宋_GB2312" w:eastAsia="仿宋_GB2312" w:cs="仿宋_GB2312"/>
          <w:i w:val="0"/>
          <w:caps w:val="0"/>
          <w:color w:val="000000"/>
          <w:spacing w:val="0"/>
          <w:sz w:val="32"/>
          <w:szCs w:val="32"/>
          <w:shd w:val="clear" w:color="auto" w:fill="FFFFFF"/>
        </w:rPr>
        <w:t>困难群众基本生活救助制度不断完善，组织领导不断加强，经办能力不断提升，监督检查不断强化。敢于创新，先行先试，及时发现和解决问题，探索形成可推广的经验做法。服务对象对预算支出实施效果满意度高、社会反响好，为维护社会稳定、社会和谐发挥了积极作用。</w:t>
      </w:r>
    </w:p>
    <w:p w14:paraId="72DA6123">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highlight w:val="none"/>
          <w:u w:val="none"/>
          <w:lang w:val="zh-CN"/>
        </w:rPr>
        <w:t>（三）</w:t>
      </w:r>
      <w:r>
        <w:rPr>
          <w:rFonts w:hint="eastAsia" w:ascii="仿宋_GB2312" w:hAnsi="仿宋_GB2312" w:eastAsia="仿宋_GB2312" w:cs="仿宋_GB2312"/>
          <w:b/>
          <w:color w:val="auto"/>
          <w:sz w:val="32"/>
          <w:szCs w:val="32"/>
          <w:highlight w:val="none"/>
          <w:u w:val="none"/>
          <w:lang w:val="en-US" w:eastAsia="zh-CN"/>
        </w:rPr>
        <w:t>个性指标</w:t>
      </w:r>
      <w:r>
        <w:rPr>
          <w:rFonts w:hint="eastAsia" w:ascii="仿宋_GB2312" w:hAnsi="仿宋_GB2312" w:eastAsia="仿宋_GB2312" w:cs="仿宋_GB2312"/>
          <w:b/>
          <w:bCs/>
          <w:color w:val="000000"/>
          <w:kern w:val="0"/>
          <w:sz w:val="32"/>
          <w:szCs w:val="32"/>
          <w:highlight w:val="none"/>
          <w:shd w:val="clear" w:color="auto" w:fill="FFFFFF"/>
          <w:lang w:val="zh-CN"/>
        </w:rPr>
        <w:t>绩效分析。</w:t>
      </w:r>
    </w:p>
    <w:p w14:paraId="0FC969A1">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i w:val="0"/>
          <w:caps w:val="0"/>
          <w:color w:val="000000"/>
          <w:spacing w:val="0"/>
          <w:kern w:val="2"/>
          <w:position w:val="0"/>
          <w:sz w:val="32"/>
          <w:szCs w:val="32"/>
          <w:shd w:val="clear" w:color="auto" w:fill="FFFFFF"/>
          <w:lang w:val="en-US" w:eastAsia="zh-CN" w:bidi="ar-SA"/>
        </w:rPr>
      </w:pPr>
      <w:r>
        <w:rPr>
          <w:rFonts w:hint="eastAsia" w:ascii="仿宋_GB2312" w:hAnsi="仿宋_GB2312" w:eastAsia="仿宋_GB2312" w:cs="仿宋_GB2312"/>
          <w:i w:val="0"/>
          <w:caps w:val="0"/>
          <w:color w:val="000000"/>
          <w:spacing w:val="0"/>
          <w:kern w:val="2"/>
          <w:position w:val="0"/>
          <w:sz w:val="32"/>
          <w:szCs w:val="32"/>
          <w:shd w:val="clear" w:color="auto" w:fill="FFFFFF"/>
          <w:lang w:val="en-US" w:eastAsia="zh-CN" w:bidi="ar-SA"/>
        </w:rPr>
        <w:t>社会效益：困难群众资金不仅是社会保障体系的“安全网”，更是实现共同富裕、促进社会可持续发展的重要工具。通过对享受困难群众资金的群众进行问卷调查，困难群众资金为困难群众提供了基本生活保障，直接改善了其生活条件，减少了因贫困引发的社会不满和对抗行为，增强了民众对政府的信任。</w:t>
      </w:r>
    </w:p>
    <w:p w14:paraId="700AF806">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b/>
          <w:bCs/>
          <w:color w:val="auto"/>
          <w:sz w:val="32"/>
          <w:szCs w:val="32"/>
          <w:highlight w:val="none"/>
          <w:u w:val="none"/>
          <w:lang w:eastAsia="zh-CN"/>
        </w:rPr>
        <w:t>四</w:t>
      </w:r>
      <w:r>
        <w:rPr>
          <w:rFonts w:hint="eastAsia" w:ascii="仿宋_GB2312" w:hAnsi="仿宋_GB2312" w:eastAsia="仿宋_GB2312" w:cs="仿宋_GB2312"/>
          <w:b/>
          <w:bCs/>
          <w:color w:val="auto"/>
          <w:sz w:val="32"/>
          <w:szCs w:val="32"/>
          <w:highlight w:val="none"/>
          <w:u w:val="none"/>
        </w:rPr>
        <w:t>、评价结论</w:t>
      </w:r>
    </w:p>
    <w:p w14:paraId="4DFEED58">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i w:val="0"/>
          <w:caps w:val="0"/>
          <w:color w:val="000000"/>
          <w:spacing w:val="0"/>
          <w:sz w:val="32"/>
          <w:szCs w:val="32"/>
          <w:shd w:val="clear" w:color="auto" w:fill="FFFFFF"/>
          <w:lang w:val="en-US" w:eastAsia="zh-CN"/>
        </w:rPr>
      </w:pPr>
      <w:r>
        <w:rPr>
          <w:rFonts w:hint="eastAsia" w:ascii="仿宋_GB2312" w:hAnsi="仿宋_GB2312" w:eastAsia="仿宋_GB2312" w:cs="仿宋_GB2312"/>
          <w:i w:val="0"/>
          <w:caps w:val="0"/>
          <w:color w:val="000000"/>
          <w:spacing w:val="0"/>
          <w:sz w:val="32"/>
          <w:szCs w:val="32"/>
          <w:shd w:val="clear" w:color="auto" w:fill="FFFFFF"/>
        </w:rPr>
        <w:t>我</w:t>
      </w:r>
      <w:r>
        <w:rPr>
          <w:rFonts w:hint="eastAsia" w:ascii="仿宋_GB2312" w:hAnsi="仿宋_GB2312" w:eastAsia="仿宋_GB2312" w:cs="仿宋_GB2312"/>
          <w:i w:val="0"/>
          <w:caps w:val="0"/>
          <w:color w:val="000000"/>
          <w:spacing w:val="0"/>
          <w:sz w:val="32"/>
          <w:szCs w:val="32"/>
          <w:shd w:val="clear" w:color="auto" w:fill="FFFFFF"/>
          <w:lang w:eastAsia="zh-CN"/>
        </w:rPr>
        <w:t>县</w:t>
      </w:r>
      <w:r>
        <w:rPr>
          <w:rFonts w:hint="eastAsia" w:ascii="仿宋_GB2312" w:hAnsi="仿宋_GB2312" w:eastAsia="仿宋_GB2312" w:cs="仿宋_GB2312"/>
          <w:i w:val="0"/>
          <w:caps w:val="0"/>
          <w:color w:val="000000"/>
          <w:spacing w:val="0"/>
          <w:sz w:val="32"/>
          <w:szCs w:val="32"/>
          <w:shd w:val="clear" w:color="auto" w:fill="FFFFFF"/>
        </w:rPr>
        <w:t>困难群众救助补助资金绩效目标明确，管理制度健全，资金到位及时，困难群众基本生活得到较好保障，促进了经济发展和社会和谐，未偏离绩效目标。</w:t>
      </w:r>
      <w:r>
        <w:rPr>
          <w:rFonts w:hint="eastAsia" w:ascii="仿宋_GB2312" w:hAnsi="仿宋_GB2312" w:eastAsia="仿宋_GB2312" w:cs="仿宋_GB2312"/>
          <w:i w:val="0"/>
          <w:caps w:val="0"/>
          <w:color w:val="000000"/>
          <w:spacing w:val="0"/>
          <w:sz w:val="32"/>
          <w:szCs w:val="32"/>
          <w:shd w:val="clear" w:color="auto" w:fill="FFFFFF"/>
          <w:lang w:eastAsia="zh-CN"/>
        </w:rPr>
        <w:t>通过自评综合得分</w:t>
      </w:r>
      <w:r>
        <w:rPr>
          <w:rFonts w:hint="eastAsia" w:ascii="仿宋_GB2312" w:hAnsi="仿宋_GB2312" w:eastAsia="仿宋_GB2312" w:cs="仿宋_GB2312"/>
          <w:i w:val="0"/>
          <w:caps w:val="0"/>
          <w:color w:val="000000"/>
          <w:spacing w:val="0"/>
          <w:sz w:val="32"/>
          <w:szCs w:val="32"/>
          <w:shd w:val="clear" w:color="auto" w:fill="FFFFFF"/>
          <w:lang w:val="en-US" w:eastAsia="zh-CN"/>
        </w:rPr>
        <w:t>89分。</w:t>
      </w:r>
    </w:p>
    <w:p w14:paraId="70C2B798">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五、存在主要问题</w:t>
      </w:r>
    </w:p>
    <w:p w14:paraId="6B7089CA">
      <w:pPr>
        <w:pStyle w:val="6"/>
        <w:pageBreakBefore w:val="0"/>
        <w:numPr>
          <w:ilvl w:val="0"/>
          <w:numId w:val="0"/>
        </w:numPr>
        <w:tabs>
          <w:tab w:val="left" w:pos="2160"/>
        </w:tabs>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救助资金不充裕，影响救助保障水平。</w:t>
      </w:r>
    </w:p>
    <w:p w14:paraId="64CF6829">
      <w:pPr>
        <w:pStyle w:val="6"/>
        <w:pageBreakBefore w:val="0"/>
        <w:numPr>
          <w:ilvl w:val="0"/>
          <w:numId w:val="0"/>
        </w:numPr>
        <w:tabs>
          <w:tab w:val="left" w:pos="2160"/>
        </w:tabs>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kern w:val="0"/>
          <w:position w:val="3"/>
          <w:sz w:val="32"/>
          <w:szCs w:val="32"/>
          <w:highlight w:val="none"/>
          <w:u w:val="none"/>
          <w:lang w:val="zh-CN" w:eastAsia="zh-CN" w:bidi="ar-SA"/>
        </w:rPr>
      </w:pPr>
      <w:r>
        <w:rPr>
          <w:rFonts w:hint="eastAsia" w:ascii="仿宋_GB2312" w:hAnsi="仿宋_GB2312" w:eastAsia="仿宋_GB2312" w:cs="仿宋_GB2312"/>
          <w:b/>
          <w:bCs/>
          <w:color w:val="auto"/>
          <w:kern w:val="0"/>
          <w:position w:val="3"/>
          <w:sz w:val="32"/>
          <w:szCs w:val="32"/>
          <w:highlight w:val="none"/>
          <w:u w:val="none"/>
          <w:lang w:val="zh-CN" w:eastAsia="zh-CN" w:bidi="ar-SA"/>
        </w:rPr>
        <w:t>六、改进建议</w:t>
      </w:r>
    </w:p>
    <w:p w14:paraId="4FF4EB96">
      <w:pPr>
        <w:tabs>
          <w:tab w:val="left" w:pos="1911"/>
        </w:tabs>
        <w:jc w:val="left"/>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hAnsi="仿宋_GB2312" w:eastAsia="仿宋_GB2312" w:cs="仿宋_GB2312"/>
          <w:b w:val="0"/>
          <w:bCs w:val="0"/>
          <w:kern w:val="0"/>
          <w:position w:val="0"/>
          <w:sz w:val="32"/>
          <w:szCs w:val="32"/>
          <w:highlight w:val="none"/>
          <w:lang w:val="en-US" w:eastAsia="zh-CN" w:bidi="ar-SA"/>
        </w:rPr>
        <w:t xml:space="preserve">   </w:t>
      </w:r>
      <w:r>
        <w:rPr>
          <w:rFonts w:hint="eastAsia" w:ascii="仿宋_GB2312" w:hAnsi="仿宋_GB2312" w:eastAsia="仿宋_GB2312" w:cs="仿宋_GB2312"/>
          <w:i w:val="0"/>
          <w:caps w:val="0"/>
          <w:color w:val="333333"/>
          <w:spacing w:val="0"/>
          <w:sz w:val="32"/>
          <w:szCs w:val="32"/>
          <w:shd w:val="clear" w:color="auto" w:fill="FFFFFF"/>
        </w:rPr>
        <w:t>建议财政加大对救助资金投入，确保全</w:t>
      </w:r>
      <w:r>
        <w:rPr>
          <w:rFonts w:hint="eastAsia" w:ascii="仿宋_GB2312" w:hAnsi="仿宋_GB2312" w:eastAsia="仿宋_GB2312" w:cs="仿宋_GB2312"/>
          <w:i w:val="0"/>
          <w:caps w:val="0"/>
          <w:color w:val="333333"/>
          <w:spacing w:val="0"/>
          <w:sz w:val="32"/>
          <w:szCs w:val="32"/>
          <w:shd w:val="clear" w:color="auto" w:fill="FFFFFF"/>
          <w:lang w:eastAsia="zh-CN"/>
        </w:rPr>
        <w:t>县</w:t>
      </w:r>
      <w:r>
        <w:rPr>
          <w:rFonts w:hint="eastAsia" w:ascii="仿宋_GB2312" w:hAnsi="仿宋_GB2312" w:eastAsia="仿宋_GB2312" w:cs="仿宋_GB2312"/>
          <w:i w:val="0"/>
          <w:caps w:val="0"/>
          <w:color w:val="333333"/>
          <w:spacing w:val="0"/>
          <w:sz w:val="32"/>
          <w:szCs w:val="32"/>
          <w:shd w:val="clear" w:color="auto" w:fill="FFFFFF"/>
        </w:rPr>
        <w:t>救助标准和保障水平持续稳步提升。</w:t>
      </w:r>
    </w:p>
    <w:p w14:paraId="286B1DCF">
      <w:pPr>
        <w:widowControl w:val="0"/>
        <w:spacing w:line="578" w:lineRule="exact"/>
        <w:ind w:firstLine="880" w:firstLineChars="200"/>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养老服务发展资金</w:t>
      </w:r>
    </w:p>
    <w:p w14:paraId="3EA89DF8">
      <w:pPr>
        <w:widowControl w:val="0"/>
        <w:spacing w:line="578" w:lineRule="exact"/>
        <w:ind w:firstLine="880" w:firstLineChars="200"/>
        <w:jc w:val="center"/>
        <w:rPr>
          <w:rFonts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专项预算项目绩效评价报告</w:t>
      </w:r>
    </w:p>
    <w:p w14:paraId="664D740E">
      <w:pPr>
        <w:widowControl w:val="0"/>
        <w:spacing w:line="578" w:lineRule="exact"/>
        <w:ind w:firstLine="640"/>
        <w:jc w:val="center"/>
        <w:rPr>
          <w:rFonts w:ascii="宋体" w:hAnsi="宋体" w:eastAsia="宋体" w:cs="Times New Roman"/>
          <w:color w:val="auto"/>
          <w:kern w:val="2"/>
          <w:sz w:val="32"/>
          <w:szCs w:val="32"/>
          <w:lang w:val="zh-CN" w:eastAsia="zh-CN" w:bidi="ar-SA"/>
        </w:rPr>
      </w:pPr>
    </w:p>
    <w:p w14:paraId="4FF3A94C">
      <w:pPr>
        <w:adjustRightInd w:val="0"/>
        <w:snapToGrid w:val="0"/>
        <w:spacing w:line="578" w:lineRule="exact"/>
        <w:ind w:firstLine="640" w:firstLineChars="200"/>
        <w:rPr>
          <w:rFonts w:ascii="黑体" w:hAnsi="宋体" w:eastAsia="黑体" w:cs="Times New Roman"/>
          <w:sz w:val="32"/>
          <w:szCs w:val="32"/>
          <w:lang w:val="zh-CN" w:bidi="ar-SA"/>
        </w:rPr>
      </w:pPr>
      <w:r>
        <w:rPr>
          <w:rFonts w:hint="eastAsia" w:ascii="黑体" w:hAnsi="宋体" w:eastAsia="黑体" w:cs="Times New Roman"/>
          <w:sz w:val="32"/>
          <w:szCs w:val="32"/>
          <w:lang w:bidi="ar-SA"/>
        </w:rPr>
        <w:t>一、</w:t>
      </w:r>
      <w:r>
        <w:rPr>
          <w:rFonts w:hint="eastAsia" w:ascii="黑体" w:hAnsi="宋体" w:eastAsia="黑体" w:cs="Times New Roman"/>
          <w:sz w:val="32"/>
          <w:szCs w:val="32"/>
          <w:lang w:val="zh-CN" w:bidi="ar-SA"/>
        </w:rPr>
        <w:t>项目概况</w:t>
      </w:r>
    </w:p>
    <w:p w14:paraId="1E6F4AFB">
      <w:pPr>
        <w:widowControl/>
        <w:adjustRightInd w:val="0"/>
        <w:snapToGrid w:val="0"/>
        <w:spacing w:line="578" w:lineRule="exact"/>
        <w:ind w:firstLine="643" w:firstLineChars="200"/>
        <w:contextualSpacing/>
        <w:jc w:val="left"/>
        <w:rPr>
          <w:rFonts w:hint="eastAsia"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（一）设立背景及基本情况。</w:t>
      </w:r>
    </w:p>
    <w:p w14:paraId="4C7BF633">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bidi="ar-SA"/>
        </w:rPr>
      </w:pPr>
      <w:r>
        <w:rPr>
          <w:rFonts w:hint="eastAsia" w:ascii="仿宋_GB2312" w:hAnsi="Times New Roman" w:eastAsia="仿宋_GB2312" w:cs="Times New Roman"/>
          <w:color w:val="000000"/>
          <w:sz w:val="32"/>
          <w:szCs w:val="32"/>
          <w:lang w:bidi="ar-SA"/>
        </w:rPr>
        <w:t>随着人口老龄化趋势的加剧，养老服务体系建设已成为社会关注的焦点。</w:t>
      </w:r>
      <w:r>
        <w:rPr>
          <w:rFonts w:hint="eastAsia" w:ascii="仿宋_GB2312" w:hAnsi="仿宋_GB2312" w:eastAsia="仿宋_GB2312" w:cs="仿宋_GB2312"/>
          <w:color w:val="000000"/>
          <w:kern w:val="0"/>
          <w:sz w:val="32"/>
          <w:szCs w:val="32"/>
          <w:shd w:val="clear" w:color="auto" w:fill="FFFFFF"/>
          <w:lang w:bidi="ar-SA"/>
        </w:rPr>
        <w:t>老年人对公共服务、社会福利、文化教育、环境保护等方面的需求日益多样化和复杂化，</w:t>
      </w:r>
      <w:r>
        <w:rPr>
          <w:rFonts w:hint="eastAsia" w:ascii="仿宋_GB2312" w:hAnsi="Times New Roman" w:eastAsia="仿宋_GB2312" w:cs="Times New Roman"/>
          <w:color w:val="000000"/>
          <w:sz w:val="32"/>
          <w:szCs w:val="32"/>
          <w:lang w:bidi="ar-SA"/>
        </w:rPr>
        <w:t>通过加强养老服务体系建设，老年人的生活水平得到了明显提高。一方面，养老机构提供了多样化的服务，满足了不同老年人的需求；另一方面，通过居家养老政府购买服务方式，为老年人提供了更加便捷、贴心的服务，让老年人的生活更加舒适、幸福。</w:t>
      </w:r>
    </w:p>
    <w:p w14:paraId="7C1259BB">
      <w:pPr>
        <w:adjustRightInd w:val="0"/>
        <w:snapToGrid w:val="0"/>
        <w:spacing w:line="578" w:lineRule="exact"/>
        <w:ind w:firstLine="643" w:firstLineChars="200"/>
        <w:rPr>
          <w:rFonts w:ascii="楷体_GB2312" w:hAnsi="宋体" w:eastAsia="楷体_GB2312" w:cs="Times New Roman"/>
          <w:b/>
          <w:sz w:val="32"/>
          <w:szCs w:val="32"/>
          <w:lang w:bidi="ar-SA"/>
        </w:rPr>
      </w:pPr>
      <w:r>
        <w:rPr>
          <w:rFonts w:hint="eastAsia" w:ascii="楷体_GB2312" w:hAnsi="宋体" w:eastAsia="楷体_GB2312" w:cs="Times New Roman"/>
          <w:b/>
          <w:sz w:val="32"/>
          <w:szCs w:val="32"/>
          <w:lang w:val="zh-CN" w:bidi="ar-SA"/>
        </w:rPr>
        <w:t>（二）</w:t>
      </w:r>
      <w:r>
        <w:rPr>
          <w:rFonts w:ascii="楷体_GB2312" w:hAnsi="宋体" w:eastAsia="楷体_GB2312" w:cs="Times New Roman"/>
          <w:b/>
          <w:sz w:val="32"/>
          <w:szCs w:val="32"/>
          <w:lang w:bidi="ar-SA"/>
        </w:rPr>
        <w:t>实施目的及支持方向</w:t>
      </w:r>
      <w:r>
        <w:rPr>
          <w:rFonts w:hint="eastAsia" w:ascii="楷体_GB2312" w:hAnsi="宋体" w:eastAsia="楷体_GB2312" w:cs="Times New Roman"/>
          <w:b/>
          <w:sz w:val="32"/>
          <w:szCs w:val="32"/>
          <w:lang w:bidi="ar-SA"/>
        </w:rPr>
        <w:t>。</w:t>
      </w:r>
    </w:p>
    <w:p w14:paraId="426A5D36">
      <w:pPr>
        <w:widowControl/>
        <w:adjustRightInd w:val="0"/>
        <w:snapToGrid w:val="0"/>
        <w:spacing w:line="578" w:lineRule="exact"/>
        <w:ind w:firstLine="640" w:firstLineChars="200"/>
        <w:contextualSpacing/>
        <w:jc w:val="left"/>
        <w:rPr>
          <w:rFonts w:ascii="仿宋_GB2312" w:hAnsi="仿宋_GB2312" w:eastAsia="仿宋_GB2312" w:cs="仿宋_GB2312"/>
          <w:kern w:val="0"/>
          <w:sz w:val="32"/>
          <w:szCs w:val="32"/>
          <w:shd w:val="clear" w:color="auto" w:fill="FFFFFF"/>
          <w:lang w:val="zh-CN" w:bidi="ar-SA"/>
        </w:rPr>
      </w:pPr>
      <w:r>
        <w:rPr>
          <w:rFonts w:hint="eastAsia" w:ascii="仿宋_GB2312" w:hAnsi="仿宋_GB2312" w:eastAsia="仿宋_GB2312" w:cs="仿宋_GB2312"/>
          <w:kern w:val="0"/>
          <w:sz w:val="32"/>
          <w:szCs w:val="32"/>
          <w:shd w:val="clear" w:color="auto" w:fill="FFFFFF"/>
          <w:lang w:val="zh-CN" w:bidi="ar-SA"/>
        </w:rPr>
        <w:t>松潘县民政局</w:t>
      </w:r>
      <w:r>
        <w:rPr>
          <w:rFonts w:hint="eastAsia" w:ascii="仿宋_GB2312" w:hAnsi="Times New Roman" w:eastAsia="仿宋_GB2312" w:cs="方正小标宋简体"/>
          <w:color w:val="000000"/>
          <w:sz w:val="32"/>
          <w:szCs w:val="32"/>
          <w:lang w:bidi="ar-SA"/>
        </w:rPr>
        <w:t>养老服务业发展补助资</w:t>
      </w:r>
      <w:r>
        <w:rPr>
          <w:rFonts w:hint="eastAsia" w:ascii="仿宋_GB2312" w:hAnsi="仿宋_GB2312" w:eastAsia="仿宋_GB2312" w:cs="仿宋_GB2312"/>
          <w:kern w:val="0"/>
          <w:sz w:val="32"/>
          <w:szCs w:val="32"/>
          <w:shd w:val="clear" w:color="auto" w:fill="FFFFFF"/>
          <w:lang w:val="zh-CN" w:bidi="ar-SA"/>
        </w:rPr>
        <w:t>金的使用严格遵循“扶老、助残、救孤、济困”的发行宗旨，按照“因素分配、项目评审、公开透明、注重绩效”的分配原则，重点支持社会养老服务体系建设项目，优先支持社会福利设施建设以及残疾人、孤儿、特殊困难群体直接受益的项目，适当支持符合规定的其他社会公益服务、慈善救济等服务项目。</w:t>
      </w:r>
    </w:p>
    <w:p w14:paraId="26129C66">
      <w:pPr>
        <w:widowControl/>
        <w:numPr>
          <w:ilvl w:val="0"/>
          <w:numId w:val="5"/>
        </w:numPr>
        <w:adjustRightInd w:val="0"/>
        <w:snapToGrid w:val="0"/>
        <w:spacing w:line="578" w:lineRule="exact"/>
        <w:ind w:firstLine="643" w:firstLineChars="200"/>
        <w:contextualSpacing/>
        <w:jc w:val="left"/>
        <w:rPr>
          <w:rFonts w:ascii="楷体_GB2312" w:hAnsi="宋体" w:eastAsia="楷体_GB2312" w:cs="Times New Roman"/>
          <w:b/>
          <w:sz w:val="32"/>
          <w:szCs w:val="32"/>
          <w:lang w:val="zh-CN" w:bidi="ar-SA"/>
        </w:rPr>
      </w:pPr>
      <w:r>
        <w:rPr>
          <w:rFonts w:ascii="楷体_GB2312" w:hAnsi="宋体" w:eastAsia="楷体_GB2312" w:cs="Times New Roman"/>
          <w:b/>
          <w:sz w:val="32"/>
          <w:szCs w:val="32"/>
          <w:lang w:bidi="ar-SA"/>
        </w:rPr>
        <w:t>预算安排及分配管理</w:t>
      </w:r>
      <w:r>
        <w:rPr>
          <w:rFonts w:hint="eastAsia" w:ascii="楷体_GB2312" w:hAnsi="宋体" w:eastAsia="楷体_GB2312" w:cs="Times New Roman"/>
          <w:b/>
          <w:sz w:val="32"/>
          <w:szCs w:val="32"/>
          <w:lang w:val="zh-CN" w:bidi="ar-SA"/>
        </w:rPr>
        <w:t>。</w:t>
      </w:r>
    </w:p>
    <w:p w14:paraId="33534ABC">
      <w:pPr>
        <w:widowControl/>
        <w:adjustRightInd w:val="0"/>
        <w:snapToGrid w:val="0"/>
        <w:spacing w:line="578"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eastAsia="zh-CN" w:bidi="ar-SA"/>
        </w:rPr>
        <w:t>2024</w:t>
      </w:r>
      <w:r>
        <w:rPr>
          <w:rFonts w:hint="eastAsia" w:ascii="仿宋_GB2312" w:hAnsi="仿宋_GB2312" w:eastAsia="仿宋_GB2312" w:cs="仿宋_GB2312"/>
          <w:kern w:val="0"/>
          <w:sz w:val="32"/>
          <w:szCs w:val="32"/>
          <w:shd w:val="clear" w:color="auto" w:fill="FFFFFF"/>
          <w:lang w:bidi="ar-SA"/>
        </w:rPr>
        <w:t>年</w:t>
      </w:r>
      <w:r>
        <w:rPr>
          <w:rFonts w:hint="eastAsia" w:ascii="仿宋_GB2312" w:hAnsi="仿宋_GB2312" w:eastAsia="仿宋_GB2312" w:cs="仿宋_GB2312"/>
          <w:color w:val="000000"/>
          <w:kern w:val="0"/>
          <w:sz w:val="32"/>
          <w:szCs w:val="32"/>
          <w:shd w:val="clear" w:color="auto" w:fill="FFFFFF"/>
          <w:lang w:val="zh-CN" w:bidi="ar-SA"/>
        </w:rPr>
        <w:t>松潘县</w:t>
      </w:r>
      <w:r>
        <w:rPr>
          <w:rFonts w:hint="eastAsia" w:ascii="仿宋_GB2312" w:hAnsi="Times New Roman" w:eastAsia="仿宋_GB2312" w:cs="方正小标宋简体"/>
          <w:color w:val="000000"/>
          <w:sz w:val="32"/>
          <w:szCs w:val="32"/>
          <w:lang w:bidi="ar-SA"/>
        </w:rPr>
        <w:t>养老服务业发展补助资金</w:t>
      </w:r>
      <w:r>
        <w:rPr>
          <w:rFonts w:hint="eastAsia" w:ascii="仿宋_GB2312" w:hAnsi="仿宋_GB2312" w:eastAsia="仿宋_GB2312" w:cs="仿宋_GB2312"/>
          <w:color w:val="000000"/>
          <w:kern w:val="0"/>
          <w:sz w:val="32"/>
          <w:szCs w:val="32"/>
          <w:shd w:val="clear" w:color="auto" w:fill="FFFFFF"/>
          <w:lang w:val="en-US" w:eastAsia="zh-CN" w:bidi="ar-SA"/>
        </w:rPr>
        <w:t>55.4</w:t>
      </w:r>
      <w:r>
        <w:rPr>
          <w:rFonts w:hint="eastAsia" w:ascii="仿宋_GB2312" w:hAnsi="仿宋_GB2312" w:eastAsia="仿宋_GB2312" w:cs="仿宋_GB2312"/>
          <w:color w:val="000000"/>
          <w:kern w:val="0"/>
          <w:sz w:val="32"/>
          <w:szCs w:val="32"/>
          <w:shd w:val="clear" w:color="auto" w:fill="FFFFFF"/>
          <w:lang w:val="zh-CN" w:bidi="ar-SA"/>
        </w:rPr>
        <w:t>万元</w:t>
      </w:r>
      <w:r>
        <w:rPr>
          <w:rFonts w:hint="eastAsia" w:ascii="仿宋_GB2312" w:hAnsi="仿宋_GB2312" w:eastAsia="仿宋_GB2312" w:cs="仿宋_GB2312"/>
          <w:kern w:val="0"/>
          <w:sz w:val="32"/>
          <w:szCs w:val="32"/>
          <w:shd w:val="clear" w:color="auto" w:fill="FFFFFF"/>
          <w:lang w:bidi="ar-SA"/>
        </w:rPr>
        <w:t>。</w:t>
      </w:r>
      <w:r>
        <w:rPr>
          <w:rFonts w:hint="eastAsia" w:ascii="仿宋_GB2312" w:hAnsi="仿宋_GB2312" w:eastAsia="仿宋_GB2312" w:cs="仿宋_GB2312"/>
          <w:kern w:val="0"/>
          <w:sz w:val="32"/>
          <w:szCs w:val="32"/>
          <w:shd w:val="clear" w:color="auto" w:fill="FFFFFF"/>
          <w:lang w:eastAsia="zh-CN" w:bidi="ar-SA"/>
        </w:rPr>
        <w:t>其中：</w:t>
      </w:r>
      <w:r>
        <w:rPr>
          <w:rFonts w:hint="eastAsia" w:ascii="Times New Roman" w:hAnsi="Times New Roman" w:eastAsia="方正仿宋_GB2312" w:cs="Times New Roman"/>
          <w:color w:val="auto"/>
          <w:sz w:val="32"/>
          <w:szCs w:val="32"/>
          <w:lang w:eastAsia="zh-CN" w:bidi="ar-SA"/>
        </w:rPr>
        <w:t>阿州财</w:t>
      </w:r>
      <w:r>
        <w:rPr>
          <w:rFonts w:hint="eastAsia" w:ascii="仿宋_GB2312" w:hAnsi="仿宋_GB2312" w:eastAsia="仿宋_GB2312" w:cs="仿宋_GB2312"/>
          <w:color w:val="auto"/>
          <w:sz w:val="32"/>
          <w:szCs w:val="32"/>
          <w:lang w:eastAsia="zh-CN" w:bidi="ar-SA"/>
        </w:rPr>
        <w:t>社〔</w:t>
      </w:r>
      <w:r>
        <w:rPr>
          <w:rFonts w:hint="eastAsia" w:ascii="仿宋_GB2312" w:hAnsi="仿宋_GB2312" w:eastAsia="仿宋_GB2312" w:cs="仿宋_GB2312"/>
          <w:color w:val="auto"/>
          <w:sz w:val="32"/>
          <w:szCs w:val="32"/>
          <w:lang w:val="en-US" w:eastAsia="zh-CN" w:bidi="ar-SA"/>
        </w:rPr>
        <w:t>2024</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78号文件下达资金26.2</w:t>
      </w:r>
      <w:r>
        <w:rPr>
          <w:rFonts w:hint="eastAsia" w:ascii="Times New Roman" w:hAnsi="Times New Roman" w:eastAsia="方正仿宋_GB2312" w:cs="Times New Roman"/>
          <w:color w:val="auto"/>
          <w:sz w:val="32"/>
          <w:szCs w:val="32"/>
          <w:lang w:val="en-US" w:eastAsia="zh-CN" w:bidi="ar-SA"/>
        </w:rPr>
        <w:t>万元，</w:t>
      </w:r>
      <w:r>
        <w:rPr>
          <w:rFonts w:hint="eastAsia" w:ascii="Times New Roman" w:hAnsi="Times New Roman" w:eastAsia="方正仿宋_GB2312" w:cs="Times New Roman"/>
          <w:color w:val="auto"/>
          <w:sz w:val="32"/>
          <w:szCs w:val="32"/>
          <w:lang w:eastAsia="zh-CN" w:bidi="ar-SA"/>
        </w:rPr>
        <w:t>阿州财</w:t>
      </w:r>
      <w:r>
        <w:rPr>
          <w:rFonts w:hint="eastAsia" w:ascii="仿宋_GB2312" w:hAnsi="仿宋_GB2312" w:eastAsia="仿宋_GB2312" w:cs="仿宋_GB2312"/>
          <w:color w:val="auto"/>
          <w:sz w:val="32"/>
          <w:szCs w:val="32"/>
          <w:lang w:eastAsia="zh-CN" w:bidi="ar-SA"/>
        </w:rPr>
        <w:t>社〔</w:t>
      </w:r>
      <w:r>
        <w:rPr>
          <w:rFonts w:hint="eastAsia" w:ascii="仿宋_GB2312" w:hAnsi="仿宋_GB2312" w:eastAsia="仿宋_GB2312" w:cs="仿宋_GB2312"/>
          <w:color w:val="auto"/>
          <w:sz w:val="32"/>
          <w:szCs w:val="32"/>
          <w:lang w:val="en-US" w:eastAsia="zh-CN" w:bidi="ar-SA"/>
        </w:rPr>
        <w:t>2024</w:t>
      </w:r>
      <w:r>
        <w:rPr>
          <w:rFonts w:hint="eastAsia" w:ascii="仿宋_GB2312" w:hAnsi="仿宋_GB2312" w:eastAsia="仿宋_GB2312" w:cs="仿宋_GB2312"/>
          <w:color w:val="auto"/>
          <w:sz w:val="32"/>
          <w:szCs w:val="32"/>
          <w:lang w:eastAsia="zh-CN" w:bidi="ar-SA"/>
        </w:rPr>
        <w:t>〕</w:t>
      </w:r>
      <w:r>
        <w:rPr>
          <w:rFonts w:hint="eastAsia" w:ascii="仿宋_GB2312" w:hAnsi="仿宋_GB2312" w:eastAsia="仿宋_GB2312" w:cs="仿宋_GB2312"/>
          <w:color w:val="auto"/>
          <w:sz w:val="32"/>
          <w:szCs w:val="32"/>
          <w:lang w:val="en-US" w:eastAsia="zh-CN" w:bidi="ar-SA"/>
        </w:rPr>
        <w:t>125号文件下达资金1.2</w:t>
      </w:r>
      <w:r>
        <w:rPr>
          <w:rFonts w:hint="eastAsia" w:ascii="Times New Roman" w:hAnsi="Times New Roman" w:eastAsia="方正仿宋_GB2312" w:cs="Times New Roman"/>
          <w:color w:val="auto"/>
          <w:sz w:val="32"/>
          <w:szCs w:val="32"/>
          <w:lang w:val="en-US" w:eastAsia="zh-CN" w:bidi="ar-SA"/>
        </w:rPr>
        <w:t>万元，县级预算安排28万元。</w:t>
      </w:r>
      <w:r>
        <w:rPr>
          <w:rFonts w:hint="eastAsia" w:ascii="仿宋_GB2312" w:hAnsi="仿宋_GB2312" w:eastAsia="仿宋_GB2312" w:cs="仿宋_GB2312"/>
          <w:kern w:val="0"/>
          <w:sz w:val="32"/>
          <w:szCs w:val="32"/>
          <w:shd w:val="clear" w:color="auto" w:fill="FFFFFF"/>
          <w:lang w:eastAsia="zh-CN" w:bidi="ar-SA"/>
        </w:rPr>
        <w:t>资金分配如下：养老服务网络建设及运营</w:t>
      </w:r>
      <w:r>
        <w:rPr>
          <w:rFonts w:hint="eastAsia" w:ascii="仿宋_GB2312" w:hAnsi="仿宋_GB2312" w:eastAsia="仿宋_GB2312" w:cs="仿宋_GB2312"/>
          <w:kern w:val="0"/>
          <w:sz w:val="32"/>
          <w:szCs w:val="32"/>
          <w:shd w:val="clear" w:color="auto" w:fill="FFFFFF"/>
          <w:lang w:val="en-US" w:eastAsia="zh-CN" w:bidi="ar-SA"/>
        </w:rPr>
        <w:t>21.2万元，日间照料中心28万元，公办养老机构规范化建设5万元，护理人员职业技能培训1.2万元。</w:t>
      </w:r>
    </w:p>
    <w:p w14:paraId="556EC7C1">
      <w:pPr>
        <w:widowControl/>
        <w:adjustRightInd w:val="0"/>
        <w:snapToGrid w:val="0"/>
        <w:spacing w:line="578" w:lineRule="exact"/>
        <w:ind w:firstLine="643" w:firstLineChars="200"/>
        <w:contextualSpacing/>
        <w:jc w:val="left"/>
        <w:rPr>
          <w:rFonts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（四）项目绩效目标设置。</w:t>
      </w:r>
    </w:p>
    <w:p w14:paraId="25B842E8">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bidi="ar-SA"/>
        </w:rPr>
      </w:pPr>
      <w:r>
        <w:rPr>
          <w:rFonts w:hint="eastAsia" w:ascii="仿宋_GB2312" w:hAnsi="仿宋_GB2312" w:eastAsia="仿宋_GB2312" w:cs="仿宋_GB2312"/>
          <w:kern w:val="0"/>
          <w:sz w:val="32"/>
          <w:szCs w:val="32"/>
          <w:shd w:val="clear" w:color="auto" w:fill="FFFFFF"/>
          <w:lang w:val="zh-CN" w:bidi="ar-SA"/>
        </w:rPr>
        <w:t>大力实施养老服务体系建设。重点对困难失能老人的生活护理费进行救助，</w:t>
      </w:r>
      <w:r>
        <w:rPr>
          <w:rFonts w:hint="eastAsia" w:ascii="仿宋_GB2312" w:hAnsi="Times New Roman" w:eastAsia="仿宋_GB2312" w:cs="Times New Roman"/>
          <w:sz w:val="32"/>
          <w:szCs w:val="32"/>
          <w:lang w:bidi="ar-SA"/>
        </w:rPr>
        <w:t>为进一步健全居家养老服务保障制度，维护老人权利，践行 “扶老、助残、救孤、济困”工作宗旨，松潘县民政局按照</w:t>
      </w:r>
      <w:r>
        <w:rPr>
          <w:rFonts w:hint="eastAsia" w:ascii="仿宋_GB2312" w:eastAsia="仿宋_GB2312" w:cs="Times New Roman"/>
          <w:sz w:val="32"/>
          <w:szCs w:val="32"/>
          <w:lang w:eastAsia="zh-CN" w:bidi="ar-SA"/>
        </w:rPr>
        <w:t>民政部</w:t>
      </w:r>
      <w:r>
        <w:rPr>
          <w:rFonts w:hint="eastAsia" w:ascii="仿宋_GB2312" w:hAnsi="Times New Roman" w:eastAsia="仿宋_GB2312" w:cs="Times New Roman"/>
          <w:sz w:val="32"/>
          <w:szCs w:val="32"/>
          <w:lang w:bidi="ar-SA"/>
        </w:rPr>
        <w:t>及四川省民政厅的决策部署，实施居家养老服务项目</w:t>
      </w:r>
      <w:r>
        <w:rPr>
          <w:rFonts w:hint="eastAsia" w:ascii="仿宋_GB2312" w:hAnsi="仿宋_GB2312" w:eastAsia="仿宋_GB2312" w:cs="仿宋_GB2312"/>
          <w:kern w:val="0"/>
          <w:sz w:val="32"/>
          <w:szCs w:val="32"/>
          <w:shd w:val="clear" w:color="auto" w:fill="FFFFFF"/>
          <w:lang w:val="zh-CN" w:bidi="ar-SA"/>
        </w:rPr>
        <w:t>完善保障城区养老服务设施平稳发展，让补助资金的成果惠及各类老人，提升老年人群体幸福感、满足感。</w:t>
      </w:r>
    </w:p>
    <w:p w14:paraId="44421833">
      <w:pPr>
        <w:adjustRightInd w:val="0"/>
        <w:snapToGrid w:val="0"/>
        <w:spacing w:line="578" w:lineRule="exact"/>
        <w:ind w:firstLine="640" w:firstLineChars="200"/>
        <w:rPr>
          <w:rFonts w:ascii="仿宋_GB2312" w:hAnsi="仿宋_GB2312" w:eastAsia="仿宋_GB2312" w:cs="仿宋_GB2312"/>
          <w:kern w:val="0"/>
          <w:sz w:val="32"/>
          <w:szCs w:val="32"/>
          <w:shd w:val="clear" w:color="auto" w:fill="FFFFFF"/>
          <w:lang w:val="zh-CN" w:bidi="ar-SA"/>
        </w:rPr>
      </w:pPr>
      <w:r>
        <w:rPr>
          <w:rFonts w:hint="eastAsia" w:ascii="仿宋_GB2312" w:hAnsi="仿宋_GB2312" w:eastAsia="仿宋_GB2312" w:cs="仿宋_GB2312"/>
          <w:kern w:val="0"/>
          <w:sz w:val="32"/>
          <w:szCs w:val="32"/>
          <w:shd w:val="clear" w:color="auto" w:fill="FFFFFF"/>
          <w:lang w:val="zh-CN" w:bidi="ar-SA"/>
        </w:rPr>
        <w:t>社会公益类建设。积极开展社会组织参与公益创投，在为老服务、儿童关爱、其他公益类活动领域等引导社会组织和社会力量发挥优势，开展各种公益项目，带动社会各方资源积极参与；大力引进和培育社会组织，优化社会组织发展环境，强化社会组织服务功能，助力社会组织链接资源，提升其服务社会的能力。</w:t>
      </w:r>
    </w:p>
    <w:p w14:paraId="315F17A0">
      <w:pPr>
        <w:adjustRightInd w:val="0"/>
        <w:snapToGrid w:val="0"/>
        <w:spacing w:line="578" w:lineRule="exact"/>
        <w:ind w:firstLine="640" w:firstLineChars="200"/>
        <w:rPr>
          <w:rFonts w:ascii="黑体" w:hAnsi="宋体" w:eastAsia="黑体" w:cs="Times New Roman"/>
          <w:sz w:val="32"/>
          <w:szCs w:val="32"/>
          <w:lang w:bidi="ar-SA"/>
        </w:rPr>
      </w:pPr>
      <w:r>
        <w:rPr>
          <w:rFonts w:hint="eastAsia" w:ascii="黑体" w:hAnsi="宋体" w:eastAsia="黑体" w:cs="Times New Roman"/>
          <w:sz w:val="32"/>
          <w:szCs w:val="32"/>
          <w:lang w:bidi="ar-SA"/>
        </w:rPr>
        <w:t>二、评价实施</w:t>
      </w:r>
    </w:p>
    <w:p w14:paraId="56D0DB2F">
      <w:pPr>
        <w:spacing w:line="578" w:lineRule="exact"/>
        <w:ind w:firstLine="643" w:firstLineChars="200"/>
        <w:rPr>
          <w:rFonts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（一）评价目的。</w:t>
      </w:r>
    </w:p>
    <w:p w14:paraId="4B148FE6">
      <w:pPr>
        <w:spacing w:line="578"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通过对</w:t>
      </w:r>
      <w:r>
        <w:rPr>
          <w:rFonts w:hint="eastAsia" w:ascii="仿宋_GB2312" w:hAnsi="Times New Roman" w:eastAsia="仿宋_GB2312" w:cs="方正小标宋简体"/>
          <w:color w:val="000000"/>
          <w:sz w:val="32"/>
          <w:szCs w:val="32"/>
          <w:lang w:bidi="ar-SA"/>
        </w:rPr>
        <w:t>养老服务业发展补助资</w:t>
      </w:r>
      <w:r>
        <w:rPr>
          <w:rFonts w:hint="eastAsia" w:ascii="仿宋_GB2312" w:hAnsi="仿宋_GB2312" w:eastAsia="仿宋_GB2312" w:cs="仿宋_GB2312"/>
          <w:kern w:val="0"/>
          <w:sz w:val="32"/>
          <w:szCs w:val="32"/>
          <w:shd w:val="clear" w:color="auto" w:fill="FFFFFF"/>
          <w:lang w:val="zh-CN" w:bidi="ar-SA"/>
        </w:rPr>
        <w:t>金</w:t>
      </w:r>
      <w:r>
        <w:rPr>
          <w:rFonts w:hint="eastAsia" w:ascii="Times New Roman" w:hAnsi="Times New Roman" w:eastAsia="仿宋_GB2312" w:cs="Times New Roman"/>
          <w:sz w:val="32"/>
          <w:szCs w:val="32"/>
          <w:lang w:bidi="ar-SA"/>
        </w:rPr>
        <w:t>项目实施以及使用情况的调研和评价，客观反映项目的实施状态、财政资金使用效益，总结项目成功经验，科学研判项目实施以及资金使用过程中存在的难题和局限，为进一步提升预算管理水平、提高公共服务质量、优化公共资源配置提供决策参考，为以后年度类似项目专项资金安排、政策制度建设、预算绩效的推进提供必要的借鉴。</w:t>
      </w:r>
    </w:p>
    <w:p w14:paraId="50A7A408">
      <w:pPr>
        <w:numPr>
          <w:ilvl w:val="0"/>
          <w:numId w:val="6"/>
        </w:numPr>
        <w:adjustRightInd w:val="0"/>
        <w:snapToGrid w:val="0"/>
        <w:spacing w:line="578" w:lineRule="exact"/>
        <w:ind w:firstLine="643" w:firstLineChars="200"/>
        <w:rPr>
          <w:rFonts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预设问题及评价重点。</w:t>
      </w:r>
    </w:p>
    <w:p w14:paraId="586B30A7">
      <w:pPr>
        <w:spacing w:line="578"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val="zh-CN" w:bidi="ar-SA"/>
        </w:rPr>
        <w:t>重点评价该项目财政专项资金使用的规范性、安全性和有效性及评价项目的社会效益、经济效益、可持续性。</w:t>
      </w:r>
    </w:p>
    <w:p w14:paraId="76871F49">
      <w:pPr>
        <w:numPr>
          <w:ilvl w:val="0"/>
          <w:numId w:val="6"/>
        </w:numPr>
        <w:adjustRightInd w:val="0"/>
        <w:snapToGrid w:val="0"/>
        <w:spacing w:line="578" w:lineRule="exact"/>
        <w:ind w:firstLine="643" w:firstLineChars="200"/>
        <w:rPr>
          <w:rFonts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评价选点。</w:t>
      </w:r>
    </w:p>
    <w:p w14:paraId="4A7E2A84">
      <w:pPr>
        <w:widowControl w:val="0"/>
        <w:adjustRightInd w:val="0"/>
        <w:spacing w:line="360" w:lineRule="auto"/>
        <w:ind w:left="0" w:leftChars="0" w:firstLine="640" w:firstLineChars="200"/>
        <w:jc w:val="left"/>
        <w:rPr>
          <w:rFonts w:hint="eastAsia" w:ascii="Times New Roman" w:hAnsi="Times New Roman" w:eastAsia="仿宋_GB2312" w:cs="Times New Roman"/>
          <w:smallCaps w:val="0"/>
          <w:kern w:val="2"/>
          <w:sz w:val="32"/>
          <w:szCs w:val="32"/>
          <w:lang w:val="zh-CN" w:eastAsia="zh-CN" w:bidi="ar-SA"/>
        </w:rPr>
      </w:pPr>
      <w:r>
        <w:rPr>
          <w:rFonts w:hint="eastAsia" w:ascii="Times New Roman" w:hAnsi="Times New Roman" w:eastAsia="仿宋_GB2312" w:cs="Times New Roman"/>
          <w:smallCaps w:val="0"/>
          <w:kern w:val="2"/>
          <w:sz w:val="32"/>
          <w:szCs w:val="32"/>
          <w:lang w:val="zh-CN" w:eastAsia="zh-CN" w:bidi="ar-SA"/>
        </w:rPr>
        <w:t>对养老服务网络建设及运营项目及日间照料中心建设项目所涉及的村进行实地考察。</w:t>
      </w:r>
    </w:p>
    <w:p w14:paraId="219F1CB2">
      <w:pPr>
        <w:numPr>
          <w:ilvl w:val="0"/>
          <w:numId w:val="6"/>
        </w:numPr>
        <w:spacing w:line="578" w:lineRule="exact"/>
        <w:ind w:firstLine="643" w:firstLineChars="200"/>
        <w:rPr>
          <w:rFonts w:ascii="Times New Roman" w:hAnsi="Times New Roman" w:eastAsia="仿宋_GB2312" w:cs="Times New Roman"/>
          <w:sz w:val="32"/>
          <w:szCs w:val="32"/>
          <w:lang w:bidi="ar-SA"/>
        </w:rPr>
      </w:pPr>
      <w:r>
        <w:rPr>
          <w:rFonts w:hint="eastAsia" w:ascii="楷体_GB2312" w:hAnsi="宋体" w:eastAsia="楷体_GB2312" w:cs="Times New Roman"/>
          <w:b/>
          <w:sz w:val="32"/>
          <w:szCs w:val="32"/>
          <w:lang w:val="zh-CN" w:bidi="ar-SA"/>
        </w:rPr>
        <w:t>评价方法。</w:t>
      </w:r>
    </w:p>
    <w:p w14:paraId="1C5BC133">
      <w:pPr>
        <w:spacing w:line="578"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以现场评价为主、非现场评价为辅，开展绩效评价工作。在项目点现场通过询问、沟通、听取介绍了解项目具体情况，收集项目立项文件等依据，检查项目预算审批、资金支付等内容，实地走访、收集满意度调查问卷，记录工作底稿，获取充分依据以客观公正评价</w:t>
      </w:r>
      <w:r>
        <w:rPr>
          <w:rFonts w:ascii="Times New Roman" w:hAnsi="Times New Roman" w:eastAsia="仿宋_GB2312" w:cs="Times New Roman"/>
          <w:sz w:val="32"/>
          <w:szCs w:val="32"/>
          <w:lang w:bidi="ar-SA"/>
        </w:rPr>
        <w:t>。</w:t>
      </w:r>
    </w:p>
    <w:p w14:paraId="08B66F07">
      <w:pPr>
        <w:numPr>
          <w:ilvl w:val="0"/>
          <w:numId w:val="6"/>
        </w:numPr>
        <w:spacing w:line="578" w:lineRule="exact"/>
        <w:ind w:firstLine="643" w:firstLineChars="200"/>
        <w:rPr>
          <w:rFonts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评价组织。</w:t>
      </w:r>
    </w:p>
    <w:p w14:paraId="6F3D8C1E">
      <w:pPr>
        <w:spacing w:line="578" w:lineRule="exact"/>
        <w:ind w:firstLine="640" w:firstLineChars="200"/>
        <w:rPr>
          <w:rFonts w:ascii="Times New Roman" w:hAnsi="Times New Roman" w:eastAsia="仿宋_GB2312" w:cs="Times New Roman"/>
          <w:sz w:val="32"/>
          <w:szCs w:val="32"/>
          <w:lang w:bidi="ar-SA"/>
        </w:rPr>
      </w:pPr>
      <w:r>
        <w:rPr>
          <w:rFonts w:hint="eastAsia" w:ascii="Times New Roman" w:hAnsi="Times New Roman" w:eastAsia="仿宋_GB2312" w:cs="Times New Roman"/>
          <w:sz w:val="32"/>
          <w:szCs w:val="32"/>
          <w:lang w:bidi="ar-SA"/>
        </w:rPr>
        <w:t>成立以局长曹玉林为组长，副局长林扎介为副组长，社会救助股、社会福利和社会服务股、财务室、办公室工作人员为成员的绩效评价小组。</w:t>
      </w:r>
    </w:p>
    <w:p w14:paraId="721C499B">
      <w:pPr>
        <w:adjustRightInd w:val="0"/>
        <w:snapToGrid w:val="0"/>
        <w:spacing w:line="578" w:lineRule="exact"/>
        <w:ind w:firstLine="640" w:firstLineChars="200"/>
        <w:rPr>
          <w:rFonts w:ascii="仿宋_GB2312" w:hAnsi="宋体" w:eastAsia="仿宋_GB2312" w:cs="Times New Roman"/>
          <w:sz w:val="32"/>
          <w:szCs w:val="32"/>
          <w:lang w:val="zh-CN" w:bidi="ar-SA"/>
        </w:rPr>
      </w:pPr>
      <w:r>
        <w:rPr>
          <w:rFonts w:hint="eastAsia" w:ascii="黑体" w:hAnsi="宋体" w:eastAsia="黑体" w:cs="Times New Roman"/>
          <w:sz w:val="32"/>
          <w:szCs w:val="32"/>
          <w:lang w:bidi="ar-SA"/>
        </w:rPr>
        <w:t>三、绩效分析</w:t>
      </w:r>
      <w:r>
        <w:rPr>
          <w:rFonts w:hint="eastAsia" w:ascii="仿宋_GB2312" w:hAnsi="宋体" w:eastAsia="仿宋_GB2312" w:cs="Times New Roman"/>
          <w:sz w:val="32"/>
          <w:szCs w:val="32"/>
          <w:lang w:val="zh-CN" w:bidi="ar-SA"/>
        </w:rPr>
        <w:tab/>
      </w:r>
    </w:p>
    <w:p w14:paraId="15B3AAFF">
      <w:pPr>
        <w:spacing w:line="578" w:lineRule="exact"/>
        <w:ind w:firstLine="643" w:firstLineChars="200"/>
        <w:rPr>
          <w:rFonts w:ascii="楷体_GB2312" w:hAnsi="宋体" w:eastAsia="楷体_GB2312" w:cs="Times New Roman"/>
          <w:b/>
          <w:sz w:val="32"/>
          <w:szCs w:val="32"/>
          <w:lang w:bidi="ar-SA"/>
        </w:rPr>
      </w:pPr>
      <w:r>
        <w:rPr>
          <w:rFonts w:hint="eastAsia" w:ascii="楷体_GB2312" w:hAnsi="宋体" w:eastAsia="楷体_GB2312" w:cs="Times New Roman"/>
          <w:b/>
          <w:sz w:val="32"/>
          <w:szCs w:val="32"/>
          <w:lang w:val="zh-CN" w:bidi="ar-SA"/>
        </w:rPr>
        <w:t>（一）</w:t>
      </w:r>
      <w:r>
        <w:rPr>
          <w:rFonts w:hint="eastAsia" w:ascii="楷体_GB2312" w:hAnsi="宋体" w:eastAsia="楷体_GB2312" w:cs="Times New Roman"/>
          <w:b/>
          <w:sz w:val="32"/>
          <w:szCs w:val="32"/>
          <w:lang w:bidi="ar-SA"/>
        </w:rPr>
        <w:t>通用指标</w:t>
      </w:r>
      <w:r>
        <w:rPr>
          <w:rFonts w:ascii="Times New Roman" w:hAnsi="Times New Roman" w:eastAsia="楷体_GB2312" w:cs="Times New Roman"/>
          <w:b/>
          <w:bCs/>
          <w:color w:val="000000"/>
          <w:kern w:val="0"/>
          <w:sz w:val="32"/>
          <w:szCs w:val="32"/>
          <w:shd w:val="clear" w:color="auto" w:fill="FFFFFF"/>
          <w:lang w:val="zh-CN" w:bidi="ar-SA"/>
        </w:rPr>
        <w:t>绩效分析。</w:t>
      </w:r>
    </w:p>
    <w:p w14:paraId="5001AD14">
      <w:pPr>
        <w:spacing w:line="578" w:lineRule="exact"/>
        <w:ind w:firstLine="640" w:firstLineChars="200"/>
        <w:rPr>
          <w:rFonts w:ascii="Times New Roman" w:hAnsi="Times New Roman" w:eastAsia="仿宋_GB2312" w:cs="Times New Roman"/>
          <w:sz w:val="32"/>
          <w:szCs w:val="32"/>
          <w:lang w:bidi="ar-SA"/>
        </w:rPr>
      </w:pPr>
      <w:r>
        <w:rPr>
          <w:rFonts w:hint="eastAsia" w:ascii="楷体_GB2312" w:hAnsi="楷体_GB2312" w:eastAsia="楷体_GB2312" w:cs="楷体_GB2312"/>
          <w:sz w:val="32"/>
          <w:szCs w:val="32"/>
          <w:lang w:bidi="ar-SA"/>
        </w:rPr>
        <w:t>1.项目决策。</w:t>
      </w:r>
      <w:r>
        <w:rPr>
          <w:rFonts w:hint="eastAsia" w:ascii="Times New Roman" w:hAnsi="Times New Roman" w:eastAsia="仿宋_GB2312" w:cs="Times New Roman"/>
          <w:sz w:val="32"/>
          <w:szCs w:val="32"/>
          <w:lang w:bidi="ar-SA"/>
        </w:rPr>
        <w:t>围绕决策程序、规划论证、资金投向进行绩效分析。采购、施工、服务类项目采用政府集采、签订合同（协议）方式实施。按程序确定承接机构，通过制定实施方案、图纸设计、财评、项目立项等程序，项目由县民政局组织实施，由具体项目实施单位承办，项目实施完成后，经验收合格</w:t>
      </w:r>
      <w:r>
        <w:rPr>
          <w:rFonts w:hint="eastAsia" w:eastAsia="仿宋_GB2312" w:cs="Times New Roman"/>
          <w:sz w:val="32"/>
          <w:szCs w:val="32"/>
          <w:lang w:eastAsia="zh-CN" w:bidi="ar-SA"/>
        </w:rPr>
        <w:t>，将</w:t>
      </w:r>
      <w:r>
        <w:rPr>
          <w:rFonts w:hint="eastAsia" w:ascii="Times New Roman" w:hAnsi="Times New Roman" w:eastAsia="仿宋_GB2312" w:cs="Times New Roman"/>
          <w:sz w:val="32"/>
          <w:szCs w:val="32"/>
          <w:lang w:bidi="ar-SA"/>
        </w:rPr>
        <w:t xml:space="preserve">项目资金支付到具体项目实施单位账户。全部项目实施过程中，县民政局负责指导和监督。 </w:t>
      </w:r>
    </w:p>
    <w:p w14:paraId="33BBB554">
      <w:pPr>
        <w:spacing w:line="578" w:lineRule="exact"/>
        <w:ind w:firstLine="640" w:firstLineChars="200"/>
        <w:rPr>
          <w:rFonts w:ascii="Times New Roman" w:hAnsi="Times New Roman" w:eastAsia="仿宋_GB2312" w:cs="Times New Roman"/>
          <w:smallCaps w:val="0"/>
          <w:sz w:val="32"/>
          <w:szCs w:val="32"/>
          <w:lang w:bidi="ar-SA"/>
        </w:rPr>
      </w:pPr>
      <w:r>
        <w:rPr>
          <w:rFonts w:hint="eastAsia" w:ascii="楷体_GB2312" w:hAnsi="楷体_GB2312" w:eastAsia="楷体_GB2312" w:cs="楷体_GB2312"/>
          <w:sz w:val="32"/>
          <w:szCs w:val="32"/>
          <w:lang w:bidi="ar-SA"/>
        </w:rPr>
        <w:t>2.项目管理。</w:t>
      </w:r>
      <w:r>
        <w:rPr>
          <w:rFonts w:hint="eastAsia" w:ascii="Times New Roman" w:hAnsi="Times New Roman" w:eastAsia="仿宋_GB2312" w:cs="Times New Roman"/>
          <w:smallCaps w:val="0"/>
          <w:sz w:val="32"/>
          <w:szCs w:val="32"/>
          <w:lang w:bidi="ar-SA"/>
        </w:rPr>
        <w:t>按照项目计划执行各项任务，协调资源，确保项目工作的顺利进行，同时监控项目的进展情况，及时解决出现的问题。对项目的进度、成本、质量、风险等进行监控和评估，与计划进行对比，分析偏差，采取纠正措施，确保项目按计划实现目标，完成项目的所有任务</w:t>
      </w:r>
      <w:r>
        <w:rPr>
          <w:rFonts w:hint="eastAsia" w:ascii="Times New Roman" w:hAnsi="Times New Roman" w:eastAsia="仿宋_GB2312" w:cs="Times New Roman"/>
          <w:smallCaps w:val="0"/>
          <w:sz w:val="32"/>
          <w:szCs w:val="32"/>
          <w:lang w:eastAsia="zh-CN" w:bidi="ar-SA"/>
        </w:rPr>
        <w:t>后</w:t>
      </w:r>
      <w:r>
        <w:rPr>
          <w:rFonts w:hint="eastAsia" w:ascii="Times New Roman" w:hAnsi="Times New Roman" w:eastAsia="仿宋_GB2312" w:cs="Times New Roman"/>
          <w:smallCaps w:val="0"/>
          <w:sz w:val="32"/>
          <w:szCs w:val="32"/>
          <w:lang w:bidi="ar-SA"/>
        </w:rPr>
        <w:t>，进行项目验收，移交成果，总结项目经验教训。在项目建设管理中严格按照相关管理制度执行有关建设标准及规范，严格执行招投标、政府采购、项目公示制等相关规定，加强项目质量与安全管理，切实发</w:t>
      </w:r>
      <w:r>
        <w:rPr>
          <w:rFonts w:hint="eastAsia" w:eastAsia="仿宋_GB2312" w:cs="Times New Roman"/>
          <w:smallCaps w:val="0"/>
          <w:sz w:val="32"/>
          <w:szCs w:val="32"/>
          <w:lang w:eastAsia="zh-CN" w:bidi="ar-SA"/>
        </w:rPr>
        <w:t>挥资</w:t>
      </w:r>
      <w:r>
        <w:rPr>
          <w:rFonts w:hint="eastAsia" w:ascii="Times New Roman" w:hAnsi="Times New Roman" w:eastAsia="仿宋_GB2312" w:cs="Times New Roman"/>
          <w:smallCaps w:val="0"/>
          <w:sz w:val="32"/>
          <w:szCs w:val="32"/>
          <w:lang w:bidi="ar-SA"/>
        </w:rPr>
        <w:t>金投资效益。</w:t>
      </w:r>
    </w:p>
    <w:p w14:paraId="7D8E0049">
      <w:pPr>
        <w:numPr>
          <w:ilvl w:val="0"/>
          <w:numId w:val="7"/>
        </w:numPr>
        <w:spacing w:line="240" w:lineRule="auto"/>
        <w:ind w:left="0" w:leftChars="0" w:firstLine="640" w:firstLineChars="200"/>
        <w:rPr>
          <w:rFonts w:ascii="Times New Roman" w:hAnsi="Times New Roman" w:eastAsia="仿宋_GB2312" w:cs="Times New Roman"/>
          <w:sz w:val="32"/>
          <w:szCs w:val="32"/>
          <w:lang w:bidi="ar-SA"/>
        </w:rPr>
      </w:pPr>
      <w:r>
        <w:rPr>
          <w:rFonts w:hint="eastAsia" w:ascii="楷体_GB2312" w:hAnsi="楷体_GB2312" w:eastAsia="楷体_GB2312" w:cs="楷体_GB2312"/>
          <w:sz w:val="32"/>
          <w:szCs w:val="32"/>
          <w:lang w:bidi="ar-SA"/>
        </w:rPr>
        <w:t>项目实施。</w:t>
      </w:r>
      <w:r>
        <w:rPr>
          <w:rFonts w:hint="eastAsia" w:ascii="仿宋_GB2312" w:hAnsi="仿宋_GB2312" w:eastAsia="仿宋_GB2312" w:cs="仿宋_GB2312"/>
          <w:sz w:val="32"/>
          <w:szCs w:val="32"/>
          <w:lang w:bidi="ar-SA"/>
        </w:rPr>
        <w:t>通过现场督导、召开会议等方式，加强项目监管，推动项目实施。项目单位负责项目建设，严把工程质量关和施工进度。县民政局根据项目建设情况，及时对项目实施前、中、后进行实地查看，积极听取党员群众及乡镇意见，</w:t>
      </w:r>
      <w:r>
        <w:rPr>
          <w:rFonts w:hint="eastAsia" w:ascii="仿宋_GB2312" w:hAnsi="仿宋_GB2312" w:eastAsia="仿宋_GB2312" w:cs="仿宋_GB2312"/>
          <w:sz w:val="32"/>
          <w:szCs w:val="32"/>
          <w:lang w:eastAsia="zh-CN" w:bidi="ar-SA"/>
        </w:rPr>
        <w:t>做到</w:t>
      </w:r>
      <w:r>
        <w:rPr>
          <w:rFonts w:hint="eastAsia" w:ascii="仿宋_GB2312" w:hAnsi="仿宋_GB2312" w:eastAsia="仿宋_GB2312" w:cs="仿宋_GB2312"/>
          <w:sz w:val="32"/>
          <w:szCs w:val="32"/>
          <w:lang w:bidi="ar-SA"/>
        </w:rPr>
        <w:t>施工过程全程监管指导，完工后根据验收情况按照财务制度拨付资金，做到事前评估、事中监控、事后评价监管责任</w:t>
      </w:r>
      <w:r>
        <w:rPr>
          <w:rFonts w:hint="eastAsia" w:ascii="楷体_GB2312" w:hAnsi="楷体_GB2312" w:eastAsia="楷体_GB2312" w:cs="楷体_GB2312"/>
          <w:sz w:val="32"/>
          <w:szCs w:val="32"/>
          <w:lang w:bidi="ar-SA"/>
        </w:rPr>
        <w:t>，确保项目能按照要求进行建设并能发挥作用。</w:t>
      </w:r>
    </w:p>
    <w:p w14:paraId="7E6F3F97">
      <w:pPr>
        <w:numPr>
          <w:ilvl w:val="0"/>
          <w:numId w:val="0"/>
        </w:numPr>
        <w:spacing w:line="240" w:lineRule="auto"/>
        <w:ind w:left="0" w:leftChars="0" w:firstLine="640" w:firstLineChars="200"/>
        <w:rPr>
          <w:rFonts w:hint="eastAsia" w:ascii="Times New Roman" w:hAnsi="Times New Roman" w:eastAsia="仿宋_GB2312" w:cs="Times New Roman"/>
          <w:sz w:val="32"/>
          <w:szCs w:val="32"/>
          <w:lang w:eastAsia="zh-CN" w:bidi="ar-SA"/>
        </w:rPr>
      </w:pPr>
      <w:r>
        <w:rPr>
          <w:rFonts w:hint="eastAsia" w:ascii="楷体_GB2312" w:hAnsi="楷体_GB2312" w:eastAsia="楷体_GB2312" w:cs="楷体_GB2312"/>
          <w:sz w:val="32"/>
          <w:szCs w:val="32"/>
          <w:lang w:bidi="ar-SA"/>
        </w:rPr>
        <w:t>4.项目结果。</w:t>
      </w:r>
      <w:r>
        <w:rPr>
          <w:rFonts w:hint="eastAsia" w:ascii="Times New Roman" w:hAnsi="Times New Roman" w:eastAsia="楷体_GB2312" w:cs="Times New Roman"/>
          <w:sz w:val="32"/>
          <w:szCs w:val="32"/>
          <w:lang w:eastAsia="zh-CN" w:bidi="ar-SA"/>
        </w:rPr>
        <w:t>2024</w:t>
      </w:r>
      <w:r>
        <w:rPr>
          <w:rFonts w:hint="eastAsia" w:ascii="Times New Roman" w:hAnsi="Times New Roman" w:eastAsia="仿宋_GB2312" w:cs="Times New Roman"/>
          <w:sz w:val="32"/>
          <w:szCs w:val="32"/>
          <w:lang w:bidi="ar-SA"/>
        </w:rPr>
        <w:t>年</w:t>
      </w:r>
      <w:r>
        <w:rPr>
          <w:rFonts w:hint="eastAsia" w:ascii="Times New Roman" w:hAnsi="Times New Roman" w:eastAsia="仿宋_GB2312" w:cs="Times New Roman"/>
          <w:sz w:val="32"/>
          <w:szCs w:val="32"/>
          <w:lang w:eastAsia="zh-CN" w:bidi="ar-SA"/>
        </w:rPr>
        <w:t>养老服务发展</w:t>
      </w:r>
      <w:r>
        <w:rPr>
          <w:rFonts w:hint="eastAsia" w:ascii="Times New Roman" w:hAnsi="Times New Roman" w:eastAsia="仿宋_GB2312" w:cs="Times New Roman"/>
          <w:sz w:val="32"/>
          <w:szCs w:val="32"/>
          <w:lang w:bidi="ar-SA"/>
        </w:rPr>
        <w:t>资金按项目</w:t>
      </w:r>
      <w:r>
        <w:rPr>
          <w:rFonts w:hint="eastAsia" w:ascii="Times New Roman" w:hAnsi="Times New Roman" w:eastAsia="仿宋_GB2312" w:cs="Times New Roman"/>
          <w:sz w:val="32"/>
          <w:szCs w:val="32"/>
          <w:lang w:eastAsia="zh-CN" w:bidi="ar-SA"/>
        </w:rPr>
        <w:t>方案有序推进，按工程进度拨付资金</w:t>
      </w:r>
      <w:r>
        <w:rPr>
          <w:rFonts w:hint="eastAsia" w:ascii="Times New Roman" w:hAnsi="Times New Roman" w:eastAsia="仿宋_GB2312" w:cs="Times New Roman"/>
          <w:sz w:val="32"/>
          <w:szCs w:val="32"/>
          <w:lang w:bidi="ar-SA"/>
        </w:rPr>
        <w:t>。</w:t>
      </w:r>
    </w:p>
    <w:p w14:paraId="3BF13FC6">
      <w:pPr>
        <w:spacing w:line="578" w:lineRule="exact"/>
        <w:ind w:firstLine="643" w:firstLineChars="200"/>
        <w:rPr>
          <w:rFonts w:ascii="楷体_GB2312" w:hAnsi="楷体_GB2312" w:eastAsia="楷体_GB2312" w:cs="楷体_GB2312"/>
          <w:sz w:val="32"/>
          <w:szCs w:val="32"/>
          <w:lang w:val="zh-CN" w:bidi="ar-SA"/>
        </w:rPr>
      </w:pPr>
      <w:r>
        <w:rPr>
          <w:rFonts w:hint="eastAsia" w:ascii="楷体_GB2312" w:hAnsi="宋体" w:eastAsia="楷体_GB2312" w:cs="Times New Roman"/>
          <w:b/>
          <w:sz w:val="32"/>
          <w:szCs w:val="32"/>
          <w:lang w:val="zh-CN" w:bidi="ar-SA"/>
        </w:rPr>
        <w:t>（二）</w:t>
      </w:r>
      <w:r>
        <w:rPr>
          <w:rFonts w:hint="eastAsia" w:ascii="楷体_GB2312" w:hAnsi="宋体" w:eastAsia="楷体_GB2312" w:cs="Times New Roman"/>
          <w:b/>
          <w:sz w:val="32"/>
          <w:szCs w:val="32"/>
          <w:lang w:bidi="ar-SA"/>
        </w:rPr>
        <w:t>专用指标</w:t>
      </w:r>
      <w:r>
        <w:rPr>
          <w:rFonts w:ascii="Times New Roman" w:hAnsi="Times New Roman" w:eastAsia="楷体_GB2312" w:cs="Times New Roman"/>
          <w:b/>
          <w:bCs/>
          <w:color w:val="000000"/>
          <w:kern w:val="0"/>
          <w:sz w:val="32"/>
          <w:szCs w:val="32"/>
          <w:shd w:val="clear" w:color="auto" w:fill="FFFFFF"/>
          <w:lang w:val="zh-CN" w:bidi="ar-SA"/>
        </w:rPr>
        <w:t>绩效分析</w:t>
      </w:r>
      <w:r>
        <w:rPr>
          <w:rFonts w:hint="eastAsia" w:eastAsia="楷体_GB2312" w:cs="Times New Roman"/>
          <w:b/>
          <w:bCs/>
          <w:color w:val="000000"/>
          <w:kern w:val="0"/>
          <w:sz w:val="32"/>
          <w:szCs w:val="32"/>
          <w:shd w:val="clear" w:color="auto" w:fill="FFFFFF"/>
          <w:lang w:val="zh-CN" w:bidi="ar-SA"/>
        </w:rPr>
        <w:t>。</w:t>
      </w:r>
    </w:p>
    <w:p w14:paraId="2D9ABE00">
      <w:pPr>
        <w:spacing w:line="578" w:lineRule="exact"/>
        <w:ind w:firstLine="640" w:firstLineChars="200"/>
        <w:rPr>
          <w:rFonts w:ascii="楷体_GB2312" w:hAnsi="楷体_GB2312" w:eastAsia="楷体_GB2312" w:cs="楷体_GB2312"/>
          <w:sz w:val="32"/>
          <w:szCs w:val="32"/>
          <w:lang w:bidi="ar-SA"/>
        </w:rPr>
      </w:pPr>
      <w:r>
        <w:rPr>
          <w:rFonts w:hint="eastAsia" w:ascii="楷体_GB2312" w:hAnsi="楷体_GB2312" w:eastAsia="楷体_GB2312" w:cs="楷体_GB2312"/>
          <w:sz w:val="32"/>
          <w:szCs w:val="32"/>
          <w:lang w:bidi="ar-SA"/>
        </w:rPr>
        <w:t>1.</w:t>
      </w:r>
      <w:r>
        <w:rPr>
          <w:rFonts w:hint="eastAsia" w:ascii="楷体_GB2312" w:hAnsi="楷体_GB2312" w:eastAsia="楷体_GB2312" w:cs="楷体_GB2312"/>
          <w:sz w:val="32"/>
          <w:szCs w:val="32"/>
          <w:lang w:val="zh-CN" w:bidi="ar-SA"/>
        </w:rPr>
        <w:t>民生保障。通过</w:t>
      </w:r>
      <w:r>
        <w:rPr>
          <w:rFonts w:hint="eastAsia" w:ascii="Times New Roman" w:hAnsi="Times New Roman" w:eastAsia="仿宋_GB2312" w:cs="Times New Roman"/>
          <w:sz w:val="32"/>
          <w:szCs w:val="32"/>
          <w:lang w:bidi="ar-SA"/>
        </w:rPr>
        <w:t>入户走访、电话回访等方式，</w:t>
      </w:r>
      <w:r>
        <w:rPr>
          <w:rFonts w:hint="eastAsia" w:ascii="Times New Roman" w:hAnsi="Times New Roman" w:eastAsia="仿宋_GB2312" w:cs="Times New Roman"/>
          <w:sz w:val="32"/>
          <w:szCs w:val="32"/>
          <w:lang w:eastAsia="zh-CN" w:bidi="ar-SA"/>
        </w:rPr>
        <w:t>对享受</w:t>
      </w:r>
      <w:r>
        <w:rPr>
          <w:rFonts w:hint="eastAsia" w:ascii="Times New Roman" w:hAnsi="Times New Roman" w:eastAsia="仿宋_GB2312" w:cs="Times New Roman"/>
          <w:sz w:val="32"/>
          <w:szCs w:val="32"/>
          <w:lang w:bidi="ar-SA"/>
        </w:rPr>
        <w:t>养老服务的老人进行政策知晓率和满意度调查，知晓率满意度调查结果，受助</w:t>
      </w:r>
      <w:r>
        <w:rPr>
          <w:rFonts w:hint="eastAsia" w:ascii="Times New Roman" w:hAnsi="Times New Roman" w:eastAsia="仿宋_GB2312" w:cs="Times New Roman"/>
          <w:sz w:val="32"/>
          <w:szCs w:val="32"/>
          <w:lang w:eastAsia="zh-CN" w:bidi="ar-SA"/>
        </w:rPr>
        <w:t>群众</w:t>
      </w:r>
      <w:r>
        <w:rPr>
          <w:rFonts w:hint="eastAsia" w:ascii="Times New Roman" w:hAnsi="Times New Roman" w:eastAsia="仿宋_GB2312" w:cs="Times New Roman"/>
          <w:sz w:val="32"/>
          <w:szCs w:val="32"/>
          <w:lang w:bidi="ar-SA"/>
        </w:rPr>
        <w:t>满意度达到</w:t>
      </w:r>
      <w:r>
        <w:rPr>
          <w:rFonts w:hint="eastAsia" w:ascii="Times New Roman" w:hAnsi="Times New Roman" w:eastAsia="仿宋_GB2312" w:cs="Times New Roman"/>
          <w:sz w:val="32"/>
          <w:szCs w:val="32"/>
          <w:lang w:val="en-US" w:eastAsia="zh-CN" w:bidi="ar-SA"/>
        </w:rPr>
        <w:t>90</w:t>
      </w:r>
      <w:r>
        <w:rPr>
          <w:rFonts w:hint="eastAsia" w:ascii="仿宋_GB2312" w:hAnsi="仿宋_GB2312" w:eastAsia="仿宋_GB2312" w:cs="仿宋_GB2312"/>
          <w:sz w:val="32"/>
          <w:szCs w:val="32"/>
          <w:lang w:bidi="ar-SA"/>
        </w:rPr>
        <w:t>%。</w:t>
      </w:r>
    </w:p>
    <w:p w14:paraId="63561AF0">
      <w:pPr>
        <w:spacing w:line="578" w:lineRule="exact"/>
        <w:ind w:firstLine="640" w:firstLineChars="200"/>
        <w:rPr>
          <w:rFonts w:ascii="Times New Roman" w:hAnsi="Times New Roman" w:eastAsia="仿宋_GB2312" w:cs="Times New Roman"/>
          <w:sz w:val="32"/>
          <w:szCs w:val="32"/>
          <w:lang w:bidi="ar-SA"/>
        </w:rPr>
      </w:pPr>
      <w:r>
        <w:rPr>
          <w:rFonts w:hint="eastAsia" w:ascii="楷体_GB2312" w:hAnsi="楷体_GB2312" w:eastAsia="楷体_GB2312" w:cs="楷体_GB2312"/>
          <w:sz w:val="32"/>
          <w:szCs w:val="32"/>
          <w:lang w:bidi="ar-SA"/>
        </w:rPr>
        <w:t>2.基础设施</w:t>
      </w:r>
    </w:p>
    <w:p w14:paraId="7E5892F2">
      <w:pPr>
        <w:widowControl/>
        <w:tabs>
          <w:tab w:val="left" w:pos="2160"/>
        </w:tabs>
        <w:spacing w:line="600" w:lineRule="exact"/>
        <w:ind w:firstLine="640" w:firstLineChars="200"/>
        <w:jc w:val="left"/>
        <w:rPr>
          <w:rFonts w:hint="eastAsia" w:ascii="仿宋_GB2312" w:hAnsi="Times New Roman" w:eastAsia="仿宋_GB2312" w:cs="Times New Roman"/>
          <w:kern w:val="2"/>
          <w:position w:val="0"/>
          <w:sz w:val="32"/>
          <w:szCs w:val="32"/>
          <w:lang w:val="en-US" w:eastAsia="zh-CN" w:bidi="ar-SA"/>
        </w:rPr>
      </w:pPr>
      <w:r>
        <w:rPr>
          <w:rFonts w:hint="eastAsia" w:ascii="仿宋_GB2312" w:hAnsi="Times New Roman" w:eastAsia="仿宋_GB2312" w:cs="Times New Roman"/>
          <w:kern w:val="2"/>
          <w:position w:val="0"/>
          <w:sz w:val="32"/>
          <w:szCs w:val="32"/>
          <w:lang w:val="en-US" w:eastAsia="zh-CN" w:bidi="ar-SA"/>
        </w:rPr>
        <w:t>养老服务网络建设及运营项目通过实地勘察、对村社区养老服务中心实地验收，村社区养老服务中心的建设，群众需求多、发展前景好、服务潜力大的村社区养老服务中心为老年人提供场地、能力培训等多项优惠扶持，促进养老事业发展，打造社会养老的公共服务平台。</w:t>
      </w:r>
    </w:p>
    <w:p w14:paraId="2C4C77B3">
      <w:pPr>
        <w:widowControl/>
        <w:tabs>
          <w:tab w:val="left" w:pos="2160"/>
        </w:tabs>
        <w:spacing w:line="600" w:lineRule="exact"/>
        <w:ind w:firstLine="640" w:firstLineChars="200"/>
        <w:jc w:val="left"/>
        <w:rPr>
          <w:rFonts w:hint="eastAsia" w:ascii="仿宋_GB2312" w:hAnsi="Times New Roman" w:eastAsia="仿宋_GB2312" w:cs="Times New Roman"/>
          <w:kern w:val="2"/>
          <w:position w:val="0"/>
          <w:sz w:val="32"/>
          <w:szCs w:val="32"/>
          <w:lang w:val="en-US" w:eastAsia="zh-CN" w:bidi="ar-SA"/>
        </w:rPr>
      </w:pPr>
      <w:r>
        <w:rPr>
          <w:rFonts w:hint="eastAsia" w:ascii="仿宋_GB2312" w:hAnsi="Times New Roman" w:eastAsia="仿宋_GB2312" w:cs="Times New Roman"/>
          <w:kern w:val="2"/>
          <w:position w:val="0"/>
          <w:sz w:val="32"/>
          <w:szCs w:val="32"/>
          <w:lang w:val="en-US" w:eastAsia="zh-CN" w:bidi="ar-SA"/>
        </w:rPr>
        <w:t>日间照料项目，为老年人提供棋牌、茶水、健身等服务，每年有运营补贴，所有符合条件的老年人均可去日间照料中心免费享受服务。</w:t>
      </w:r>
    </w:p>
    <w:p w14:paraId="37BE7C2D">
      <w:pPr>
        <w:keepNext w:val="0"/>
        <w:keepLines w:val="0"/>
        <w:pageBreakBefore w:val="0"/>
        <w:widowControl w:val="0"/>
        <w:kinsoku/>
        <w:wordWrap/>
        <w:overflowPunct/>
        <w:topLinePunct w:val="0"/>
        <w:autoSpaceDE/>
        <w:autoSpaceDN/>
        <w:bidi w:val="0"/>
        <w:spacing w:line="552"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办养老机构规范化建设项目：县民政局对福利院设施设备进行实地质量检查，质量合格后进行竣工验收，后期由福利院对其设施设备进行维护。福利院设施设备的更换加强和完善了院内基础设施设备建设，提升了服务标准及安全性能，增强了院内特困人员及代养老人的幸福指数，让福利院养老服务质量得到了提档升级。</w:t>
      </w:r>
    </w:p>
    <w:p w14:paraId="6B068451">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bidi="ar-SA"/>
        </w:rPr>
        <w:t>（三）</w:t>
      </w:r>
      <w:r>
        <w:rPr>
          <w:rFonts w:hint="default" w:ascii="Times New Roman" w:hAnsi="Times New Roman" w:eastAsia="楷体_GB2312" w:cs="Times New Roman"/>
          <w:b/>
          <w:color w:val="auto"/>
          <w:sz w:val="32"/>
          <w:szCs w:val="32"/>
          <w:highlight w:val="none"/>
          <w:u w:val="none"/>
          <w:lang w:val="en-US" w:eastAsia="zh-CN" w:bidi="ar-SA"/>
        </w:rPr>
        <w:t>个性指标</w:t>
      </w:r>
      <w:r>
        <w:rPr>
          <w:rFonts w:hint="default" w:ascii="Times New Roman" w:hAnsi="Times New Roman" w:eastAsia="楷体_GB2312" w:cs="Times New Roman"/>
          <w:b/>
          <w:bCs/>
          <w:color w:val="000000"/>
          <w:kern w:val="0"/>
          <w:sz w:val="32"/>
          <w:szCs w:val="32"/>
          <w:highlight w:val="none"/>
          <w:shd w:val="clear" w:color="auto" w:fill="FFFFFF"/>
          <w:lang w:val="zh-CN" w:bidi="ar-SA"/>
        </w:rPr>
        <w:t>绩效分析。</w:t>
      </w:r>
    </w:p>
    <w:p w14:paraId="5364F9AB">
      <w:pPr>
        <w:keepNext w:val="0"/>
        <w:keepLines w:val="0"/>
        <w:pageBreakBefore w:val="0"/>
        <w:widowControl w:val="0"/>
        <w:kinsoku/>
        <w:wordWrap/>
        <w:overflowPunct/>
        <w:topLinePunct w:val="0"/>
        <w:autoSpaceDE/>
        <w:autoSpaceDN/>
        <w:bidi w:val="0"/>
        <w:spacing w:line="552"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数量指标：维修改造6个村（社区）包含：十里回族乡大屯村、川主寺老年协会、进安镇羊玉屯村、大姓乡木石村、大姓乡上纳米村；公办养老机构规范化建设1个。</w:t>
      </w:r>
    </w:p>
    <w:p w14:paraId="4271C4B2">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四、评价结论</w:t>
      </w:r>
    </w:p>
    <w:p w14:paraId="3F8D6129">
      <w:pPr>
        <w:widowControl/>
        <w:tabs>
          <w:tab w:val="left" w:pos="2160"/>
        </w:tabs>
        <w:spacing w:line="600" w:lineRule="exact"/>
        <w:ind w:firstLine="640" w:firstLineChars="200"/>
        <w:jc w:val="left"/>
        <w:rPr>
          <w:rFonts w:hint="eastAsia" w:ascii="仿宋_GB2312" w:hAnsi="Times New Roman" w:eastAsia="仿宋_GB2312" w:cs="Times New Roman"/>
          <w:kern w:val="2"/>
          <w:position w:val="0"/>
          <w:sz w:val="32"/>
          <w:szCs w:val="32"/>
          <w:lang w:val="en-US" w:eastAsia="zh-CN" w:bidi="ar-SA"/>
        </w:rPr>
      </w:pPr>
      <w:r>
        <w:rPr>
          <w:rFonts w:hint="eastAsia" w:ascii="仿宋_GB2312" w:hAnsi="Times New Roman" w:eastAsia="仿宋_GB2312" w:cs="Times New Roman"/>
          <w:kern w:val="2"/>
          <w:position w:val="0"/>
          <w:sz w:val="32"/>
          <w:szCs w:val="32"/>
          <w:lang w:val="en-US" w:eastAsia="zh-CN" w:bidi="ar-SA"/>
        </w:rPr>
        <w:t>根据民政厅下发《关于加强全省城乡社区老年人日间照料中心项目建设和管理工作的通知》，加强日间照料中心项目规范化管理，保障项目的有效实施。养老服务业发展</w:t>
      </w:r>
      <w:r>
        <w:rPr>
          <w:rFonts w:ascii="仿宋_GB2312" w:hAnsi="Times New Roman" w:eastAsia="仿宋_GB2312" w:cs="Times New Roman"/>
          <w:kern w:val="2"/>
          <w:position w:val="0"/>
          <w:sz w:val="32"/>
          <w:szCs w:val="32"/>
          <w:lang w:val="en-US" w:eastAsia="zh-CN" w:bidi="ar-SA"/>
        </w:rPr>
        <w:t>方便了老年人生活，提升了困难群众的幸福感、获得感和安全感，切实解决了群众的服务需求，</w:t>
      </w:r>
      <w:r>
        <w:rPr>
          <w:rFonts w:hint="eastAsia" w:ascii="仿宋_GB2312" w:hAnsi="Times New Roman" w:eastAsia="仿宋_GB2312" w:cs="Times New Roman"/>
          <w:kern w:val="2"/>
          <w:position w:val="0"/>
          <w:sz w:val="32"/>
          <w:szCs w:val="32"/>
          <w:lang w:val="en-US" w:eastAsia="zh-CN" w:bidi="ar-SA"/>
        </w:rPr>
        <w:t>增进了</w:t>
      </w:r>
      <w:r>
        <w:rPr>
          <w:rFonts w:hint="eastAsia" w:ascii="仿宋_GB2312" w:eastAsia="仿宋_GB2312" w:cs="Times New Roman"/>
          <w:kern w:val="2"/>
          <w:position w:val="0"/>
          <w:sz w:val="32"/>
          <w:szCs w:val="32"/>
          <w:lang w:val="en-US" w:eastAsia="zh-CN" w:bidi="ar-SA"/>
        </w:rPr>
        <w:t>民生</w:t>
      </w:r>
      <w:r>
        <w:rPr>
          <w:rFonts w:hint="eastAsia" w:ascii="仿宋_GB2312" w:hAnsi="Times New Roman" w:eastAsia="仿宋_GB2312" w:cs="Times New Roman"/>
          <w:kern w:val="2"/>
          <w:position w:val="0"/>
          <w:sz w:val="32"/>
          <w:szCs w:val="32"/>
          <w:lang w:val="en-US" w:eastAsia="zh-CN" w:bidi="ar-SA"/>
        </w:rPr>
        <w:t>福祉。项目整体落实情况良好，基本能完成项目指标，综合评价得分83分。</w:t>
      </w:r>
    </w:p>
    <w:p w14:paraId="2D87DE48">
      <w:pPr>
        <w:widowControl/>
        <w:tabs>
          <w:tab w:val="left" w:pos="2160"/>
        </w:tabs>
        <w:spacing w:line="600" w:lineRule="exact"/>
        <w:ind w:firstLine="640" w:firstLineChars="200"/>
        <w:jc w:val="left"/>
        <w:rPr>
          <w:rFonts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五、存在主要问题</w:t>
      </w:r>
    </w:p>
    <w:p w14:paraId="2937F3B9">
      <w:pPr>
        <w:widowControl/>
        <w:tabs>
          <w:tab w:val="left" w:pos="2160"/>
        </w:tabs>
        <w:spacing w:line="600" w:lineRule="exact"/>
        <w:ind w:firstLine="640" w:firstLineChars="200"/>
        <w:jc w:val="left"/>
        <w:rPr>
          <w:rFonts w:ascii="仿宋_GB2312" w:hAnsi="Times New Roman" w:eastAsia="仿宋_GB2312" w:cs="Times New Roman"/>
          <w:kern w:val="2"/>
          <w:position w:val="0"/>
          <w:sz w:val="32"/>
          <w:szCs w:val="32"/>
          <w:lang w:val="zh-CN" w:eastAsia="zh-CN" w:bidi="ar-SA"/>
        </w:rPr>
      </w:pPr>
      <w:r>
        <w:rPr>
          <w:rFonts w:hint="eastAsia" w:ascii="仿宋_GB2312" w:hAnsi="Times New Roman" w:eastAsia="仿宋_GB2312" w:cs="Times New Roman"/>
          <w:kern w:val="2"/>
          <w:position w:val="0"/>
          <w:sz w:val="32"/>
          <w:szCs w:val="32"/>
          <w:lang w:val="zh-CN" w:eastAsia="zh-CN" w:bidi="ar-SA"/>
        </w:rPr>
        <w:t>随着人口老龄化进程的加快，各式各样的养老需求不断涌现，基础设施薄弱、养老队伍欠缺，服务方式单一，资金投入有限，服务能力有限，不能满足个性化服务需求。</w:t>
      </w:r>
    </w:p>
    <w:p w14:paraId="398FFEEA">
      <w:pPr>
        <w:widowControl/>
        <w:tabs>
          <w:tab w:val="left" w:pos="2160"/>
        </w:tabs>
        <w:spacing w:line="600" w:lineRule="exact"/>
        <w:ind w:firstLine="640" w:firstLineChars="200"/>
        <w:jc w:val="left"/>
        <w:rPr>
          <w:rFonts w:ascii="黑体" w:hAnsi="宋体" w:eastAsia="黑体" w:cs="Times New Roman"/>
          <w:kern w:val="0"/>
          <w:position w:val="3"/>
          <w:sz w:val="32"/>
          <w:szCs w:val="32"/>
          <w:lang w:val="zh-CN" w:eastAsia="zh-CN" w:bidi="ar-SA"/>
        </w:rPr>
      </w:pPr>
      <w:r>
        <w:rPr>
          <w:rFonts w:hint="eastAsia" w:ascii="黑体" w:hAnsi="宋体" w:eastAsia="黑体" w:cs="Times New Roman"/>
          <w:kern w:val="0"/>
          <w:position w:val="3"/>
          <w:sz w:val="32"/>
          <w:szCs w:val="32"/>
          <w:lang w:val="zh-CN" w:eastAsia="zh-CN" w:bidi="ar-SA"/>
        </w:rPr>
        <w:t>六、改进建议</w:t>
      </w:r>
    </w:p>
    <w:p w14:paraId="66A4024A">
      <w:pPr>
        <w:snapToGrid w:val="0"/>
        <w:spacing w:line="578" w:lineRule="exact"/>
        <w:ind w:firstLine="640" w:firstLineChars="200"/>
        <w:rPr>
          <w:rFonts w:ascii="Times New Roman" w:hAnsi="Times New Roman" w:eastAsia="仿宋_GB2312" w:cs="Times New Roman"/>
          <w:color w:val="000000"/>
          <w:kern w:val="0"/>
          <w:sz w:val="32"/>
          <w:szCs w:val="32"/>
          <w:shd w:val="clear" w:color="auto" w:fill="FFFFFF"/>
          <w:lang w:val="zh-CN" w:bidi="ar-SA"/>
        </w:rPr>
      </w:pPr>
      <w:r>
        <w:rPr>
          <w:rFonts w:hint="eastAsia" w:ascii="仿宋_GB2312" w:hAnsi="仿宋_GB2312" w:eastAsia="仿宋_GB2312" w:cs="仿宋_GB2312"/>
          <w:kern w:val="0"/>
          <w:sz w:val="32"/>
          <w:szCs w:val="32"/>
          <w:lang w:bidi="ar-SA"/>
        </w:rPr>
        <w:t>提前做好资金使用规划，对资金使用和管理实行动态管理，确保资金使用效益最大化，加大资金支持力度。</w:t>
      </w:r>
    </w:p>
    <w:p w14:paraId="4650E57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rPr>
      </w:pPr>
    </w:p>
    <w:p w14:paraId="4CC2D27E">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社会救助救济补助资金</w:t>
      </w:r>
    </w:p>
    <w:p w14:paraId="3A69B2E1">
      <w:pPr>
        <w:widowControl w:val="0"/>
        <w:spacing w:line="578" w:lineRule="exact"/>
        <w:jc w:val="center"/>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专项预算项目绩效评价报告</w:t>
      </w:r>
    </w:p>
    <w:p w14:paraId="3539AC0A">
      <w:pPr>
        <w:widowControl w:val="0"/>
        <w:spacing w:line="578" w:lineRule="exact"/>
        <w:ind w:firstLine="640"/>
        <w:jc w:val="center"/>
        <w:rPr>
          <w:rFonts w:ascii="宋体" w:hAnsi="宋体" w:eastAsia="宋体" w:cs="Times New Roman"/>
          <w:color w:val="auto"/>
          <w:kern w:val="2"/>
          <w:sz w:val="32"/>
          <w:szCs w:val="32"/>
          <w:lang w:val="zh-CN" w:eastAsia="zh-CN" w:bidi="ar-SA"/>
        </w:rPr>
      </w:pPr>
    </w:p>
    <w:p w14:paraId="3551618D">
      <w:pPr>
        <w:adjustRightInd w:val="0"/>
        <w:snapToGrid w:val="0"/>
        <w:spacing w:line="578" w:lineRule="exact"/>
        <w:ind w:firstLine="640" w:firstLineChars="200"/>
        <w:rPr>
          <w:rFonts w:ascii="黑体" w:hAnsi="宋体" w:eastAsia="黑体" w:cs="Times New Roman"/>
          <w:sz w:val="32"/>
          <w:szCs w:val="32"/>
          <w:lang w:val="zh-CN" w:bidi="ar-SA"/>
        </w:rPr>
      </w:pPr>
      <w:r>
        <w:rPr>
          <w:rFonts w:hint="eastAsia" w:ascii="黑体" w:hAnsi="宋体" w:eastAsia="黑体" w:cs="Times New Roman"/>
          <w:sz w:val="32"/>
          <w:szCs w:val="32"/>
          <w:lang w:bidi="ar-SA"/>
        </w:rPr>
        <w:t>一、</w:t>
      </w:r>
      <w:r>
        <w:rPr>
          <w:rFonts w:hint="eastAsia" w:ascii="黑体" w:hAnsi="宋体" w:eastAsia="黑体" w:cs="Times New Roman"/>
          <w:sz w:val="32"/>
          <w:szCs w:val="32"/>
          <w:lang w:val="zh-CN" w:bidi="ar-SA"/>
        </w:rPr>
        <w:t>项目概况</w:t>
      </w:r>
    </w:p>
    <w:p w14:paraId="0317430D">
      <w:pPr>
        <w:spacing w:line="560" w:lineRule="exact"/>
        <w:ind w:firstLine="643" w:firstLineChars="200"/>
        <w:jc w:val="left"/>
        <w:rPr>
          <w:rFonts w:hint="eastAsia" w:ascii="楷体_GB2312" w:hAnsi="宋体" w:eastAsia="楷体_GB2312" w:cs="Times New Roman"/>
          <w:b/>
          <w:sz w:val="32"/>
          <w:szCs w:val="32"/>
          <w:lang w:val="zh-CN" w:bidi="ar-SA"/>
        </w:rPr>
      </w:pPr>
      <w:r>
        <w:rPr>
          <w:rFonts w:hint="eastAsia" w:ascii="楷体_GB2312" w:hAnsi="宋体" w:eastAsia="楷体_GB2312" w:cs="Times New Roman"/>
          <w:b/>
          <w:sz w:val="32"/>
          <w:szCs w:val="32"/>
          <w:lang w:val="zh-CN" w:bidi="ar-SA"/>
        </w:rPr>
        <w:t>（一）设立背景及基本情况。</w:t>
      </w:r>
    </w:p>
    <w:p w14:paraId="4C6A6D51">
      <w:pPr>
        <w:spacing w:line="560" w:lineRule="exact"/>
        <w:ind w:firstLine="640" w:firstLineChars="200"/>
        <w:jc w:val="left"/>
        <w:rPr>
          <w:rFonts w:hint="eastAsia"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bidi="ar-SA"/>
        </w:rPr>
        <w:t>根据四川省民政厅 四川省财政厅 四川省残疾人联合会《关于建立困难残疾人生活补贴和重度残疾人护理补贴》的通知，川民发〔2015〕195号）文件</w:t>
      </w:r>
      <w:r>
        <w:rPr>
          <w:rFonts w:hint="eastAsia" w:ascii="仿宋_GB2312" w:hAnsi="仿宋_GB2312" w:eastAsia="仿宋_GB2312" w:cs="仿宋_GB2312"/>
          <w:color w:val="000000"/>
          <w:sz w:val="32"/>
          <w:szCs w:val="32"/>
          <w:lang w:eastAsia="zh-CN" w:bidi="ar-SA"/>
        </w:rPr>
        <w:t>，</w:t>
      </w:r>
      <w:r>
        <w:rPr>
          <w:rFonts w:hint="eastAsia" w:ascii="仿宋_GB2312" w:hAnsi="仿宋_GB2312" w:eastAsia="仿宋_GB2312" w:cs="仿宋_GB2312"/>
          <w:color w:val="000000"/>
          <w:sz w:val="32"/>
          <w:szCs w:val="32"/>
          <w:lang w:bidi="ar-SA"/>
        </w:rPr>
        <w:t>为持有第二代残疾人证的四川省户籍低保对象发放困难残疾人生活补贴。补贴对象为持有第二代残疾人证、残疾等级为一级和二级的残疾人以及三四级精神智力人员发放重度残疾人护理补贴。</w:t>
      </w:r>
    </w:p>
    <w:p w14:paraId="429D8676">
      <w:pPr>
        <w:numPr>
          <w:ilvl w:val="0"/>
          <w:numId w:val="8"/>
        </w:numPr>
        <w:spacing w:line="560" w:lineRule="exact"/>
        <w:ind w:firstLine="643" w:firstLineChars="200"/>
        <w:jc w:val="left"/>
        <w:rPr>
          <w:rFonts w:hint="eastAsia" w:ascii="楷体_GB2312" w:hAnsi="宋体" w:eastAsia="楷体_GB2312" w:cs="Times New Roman"/>
          <w:b/>
          <w:sz w:val="32"/>
          <w:szCs w:val="32"/>
          <w:lang w:bidi="ar-SA"/>
        </w:rPr>
      </w:pPr>
      <w:r>
        <w:rPr>
          <w:rFonts w:ascii="楷体_GB2312" w:hAnsi="宋体" w:eastAsia="楷体_GB2312" w:cs="Times New Roman"/>
          <w:b/>
          <w:sz w:val="32"/>
          <w:szCs w:val="32"/>
          <w:lang w:bidi="ar-SA"/>
        </w:rPr>
        <w:t>实施目的及支持方向</w:t>
      </w:r>
      <w:r>
        <w:rPr>
          <w:rFonts w:hint="eastAsia" w:ascii="楷体_GB2312" w:hAnsi="宋体" w:eastAsia="楷体_GB2312" w:cs="Times New Roman"/>
          <w:b/>
          <w:sz w:val="32"/>
          <w:szCs w:val="32"/>
          <w:lang w:bidi="ar-SA"/>
        </w:rPr>
        <w:t>。</w:t>
      </w:r>
    </w:p>
    <w:p w14:paraId="10BDFE42">
      <w:pPr>
        <w:spacing w:line="560" w:lineRule="exact"/>
        <w:ind w:firstLine="640" w:firstLineChars="200"/>
        <w:jc w:val="left"/>
        <w:rPr>
          <w:rFonts w:hint="eastAsia" w:ascii="仿宋_GB2312" w:hAnsi="宋体" w:eastAsia="仿宋_GB2312" w:cs="Times New Roman"/>
          <w:sz w:val="32"/>
          <w:szCs w:val="32"/>
          <w:lang w:bidi="ar-SA"/>
        </w:rPr>
      </w:pPr>
      <w:r>
        <w:rPr>
          <w:rFonts w:hint="eastAsia" w:ascii="仿宋_GB2312" w:hAnsi="仿宋_GB2312" w:eastAsia="仿宋_GB2312" w:cs="仿宋_GB2312"/>
          <w:color w:val="000000"/>
          <w:sz w:val="32"/>
          <w:szCs w:val="32"/>
          <w:lang w:bidi="ar-SA"/>
        </w:rPr>
        <w:t>进一步规范残疾人社会救助救济补助资金</w:t>
      </w:r>
      <w:r>
        <w:rPr>
          <w:rFonts w:hint="eastAsia" w:ascii="仿宋_GB2312" w:hAnsi="仿宋_GB2312" w:eastAsia="仿宋_GB2312" w:cs="仿宋_GB2312"/>
          <w:color w:val="000000"/>
          <w:sz w:val="32"/>
          <w:szCs w:val="32"/>
          <w:lang w:eastAsia="zh-CN" w:bidi="ar-SA"/>
        </w:rPr>
        <w:t>及精简退职职工生活补助</w:t>
      </w:r>
      <w:r>
        <w:rPr>
          <w:rFonts w:hint="eastAsia" w:ascii="仿宋_GB2312" w:hAnsi="仿宋_GB2312" w:eastAsia="仿宋_GB2312" w:cs="仿宋_GB2312"/>
          <w:color w:val="000000"/>
          <w:sz w:val="32"/>
          <w:szCs w:val="32"/>
          <w:lang w:bidi="ar-SA"/>
        </w:rPr>
        <w:t>的精准实施保障，认真履行基本民生保障职责，不断巩固和提升残疾人社会救助救济补助资金管理水平。</w:t>
      </w:r>
    </w:p>
    <w:p w14:paraId="7E248758">
      <w:pPr>
        <w:numPr>
          <w:ilvl w:val="0"/>
          <w:numId w:val="8"/>
        </w:numPr>
        <w:spacing w:line="560" w:lineRule="exact"/>
        <w:ind w:firstLine="643" w:firstLineChars="200"/>
        <w:rPr>
          <w:rFonts w:hint="eastAsia" w:ascii="楷体_GB2312" w:hAnsi="宋体" w:eastAsia="楷体_GB2312" w:cs="Times New Roman"/>
          <w:b/>
          <w:sz w:val="32"/>
          <w:szCs w:val="32"/>
          <w:lang w:val="zh-CN" w:bidi="ar-SA"/>
        </w:rPr>
      </w:pPr>
      <w:r>
        <w:rPr>
          <w:rFonts w:ascii="楷体_GB2312" w:hAnsi="宋体" w:eastAsia="楷体_GB2312" w:cs="Times New Roman"/>
          <w:b/>
          <w:sz w:val="32"/>
          <w:szCs w:val="32"/>
          <w:lang w:bidi="ar-SA"/>
        </w:rPr>
        <w:t>预算安排及分配管理</w:t>
      </w:r>
      <w:r>
        <w:rPr>
          <w:rFonts w:hint="eastAsia" w:ascii="楷体_GB2312" w:hAnsi="宋体" w:eastAsia="楷体_GB2312" w:cs="Times New Roman"/>
          <w:b/>
          <w:sz w:val="32"/>
          <w:szCs w:val="32"/>
          <w:lang w:val="zh-CN" w:bidi="ar-SA"/>
        </w:rPr>
        <w:t>。</w:t>
      </w:r>
    </w:p>
    <w:p w14:paraId="4C2947EE">
      <w:pPr>
        <w:spacing w:line="560" w:lineRule="exact"/>
        <w:ind w:firstLine="640" w:firstLineChars="200"/>
        <w:rPr>
          <w:rFonts w:ascii="仿宋_GB2312" w:hAnsi="仿宋_GB2312" w:eastAsia="仿宋_GB2312" w:cs="仿宋_GB2312"/>
          <w:color w:val="000000"/>
          <w:sz w:val="32"/>
          <w:szCs w:val="32"/>
          <w:lang w:bidi="ar-SA"/>
        </w:rPr>
      </w:pPr>
      <w:r>
        <w:rPr>
          <w:rFonts w:hint="eastAsia" w:ascii="仿宋_GB2312" w:hAnsi="仿宋_GB2312" w:eastAsia="仿宋_GB2312" w:cs="仿宋_GB2312"/>
          <w:color w:val="000000"/>
          <w:sz w:val="32"/>
          <w:szCs w:val="32"/>
          <w:lang w:eastAsia="zh-CN" w:bidi="ar-SA"/>
        </w:rPr>
        <w:t>2024</w:t>
      </w:r>
      <w:r>
        <w:rPr>
          <w:rFonts w:hint="eastAsia" w:ascii="仿宋_GB2312" w:hAnsi="仿宋_GB2312" w:eastAsia="仿宋_GB2312" w:cs="仿宋_GB2312"/>
          <w:color w:val="000000"/>
          <w:sz w:val="32"/>
          <w:szCs w:val="32"/>
          <w:lang w:bidi="ar-SA"/>
        </w:rPr>
        <w:t xml:space="preserve">年社会救助救济补助预算安排 </w:t>
      </w:r>
      <w:r>
        <w:rPr>
          <w:rFonts w:hint="eastAsia" w:ascii="仿宋_GB2312" w:hAnsi="仿宋_GB2312" w:eastAsia="仿宋_GB2312" w:cs="仿宋_GB2312"/>
          <w:color w:val="000000"/>
          <w:sz w:val="32"/>
          <w:szCs w:val="32"/>
          <w:lang w:val="en-US" w:eastAsia="zh-CN" w:bidi="ar-SA"/>
        </w:rPr>
        <w:t>257.875</w:t>
      </w:r>
      <w:r>
        <w:rPr>
          <w:rFonts w:hint="eastAsia" w:ascii="仿宋_GB2312" w:hAnsi="仿宋_GB2312" w:eastAsia="仿宋_GB2312" w:cs="仿宋_GB2312"/>
          <w:color w:val="000000"/>
          <w:sz w:val="32"/>
          <w:szCs w:val="32"/>
          <w:lang w:bidi="ar-SA"/>
        </w:rPr>
        <w:t>万元，实际到位</w:t>
      </w:r>
      <w:r>
        <w:rPr>
          <w:rFonts w:hint="eastAsia" w:ascii="仿宋_GB2312" w:hAnsi="仿宋_GB2312" w:eastAsia="仿宋_GB2312" w:cs="仿宋_GB2312"/>
          <w:color w:val="000000"/>
          <w:sz w:val="32"/>
          <w:szCs w:val="32"/>
          <w:lang w:val="en-US" w:eastAsia="zh-CN" w:bidi="ar-SA"/>
        </w:rPr>
        <w:t>257.875</w:t>
      </w:r>
      <w:r>
        <w:rPr>
          <w:rFonts w:hint="eastAsia" w:ascii="仿宋_GB2312" w:hAnsi="仿宋_GB2312" w:eastAsia="仿宋_GB2312" w:cs="仿宋_GB2312"/>
          <w:color w:val="000000"/>
          <w:sz w:val="32"/>
          <w:szCs w:val="32"/>
          <w:lang w:bidi="ar-SA"/>
        </w:rPr>
        <w:t>万元，其中：</w:t>
      </w:r>
      <w:r>
        <w:rPr>
          <w:rFonts w:hint="eastAsia" w:ascii="Times New Roman" w:hAnsi="Times New Roman" w:eastAsia="方正仿宋_GB2312" w:cs="Times New Roman"/>
          <w:sz w:val="32"/>
          <w:szCs w:val="32"/>
          <w:lang w:bidi="ar-SA"/>
        </w:rPr>
        <w:t>阿州财</w:t>
      </w:r>
      <w:r>
        <w:rPr>
          <w:rFonts w:hint="eastAsia" w:ascii="仿宋_GB2312" w:hAnsi="仿宋_GB2312" w:eastAsia="仿宋_GB2312" w:cs="仿宋_GB2312"/>
          <w:sz w:val="32"/>
          <w:szCs w:val="32"/>
          <w:lang w:bidi="ar-SA"/>
        </w:rPr>
        <w:t>社〔</w:t>
      </w:r>
      <w:r>
        <w:rPr>
          <w:rFonts w:hint="eastAsia" w:ascii="仿宋_GB2312" w:hAnsi="仿宋_GB2312" w:eastAsia="仿宋_GB2312" w:cs="仿宋_GB2312"/>
          <w:sz w:val="32"/>
          <w:szCs w:val="32"/>
          <w:lang w:eastAsia="zh-CN" w:bidi="ar-SA"/>
        </w:rPr>
        <w:t>2024</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33</w:t>
      </w:r>
      <w:r>
        <w:rPr>
          <w:rFonts w:hint="eastAsia" w:ascii="仿宋_GB2312" w:hAnsi="仿宋_GB2312" w:eastAsia="仿宋_GB2312" w:cs="仿宋_GB2312"/>
          <w:sz w:val="32"/>
          <w:szCs w:val="32"/>
          <w:lang w:bidi="ar-SA"/>
        </w:rPr>
        <w:t>号文件下达资金</w:t>
      </w:r>
      <w:r>
        <w:rPr>
          <w:rFonts w:hint="eastAsia" w:ascii="仿宋_GB2312" w:hAnsi="仿宋_GB2312" w:eastAsia="仿宋_GB2312" w:cs="仿宋_GB2312"/>
          <w:sz w:val="32"/>
          <w:szCs w:val="32"/>
          <w:lang w:val="en-US" w:eastAsia="zh-CN" w:bidi="ar-SA"/>
        </w:rPr>
        <w:t>129.67</w:t>
      </w:r>
      <w:r>
        <w:rPr>
          <w:rFonts w:hint="eastAsia" w:ascii="Times New Roman" w:hAnsi="Times New Roman" w:eastAsia="方正仿宋_GB2312" w:cs="Times New Roman"/>
          <w:sz w:val="32"/>
          <w:szCs w:val="32"/>
          <w:lang w:bidi="ar-SA"/>
        </w:rPr>
        <w:t>万元，阿州财</w:t>
      </w:r>
      <w:r>
        <w:rPr>
          <w:rFonts w:hint="eastAsia" w:ascii="仿宋_GB2312" w:hAnsi="仿宋_GB2312" w:eastAsia="仿宋_GB2312" w:cs="仿宋_GB2312"/>
          <w:sz w:val="32"/>
          <w:szCs w:val="32"/>
          <w:lang w:bidi="ar-SA"/>
        </w:rPr>
        <w:t>社〔</w:t>
      </w:r>
      <w:r>
        <w:rPr>
          <w:rFonts w:hint="eastAsia" w:ascii="仿宋_GB2312" w:hAnsi="仿宋_GB2312" w:eastAsia="仿宋_GB2312" w:cs="仿宋_GB2312"/>
          <w:sz w:val="32"/>
          <w:szCs w:val="32"/>
          <w:lang w:eastAsia="zh-CN" w:bidi="ar-SA"/>
        </w:rPr>
        <w:t>2024</w:t>
      </w:r>
      <w:r>
        <w:rPr>
          <w:rFonts w:hint="eastAsia" w:ascii="仿宋_GB2312" w:hAnsi="仿宋_GB2312" w:eastAsia="仿宋_GB2312" w:cs="仿宋_GB2312"/>
          <w:sz w:val="32"/>
          <w:szCs w:val="32"/>
          <w:lang w:bidi="ar-SA"/>
        </w:rPr>
        <w:t>〕</w:t>
      </w:r>
      <w:r>
        <w:rPr>
          <w:rFonts w:hint="eastAsia" w:ascii="仿宋_GB2312" w:hAnsi="仿宋_GB2312" w:eastAsia="仿宋_GB2312" w:cs="仿宋_GB2312"/>
          <w:sz w:val="32"/>
          <w:szCs w:val="32"/>
          <w:lang w:val="en-US" w:eastAsia="zh-CN" w:bidi="ar-SA"/>
        </w:rPr>
        <w:t>64</w:t>
      </w:r>
      <w:r>
        <w:rPr>
          <w:rFonts w:hint="eastAsia" w:ascii="仿宋_GB2312" w:hAnsi="仿宋_GB2312" w:eastAsia="仿宋_GB2312" w:cs="仿宋_GB2312"/>
          <w:sz w:val="32"/>
          <w:szCs w:val="32"/>
          <w:lang w:bidi="ar-SA"/>
        </w:rPr>
        <w:t>号文件下达资金</w:t>
      </w:r>
      <w:r>
        <w:rPr>
          <w:rFonts w:hint="eastAsia" w:ascii="仿宋_GB2312" w:hAnsi="仿宋_GB2312" w:eastAsia="仿宋_GB2312" w:cs="仿宋_GB2312"/>
          <w:sz w:val="32"/>
          <w:szCs w:val="32"/>
          <w:lang w:val="en-US" w:eastAsia="zh-CN" w:bidi="ar-SA"/>
        </w:rPr>
        <w:t>18.92</w:t>
      </w:r>
      <w:r>
        <w:rPr>
          <w:rFonts w:hint="eastAsia" w:ascii="Times New Roman" w:hAnsi="Times New Roman" w:eastAsia="方正仿宋_GB2312" w:cs="Times New Roman"/>
          <w:sz w:val="32"/>
          <w:szCs w:val="32"/>
          <w:lang w:bidi="ar-SA"/>
        </w:rPr>
        <w:t>万元。</w:t>
      </w:r>
      <w:r>
        <w:rPr>
          <w:rFonts w:hint="eastAsia" w:ascii="Times New Roman" w:hAnsi="Times New Roman" w:eastAsia="方正仿宋_GB2312" w:cs="Times New Roman"/>
          <w:sz w:val="32"/>
          <w:szCs w:val="32"/>
          <w:lang w:eastAsia="zh-CN" w:bidi="ar-SA"/>
        </w:rPr>
        <w:t>2024</w:t>
      </w:r>
      <w:r>
        <w:rPr>
          <w:rFonts w:hint="eastAsia" w:ascii="Times New Roman" w:hAnsi="Times New Roman" w:eastAsia="方正仿宋_GB2312" w:cs="Times New Roman"/>
          <w:sz w:val="32"/>
          <w:szCs w:val="32"/>
          <w:lang w:bidi="ar-SA"/>
        </w:rPr>
        <w:t>年县级预算</w:t>
      </w:r>
      <w:r>
        <w:rPr>
          <w:rFonts w:hint="eastAsia" w:ascii="Times New Roman" w:hAnsi="Times New Roman" w:eastAsia="方正仿宋_GB2312" w:cs="Times New Roman"/>
          <w:sz w:val="32"/>
          <w:szCs w:val="32"/>
          <w:lang w:val="en-US" w:eastAsia="zh-CN" w:bidi="ar-SA"/>
        </w:rPr>
        <w:t>109.285</w:t>
      </w:r>
      <w:r>
        <w:rPr>
          <w:rFonts w:hint="eastAsia" w:ascii="Times New Roman" w:hAnsi="Times New Roman" w:eastAsia="方正仿宋_GB2312" w:cs="Times New Roman"/>
          <w:sz w:val="32"/>
          <w:szCs w:val="32"/>
          <w:lang w:bidi="ar-SA"/>
        </w:rPr>
        <w:t>万元。资金分配如下：</w:t>
      </w:r>
      <w:r>
        <w:rPr>
          <w:rFonts w:hint="eastAsia" w:ascii="仿宋_GB2312" w:hAnsi="仿宋_GB2312" w:eastAsia="仿宋_GB2312" w:cs="仿宋_GB2312"/>
          <w:color w:val="000000"/>
          <w:sz w:val="32"/>
          <w:szCs w:val="32"/>
          <w:lang w:bidi="ar-SA"/>
        </w:rPr>
        <w:t>困难残疾人生活补贴</w:t>
      </w:r>
      <w:r>
        <w:rPr>
          <w:rFonts w:hint="eastAsia" w:ascii="仿宋_GB2312" w:hAnsi="仿宋_GB2312" w:eastAsia="仿宋_GB2312" w:cs="仿宋_GB2312"/>
          <w:color w:val="000000"/>
          <w:sz w:val="32"/>
          <w:szCs w:val="32"/>
          <w:lang w:val="en-US" w:eastAsia="zh-CN" w:bidi="ar-SA"/>
        </w:rPr>
        <w:t>125.59</w:t>
      </w:r>
      <w:r>
        <w:rPr>
          <w:rFonts w:hint="eastAsia" w:ascii="仿宋_GB2312" w:hAnsi="仿宋_GB2312" w:eastAsia="仿宋_GB2312" w:cs="仿宋_GB2312"/>
          <w:color w:val="000000"/>
          <w:sz w:val="32"/>
          <w:szCs w:val="32"/>
          <w:lang w:bidi="ar-SA"/>
        </w:rPr>
        <w:t>万元，重度残疾人护理补贴</w:t>
      </w:r>
      <w:r>
        <w:rPr>
          <w:rFonts w:hint="eastAsia" w:ascii="仿宋_GB2312" w:hAnsi="仿宋_GB2312" w:eastAsia="仿宋_GB2312" w:cs="仿宋_GB2312"/>
          <w:color w:val="000000"/>
          <w:sz w:val="32"/>
          <w:szCs w:val="32"/>
          <w:lang w:val="en-US" w:eastAsia="zh-CN" w:bidi="ar-SA"/>
        </w:rPr>
        <w:t>131.145</w:t>
      </w:r>
      <w:r>
        <w:rPr>
          <w:rFonts w:hint="eastAsia" w:ascii="仿宋_GB2312" w:hAnsi="仿宋_GB2312" w:eastAsia="仿宋_GB2312" w:cs="仿宋_GB2312"/>
          <w:color w:val="000000"/>
          <w:sz w:val="32"/>
          <w:szCs w:val="32"/>
          <w:lang w:bidi="ar-SA"/>
        </w:rPr>
        <w:t>万元，精简退职补助1.</w:t>
      </w:r>
      <w:r>
        <w:rPr>
          <w:rFonts w:hint="eastAsia" w:ascii="仿宋_GB2312" w:hAnsi="仿宋_GB2312" w:eastAsia="仿宋_GB2312" w:cs="仿宋_GB2312"/>
          <w:color w:val="000000"/>
          <w:sz w:val="32"/>
          <w:szCs w:val="32"/>
          <w:lang w:val="en-US" w:eastAsia="zh-CN" w:bidi="ar-SA"/>
        </w:rPr>
        <w:t>14</w:t>
      </w:r>
      <w:r>
        <w:rPr>
          <w:rFonts w:hint="eastAsia" w:ascii="仿宋_GB2312" w:hAnsi="仿宋_GB2312" w:eastAsia="仿宋_GB2312" w:cs="仿宋_GB2312"/>
          <w:color w:val="000000"/>
          <w:sz w:val="32"/>
          <w:szCs w:val="32"/>
          <w:lang w:bidi="ar-SA"/>
        </w:rPr>
        <w:t>万元。</w:t>
      </w:r>
    </w:p>
    <w:p w14:paraId="1261F1D8">
      <w:pPr>
        <w:widowControl w:val="0"/>
        <w:numPr>
          <w:ilvl w:val="0"/>
          <w:numId w:val="8"/>
        </w:numPr>
        <w:ind w:left="0" w:leftChars="0" w:firstLine="643" w:firstLineChars="200"/>
        <w:jc w:val="both"/>
        <w:rPr>
          <w:rFonts w:hint="eastAsia" w:ascii="楷体_GB2312" w:hAnsi="宋体" w:eastAsia="楷体_GB2312" w:cs="Times New Roman"/>
          <w:b/>
          <w:kern w:val="2"/>
          <w:sz w:val="32"/>
          <w:szCs w:val="32"/>
          <w:lang w:val="zh-CN" w:eastAsia="zh-CN" w:bidi="ar-SA"/>
        </w:rPr>
      </w:pPr>
      <w:r>
        <w:rPr>
          <w:rFonts w:hint="eastAsia" w:ascii="楷体_GB2312" w:hAnsi="宋体" w:eastAsia="楷体_GB2312" w:cs="Times New Roman"/>
          <w:b/>
          <w:kern w:val="2"/>
          <w:sz w:val="32"/>
          <w:szCs w:val="32"/>
          <w:lang w:val="zh-CN" w:eastAsia="zh-CN" w:bidi="ar-SA"/>
        </w:rPr>
        <w:t>项目绩效目标设置。</w:t>
      </w:r>
    </w:p>
    <w:p w14:paraId="41AD57D9">
      <w:pPr>
        <w:widowControl w:val="0"/>
        <w:ind w:left="0" w:leftChars="0" w:firstLine="640" w:firstLineChars="200"/>
        <w:jc w:val="both"/>
        <w:rPr>
          <w:rFonts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社会救助救济补助资金政策实施到位，大大缓解了残疾人、精简退职人员的生活压力，提高残疾人、精简退职人员的生活质量，保障了残疾人生活和享受护理的权益，维护社会稳定，使党的惠民政策落到实处。</w:t>
      </w:r>
    </w:p>
    <w:p w14:paraId="2F4BBA08">
      <w:pPr>
        <w:adjustRightInd w:val="0"/>
        <w:snapToGrid w:val="0"/>
        <w:spacing w:line="578" w:lineRule="exact"/>
        <w:ind w:firstLine="640" w:firstLineChars="200"/>
        <w:rPr>
          <w:rFonts w:hint="eastAsia" w:ascii="黑体" w:hAnsi="宋体" w:eastAsia="黑体" w:cs="Times New Roman"/>
          <w:sz w:val="32"/>
          <w:szCs w:val="32"/>
          <w:lang w:bidi="ar-SA"/>
        </w:rPr>
      </w:pPr>
      <w:r>
        <w:rPr>
          <w:rFonts w:hint="eastAsia" w:ascii="黑体" w:hAnsi="宋体" w:eastAsia="黑体" w:cs="Times New Roman"/>
          <w:sz w:val="32"/>
          <w:szCs w:val="32"/>
          <w:lang w:bidi="ar-SA"/>
        </w:rPr>
        <w:t>二、评价实施</w:t>
      </w:r>
    </w:p>
    <w:p w14:paraId="56E16F25">
      <w:pPr>
        <w:adjustRightInd w:val="0"/>
        <w:snapToGrid w:val="0"/>
        <w:spacing w:line="560" w:lineRule="exact"/>
        <w:ind w:firstLine="643" w:firstLineChars="200"/>
        <w:rPr>
          <w:rFonts w:hint="eastAsia" w:ascii="仿宋_GB2312" w:hAnsi="仿宋_GB2312" w:eastAsia="仿宋_GB2312" w:cs="仿宋_GB2312"/>
          <w:color w:val="000000"/>
          <w:sz w:val="32"/>
          <w:szCs w:val="32"/>
          <w:lang w:bidi="ar-SA"/>
        </w:rPr>
      </w:pPr>
      <w:r>
        <w:rPr>
          <w:rFonts w:hint="eastAsia" w:ascii="楷体_GB2312" w:hAnsi="宋体" w:eastAsia="楷体_GB2312" w:cs="Times New Roman"/>
          <w:b/>
          <w:sz w:val="32"/>
          <w:szCs w:val="32"/>
          <w:lang w:val="zh-CN" w:bidi="ar-SA"/>
        </w:rPr>
        <w:t>（一）评价目的。</w:t>
      </w:r>
      <w:r>
        <w:rPr>
          <w:rFonts w:ascii="仿宋_GB2312" w:hAnsi="宋体" w:eastAsia="仿宋_GB2312" w:cs="仿宋_GB2312"/>
          <w:color w:val="000000"/>
          <w:sz w:val="32"/>
          <w:szCs w:val="32"/>
          <w:shd w:val="clear" w:color="070000" w:fill="FFFFFF"/>
          <w:lang w:bidi="ar-SA"/>
        </w:rPr>
        <w:t>开展</w:t>
      </w:r>
      <w:r>
        <w:rPr>
          <w:rFonts w:hint="eastAsia" w:ascii="仿宋_GB2312" w:hAnsi="宋体" w:eastAsia="仿宋_GB2312" w:cs="仿宋_GB2312"/>
          <w:color w:val="000000"/>
          <w:sz w:val="32"/>
          <w:szCs w:val="32"/>
          <w:shd w:val="clear" w:color="070000" w:fill="FFFFFF"/>
          <w:lang w:bidi="ar-SA"/>
        </w:rPr>
        <w:t>“</w:t>
      </w:r>
      <w:r>
        <w:rPr>
          <w:rFonts w:hint="eastAsia" w:ascii="仿宋_GB2312" w:hAnsi="宋体" w:eastAsia="仿宋_GB2312" w:cs="仿宋_GB2312"/>
          <w:color w:val="000000"/>
          <w:sz w:val="32"/>
          <w:szCs w:val="32"/>
          <w:shd w:val="clear" w:color="070000" w:fill="FFFFFF"/>
          <w:lang w:eastAsia="zh-CN" w:bidi="ar-SA"/>
        </w:rPr>
        <w:t>社会救助救济</w:t>
      </w:r>
      <w:r>
        <w:rPr>
          <w:rFonts w:hint="eastAsia" w:ascii="仿宋_GB2312" w:hAnsi="宋体" w:eastAsia="仿宋_GB2312" w:cs="仿宋_GB2312"/>
          <w:color w:val="000000"/>
          <w:sz w:val="32"/>
          <w:szCs w:val="32"/>
          <w:shd w:val="clear" w:color="070000" w:fill="FFFFFF"/>
          <w:lang w:bidi="ar-SA"/>
        </w:rPr>
        <w:t>”专项资金绩效评价，是为了在制度技术层面保证政府投资项目的社会效益、经济效益，有效提高政府决策的科学性与准确性，提升财政资金使用效率</w:t>
      </w:r>
      <w:r>
        <w:rPr>
          <w:rFonts w:hint="eastAsia" w:ascii="仿宋_GB2312" w:hAnsi="宋体" w:eastAsia="仿宋_GB2312" w:cs="仿宋_GB2312"/>
          <w:color w:val="000000"/>
          <w:sz w:val="32"/>
          <w:szCs w:val="32"/>
          <w:shd w:val="clear" w:color="070000" w:fill="FFFFFF"/>
          <w:lang w:eastAsia="zh-CN" w:bidi="ar-SA"/>
        </w:rPr>
        <w:t>；</w:t>
      </w:r>
      <w:r>
        <w:rPr>
          <w:rFonts w:hint="eastAsia" w:ascii="仿宋_GB2312" w:hAnsi="宋体" w:eastAsia="仿宋_GB2312" w:cs="仿宋_GB2312"/>
          <w:color w:val="000000"/>
          <w:sz w:val="32"/>
          <w:szCs w:val="32"/>
          <w:shd w:val="clear" w:color="070000" w:fill="FFFFFF"/>
          <w:lang w:bidi="ar-SA"/>
        </w:rPr>
        <w:t>也有助于增加财政管理的透明度和责任意识，保证“</w:t>
      </w:r>
      <w:r>
        <w:rPr>
          <w:rFonts w:hint="eastAsia" w:ascii="仿宋_GB2312" w:hAnsi="宋体" w:eastAsia="仿宋_GB2312" w:cs="仿宋_GB2312"/>
          <w:color w:val="000000"/>
          <w:sz w:val="32"/>
          <w:szCs w:val="32"/>
          <w:shd w:val="clear" w:color="070000" w:fill="FFFFFF"/>
          <w:lang w:eastAsia="zh-CN" w:bidi="ar-SA"/>
        </w:rPr>
        <w:t>残疾人两项补贴</w:t>
      </w:r>
      <w:r>
        <w:rPr>
          <w:rFonts w:hint="eastAsia" w:ascii="仿宋_GB2312" w:hAnsi="宋体" w:eastAsia="仿宋_GB2312" w:cs="仿宋_GB2312"/>
          <w:color w:val="000000"/>
          <w:sz w:val="32"/>
          <w:szCs w:val="32"/>
          <w:shd w:val="clear" w:color="070000" w:fill="FFFFFF"/>
          <w:lang w:bidi="ar-SA"/>
        </w:rPr>
        <w:t>”项目</w:t>
      </w:r>
      <w:r>
        <w:rPr>
          <w:rFonts w:hint="eastAsia" w:ascii="仿宋_GB2312" w:hAnsi="宋体" w:eastAsia="仿宋_GB2312" w:cs="仿宋_GB2312"/>
          <w:color w:val="000000"/>
          <w:sz w:val="32"/>
          <w:szCs w:val="32"/>
          <w:shd w:val="clear" w:color="070000" w:fill="FFFFFF"/>
          <w:lang w:eastAsia="zh-CN" w:bidi="ar-SA"/>
        </w:rPr>
        <w:t>及精简退职职工生活补助项目</w:t>
      </w:r>
      <w:r>
        <w:rPr>
          <w:rFonts w:hint="eastAsia" w:ascii="仿宋_GB2312" w:hAnsi="宋体" w:eastAsia="仿宋_GB2312" w:cs="仿宋_GB2312"/>
          <w:color w:val="000000"/>
          <w:sz w:val="32"/>
          <w:szCs w:val="32"/>
          <w:shd w:val="clear" w:color="070000" w:fill="FFFFFF"/>
          <w:lang w:bidi="ar-SA"/>
        </w:rPr>
        <w:t>的社会效益和经济效益。对项目所产生的各种效益进行衡量的比较和综合评价。为以后强化项目管理，完善财政专项资金绩效评价工作实施提供合理的依据。</w:t>
      </w:r>
    </w:p>
    <w:p w14:paraId="0ECD6F11">
      <w:pPr>
        <w:widowControl w:val="0"/>
        <w:spacing w:line="560" w:lineRule="exact"/>
        <w:ind w:left="0" w:leftChars="0" w:firstLine="643" w:firstLineChars="200"/>
        <w:jc w:val="both"/>
        <w:rPr>
          <w:rFonts w:hint="eastAsia" w:ascii="仿宋_GB2312" w:hAnsi="仿宋_GB2312" w:eastAsia="仿宋_GB2312" w:cs="仿宋_GB2312"/>
          <w:kern w:val="2"/>
          <w:sz w:val="32"/>
          <w:szCs w:val="32"/>
          <w:lang w:val="zh-CN" w:eastAsia="zh-CN" w:bidi="ar-SA"/>
        </w:rPr>
      </w:pPr>
      <w:r>
        <w:rPr>
          <w:rFonts w:hint="eastAsia" w:ascii="楷体_GB2312" w:hAnsi="宋体" w:eastAsia="楷体_GB2312" w:cs="Times New Roman"/>
          <w:b/>
          <w:kern w:val="2"/>
          <w:sz w:val="32"/>
          <w:szCs w:val="32"/>
          <w:lang w:val="zh-CN" w:eastAsia="zh-CN" w:bidi="ar-SA"/>
        </w:rPr>
        <w:t>（二）预设问题及评价重点。</w:t>
      </w:r>
      <w:r>
        <w:rPr>
          <w:rFonts w:ascii="仿宋_GB2312" w:hAnsi="宋体" w:eastAsia="仿宋_GB2312" w:cs="仿宋_GB2312"/>
          <w:color w:val="000000"/>
          <w:kern w:val="2"/>
          <w:sz w:val="32"/>
          <w:szCs w:val="32"/>
          <w:shd w:val="clear" w:color="070000" w:fill="FFFFFF"/>
          <w:lang w:val="en-US" w:eastAsia="zh-CN" w:bidi="ar-SA"/>
        </w:rPr>
        <w:t>了解关于“残疾人两项补贴”项目实施的基本情况，通过实地调查，主要围绕享受残疾人两项补贴的乡</w:t>
      </w:r>
      <w:r>
        <w:rPr>
          <w:rFonts w:hint="eastAsia" w:ascii="仿宋_GB2312" w:hAnsi="宋体" w:eastAsia="仿宋_GB2312" w:cs="仿宋_GB2312"/>
          <w:color w:val="000000"/>
          <w:kern w:val="2"/>
          <w:sz w:val="32"/>
          <w:szCs w:val="32"/>
          <w:shd w:val="clear" w:color="070000" w:fill="FFFFFF"/>
          <w:lang w:val="en-US" w:eastAsia="zh-CN" w:bidi="ar-SA"/>
        </w:rPr>
        <w:t>（镇）数量、享受人员数量、残疾人“两项补贴”政策落实程度、资金使用情况、项目管理情况等方面，客观分析项目的产出和效果，从而考察项目预算定额标准的合理性，进而提出完善意见。对项目的资金收支情况核查，确认项目的财政投入和实际完成资金。</w:t>
      </w:r>
    </w:p>
    <w:p w14:paraId="7BC65001">
      <w:pPr>
        <w:widowControl/>
        <w:ind w:left="420" w:leftChars="200"/>
        <w:jc w:val="left"/>
        <w:rPr>
          <w:rFonts w:ascii="仿宋_GB2312" w:hAnsi="仿宋_GB2312" w:eastAsia="仿宋_GB2312" w:cs="仿宋_GB2312"/>
          <w:sz w:val="32"/>
          <w:szCs w:val="32"/>
          <w:lang w:bidi="ar-SA"/>
        </w:rPr>
      </w:pPr>
      <w:r>
        <w:rPr>
          <w:rFonts w:hint="eastAsia" w:ascii="楷体_GB2312" w:hAnsi="宋体" w:eastAsia="楷体_GB2312" w:cs="Times New Roman"/>
          <w:b/>
          <w:sz w:val="32"/>
          <w:szCs w:val="32"/>
          <w:lang w:val="zh-CN" w:bidi="ar-SA"/>
        </w:rPr>
        <w:t>（三）评价选点。</w:t>
      </w:r>
      <w:r>
        <w:rPr>
          <w:rFonts w:hint="eastAsia" w:ascii="仿宋_GB2312" w:hAnsi="仿宋_GB2312" w:eastAsia="仿宋_GB2312" w:cs="仿宋_GB2312"/>
          <w:sz w:val="32"/>
          <w:szCs w:val="32"/>
          <w:lang w:bidi="ar-SA"/>
        </w:rPr>
        <w:t>通过‌</w:t>
      </w:r>
      <w:r>
        <w:rPr>
          <w:rFonts w:ascii="仿宋_GB2312" w:hAnsi="仿宋_GB2312" w:eastAsia="仿宋_GB2312" w:cs="仿宋_GB2312"/>
          <w:sz w:val="32"/>
          <w:szCs w:val="32"/>
          <w:lang w:bidi="ar-SA"/>
        </w:rPr>
        <w:fldChar w:fldCharType="begin"/>
      </w:r>
      <w:r>
        <w:rPr>
          <w:rFonts w:ascii="仿宋_GB2312" w:hAnsi="仿宋_GB2312" w:eastAsia="仿宋_GB2312" w:cs="仿宋_GB2312"/>
          <w:sz w:val="32"/>
          <w:szCs w:val="32"/>
          <w:lang w:bidi="ar-SA"/>
        </w:rPr>
        <w:instrText xml:space="preserve"> HYPERLINK "https://www.baidu.com/s?rsv_idx=1&amp;wd=%E4%BF%A1%E6%81%AF%E5%8C%96%E6%89%8B%E6%AE%B5&amp;fenlei=256&amp;usm=3&amp;ie=utf-8&amp;rsv_pq=ed898bfd008bd77b&amp;oq=%E9%A1%B9%E7%9B%AE%E7%BB%A9%E6%95%88%E8%87%AA%E8%AF%84%E6%89%80%E6%8A%BD%E6%A0%B7%E7%82%B9%E4%BD%8D%E6%83%85%E5%86%B5%E4%BB%80%E4%B9%88%E6%84%8F%E6%80%9D&amp;rsv_t=85d7RWfBp8rvdhcK7xEOHFJfn7RlwlPbmqzmU1GfaoDpJm9A7dz7OrioDCE&amp;sa=re_dqa_zy" \t "/home/user/Documents\\x/_self" </w:instrText>
      </w:r>
      <w:r>
        <w:rPr>
          <w:rFonts w:ascii="仿宋_GB2312" w:hAnsi="仿宋_GB2312" w:eastAsia="仿宋_GB2312" w:cs="仿宋_GB2312"/>
          <w:sz w:val="32"/>
          <w:szCs w:val="32"/>
          <w:lang w:bidi="ar-SA"/>
        </w:rPr>
        <w:fldChar w:fldCharType="separate"/>
      </w:r>
      <w:r>
        <w:rPr>
          <w:rFonts w:ascii="仿宋_GB2312" w:hAnsi="仿宋_GB2312" w:eastAsia="仿宋_GB2312" w:cs="仿宋_GB2312"/>
          <w:sz w:val="32"/>
          <w:szCs w:val="32"/>
          <w:lang w:val="zh-CN" w:bidi="ar-SA"/>
        </w:rPr>
        <w:t>信息化手段</w:t>
      </w:r>
      <w:r>
        <w:rPr>
          <w:rFonts w:ascii="仿宋_GB2312" w:hAnsi="仿宋_GB2312" w:eastAsia="仿宋_GB2312" w:cs="仿宋_GB2312"/>
          <w:sz w:val="32"/>
          <w:szCs w:val="32"/>
          <w:lang w:bidi="ar-SA"/>
        </w:rPr>
        <w:fldChar w:fldCharType="end"/>
      </w:r>
      <w:r>
        <w:rPr>
          <w:rFonts w:ascii="仿宋_GB2312" w:hAnsi="仿宋_GB2312" w:eastAsia="仿宋_GB2312" w:cs="仿宋_GB2312"/>
          <w:sz w:val="32"/>
          <w:szCs w:val="32"/>
          <w:lang w:bidi="ar-SA"/>
        </w:rPr>
        <w:t>和实地的核查、问卷</w:t>
      </w:r>
    </w:p>
    <w:p w14:paraId="7EA7A22D">
      <w:pPr>
        <w:widowControl/>
        <w:jc w:val="left"/>
        <w:rPr>
          <w:rFonts w:hint="eastAsia" w:ascii="仿宋_GB2312" w:hAnsi="仿宋_GB2312" w:eastAsia="仿宋_GB2312" w:cs="仿宋_GB2312"/>
          <w:sz w:val="32"/>
          <w:szCs w:val="32"/>
          <w:lang w:val="zh-CN" w:bidi="ar-SA"/>
        </w:rPr>
      </w:pPr>
      <w:r>
        <w:rPr>
          <w:rFonts w:ascii="仿宋_GB2312" w:hAnsi="仿宋_GB2312" w:eastAsia="仿宋_GB2312" w:cs="仿宋_GB2312"/>
          <w:sz w:val="32"/>
          <w:szCs w:val="32"/>
          <w:lang w:bidi="ar-SA"/>
        </w:rPr>
        <w:t>调查等方法，对</w:t>
      </w:r>
      <w:r>
        <w:rPr>
          <w:rFonts w:hint="eastAsia" w:ascii="仿宋_GB2312" w:hAnsi="仿宋_GB2312" w:eastAsia="仿宋_GB2312" w:cs="仿宋_GB2312"/>
          <w:sz w:val="32"/>
          <w:szCs w:val="32"/>
          <w:lang w:eastAsia="zh-CN" w:bidi="ar-SA"/>
        </w:rPr>
        <w:t>各乡镇享受</w:t>
      </w:r>
      <w:r>
        <w:rPr>
          <w:rFonts w:hint="eastAsia" w:ascii="仿宋_GB2312" w:hAnsi="仿宋_GB2312" w:eastAsia="仿宋_GB2312" w:cs="仿宋_GB2312"/>
          <w:sz w:val="32"/>
          <w:szCs w:val="32"/>
          <w:lang w:bidi="ar-SA"/>
        </w:rPr>
        <w:t>该</w:t>
      </w:r>
      <w:r>
        <w:rPr>
          <w:rFonts w:hint="eastAsia" w:ascii="仿宋_GB2312" w:hAnsi="仿宋_GB2312" w:eastAsia="仿宋_GB2312" w:cs="仿宋_GB2312"/>
          <w:sz w:val="32"/>
          <w:szCs w:val="32"/>
          <w:lang w:eastAsia="zh-CN" w:bidi="ar-SA"/>
        </w:rPr>
        <w:t>政策补助的人员</w:t>
      </w:r>
      <w:r>
        <w:rPr>
          <w:rFonts w:ascii="仿宋_GB2312" w:hAnsi="仿宋_GB2312" w:eastAsia="仿宋_GB2312" w:cs="仿宋_GB2312"/>
          <w:sz w:val="32"/>
          <w:szCs w:val="32"/>
          <w:lang w:bidi="ar-SA"/>
        </w:rPr>
        <w:t>进行了评估</w:t>
      </w:r>
      <w:r>
        <w:rPr>
          <w:rFonts w:hint="eastAsia" w:ascii="仿宋_GB2312" w:hAnsi="仿宋_GB2312" w:eastAsia="仿宋_GB2312" w:cs="仿宋_GB2312"/>
          <w:sz w:val="32"/>
          <w:szCs w:val="32"/>
          <w:lang w:bidi="ar-SA"/>
        </w:rPr>
        <w:t>。</w:t>
      </w:r>
    </w:p>
    <w:p w14:paraId="1844E5F3">
      <w:pPr>
        <w:spacing w:line="578" w:lineRule="exact"/>
        <w:ind w:firstLine="643" w:firstLineChars="200"/>
        <w:rPr>
          <w:rFonts w:hint="eastAsia" w:ascii="Times New Roman" w:hAnsi="Times New Roman" w:eastAsia="仿宋_GB2312" w:cs="Times New Roman"/>
          <w:sz w:val="32"/>
          <w:szCs w:val="32"/>
          <w:lang w:bidi="ar-SA"/>
        </w:rPr>
      </w:pPr>
      <w:r>
        <w:rPr>
          <w:rFonts w:hint="eastAsia" w:ascii="楷体_GB2312" w:hAnsi="宋体" w:eastAsia="楷体_GB2312" w:cs="Times New Roman"/>
          <w:b/>
          <w:sz w:val="32"/>
          <w:szCs w:val="32"/>
          <w:lang w:val="zh-CN" w:bidi="ar-SA"/>
        </w:rPr>
        <w:t>（四）评价方法。</w:t>
      </w:r>
      <w:r>
        <w:rPr>
          <w:rFonts w:hint="eastAsia" w:ascii="Times New Roman" w:hAnsi="Times New Roman" w:eastAsia="仿宋_GB2312" w:cs="Times New Roman"/>
          <w:sz w:val="32"/>
          <w:szCs w:val="32"/>
          <w:lang w:val="zh-CN" w:bidi="ar-SA"/>
        </w:rPr>
        <w:t>本次评价采取现场和非现场评价相结合的方式实施，具体采用了比较法、</w:t>
      </w:r>
      <w:r>
        <w:rPr>
          <w:rFonts w:ascii="Times New Roman" w:hAnsi="Times New Roman" w:eastAsia="仿宋_GB2312" w:cs="Times New Roman"/>
          <w:sz w:val="32"/>
          <w:szCs w:val="32"/>
          <w:lang w:bidi="ar-SA"/>
        </w:rPr>
        <w:t>单位自评法、实地勘察法、问卷调查法、座谈调研法等多种方法</w:t>
      </w:r>
      <w:r>
        <w:rPr>
          <w:rFonts w:hint="eastAsia" w:ascii="Times New Roman" w:hAnsi="Times New Roman" w:eastAsia="仿宋_GB2312" w:cs="Times New Roman"/>
          <w:sz w:val="32"/>
          <w:szCs w:val="32"/>
          <w:lang w:eastAsia="zh-CN" w:bidi="ar-SA"/>
        </w:rPr>
        <w:t>，对享受政策的群众进行了全方位评估</w:t>
      </w:r>
      <w:r>
        <w:rPr>
          <w:rFonts w:hint="eastAsia" w:ascii="Times New Roman" w:hAnsi="Times New Roman" w:eastAsia="仿宋_GB2312" w:cs="Times New Roman"/>
          <w:sz w:val="32"/>
          <w:szCs w:val="32"/>
          <w:lang w:bidi="ar-SA"/>
        </w:rPr>
        <w:t>。</w:t>
      </w:r>
    </w:p>
    <w:p w14:paraId="6696B83F">
      <w:pPr>
        <w:spacing w:line="578" w:lineRule="exact"/>
        <w:ind w:firstLine="640"/>
        <w:rPr>
          <w:rFonts w:hint="eastAsia" w:ascii="Times New Roman" w:hAnsi="Times New Roman" w:eastAsia="楷体_GB2312" w:cs="Times New Roman"/>
          <w:bCs/>
          <w:sz w:val="32"/>
          <w:szCs w:val="32"/>
          <w:lang w:bidi="ar-SA"/>
        </w:rPr>
      </w:pPr>
      <w:r>
        <w:rPr>
          <w:rFonts w:hint="eastAsia" w:ascii="楷体_GB2312" w:hAnsi="宋体" w:eastAsia="楷体_GB2312" w:cs="Times New Roman"/>
          <w:b/>
          <w:sz w:val="32"/>
          <w:szCs w:val="32"/>
          <w:lang w:val="zh-CN" w:bidi="ar-SA"/>
        </w:rPr>
        <w:t>（五）评价组织。</w:t>
      </w:r>
      <w:r>
        <w:rPr>
          <w:rFonts w:hint="eastAsia" w:ascii="Times New Roman" w:hAnsi="Times New Roman" w:eastAsia="仿宋_GB2312" w:cs="Times New Roman"/>
          <w:sz w:val="32"/>
          <w:szCs w:val="32"/>
          <w:lang w:bidi="ar-SA"/>
        </w:rPr>
        <w:t>成立以局长曹玉林为组长，副局长文德艳为副组长，社会救助股、财务室、办公室工作人员为成员的绩效评价小组。</w:t>
      </w:r>
    </w:p>
    <w:p w14:paraId="07CBEE1D">
      <w:pPr>
        <w:adjustRightInd w:val="0"/>
        <w:snapToGrid w:val="0"/>
        <w:spacing w:line="578" w:lineRule="exact"/>
        <w:ind w:firstLine="640" w:firstLineChars="200"/>
        <w:rPr>
          <w:rFonts w:ascii="仿宋_GB2312" w:hAnsi="宋体" w:eastAsia="仿宋_GB2312" w:cs="Times New Roman"/>
          <w:sz w:val="32"/>
          <w:szCs w:val="32"/>
          <w:lang w:val="zh-CN" w:bidi="ar-SA"/>
        </w:rPr>
      </w:pPr>
      <w:r>
        <w:rPr>
          <w:rFonts w:hint="eastAsia" w:ascii="黑体" w:hAnsi="宋体" w:eastAsia="黑体" w:cs="Times New Roman"/>
          <w:sz w:val="32"/>
          <w:szCs w:val="32"/>
          <w:lang w:bidi="ar-SA"/>
        </w:rPr>
        <w:t>三、绩效分析</w:t>
      </w:r>
      <w:r>
        <w:rPr>
          <w:rFonts w:hint="eastAsia" w:ascii="仿宋_GB2312" w:hAnsi="宋体" w:eastAsia="仿宋_GB2312" w:cs="Times New Roman"/>
          <w:sz w:val="32"/>
          <w:szCs w:val="32"/>
          <w:lang w:val="zh-CN" w:bidi="ar-SA"/>
        </w:rPr>
        <w:tab/>
      </w:r>
    </w:p>
    <w:p w14:paraId="3742B79B">
      <w:pPr>
        <w:spacing w:line="578" w:lineRule="exact"/>
        <w:ind w:firstLine="640"/>
        <w:rPr>
          <w:rFonts w:hint="eastAsia" w:ascii="楷体_GB2312" w:hAnsi="宋体" w:eastAsia="楷体_GB2312" w:cs="Times New Roman"/>
          <w:b/>
          <w:sz w:val="32"/>
          <w:szCs w:val="32"/>
          <w:lang w:bidi="ar-SA"/>
        </w:rPr>
      </w:pPr>
      <w:r>
        <w:rPr>
          <w:rFonts w:hint="eastAsia" w:ascii="楷体_GB2312" w:hAnsi="宋体" w:eastAsia="楷体_GB2312" w:cs="Times New Roman"/>
          <w:b/>
          <w:sz w:val="32"/>
          <w:szCs w:val="32"/>
          <w:lang w:val="zh-CN" w:bidi="ar-SA"/>
        </w:rPr>
        <w:t>（一）</w:t>
      </w:r>
      <w:r>
        <w:rPr>
          <w:rFonts w:hint="eastAsia" w:ascii="楷体_GB2312" w:hAnsi="宋体" w:eastAsia="楷体_GB2312" w:cs="Times New Roman"/>
          <w:b/>
          <w:sz w:val="32"/>
          <w:szCs w:val="32"/>
          <w:lang w:bidi="ar-SA"/>
        </w:rPr>
        <w:t>通用指标</w:t>
      </w:r>
      <w:r>
        <w:rPr>
          <w:rFonts w:ascii="Times New Roman" w:hAnsi="Times New Roman" w:eastAsia="楷体_GB2312" w:cs="Times New Roman"/>
          <w:b/>
          <w:bCs/>
          <w:color w:val="000000"/>
          <w:kern w:val="0"/>
          <w:sz w:val="32"/>
          <w:szCs w:val="32"/>
          <w:shd w:val="clear" w:color="auto" w:fill="FFFFFF"/>
          <w:lang w:val="zh-CN" w:bidi="ar-SA"/>
        </w:rPr>
        <w:t>绩效分析。</w:t>
      </w:r>
    </w:p>
    <w:p w14:paraId="4F3E868E">
      <w:pPr>
        <w:spacing w:line="578" w:lineRule="exact"/>
        <w:ind w:firstLine="640"/>
        <w:rPr>
          <w:rFonts w:hint="eastAsia" w:ascii="Times New Roman" w:hAnsi="Times New Roman" w:eastAsia="仿宋_GB2312" w:cs="Times New Roman"/>
          <w:sz w:val="32"/>
          <w:szCs w:val="32"/>
          <w:lang w:bidi="ar-SA"/>
        </w:rPr>
      </w:pPr>
      <w:r>
        <w:rPr>
          <w:rFonts w:hint="eastAsia" w:ascii="楷体_GB2312" w:hAnsi="楷体_GB2312" w:eastAsia="楷体_GB2312" w:cs="楷体_GB2312"/>
          <w:sz w:val="32"/>
          <w:szCs w:val="32"/>
          <w:lang w:bidi="ar-SA"/>
        </w:rPr>
        <w:t>1.项目决策。</w:t>
      </w:r>
      <w:r>
        <w:rPr>
          <w:rFonts w:hint="eastAsia" w:ascii="Times New Roman" w:hAnsi="Times New Roman" w:eastAsia="仿宋_GB2312" w:cs="Times New Roman"/>
          <w:sz w:val="32"/>
          <w:szCs w:val="32"/>
          <w:lang w:bidi="ar-SA"/>
        </w:rPr>
        <w:t>社会救助救济补助资金制度为保障基本民生、维护社会稳定，助力脱贫攻坚发挥重要作用。</w:t>
      </w:r>
    </w:p>
    <w:p w14:paraId="7AF7B22A">
      <w:pPr>
        <w:spacing w:line="578" w:lineRule="exact"/>
        <w:ind w:firstLine="640"/>
        <w:rPr>
          <w:rFonts w:hint="eastAsia" w:ascii="Times New Roman" w:hAnsi="Times New Roman" w:eastAsia="仿宋_GB2312" w:cs="Times New Roman"/>
          <w:sz w:val="32"/>
          <w:szCs w:val="32"/>
          <w:lang w:bidi="ar-SA"/>
        </w:rPr>
      </w:pPr>
      <w:r>
        <w:rPr>
          <w:rFonts w:hint="eastAsia" w:ascii="楷体_GB2312" w:hAnsi="楷体_GB2312" w:eastAsia="楷体_GB2312" w:cs="楷体_GB2312"/>
          <w:sz w:val="32"/>
          <w:szCs w:val="32"/>
          <w:lang w:bidi="ar-SA"/>
        </w:rPr>
        <w:t>2.项目管理。</w:t>
      </w:r>
      <w:r>
        <w:rPr>
          <w:rFonts w:hint="eastAsia" w:ascii="Times New Roman" w:hAnsi="Times New Roman" w:eastAsia="仿宋_GB2312" w:cs="Times New Roman"/>
          <w:sz w:val="32"/>
          <w:szCs w:val="32"/>
          <w:lang w:bidi="ar-SA"/>
        </w:rPr>
        <w:t>完善比对机制，推动源头治理。定期对享受残疾人社会救助救济补助资金人员的信息与低保对象、殡葬信息、残联和乡村振兴局等相关数据进行比对、筛查，杜绝因死亡或不符合条件仍然享受补贴的情况，建立监测预警机制，源头治理不规范问题，坚决杜绝虚报、冒领等现象发生。</w:t>
      </w:r>
    </w:p>
    <w:p w14:paraId="72048584">
      <w:pPr>
        <w:spacing w:line="560" w:lineRule="exact"/>
        <w:ind w:firstLine="640" w:firstLineChars="200"/>
        <w:rPr>
          <w:rFonts w:hint="eastAsia" w:ascii="仿宋_GB2312" w:hAnsi="仿宋_GB2312" w:eastAsia="仿宋_GB2312" w:cs="仿宋_GB2312"/>
          <w:color w:val="000000"/>
          <w:sz w:val="32"/>
          <w:szCs w:val="32"/>
          <w:lang w:bidi="ar-SA"/>
        </w:rPr>
      </w:pPr>
      <w:r>
        <w:rPr>
          <w:rFonts w:hint="eastAsia" w:ascii="楷体_GB2312" w:hAnsi="楷体_GB2312" w:eastAsia="楷体_GB2312" w:cs="楷体_GB2312"/>
          <w:sz w:val="32"/>
          <w:szCs w:val="32"/>
          <w:lang w:bidi="ar-SA"/>
        </w:rPr>
        <w:t>3.项目实施。</w:t>
      </w:r>
      <w:r>
        <w:rPr>
          <w:rFonts w:hint="eastAsia" w:ascii="仿宋_GB2312" w:hAnsi="仿宋_GB2312" w:eastAsia="楷体_GB2312" w:cs="仿宋_GB2312"/>
          <w:color w:val="000000"/>
          <w:sz w:val="32"/>
          <w:szCs w:val="32"/>
          <w:lang w:eastAsia="zh-CN" w:bidi="ar-SA"/>
        </w:rPr>
        <w:t>2024</w:t>
      </w:r>
      <w:r>
        <w:rPr>
          <w:rFonts w:hint="eastAsia" w:ascii="仿宋_GB2312" w:hAnsi="仿宋_GB2312" w:eastAsia="仿宋_GB2312" w:cs="仿宋_GB2312"/>
          <w:color w:val="000000"/>
          <w:sz w:val="32"/>
          <w:szCs w:val="32"/>
          <w:lang w:bidi="ar-SA"/>
        </w:rPr>
        <w:t>年社会救助救济补助预算安排</w:t>
      </w:r>
      <w:r>
        <w:rPr>
          <w:rFonts w:hint="eastAsia" w:ascii="仿宋_GB2312" w:hAnsi="仿宋_GB2312" w:eastAsia="仿宋_GB2312" w:cs="仿宋_GB2312"/>
          <w:color w:val="000000"/>
          <w:sz w:val="32"/>
          <w:szCs w:val="32"/>
          <w:lang w:val="en-US" w:eastAsia="zh-CN" w:bidi="ar-SA"/>
        </w:rPr>
        <w:t>257.875</w:t>
      </w:r>
      <w:r>
        <w:rPr>
          <w:rFonts w:hint="eastAsia" w:ascii="仿宋_GB2312" w:hAnsi="仿宋_GB2312" w:eastAsia="仿宋_GB2312" w:cs="仿宋_GB2312"/>
          <w:color w:val="000000"/>
          <w:sz w:val="32"/>
          <w:szCs w:val="32"/>
          <w:lang w:bidi="ar-SA"/>
        </w:rPr>
        <w:t>万元，实际到位</w:t>
      </w:r>
      <w:r>
        <w:rPr>
          <w:rFonts w:hint="eastAsia" w:ascii="仿宋_GB2312" w:hAnsi="仿宋_GB2312" w:eastAsia="仿宋_GB2312" w:cs="仿宋_GB2312"/>
          <w:color w:val="000000"/>
          <w:sz w:val="32"/>
          <w:szCs w:val="32"/>
          <w:lang w:val="en-US" w:eastAsia="zh-CN" w:bidi="ar-SA"/>
        </w:rPr>
        <w:t>257.875</w:t>
      </w:r>
      <w:r>
        <w:rPr>
          <w:rFonts w:hint="eastAsia" w:ascii="仿宋_GB2312" w:hAnsi="仿宋_GB2312" w:eastAsia="仿宋_GB2312" w:cs="仿宋_GB2312"/>
          <w:color w:val="000000"/>
          <w:sz w:val="32"/>
          <w:szCs w:val="32"/>
          <w:lang w:bidi="ar-SA"/>
        </w:rPr>
        <w:t>万元，含困难残疾人生活补贴</w:t>
      </w:r>
      <w:r>
        <w:rPr>
          <w:rFonts w:hint="eastAsia" w:ascii="仿宋_GB2312" w:hAnsi="仿宋_GB2312" w:eastAsia="仿宋_GB2312" w:cs="仿宋_GB2312"/>
          <w:color w:val="000000"/>
          <w:sz w:val="32"/>
          <w:szCs w:val="32"/>
          <w:lang w:val="en-US" w:eastAsia="zh-CN" w:bidi="ar-SA"/>
        </w:rPr>
        <w:t>125.59</w:t>
      </w:r>
      <w:r>
        <w:rPr>
          <w:rFonts w:hint="eastAsia" w:ascii="仿宋_GB2312" w:hAnsi="仿宋_GB2312" w:eastAsia="仿宋_GB2312" w:cs="仿宋_GB2312"/>
          <w:color w:val="000000"/>
          <w:sz w:val="32"/>
          <w:szCs w:val="32"/>
          <w:lang w:bidi="ar-SA"/>
        </w:rPr>
        <w:t>万元，重度残疾人护理补贴</w:t>
      </w:r>
      <w:r>
        <w:rPr>
          <w:rFonts w:hint="eastAsia" w:ascii="仿宋_GB2312" w:hAnsi="仿宋_GB2312" w:eastAsia="仿宋_GB2312" w:cs="仿宋_GB2312"/>
          <w:color w:val="000000"/>
          <w:sz w:val="32"/>
          <w:szCs w:val="32"/>
          <w:lang w:val="en-US" w:eastAsia="zh-CN" w:bidi="ar-SA"/>
        </w:rPr>
        <w:t>131.145</w:t>
      </w:r>
      <w:r>
        <w:rPr>
          <w:rFonts w:hint="eastAsia" w:ascii="仿宋_GB2312" w:hAnsi="仿宋_GB2312" w:eastAsia="仿宋_GB2312" w:cs="仿宋_GB2312"/>
          <w:color w:val="000000"/>
          <w:sz w:val="32"/>
          <w:szCs w:val="32"/>
          <w:lang w:bidi="ar-SA"/>
        </w:rPr>
        <w:t>万元，精简退职补助1.</w:t>
      </w:r>
      <w:r>
        <w:rPr>
          <w:rFonts w:hint="eastAsia" w:ascii="仿宋_GB2312" w:hAnsi="仿宋_GB2312" w:eastAsia="仿宋_GB2312" w:cs="仿宋_GB2312"/>
          <w:color w:val="000000"/>
          <w:sz w:val="32"/>
          <w:szCs w:val="32"/>
          <w:lang w:val="en-US" w:eastAsia="zh-CN" w:bidi="ar-SA"/>
        </w:rPr>
        <w:t>14</w:t>
      </w:r>
      <w:r>
        <w:rPr>
          <w:rFonts w:hint="eastAsia" w:ascii="仿宋_GB2312" w:hAnsi="仿宋_GB2312" w:eastAsia="仿宋_GB2312" w:cs="仿宋_GB2312"/>
          <w:color w:val="000000"/>
          <w:sz w:val="32"/>
          <w:szCs w:val="32"/>
          <w:lang w:bidi="ar-SA"/>
        </w:rPr>
        <w:t>万元。</w:t>
      </w:r>
    </w:p>
    <w:p w14:paraId="2DEA797B">
      <w:pPr>
        <w:ind w:firstLine="640" w:firstLineChars="200"/>
        <w:rPr>
          <w:rFonts w:hint="eastAsia" w:ascii="Times New Roman" w:hAnsi="Times New Roman" w:eastAsia="仿宋_GB2312" w:cs="Times New Roman"/>
          <w:sz w:val="32"/>
          <w:szCs w:val="32"/>
          <w:lang w:eastAsia="zh-CN" w:bidi="ar-SA"/>
        </w:rPr>
      </w:pPr>
      <w:r>
        <w:rPr>
          <w:rFonts w:hint="eastAsia" w:ascii="楷体_GB2312" w:hAnsi="楷体_GB2312" w:eastAsia="楷体_GB2312" w:cs="楷体_GB2312"/>
          <w:sz w:val="32"/>
          <w:szCs w:val="32"/>
          <w:lang w:bidi="ar-SA"/>
        </w:rPr>
        <w:t>4.项目结果。</w:t>
      </w:r>
      <w:r>
        <w:rPr>
          <w:rFonts w:hint="eastAsia" w:ascii="Times New Roman" w:hAnsi="Times New Roman" w:eastAsia="楷体_GB2312" w:cs="Times New Roman"/>
          <w:sz w:val="32"/>
          <w:szCs w:val="32"/>
          <w:lang w:eastAsia="zh-CN" w:bidi="ar-SA"/>
        </w:rPr>
        <w:t>2024</w:t>
      </w:r>
      <w:r>
        <w:rPr>
          <w:rFonts w:hint="eastAsia" w:ascii="Times New Roman" w:hAnsi="Times New Roman" w:eastAsia="仿宋_GB2312" w:cs="Times New Roman"/>
          <w:sz w:val="32"/>
          <w:szCs w:val="32"/>
          <w:lang w:bidi="ar-SA"/>
        </w:rPr>
        <w:t>年</w:t>
      </w:r>
      <w:r>
        <w:rPr>
          <w:rFonts w:hint="eastAsia" w:ascii="Times New Roman" w:hAnsi="Times New Roman" w:eastAsia="仿宋_GB2312" w:cs="Times New Roman"/>
          <w:sz w:val="32"/>
          <w:szCs w:val="32"/>
          <w:lang w:eastAsia="zh-CN" w:bidi="ar-SA"/>
        </w:rPr>
        <w:t>社会</w:t>
      </w:r>
      <w:r>
        <w:rPr>
          <w:rFonts w:hint="eastAsia" w:ascii="Times New Roman" w:hAnsi="Times New Roman" w:eastAsia="仿宋_GB2312" w:cs="Times New Roman"/>
          <w:sz w:val="32"/>
          <w:szCs w:val="32"/>
          <w:lang w:bidi="ar-SA"/>
        </w:rPr>
        <w:t>救助</w:t>
      </w:r>
      <w:r>
        <w:rPr>
          <w:rFonts w:hint="eastAsia" w:ascii="Times New Roman" w:hAnsi="Times New Roman" w:eastAsia="仿宋_GB2312" w:cs="Times New Roman"/>
          <w:sz w:val="32"/>
          <w:szCs w:val="32"/>
          <w:lang w:eastAsia="zh-CN" w:bidi="ar-SA"/>
        </w:rPr>
        <w:t>救济</w:t>
      </w:r>
      <w:r>
        <w:rPr>
          <w:rFonts w:hint="eastAsia" w:ascii="Times New Roman" w:hAnsi="Times New Roman" w:eastAsia="仿宋_GB2312" w:cs="Times New Roman"/>
          <w:sz w:val="32"/>
          <w:szCs w:val="32"/>
          <w:lang w:bidi="ar-SA"/>
        </w:rPr>
        <w:t>资金已按时全额支付</w:t>
      </w:r>
      <w:r>
        <w:rPr>
          <w:rFonts w:hint="eastAsia" w:ascii="Times New Roman" w:hAnsi="Times New Roman" w:eastAsia="仿宋_GB2312" w:cs="Times New Roman"/>
          <w:sz w:val="32"/>
          <w:szCs w:val="32"/>
          <w:lang w:eastAsia="zh-CN" w:bidi="ar-SA"/>
        </w:rPr>
        <w:t>，不存在挪用情况。</w:t>
      </w:r>
    </w:p>
    <w:p w14:paraId="42DF6AD4">
      <w:pPr>
        <w:spacing w:line="578" w:lineRule="exact"/>
        <w:ind w:firstLine="643" w:firstLineChars="200"/>
        <w:rPr>
          <w:rFonts w:hint="eastAsia" w:ascii="楷体_GB2312" w:hAnsi="楷体_GB2312" w:eastAsia="楷体_GB2312" w:cs="楷体_GB2312"/>
          <w:sz w:val="32"/>
          <w:szCs w:val="32"/>
          <w:lang w:val="zh-CN" w:bidi="ar-SA"/>
        </w:rPr>
      </w:pPr>
      <w:r>
        <w:rPr>
          <w:rFonts w:hint="eastAsia" w:ascii="楷体_GB2312" w:hAnsi="宋体" w:eastAsia="楷体_GB2312" w:cs="Times New Roman"/>
          <w:b/>
          <w:sz w:val="32"/>
          <w:szCs w:val="32"/>
          <w:lang w:val="zh-CN" w:bidi="ar-SA"/>
        </w:rPr>
        <w:t>（二）</w:t>
      </w:r>
      <w:r>
        <w:rPr>
          <w:rFonts w:hint="eastAsia" w:ascii="楷体_GB2312" w:hAnsi="宋体" w:eastAsia="楷体_GB2312" w:cs="Times New Roman"/>
          <w:b/>
          <w:sz w:val="32"/>
          <w:szCs w:val="32"/>
          <w:lang w:bidi="ar-SA"/>
        </w:rPr>
        <w:t>专用指标</w:t>
      </w:r>
      <w:r>
        <w:rPr>
          <w:rFonts w:ascii="Times New Roman" w:hAnsi="Times New Roman" w:eastAsia="楷体_GB2312" w:cs="Times New Roman"/>
          <w:b/>
          <w:bCs/>
          <w:color w:val="000000"/>
          <w:kern w:val="0"/>
          <w:sz w:val="32"/>
          <w:szCs w:val="32"/>
          <w:shd w:val="clear" w:color="auto" w:fill="FFFFFF"/>
          <w:lang w:val="zh-CN" w:bidi="ar-SA"/>
        </w:rPr>
        <w:t>绩效分析。</w:t>
      </w:r>
    </w:p>
    <w:p w14:paraId="123CCB88">
      <w:pPr>
        <w:spacing w:line="578" w:lineRule="exact"/>
        <w:ind w:firstLine="640" w:firstLineChars="200"/>
        <w:rPr>
          <w:rFonts w:hint="eastAsia" w:ascii="Times New Roman" w:hAnsi="Times New Roman" w:eastAsia="仿宋_GB2312" w:cs="Times New Roman"/>
          <w:sz w:val="32"/>
          <w:szCs w:val="32"/>
          <w:lang w:bidi="ar-SA"/>
        </w:rPr>
      </w:pPr>
      <w:r>
        <w:rPr>
          <w:rFonts w:hint="eastAsia" w:ascii="楷体_GB2312" w:hAnsi="楷体_GB2312" w:eastAsia="楷体_GB2312" w:cs="楷体_GB2312"/>
          <w:sz w:val="32"/>
          <w:szCs w:val="32"/>
          <w:lang w:val="zh-CN" w:bidi="ar-SA"/>
        </w:rPr>
        <w:t>民生保障。</w:t>
      </w:r>
      <w:r>
        <w:rPr>
          <w:rFonts w:hint="eastAsia" w:ascii="Times New Roman" w:hAnsi="Times New Roman" w:eastAsia="仿宋_GB2312" w:cs="Times New Roman"/>
          <w:sz w:val="32"/>
          <w:szCs w:val="32"/>
          <w:lang w:bidi="ar-SA"/>
        </w:rPr>
        <w:t>区域均衡情况</w:t>
      </w:r>
      <w:r>
        <w:rPr>
          <w:rFonts w:hint="eastAsia" w:eastAsia="仿宋_GB2312" w:cs="Times New Roman"/>
          <w:sz w:val="32"/>
          <w:szCs w:val="32"/>
          <w:lang w:eastAsia="zh-CN" w:bidi="ar-SA"/>
        </w:rPr>
        <w:t>有效</w:t>
      </w:r>
      <w:r>
        <w:rPr>
          <w:rFonts w:hint="eastAsia" w:ascii="Times New Roman" w:hAnsi="Times New Roman" w:eastAsia="仿宋_GB2312" w:cs="Times New Roman"/>
          <w:sz w:val="32"/>
          <w:szCs w:val="32"/>
          <w:lang w:bidi="ar-SA"/>
        </w:rPr>
        <w:t>得到改善、区域间差距缩小，资金分配和实施结果精准，不存在明显的排他性和歧视性情形，按量及时落实到补助对象个人社保卡上。不存在多发、漏发、重发、迟发等情况，群众满意度较高。</w:t>
      </w:r>
    </w:p>
    <w:p w14:paraId="6DA7C2D2">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楷体_GB2312" w:cs="Times New Roman"/>
          <w:b/>
          <w:color w:val="auto"/>
          <w:sz w:val="32"/>
          <w:szCs w:val="32"/>
          <w:highlight w:val="none"/>
          <w:u w:val="none"/>
          <w:lang w:val="zh-CN" w:bidi="ar-SA"/>
        </w:rPr>
        <w:t>（三）</w:t>
      </w:r>
      <w:r>
        <w:rPr>
          <w:rFonts w:hint="default" w:ascii="Times New Roman" w:hAnsi="Times New Roman" w:eastAsia="楷体_GB2312" w:cs="Times New Roman"/>
          <w:b/>
          <w:color w:val="auto"/>
          <w:sz w:val="32"/>
          <w:szCs w:val="32"/>
          <w:highlight w:val="none"/>
          <w:u w:val="none"/>
          <w:lang w:val="en-US" w:eastAsia="zh-CN" w:bidi="ar-SA"/>
        </w:rPr>
        <w:t>个性指标</w:t>
      </w:r>
      <w:r>
        <w:rPr>
          <w:rFonts w:hint="default" w:ascii="Times New Roman" w:hAnsi="Times New Roman" w:eastAsia="楷体_GB2312" w:cs="Times New Roman"/>
          <w:b/>
          <w:bCs/>
          <w:color w:val="000000"/>
          <w:kern w:val="0"/>
          <w:sz w:val="32"/>
          <w:szCs w:val="32"/>
          <w:highlight w:val="none"/>
          <w:shd w:val="clear" w:color="auto" w:fill="FFFFFF"/>
          <w:lang w:val="zh-CN" w:bidi="ar-SA"/>
        </w:rPr>
        <w:t>绩效分析。</w:t>
      </w:r>
    </w:p>
    <w:p w14:paraId="06F12E9F">
      <w:pPr>
        <w:widowControl w:val="0"/>
        <w:ind w:left="0" w:leftChars="0"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社会效益：2024年困难残疾人</w:t>
      </w:r>
      <w:r>
        <w:rPr>
          <w:rFonts w:hint="eastAsia" w:eastAsia="仿宋_GB2312" w:cs="Times New Roman"/>
          <w:kern w:val="2"/>
          <w:sz w:val="32"/>
          <w:szCs w:val="32"/>
          <w:lang w:val="en-US" w:eastAsia="zh-CN" w:bidi="ar-SA"/>
        </w:rPr>
        <w:t>截至12月底</w:t>
      </w:r>
      <w:r>
        <w:rPr>
          <w:rFonts w:hint="eastAsia" w:ascii="Times New Roman" w:hAnsi="Times New Roman" w:eastAsia="仿宋_GB2312" w:cs="Times New Roman"/>
          <w:kern w:val="2"/>
          <w:sz w:val="32"/>
          <w:szCs w:val="32"/>
          <w:lang w:val="en-US" w:eastAsia="zh-CN" w:bidi="ar-SA"/>
        </w:rPr>
        <w:t>累计保障人次为：12565，重度残疾人</w:t>
      </w:r>
      <w:r>
        <w:rPr>
          <w:rFonts w:hint="eastAsia" w:eastAsia="仿宋_GB2312" w:cs="Times New Roman"/>
          <w:kern w:val="2"/>
          <w:sz w:val="32"/>
          <w:szCs w:val="32"/>
          <w:lang w:val="en-US" w:eastAsia="zh-CN" w:bidi="ar-SA"/>
        </w:rPr>
        <w:t>截至</w:t>
      </w:r>
      <w:r>
        <w:rPr>
          <w:rFonts w:hint="eastAsia" w:ascii="Times New Roman" w:hAnsi="Times New Roman" w:eastAsia="仿宋_GB2312" w:cs="Times New Roman"/>
          <w:kern w:val="2"/>
          <w:sz w:val="32"/>
          <w:szCs w:val="32"/>
          <w:lang w:val="en-US" w:eastAsia="zh-CN" w:bidi="ar-SA"/>
        </w:rPr>
        <w:t>12月底累计保障人次为：13815，精简退职职工</w:t>
      </w:r>
      <w:r>
        <w:rPr>
          <w:rFonts w:hint="eastAsia" w:eastAsia="仿宋_GB2312" w:cs="Times New Roman"/>
          <w:kern w:val="2"/>
          <w:sz w:val="32"/>
          <w:szCs w:val="32"/>
          <w:lang w:val="en-US" w:eastAsia="zh-CN" w:bidi="ar-SA"/>
        </w:rPr>
        <w:t>截至12月底</w:t>
      </w:r>
      <w:r>
        <w:rPr>
          <w:rFonts w:hint="eastAsia" w:ascii="Times New Roman" w:hAnsi="Times New Roman" w:eastAsia="仿宋_GB2312" w:cs="Times New Roman"/>
          <w:kern w:val="2"/>
          <w:sz w:val="32"/>
          <w:szCs w:val="32"/>
          <w:lang w:val="en-US" w:eastAsia="zh-CN" w:bidi="ar-SA"/>
        </w:rPr>
        <w:t>累计保障人次为：19。降低了脱贫人口返贫风险。</w:t>
      </w:r>
    </w:p>
    <w:p w14:paraId="5C44A2DA">
      <w:pPr>
        <w:widowControl/>
        <w:spacing w:line="600" w:lineRule="exact"/>
        <w:ind w:firstLine="640" w:firstLineChars="200"/>
        <w:jc w:val="left"/>
        <w:rPr>
          <w:rFonts w:hint="eastAsia" w:ascii="黑体" w:hAnsi="宋体" w:eastAsia="黑体" w:cs="Times New Roman"/>
          <w:kern w:val="0"/>
          <w:position w:val="3"/>
          <w:sz w:val="32"/>
          <w:szCs w:val="32"/>
          <w:lang w:val="en-US" w:eastAsia="en-US" w:bidi="ar-SA"/>
        </w:rPr>
      </w:pPr>
      <w:r>
        <w:rPr>
          <w:rFonts w:hint="eastAsia" w:ascii="黑体" w:hAnsi="宋体" w:eastAsia="黑体" w:cs="Times New Roman"/>
          <w:kern w:val="0"/>
          <w:position w:val="3"/>
          <w:sz w:val="32"/>
          <w:szCs w:val="32"/>
          <w:lang w:val="en-US" w:eastAsia="zh-CN" w:bidi="ar-SA"/>
        </w:rPr>
        <w:t>四</w:t>
      </w:r>
      <w:r>
        <w:rPr>
          <w:rFonts w:hint="eastAsia" w:ascii="黑体" w:hAnsi="宋体" w:eastAsia="黑体" w:cs="Times New Roman"/>
          <w:kern w:val="0"/>
          <w:position w:val="3"/>
          <w:sz w:val="32"/>
          <w:szCs w:val="32"/>
          <w:lang w:val="en-US" w:eastAsia="en-US" w:bidi="ar-SA"/>
        </w:rPr>
        <w:t>、评价结论</w:t>
      </w:r>
    </w:p>
    <w:p w14:paraId="64D9448B">
      <w:pPr>
        <w:widowControl/>
        <w:spacing w:line="600" w:lineRule="exact"/>
        <w:ind w:firstLine="640" w:firstLineChars="200"/>
        <w:jc w:val="left"/>
        <w:rPr>
          <w:rFonts w:ascii="黑体" w:hAnsi="黑体" w:eastAsia="仿宋_GB2312" w:cs="黑体"/>
          <w:kern w:val="2"/>
          <w:position w:val="0"/>
          <w:sz w:val="32"/>
          <w:szCs w:val="32"/>
          <w:lang w:val="en-US" w:eastAsia="zh-CN" w:bidi="ar-SA"/>
        </w:rPr>
      </w:pPr>
      <w:r>
        <w:rPr>
          <w:rFonts w:hint="eastAsia" w:ascii="仿宋_GB2312" w:hAnsi="仿宋_GB2312" w:eastAsia="仿宋_GB2312" w:cs="仿宋_GB2312"/>
          <w:kern w:val="0"/>
          <w:position w:val="0"/>
          <w:sz w:val="32"/>
          <w:szCs w:val="32"/>
          <w:lang w:val="en-US" w:eastAsia="zh-CN" w:bidi="ar-SA"/>
        </w:rPr>
        <w:t>社会救助救济政策实施到位，大大缓解了残疾人和精简退职职工的生活压力，提高了残疾人的生活质量，保障了残疾人生活和享受护理的权益，维护了社会稳定，使党的惠民政策落到实处。已达到预期效果，实现应保尽保、应退尽退，</w:t>
      </w:r>
      <w:r>
        <w:rPr>
          <w:rFonts w:ascii="仿宋_GB2312" w:hAnsi="仿宋_GB2312" w:eastAsia="仿宋_GB2312" w:cs="仿宋_GB2312"/>
          <w:color w:val="000000"/>
          <w:kern w:val="0"/>
          <w:position w:val="3"/>
          <w:sz w:val="31"/>
          <w:szCs w:val="31"/>
          <w:shd w:val="clear" w:color="070000" w:fill="FFFFFF"/>
          <w:lang w:val="en-US" w:eastAsia="en-US" w:bidi="ar-SA"/>
        </w:rPr>
        <w:t>未偏离绩效目标</w:t>
      </w:r>
      <w:r>
        <w:rPr>
          <w:rFonts w:hint="eastAsia" w:ascii="仿宋_GB2312" w:hAnsi="仿宋_GB2312" w:eastAsia="仿宋_GB2312" w:cs="仿宋_GB2312"/>
          <w:color w:val="000000"/>
          <w:kern w:val="0"/>
          <w:position w:val="3"/>
          <w:sz w:val="31"/>
          <w:szCs w:val="31"/>
          <w:shd w:val="clear" w:color="070000" w:fill="FFFFFF"/>
          <w:lang w:val="en-US" w:eastAsia="zh-CN" w:bidi="ar-SA"/>
        </w:rPr>
        <w:t>。通过自评综合得分89分。</w:t>
      </w:r>
    </w:p>
    <w:p w14:paraId="27C1A4B6">
      <w:pPr>
        <w:widowControl/>
        <w:spacing w:line="600" w:lineRule="exact"/>
        <w:ind w:firstLine="640" w:firstLineChars="200"/>
        <w:jc w:val="left"/>
        <w:rPr>
          <w:rFonts w:hint="eastAsia" w:ascii="黑体" w:hAnsi="宋体" w:eastAsia="黑体" w:cs="Times New Roman"/>
          <w:kern w:val="0"/>
          <w:position w:val="3"/>
          <w:sz w:val="32"/>
          <w:szCs w:val="32"/>
          <w:lang w:val="en-US" w:eastAsia="zh-CN" w:bidi="ar-SA"/>
        </w:rPr>
      </w:pPr>
      <w:r>
        <w:rPr>
          <w:rFonts w:hint="eastAsia" w:ascii="黑体" w:hAnsi="宋体" w:eastAsia="黑体" w:cs="Times New Roman"/>
          <w:kern w:val="0"/>
          <w:position w:val="3"/>
          <w:sz w:val="32"/>
          <w:szCs w:val="32"/>
          <w:lang w:val="en-US" w:eastAsia="zh-CN" w:bidi="ar-SA"/>
        </w:rPr>
        <w:t>五、存在主要问题</w:t>
      </w:r>
    </w:p>
    <w:p w14:paraId="47E5ACDC">
      <w:pPr>
        <w:spacing w:line="560" w:lineRule="exact"/>
        <w:ind w:firstLine="640" w:firstLineChars="200"/>
        <w:rPr>
          <w:rFonts w:hint="eastAsia" w:ascii="黑体" w:hAnsi="黑体" w:eastAsia="仿宋_GB2312" w:cs="黑体"/>
          <w:sz w:val="32"/>
          <w:szCs w:val="32"/>
          <w:lang w:bidi="ar-SA"/>
        </w:rPr>
      </w:pPr>
      <w:r>
        <w:rPr>
          <w:rFonts w:hint="eastAsia" w:ascii="仿宋_GB2312" w:hAnsi="仿宋_GB2312" w:eastAsia="仿宋_GB2312" w:cs="仿宋_GB2312"/>
          <w:sz w:val="32"/>
          <w:szCs w:val="32"/>
          <w:lang w:bidi="ar-SA"/>
        </w:rPr>
        <w:t>基层民政工作队伍薄弱。</w:t>
      </w:r>
      <w:r>
        <w:rPr>
          <w:rFonts w:hint="eastAsia" w:ascii="仿宋_GB2312" w:hAnsi="仿宋_GB2312" w:eastAsia="仿宋_GB2312" w:cs="仿宋_GB2312"/>
          <w:sz w:val="32"/>
          <w:szCs w:val="32"/>
          <w:lang w:val="zh-CN" w:bidi="ar-SA"/>
        </w:rPr>
        <w:t>民政救助项目多数需要建立长期动态管理机制，在民政政策宣传、咨询、调查核实、落实管理措施等工作需要一定的人力和财力。</w:t>
      </w:r>
    </w:p>
    <w:p w14:paraId="5D558E5D">
      <w:pPr>
        <w:widowControl/>
        <w:spacing w:line="600" w:lineRule="exact"/>
        <w:ind w:firstLine="640" w:firstLineChars="200"/>
        <w:jc w:val="left"/>
        <w:rPr>
          <w:rFonts w:hint="eastAsia" w:ascii="黑体" w:hAnsi="宋体" w:eastAsia="黑体" w:cs="Times New Roman"/>
          <w:kern w:val="0"/>
          <w:position w:val="3"/>
          <w:sz w:val="32"/>
          <w:szCs w:val="32"/>
          <w:lang w:val="zh-CN" w:eastAsia="zh-CN" w:bidi="ar-SA"/>
        </w:rPr>
      </w:pPr>
      <w:r>
        <w:rPr>
          <w:rFonts w:hint="eastAsia" w:ascii="黑体" w:hAnsi="宋体" w:eastAsia="黑体" w:cs="Times New Roman"/>
          <w:kern w:val="0"/>
          <w:position w:val="3"/>
          <w:sz w:val="32"/>
          <w:szCs w:val="32"/>
          <w:lang w:val="zh-CN" w:eastAsia="zh-CN" w:bidi="ar-SA"/>
        </w:rPr>
        <w:t>六、改进建议</w:t>
      </w:r>
    </w:p>
    <w:p w14:paraId="640B0879">
      <w:pPr>
        <w:widowControl/>
        <w:jc w:val="left"/>
        <w:rPr>
          <w:rFonts w:ascii="仿宋_GB2312" w:hAnsi="仿宋_GB2312" w:eastAsia="仿宋_GB2312" w:cs="仿宋_GB2312"/>
          <w:sz w:val="32"/>
          <w:szCs w:val="32"/>
          <w:lang w:bidi="ar-SA"/>
        </w:rPr>
      </w:pPr>
      <w:r>
        <w:rPr>
          <w:rFonts w:hint="eastAsia" w:ascii="仿宋_GB2312" w:hAnsi="仿宋_GB2312" w:eastAsia="仿宋_GB2312" w:cs="仿宋_GB2312"/>
          <w:kern w:val="0"/>
          <w:sz w:val="32"/>
          <w:szCs w:val="32"/>
          <w:shd w:val="clear" w:color="auto" w:fill="FFFFFF"/>
          <w:lang w:val="zh-CN" w:bidi="ar-SA"/>
        </w:rPr>
        <w:t xml:space="preserve"> </w:t>
      </w:r>
      <w:r>
        <w:rPr>
          <w:rFonts w:hint="eastAsia" w:ascii="仿宋_GB2312" w:hAnsi="仿宋_GB2312" w:eastAsia="仿宋_GB2312" w:cs="仿宋_GB2312"/>
          <w:kern w:val="0"/>
          <w:sz w:val="32"/>
          <w:szCs w:val="32"/>
          <w:lang w:bidi="ar-SA"/>
        </w:rPr>
        <w:t xml:space="preserve">  </w:t>
      </w:r>
      <w:r>
        <w:rPr>
          <w:rFonts w:hint="eastAsia" w:ascii="仿宋_GB2312" w:hAnsi="仿宋_GB2312" w:eastAsia="仿宋_GB2312" w:cs="仿宋_GB2312"/>
          <w:sz w:val="32"/>
          <w:szCs w:val="32"/>
          <w:lang w:bidi="ar-SA"/>
        </w:rPr>
        <w:t xml:space="preserve"> 加强政策宣传，提高业务水平。采取多样化形式加大残疾人两项补贴政策宣传，积极做好补贴政策解释工作，加强工作人员对全国残疾人两项补贴信息系统使用的培训，提高工作人员对政策执行和系统使用的水平。加强对残疾人两项补贴的组织实施，及时帮助残疾人办理补贴申请，切实将民生工程落到实处。</w:t>
      </w:r>
    </w:p>
    <w:p w14:paraId="763407D8">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rPr>
      </w:pPr>
      <w:r>
        <w:rPr>
          <w:rFonts w:hint="eastAsia" w:ascii="Times New Roman" w:hAnsi="Times New Roman" w:eastAsia="仿宋_GB2312" w:cs="仿宋_GB2312"/>
          <w:b w:val="0"/>
          <w:bCs w:val="0"/>
          <w:kern w:val="0"/>
          <w:position w:val="0"/>
          <w:sz w:val="32"/>
          <w:szCs w:val="32"/>
          <w:highlight w:val="none"/>
          <w:lang w:val="en-US" w:eastAsia="zh-CN"/>
        </w:rPr>
        <w:br w:type="page"/>
      </w:r>
    </w:p>
    <w:p w14:paraId="3178EA0E">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2"/>
          <w:rFonts w:hint="eastAsia" w:ascii="Times New Roman" w:hAnsi="Times New Roman" w:eastAsia="黑体"/>
          <w:b w:val="0"/>
          <w:color w:val="auto"/>
          <w:highlight w:val="none"/>
        </w:rPr>
        <w:t>五部分 附表</w:t>
      </w:r>
      <w:bookmarkEnd w:id="55"/>
      <w:bookmarkEnd w:id="57"/>
      <w:bookmarkStart w:id="58" w:name="_Toc15396619"/>
    </w:p>
    <w:p w14:paraId="59965A5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60FF010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8"/>
    </w:p>
    <w:p w14:paraId="7A123AF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0"/>
      <w:r>
        <w:rPr>
          <w:rFonts w:hint="eastAsia" w:ascii="Times New Roman" w:hAnsi="Times New Roman" w:eastAsia="仿宋_GB2312" w:cs="仿宋_GB2312"/>
          <w:color w:val="auto"/>
          <w:sz w:val="32"/>
          <w:szCs w:val="32"/>
          <w:highlight w:val="none"/>
        </w:rPr>
        <w:t>二、收入决算表</w:t>
      </w:r>
      <w:bookmarkEnd w:id="59"/>
    </w:p>
    <w:p w14:paraId="4BE9768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1"/>
      <w:r>
        <w:rPr>
          <w:rFonts w:hint="eastAsia" w:ascii="Times New Roman" w:hAnsi="Times New Roman" w:eastAsia="仿宋_GB2312" w:cs="仿宋_GB2312"/>
          <w:color w:val="auto"/>
          <w:sz w:val="32"/>
          <w:szCs w:val="32"/>
          <w:highlight w:val="none"/>
        </w:rPr>
        <w:t>三、支出决算表</w:t>
      </w:r>
      <w:bookmarkEnd w:id="60"/>
    </w:p>
    <w:p w14:paraId="3015E36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2"/>
      <w:r>
        <w:rPr>
          <w:rFonts w:hint="eastAsia" w:ascii="Times New Roman" w:hAnsi="Times New Roman" w:eastAsia="仿宋_GB2312" w:cs="仿宋_GB2312"/>
          <w:color w:val="auto"/>
          <w:sz w:val="32"/>
          <w:szCs w:val="32"/>
          <w:highlight w:val="none"/>
        </w:rPr>
        <w:t>四、财政拨款收入支出决算总表</w:t>
      </w:r>
      <w:bookmarkEnd w:id="61"/>
    </w:p>
    <w:p w14:paraId="658F4B24">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3"/>
      <w:r>
        <w:rPr>
          <w:rFonts w:hint="eastAsia" w:ascii="Times New Roman" w:hAnsi="Times New Roman" w:eastAsia="仿宋_GB2312" w:cs="仿宋_GB2312"/>
          <w:color w:val="auto"/>
          <w:sz w:val="32"/>
          <w:szCs w:val="32"/>
          <w:highlight w:val="none"/>
        </w:rPr>
        <w:t>五、财政拨款支出决算明细表</w:t>
      </w:r>
      <w:bookmarkEnd w:id="62"/>
      <w:bookmarkStart w:id="63" w:name="_Toc15396624"/>
    </w:p>
    <w:p w14:paraId="7919D73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3"/>
    </w:p>
    <w:p w14:paraId="02E87667">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5"/>
      <w:r>
        <w:rPr>
          <w:rFonts w:hint="eastAsia" w:ascii="Times New Roman" w:hAnsi="Times New Roman" w:eastAsia="仿宋_GB2312" w:cs="仿宋_GB2312"/>
          <w:color w:val="auto"/>
          <w:sz w:val="32"/>
          <w:szCs w:val="32"/>
          <w:highlight w:val="none"/>
        </w:rPr>
        <w:t>七、一般公共预算财政拨款支出决算明细表</w:t>
      </w:r>
      <w:bookmarkEnd w:id="64"/>
    </w:p>
    <w:p w14:paraId="662A0E9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6"/>
      <w:r>
        <w:rPr>
          <w:rFonts w:hint="eastAsia" w:ascii="Times New Roman" w:hAnsi="Times New Roman" w:eastAsia="仿宋_GB2312" w:cs="仿宋_GB2312"/>
          <w:color w:val="auto"/>
          <w:sz w:val="32"/>
          <w:szCs w:val="32"/>
          <w:highlight w:val="none"/>
        </w:rPr>
        <w:t>八、一般公共预算财政拨款基本支出决算表</w:t>
      </w:r>
      <w:bookmarkEnd w:id="65"/>
    </w:p>
    <w:p w14:paraId="6D4FD523">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7"/>
      <w:r>
        <w:rPr>
          <w:rFonts w:hint="eastAsia" w:ascii="Times New Roman" w:hAnsi="Times New Roman" w:eastAsia="仿宋_GB2312" w:cs="仿宋_GB2312"/>
          <w:color w:val="auto"/>
          <w:sz w:val="32"/>
          <w:szCs w:val="32"/>
          <w:highlight w:val="none"/>
        </w:rPr>
        <w:t>九、一般公共预算财政拨款项目支出决算表</w:t>
      </w:r>
      <w:bookmarkEnd w:id="66"/>
    </w:p>
    <w:p w14:paraId="268DBDD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8"/>
      <w:r>
        <w:rPr>
          <w:rFonts w:hint="eastAsia" w:ascii="Times New Roman" w:hAnsi="Times New Roman" w:eastAsia="仿宋_GB2312" w:cs="仿宋_GB2312"/>
          <w:color w:val="auto"/>
          <w:sz w:val="32"/>
          <w:szCs w:val="32"/>
          <w:highlight w:val="none"/>
        </w:rPr>
        <w:t>十、</w:t>
      </w:r>
      <w:bookmarkEnd w:id="67"/>
      <w:r>
        <w:rPr>
          <w:rFonts w:hint="eastAsia" w:ascii="Times New Roman" w:hAnsi="Times New Roman" w:eastAsia="仿宋_GB2312" w:cs="仿宋_GB2312"/>
          <w:color w:val="auto"/>
          <w:sz w:val="32"/>
          <w:szCs w:val="32"/>
          <w:highlight w:val="none"/>
        </w:rPr>
        <w:t>政府性基金预算财政拨款收入支出决算表</w:t>
      </w:r>
    </w:p>
    <w:p w14:paraId="5906DE6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29"/>
      <w:r>
        <w:rPr>
          <w:rFonts w:hint="eastAsia" w:ascii="Times New Roman" w:hAnsi="Times New Roman" w:eastAsia="仿宋_GB2312" w:cs="仿宋_GB2312"/>
          <w:color w:val="auto"/>
          <w:sz w:val="32"/>
          <w:szCs w:val="32"/>
          <w:highlight w:val="none"/>
        </w:rPr>
        <w:t>十一、</w:t>
      </w:r>
      <w:bookmarkEnd w:id="6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AD956B1">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30"/>
      <w:r>
        <w:rPr>
          <w:rFonts w:hint="eastAsia" w:ascii="Times New Roman" w:hAnsi="Times New Roman" w:eastAsia="仿宋_GB2312" w:cs="仿宋_GB2312"/>
          <w:color w:val="auto"/>
          <w:sz w:val="32"/>
          <w:szCs w:val="32"/>
          <w:highlight w:val="none"/>
        </w:rPr>
        <w:t>十二、</w:t>
      </w:r>
      <w:bookmarkEnd w:id="69"/>
      <w:r>
        <w:rPr>
          <w:rFonts w:hint="eastAsia" w:ascii="Times New Roman" w:hAnsi="Times New Roman" w:eastAsia="仿宋_GB2312" w:cs="仿宋_GB2312"/>
          <w:color w:val="auto"/>
          <w:sz w:val="32"/>
          <w:szCs w:val="32"/>
          <w:highlight w:val="none"/>
          <w:lang w:eastAsia="zh-CN"/>
        </w:rPr>
        <w:t>国有资本经营预算财政拨款支出决算表</w:t>
      </w:r>
    </w:p>
    <w:p w14:paraId="70F5F41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70" w:name="_Toc15396631"/>
      <w:r>
        <w:rPr>
          <w:rFonts w:hint="eastAsia" w:ascii="Times New Roman" w:hAnsi="Times New Roman" w:eastAsia="仿宋_GB2312" w:cs="仿宋_GB2312"/>
          <w:color w:val="auto"/>
          <w:sz w:val="32"/>
          <w:szCs w:val="32"/>
          <w:highlight w:val="none"/>
        </w:rPr>
        <w:t>十三、</w:t>
      </w:r>
      <w:bookmarkEnd w:id="70"/>
      <w:r>
        <w:rPr>
          <w:rFonts w:hint="eastAsia" w:ascii="Times New Roman" w:hAnsi="Times New Roman" w:eastAsia="仿宋_GB2312" w:cs="仿宋_GB2312"/>
          <w:color w:val="auto"/>
          <w:sz w:val="32"/>
          <w:szCs w:val="32"/>
          <w:highlight w:val="none"/>
          <w:lang w:eastAsia="zh-CN"/>
        </w:rPr>
        <w:t>财政拨款“三公”经费支出决算表</w:t>
      </w:r>
    </w:p>
    <w:p w14:paraId="6A32D86E">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48D5FD-9DCA-4318-80B2-0F3F32B788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EC9A735-2ABF-4F9C-9203-620CAE61B2C3}"/>
  </w:font>
  <w:font w:name="仿宋">
    <w:panose1 w:val="02010609060101010101"/>
    <w:charset w:val="86"/>
    <w:family w:val="auto"/>
    <w:pitch w:val="default"/>
    <w:sig w:usb0="800002BF" w:usb1="38CF7CFA" w:usb2="00000016" w:usb3="00000000" w:csb0="00040001" w:csb1="00000000"/>
    <w:embedRegular r:id="rId3" w:fontKey="{F30DF9E7-6F9A-4450-B644-FFFD8F3AB61E}"/>
  </w:font>
  <w:font w:name="方正仿宋简体">
    <w:altName w:val="宋体"/>
    <w:panose1 w:val="03000509000000000000"/>
    <w:charset w:val="86"/>
    <w:family w:val="auto"/>
    <w:pitch w:val="default"/>
    <w:sig w:usb0="00000000" w:usb1="00000000" w:usb2="00000000" w:usb3="00000000" w:csb0="00040000" w:csb1="00000000"/>
  </w:font>
  <w:font w:name="??">
    <w:altName w:val="仿宋_GB2312"/>
    <w:panose1 w:val="00000000000000000000"/>
    <w:charset w:val="00"/>
    <w:family w:val="auto"/>
    <w:pitch w:val="default"/>
    <w:sig w:usb0="00000000" w:usb1="00000000" w:usb2="00000000"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6051DFD4-DF13-4CED-B23E-4692F00C8D09}"/>
  </w:font>
  <w:font w:name="楷体_GB2312">
    <w:panose1 w:val="02010609030101010101"/>
    <w:charset w:val="86"/>
    <w:family w:val="auto"/>
    <w:pitch w:val="default"/>
    <w:sig w:usb0="00000001" w:usb1="080E0000" w:usb2="00000000" w:usb3="00000000" w:csb0="00040000" w:csb1="00000000"/>
    <w:embedRegular r:id="rId5" w:fontKey="{D610B27C-1371-4E46-8B82-27C49FAD29B9}"/>
  </w:font>
  <w:font w:name="方正仿宋_GB2312">
    <w:panose1 w:val="02000000000000000000"/>
    <w:charset w:val="86"/>
    <w:family w:val="auto"/>
    <w:pitch w:val="default"/>
    <w:sig w:usb0="A00002BF" w:usb1="184F6CFA" w:usb2="00000012" w:usb3="00000000" w:csb0="00040001" w:csb1="00000000"/>
    <w:embedRegular r:id="rId6" w:fontKey="{61527026-013F-4EB4-96F6-D03C9E4907D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6F50">
    <w:pPr>
      <w:pStyle w:val="9"/>
      <w:jc w:val="center"/>
    </w:pPr>
  </w:p>
  <w:p w14:paraId="307558E3">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98792">
    <w:pPr>
      <w:pStyle w:val="9"/>
      <w:jc w:val="center"/>
    </w:pPr>
  </w:p>
  <w:p w14:paraId="3BA1129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795F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D934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872D4"/>
    <w:multiLevelType w:val="singleLevel"/>
    <w:tmpl w:val="892872D4"/>
    <w:lvl w:ilvl="0" w:tentative="0">
      <w:start w:val="3"/>
      <w:numFmt w:val="chineseCounting"/>
      <w:suff w:val="nothing"/>
      <w:lvlText w:val="（%1）"/>
      <w:lvlJc w:val="left"/>
      <w:rPr>
        <w:rFonts w:hint="eastAsia"/>
      </w:rPr>
    </w:lvl>
  </w:abstractNum>
  <w:abstractNum w:abstractNumId="1">
    <w:nsid w:val="A90123C6"/>
    <w:multiLevelType w:val="singleLevel"/>
    <w:tmpl w:val="A90123C6"/>
    <w:lvl w:ilvl="0" w:tentative="0">
      <w:start w:val="2"/>
      <w:numFmt w:val="chineseCounting"/>
      <w:suff w:val="nothing"/>
      <w:lvlText w:val="（%1）"/>
      <w:lvlJc w:val="left"/>
      <w:rPr>
        <w:rFonts w:hint="eastAsia"/>
      </w:rPr>
    </w:lvl>
  </w:abstractNum>
  <w:abstractNum w:abstractNumId="2">
    <w:nsid w:val="CB21ED34"/>
    <w:multiLevelType w:val="singleLevel"/>
    <w:tmpl w:val="CB21ED34"/>
    <w:lvl w:ilvl="0" w:tentative="0">
      <w:start w:val="1"/>
      <w:numFmt w:val="chineseCounting"/>
      <w:suff w:val="nothing"/>
      <w:lvlText w:val="%1、"/>
      <w:lvlJc w:val="left"/>
      <w:rPr>
        <w:rFonts w:hint="eastAsia"/>
      </w:rPr>
    </w:lvl>
  </w:abstractNum>
  <w:abstractNum w:abstractNumId="3">
    <w:nsid w:val="E30FC78F"/>
    <w:multiLevelType w:val="singleLevel"/>
    <w:tmpl w:val="E30FC78F"/>
    <w:lvl w:ilvl="0" w:tentative="0">
      <w:start w:val="2"/>
      <w:numFmt w:val="chineseCounting"/>
      <w:suff w:val="nothing"/>
      <w:lvlText w:val="（%1）"/>
      <w:lvlJc w:val="left"/>
      <w:rPr>
        <w:rFonts w:hint="eastAsia"/>
      </w:rPr>
    </w:lvl>
  </w:abstractNum>
  <w:abstractNum w:abstractNumId="4">
    <w:nsid w:val="EF5F693E"/>
    <w:multiLevelType w:val="singleLevel"/>
    <w:tmpl w:val="EF5F693E"/>
    <w:lvl w:ilvl="0" w:tentative="0">
      <w:start w:val="3"/>
      <w:numFmt w:val="decimal"/>
      <w:lvlText w:val="%1."/>
      <w:lvlJc w:val="left"/>
      <w:pPr>
        <w:tabs>
          <w:tab w:val="left" w:pos="312"/>
        </w:tabs>
      </w:pPr>
    </w:lvl>
  </w:abstractNum>
  <w:abstractNum w:abstractNumId="5">
    <w:nsid w:val="00000005"/>
    <w:multiLevelType w:val="singleLevel"/>
    <w:tmpl w:val="00000005"/>
    <w:lvl w:ilvl="0" w:tentative="0">
      <w:start w:val="2"/>
      <w:numFmt w:val="chineseCounting"/>
      <w:suff w:val="nothing"/>
      <w:lvlText w:val="（%1）"/>
      <w:lvlJc w:val="left"/>
      <w:rPr>
        <w:rFonts w:hint="eastAsia"/>
      </w:rPr>
    </w:lvl>
  </w:abstractNum>
  <w:abstractNum w:abstractNumId="6">
    <w:nsid w:val="36C6A603"/>
    <w:multiLevelType w:val="singleLevel"/>
    <w:tmpl w:val="36C6A603"/>
    <w:lvl w:ilvl="0" w:tentative="0">
      <w:start w:val="3"/>
      <w:numFmt w:val="chineseCounting"/>
      <w:suff w:val="nothing"/>
      <w:lvlText w:val="（%1）"/>
      <w:lvlJc w:val="left"/>
      <w:rPr>
        <w:rFonts w:hint="eastAsia"/>
      </w:rPr>
    </w:lvl>
  </w:abstractNum>
  <w:abstractNum w:abstractNumId="7">
    <w:nsid w:val="590E1670"/>
    <w:multiLevelType w:val="singleLevel"/>
    <w:tmpl w:val="590E1670"/>
    <w:lvl w:ilvl="0" w:tentative="0">
      <w:start w:val="3"/>
      <w:numFmt w:val="decimal"/>
      <w:lvlText w:val="%1."/>
      <w:lvlJc w:val="left"/>
      <w:pPr>
        <w:tabs>
          <w:tab w:val="left" w:pos="312"/>
        </w:tabs>
      </w:pPr>
    </w:lvl>
  </w:abstractNum>
  <w:num w:numId="1">
    <w:abstractNumId w:val="2"/>
  </w:num>
  <w:num w:numId="2">
    <w:abstractNumId w:val="7"/>
  </w:num>
  <w:num w:numId="3">
    <w:abstractNumId w:val="3"/>
  </w:num>
  <w:num w:numId="4">
    <w:abstractNumId w:val="6"/>
  </w:num>
  <w:num w:numId="5">
    <w:abstractNumId w:val="0"/>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051B97"/>
    <w:rsid w:val="32AB0D19"/>
    <w:rsid w:val="3B6179B6"/>
    <w:rsid w:val="3C545FD6"/>
    <w:rsid w:val="4ADB68A1"/>
    <w:rsid w:val="4CD011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rPr>
  </w:style>
  <w:style w:type="paragraph" w:styleId="3">
    <w:name w:val="heading 1"/>
    <w:basedOn w:val="1"/>
    <w:next w:val="1"/>
    <w:link w:val="22"/>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4">
    <w:name w:val="heading 2"/>
    <w:basedOn w:val="1"/>
    <w:next w:val="1"/>
    <w:link w:val="23"/>
    <w:uiPriority w:val="0"/>
    <w:pPr>
      <w:keepNext/>
      <w:keepLines/>
      <w:spacing w:before="260" w:beforeLines="0" w:after="260" w:afterLines="0" w:line="416" w:lineRule="auto"/>
      <w:outlineLvl w:val="1"/>
    </w:pPr>
    <w:rPr>
      <w:rFonts w:ascii="Cambria" w:hAnsi="Cambria" w:eastAsia="宋体" w:cs="黑体"/>
      <w:b/>
      <w:bCs/>
      <w:kern w:val="2"/>
      <w:sz w:val="32"/>
      <w:szCs w:val="32"/>
    </w:rPr>
  </w:style>
  <w:style w:type="paragraph" w:styleId="5">
    <w:name w:val="heading 3"/>
    <w:basedOn w:val="1"/>
    <w:next w:val="1"/>
    <w:link w:val="24"/>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19">
    <w:name w:val="Default Paragraph Font"/>
    <w:uiPriority w:val="0"/>
  </w:style>
  <w:style w:type="table" w:default="1" w:styleId="18">
    <w:name w:val="Normal Table"/>
    <w:semiHidden/>
    <w:uiPriority w:val="0"/>
    <w:tblPr>
      <w:tblStyle w:val="18"/>
      <w:tblCellMar>
        <w:top w:w="0" w:type="dxa"/>
        <w:left w:w="108" w:type="dxa"/>
        <w:bottom w:w="0" w:type="dxa"/>
        <w:right w:w="108" w:type="dxa"/>
      </w:tblCellMar>
    </w:tblPr>
  </w:style>
  <w:style w:type="paragraph" w:customStyle="1" w:styleId="2">
    <w:name w:val="标题 5（有编号）（绿盟科技）"/>
    <w:next w:val="1"/>
    <w:uiPriority w:val="0"/>
    <w:pPr>
      <w:keepNext/>
      <w:keepLines/>
      <w:widowControl w:val="0"/>
      <w:spacing w:before="280" w:beforeLines="0" w:after="156" w:afterLines="0" w:line="377" w:lineRule="auto"/>
      <w:jc w:val="left"/>
      <w:outlineLvl w:val="4"/>
    </w:pPr>
    <w:rPr>
      <w:rFonts w:ascii="Arial" w:hAnsi="Arial" w:eastAsia="黑体" w:cs="Times New Roman"/>
      <w:b/>
      <w:kern w:val="2"/>
      <w:sz w:val="24"/>
      <w:szCs w:val="28"/>
      <w:lang w:val="en-US" w:eastAsia="zh-CN"/>
    </w:rPr>
  </w:style>
  <w:style w:type="paragraph" w:styleId="6">
    <w:name w:val="Body Text"/>
    <w:basedOn w:val="1"/>
    <w:next w:val="1"/>
    <w:link w:val="25"/>
    <w:uiPriority w:val="0"/>
    <w:pPr>
      <w:spacing w:before="93" w:beforeLines="30"/>
    </w:pPr>
    <w:rPr>
      <w:rFonts w:ascii="仿宋_GB2312" w:hAnsi="Times New Roman" w:eastAsia="仿宋_GB2312"/>
      <w:sz w:val="24"/>
    </w:rPr>
  </w:style>
  <w:style w:type="paragraph" w:styleId="7">
    <w:name w:val="toc 3"/>
    <w:basedOn w:val="1"/>
    <w:next w:val="1"/>
    <w:uiPriority w:val="0"/>
    <w:pPr>
      <w:tabs>
        <w:tab w:val="right" w:leader="dot" w:pos="8296"/>
      </w:tabs>
      <w:ind w:left="840" w:leftChars="400"/>
    </w:pPr>
  </w:style>
  <w:style w:type="paragraph" w:styleId="8">
    <w:name w:val="Balloon Text"/>
    <w:basedOn w:val="1"/>
    <w:link w:val="26"/>
    <w:uiPriority w:val="0"/>
    <w:rPr>
      <w:rFonts w:ascii="Times New Roman" w:hAnsi="Times New Roman"/>
      <w:kern w:val="2"/>
      <w:sz w:val="18"/>
      <w:szCs w:val="18"/>
    </w:rPr>
  </w:style>
  <w:style w:type="paragraph" w:styleId="9">
    <w:name w:val="footer"/>
    <w:basedOn w:val="1"/>
    <w:link w:val="27"/>
    <w:uiPriority w:val="0"/>
    <w:pPr>
      <w:tabs>
        <w:tab w:val="center" w:pos="4153"/>
        <w:tab w:val="right" w:pos="8306"/>
      </w:tabs>
      <w:snapToGrid w:val="0"/>
      <w:jc w:val="left"/>
    </w:pPr>
    <w:rPr>
      <w:sz w:val="18"/>
    </w:rPr>
  </w:style>
  <w:style w:type="paragraph" w:styleId="10">
    <w:name w:val="header"/>
    <w:basedOn w:val="1"/>
    <w:link w:val="28"/>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uiPriority w:val="0"/>
    <w:pPr>
      <w:tabs>
        <w:tab w:val="right" w:leader="dot" w:pos="8296"/>
      </w:tabs>
      <w:spacing w:before="93" w:beforeLines="0"/>
      <w:jc w:val="center"/>
    </w:pPr>
    <w:rPr>
      <w:rFonts w:ascii="仿宋" w:hAnsi="仿宋" w:eastAsia="仿宋"/>
      <w:sz w:val="28"/>
      <w:szCs w:val="28"/>
    </w:rPr>
  </w:style>
  <w:style w:type="paragraph" w:styleId="12">
    <w:name w:val="footnote text"/>
    <w:basedOn w:val="1"/>
    <w:next w:val="13"/>
    <w:uiPriority w:val="0"/>
    <w:pPr>
      <w:snapToGrid w:val="0"/>
      <w:jc w:val="left"/>
    </w:pPr>
    <w:rPr>
      <w:sz w:val="18"/>
      <w:szCs w:val="18"/>
    </w:rPr>
  </w:style>
  <w:style w:type="paragraph" w:customStyle="1" w:styleId="13">
    <w:name w:val="Body Text First Indent 2"/>
    <w:basedOn w:val="14"/>
    <w:uiPriority w:val="0"/>
    <w:pPr>
      <w:ind w:firstLine="420" w:firstLineChars="200"/>
    </w:pPr>
  </w:style>
  <w:style w:type="paragraph" w:customStyle="1" w:styleId="14">
    <w:name w:val="Body Text Indent"/>
    <w:basedOn w:val="1"/>
    <w:next w:val="13"/>
    <w:uiPriority w:val="0"/>
    <w:pPr>
      <w:spacing w:after="120" w:afterLines="0"/>
      <w:ind w:leftChars="200"/>
    </w:pPr>
    <w:rPr>
      <w:rFonts w:ascii="仿宋_GB2312"/>
      <w:szCs w:val="32"/>
    </w:rPr>
  </w:style>
  <w:style w:type="paragraph" w:styleId="15">
    <w:name w:val="table of figures"/>
    <w:basedOn w:val="1"/>
    <w:next w:val="1"/>
    <w:uiPriority w:val="0"/>
    <w:pPr>
      <w:ind w:leftChars="200" w:hanging="200" w:hangingChars="200"/>
    </w:pPr>
  </w:style>
  <w:style w:type="paragraph" w:styleId="16">
    <w:name w:val="toc 2"/>
    <w:basedOn w:val="1"/>
    <w:next w:val="1"/>
    <w:uiPriority w:val="0"/>
    <w:pPr>
      <w:tabs>
        <w:tab w:val="right" w:leader="dot" w:pos="8296"/>
      </w:tabs>
      <w:ind w:left="420" w:leftChars="200"/>
    </w:p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20">
    <w:name w:val="Strong"/>
    <w:basedOn w:val="19"/>
    <w:uiPriority w:val="0"/>
    <w:rPr>
      <w:b/>
    </w:rPr>
  </w:style>
  <w:style w:type="character" w:styleId="21">
    <w:name w:val="Hyperlink"/>
    <w:basedOn w:val="19"/>
    <w:uiPriority w:val="0"/>
    <w:rPr>
      <w:color w:val="0000FF"/>
      <w:u w:val="single"/>
    </w:rPr>
  </w:style>
  <w:style w:type="character" w:customStyle="1" w:styleId="22">
    <w:name w:val="标题 1 Char"/>
    <w:basedOn w:val="19"/>
    <w:link w:val="3"/>
    <w:uiPriority w:val="0"/>
    <w:rPr>
      <w:rFonts w:ascii="Times New Roman" w:hAnsi="Times New Roman"/>
      <w:b/>
      <w:bCs/>
      <w:kern w:val="44"/>
      <w:sz w:val="44"/>
      <w:szCs w:val="44"/>
    </w:rPr>
  </w:style>
  <w:style w:type="character" w:customStyle="1" w:styleId="23">
    <w:name w:val="标题 2 Char"/>
    <w:basedOn w:val="19"/>
    <w:link w:val="4"/>
    <w:uiPriority w:val="0"/>
    <w:rPr>
      <w:rFonts w:ascii="Cambria" w:hAnsi="Cambria" w:eastAsia="宋体" w:cs="黑体"/>
      <w:b/>
      <w:bCs/>
      <w:kern w:val="2"/>
      <w:sz w:val="32"/>
      <w:szCs w:val="32"/>
    </w:rPr>
  </w:style>
  <w:style w:type="character" w:customStyle="1" w:styleId="24">
    <w:name w:val="标题 3 Char"/>
    <w:basedOn w:val="19"/>
    <w:link w:val="5"/>
    <w:uiPriority w:val="0"/>
    <w:rPr>
      <w:rFonts w:ascii="Times New Roman" w:hAnsi="Times New Roman"/>
      <w:b/>
      <w:bCs/>
      <w:kern w:val="2"/>
      <w:sz w:val="32"/>
      <w:szCs w:val="32"/>
    </w:rPr>
  </w:style>
  <w:style w:type="character" w:customStyle="1" w:styleId="25">
    <w:name w:val="正文文本 Char"/>
    <w:link w:val="6"/>
    <w:uiPriority w:val="0"/>
    <w:rPr>
      <w:rFonts w:ascii="仿宋_GB2312" w:hAnsi="Times New Roman" w:eastAsia="仿宋_GB2312"/>
      <w:sz w:val="24"/>
    </w:rPr>
  </w:style>
  <w:style w:type="character" w:customStyle="1" w:styleId="26">
    <w:name w:val="批注框文本 Char"/>
    <w:basedOn w:val="19"/>
    <w:link w:val="8"/>
    <w:uiPriority w:val="0"/>
    <w:rPr>
      <w:rFonts w:ascii="Times New Roman" w:hAnsi="Times New Roman"/>
      <w:kern w:val="2"/>
      <w:sz w:val="18"/>
      <w:szCs w:val="18"/>
    </w:rPr>
  </w:style>
  <w:style w:type="character" w:customStyle="1" w:styleId="27">
    <w:name w:val="页脚 Char"/>
    <w:link w:val="9"/>
    <w:uiPriority w:val="0"/>
    <w:rPr>
      <w:sz w:val="18"/>
    </w:rPr>
  </w:style>
  <w:style w:type="character" w:customStyle="1" w:styleId="28">
    <w:name w:val="页眉 Char"/>
    <w:link w:val="10"/>
    <w:uiPriority w:val="0"/>
    <w:rPr>
      <w:sz w:val="18"/>
    </w:rPr>
  </w:style>
  <w:style w:type="character" w:customStyle="1" w:styleId="29">
    <w:name w:val="Footer Char"/>
    <w:basedOn w:val="19"/>
    <w:uiPriority w:val="0"/>
    <w:rPr>
      <w:rFonts w:ascii="Times New Roman" w:hAnsi="Times New Roman"/>
      <w:sz w:val="18"/>
      <w:szCs w:val="18"/>
    </w:rPr>
  </w:style>
  <w:style w:type="character" w:customStyle="1" w:styleId="30">
    <w:name w:val="Body Text Char"/>
    <w:basedOn w:val="19"/>
    <w:uiPriority w:val="0"/>
    <w:rPr>
      <w:rFonts w:ascii="Times New Roman" w:hAnsi="Times New Roman"/>
      <w:szCs w:val="24"/>
    </w:rPr>
  </w:style>
  <w:style w:type="character" w:customStyle="1" w:styleId="31">
    <w:name w:val="Header Char"/>
    <w:basedOn w:val="19"/>
    <w:uiPriority w:val="0"/>
    <w:rPr>
      <w:rFonts w:ascii="Times New Roman" w:hAnsi="Times New Roman"/>
      <w:sz w:val="18"/>
      <w:szCs w:val="18"/>
    </w:rPr>
  </w:style>
  <w:style w:type="paragraph" w:customStyle="1" w:styleId="32">
    <w:name w:val="TOC Heading"/>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3">
    <w:name w:val="TOC 标题1"/>
    <w:basedOn w:val="3"/>
    <w:next w:val="1"/>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4">
    <w:name w:val="List Paragraph"/>
    <w:basedOn w:val="1"/>
    <w:uiPriority w:val="0"/>
    <w:pPr>
      <w:ind w:firstLine="420" w:firstLineChars="200"/>
    </w:pPr>
  </w:style>
  <w:style w:type="paragraph" w:customStyle="1" w:styleId="35">
    <w:name w:val="Default"/>
    <w:uiPriority w:val="0"/>
    <w:pPr>
      <w:widowControl w:val="0"/>
      <w:autoSpaceDE w:val="0"/>
      <w:autoSpaceDN w:val="0"/>
      <w:adjustRightInd w:val="0"/>
    </w:pPr>
    <w:rPr>
      <w:rFonts w:ascii="仿宋" w:hAnsi="Calibri" w:eastAsia="仿宋" w:cs="仿宋"/>
      <w:color w:val="000000"/>
      <w:sz w:val="24"/>
      <w:szCs w:val="24"/>
      <w:lang w:val="en-US" w:eastAsia="zh-CN"/>
    </w:rPr>
  </w:style>
  <w:style w:type="paragraph" w:customStyle="1" w:styleId="36">
    <w:name w:val="常用样式（方正仿宋简）"/>
    <w:basedOn w:val="1"/>
    <w:qFormat/>
    <w:uiPriority w:val="0"/>
    <w:pPr>
      <w:spacing w:line="560" w:lineRule="exact"/>
      <w:ind w:firstLine="640" w:firstLineChars="200"/>
    </w:pPr>
    <w:rPr>
      <w:rFonts w:eastAsia="方正仿宋简体"/>
    </w:rPr>
  </w:style>
  <w:style w:type="paragraph" w:customStyle="1" w:styleId="37">
    <w:name w:val="table of figures"/>
    <w:basedOn w:val="1"/>
    <w:next w:val="1"/>
    <w:qFormat/>
    <w:uiPriority w:val="0"/>
    <w:pPr>
      <w:ind w:left="200" w:leftChars="200" w:hanging="200" w:hangingChars="200"/>
    </w:pPr>
  </w:style>
  <w:style w:type="paragraph" w:customStyle="1" w:styleId="38">
    <w:name w:val="四号正文"/>
    <w:basedOn w:val="1"/>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收入、支出决算总计变动情况图</a:t>
            </a:r>
          </a:p>
        </c:rich>
      </c:tx>
      <c:layout/>
      <c:overlay val="0"/>
      <c:spPr>
        <a:noFill/>
        <a:ln>
          <a:noFill/>
        </a:ln>
        <a:effectLst/>
      </c:spPr>
    </c:title>
    <c:autoTitleDeleted val="0"/>
    <c:plotArea>
      <c:layout/>
      <c:barChart>
        <c:barDir val="col"/>
        <c:grouping val="clustered"/>
        <c:varyColors val="0"/>
        <c:ser>
          <c:idx val="0"/>
          <c:order val="0"/>
          <c:tx>
            <c:strRef>
              <c:f>[工作簿1]Sheet1!$A$9</c:f>
              <c:strCache>
                <c:ptCount val="1"/>
                <c:pt idx="0">
                  <c:v>2023年</c:v>
                </c:pt>
              </c:strCache>
            </c:strRef>
          </c:tx>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[工作簿1]Sheet1!$B$8:$C$8</c:f>
              <c:strCache>
                <c:ptCount val="2"/>
                <c:pt idx="0">
                  <c:v>收入（万元）</c:v>
                </c:pt>
                <c:pt idx="1">
                  <c:v>支出（万元）</c:v>
                </c:pt>
              </c:strCache>
            </c:strRef>
          </c:cat>
          <c:val>
            <c:numRef>
              <c:f>[工作簿1]Sheet1!$B$9:$C$9</c:f>
              <c:numCache>
                <c:formatCode>General</c:formatCode>
                <c:ptCount val="2"/>
                <c:pt idx="0">
                  <c:v>4408.34</c:v>
                </c:pt>
                <c:pt idx="1">
                  <c:v>4408.34</c:v>
                </c:pt>
              </c:numCache>
            </c:numRef>
          </c:val>
        </c:ser>
        <c:ser>
          <c:idx val="1"/>
          <c:order val="1"/>
          <c:tx>
            <c:strRef>
              <c:f>[工作簿1]Sheet1!$A$10</c:f>
              <c:strCache>
                <c:ptCount val="1"/>
                <c:pt idx="0">
                  <c:v>2024年</c:v>
                </c:pt>
              </c:strCache>
            </c:strRef>
          </c:tx>
          <c:spPr>
            <a:solidFill>
              <a:srgbClr val="C0504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[工作簿1]Sheet1!$B$8:$C$8</c:f>
              <c:strCache>
                <c:ptCount val="2"/>
                <c:pt idx="0">
                  <c:v>收入（万元）</c:v>
                </c:pt>
                <c:pt idx="1">
                  <c:v>支出（万元）</c:v>
                </c:pt>
              </c:strCache>
            </c:strRef>
          </c:cat>
          <c:val>
            <c:numRef>
              <c:f>[工作簿1]Sheet1!$B$10:$C$10</c:f>
              <c:numCache>
                <c:formatCode>General</c:formatCode>
                <c:ptCount val="2"/>
                <c:pt idx="0">
                  <c:v>4986.88</c:v>
                </c:pt>
                <c:pt idx="1">
                  <c:v>4986.88</c:v>
                </c:pt>
              </c:numCache>
            </c:numRef>
          </c:val>
        </c:ser>
        <c:dLbls>
          <c:showLegendKey val="0"/>
          <c:showVal val="1"/>
          <c:showCatName val="0"/>
          <c:showSerName val="0"/>
          <c:showPercent val="0"/>
          <c:showBubbleSize val="0"/>
        </c:dLbls>
        <c:gapWidth val="219"/>
        <c:overlap val="-27"/>
        <c:axId val="292238161"/>
        <c:axId val="630011829"/>
      </c:barChart>
      <c:catAx>
        <c:axId val="29223816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30011829"/>
        <c:crosses val="autoZero"/>
        <c:auto val="1"/>
        <c:lblAlgn val="ctr"/>
        <c:lblOffset val="100"/>
        <c:noMultiLvlLbl val="0"/>
      </c:catAx>
      <c:valAx>
        <c:axId val="630011829"/>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9223816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7c117f47-0e98-4bd6-8f8d-7acd34cb4499}"/>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Pt>
            <c:idx val="5"/>
            <c:bubble3D val="0"/>
            <c:spPr>
              <a:solidFill>
                <a:srgbClr val="F79646"/>
              </a:solidFill>
              <a:ln w="19050">
                <a:solidFill>
                  <a:srgbClr val="FFFFFF"/>
                </a:solidFill>
              </a:ln>
              <a:effectLst/>
            </c:spPr>
          </c:dPt>
          <c:dPt>
            <c:idx val="6"/>
            <c:bubble3D val="0"/>
            <c:spPr>
              <a:solidFill>
                <a:srgbClr val="2C4D75">
                  <a:lumMod val="60000"/>
                </a:srgbClr>
              </a:solidFill>
              <a:ln w="19050">
                <a:solidFill>
                  <a:srgbClr val="FFFFFF"/>
                </a:solidFill>
              </a:ln>
              <a:effectLst/>
            </c:spPr>
          </c:dPt>
          <c:dPt>
            <c:idx val="7"/>
            <c:bubble3D val="0"/>
            <c:spPr>
              <a:solidFill>
                <a:srgbClr val="772C2A">
                  <a:lumMod val="60000"/>
                </a:srgbClr>
              </a:solidFill>
              <a:ln w="19050">
                <a:solidFill>
                  <a:srgbClr val="FFFFFF"/>
                </a:solidFill>
              </a:ln>
              <a:effectLst/>
            </c:spPr>
          </c:dPt>
          <c:dLbls>
            <c:delete val="1"/>
          </c:dLbls>
          <c:cat>
            <c:strRef>
              <c:f>[工作簿1]Sheet1!$A$12:$H$12</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[工作簿1]Sheet1!$A$13:$H$13</c:f>
              <c:numCache>
                <c:formatCode>General</c:formatCode>
                <c:ptCount val="8"/>
                <c:pt idx="0">
                  <c:v>4622.96</c:v>
                </c:pt>
                <c:pt idx="1">
                  <c:v>363.91</c:v>
                </c:pt>
                <c:pt idx="2">
                  <c:v>0</c:v>
                </c:pt>
                <c:pt idx="3">
                  <c:v>0</c:v>
                </c:pt>
                <c:pt idx="4">
                  <c:v>0</c:v>
                </c:pt>
                <c:pt idx="5">
                  <c:v>0</c:v>
                </c:pt>
                <c:pt idx="6">
                  <c:v>0</c:v>
                </c:pt>
                <c:pt idx="7">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9d2f1448-1064-46fb-a0ad-971b9c1818ae}"/>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支出决算结构图</a:t>
            </a:r>
          </a:p>
        </c:rich>
      </c:tx>
      <c:layout>
        <c:manualLayout>
          <c:xMode val="edge"/>
          <c:yMode val="edge"/>
          <c:x val="0.414444444444444"/>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rgbClr val="F79646"/>
              </a:solidFill>
              <a:ln w="19050">
                <a:solidFill>
                  <a:srgbClr val="FFFFFF"/>
                </a:solidFill>
              </a:ln>
              <a:effectLst/>
            </c:spPr>
          </c:dPt>
          <c:dPt>
            <c:idx val="1"/>
            <c:bubble3D val="0"/>
            <c:spPr>
              <a:solidFill>
                <a:srgbClr val="4BACC6"/>
              </a:solidFill>
              <a:ln w="19050">
                <a:solidFill>
                  <a:srgbClr val="FFFFFF"/>
                </a:solidFill>
              </a:ln>
              <a:effectLst/>
            </c:spPr>
          </c:dPt>
          <c:dPt>
            <c:idx val="2"/>
            <c:bubble3D val="0"/>
            <c:spPr>
              <a:solidFill>
                <a:srgbClr val="8064A2"/>
              </a:solidFill>
              <a:ln w="19050">
                <a:solidFill>
                  <a:srgbClr val="FFFFFF"/>
                </a:solidFill>
              </a:ln>
              <a:effectLst/>
            </c:spPr>
          </c:dPt>
          <c:dPt>
            <c:idx val="3"/>
            <c:bubble3D val="0"/>
            <c:spPr>
              <a:solidFill>
                <a:srgbClr val="B65708">
                  <a:lumMod val="60000"/>
                </a:srgbClr>
              </a:solidFill>
              <a:ln w="19050">
                <a:solidFill>
                  <a:srgbClr val="FFFFFF"/>
                </a:solidFill>
              </a:ln>
              <a:effectLst/>
            </c:spPr>
          </c:dPt>
          <c:dPt>
            <c:idx val="4"/>
            <c:bubble3D val="0"/>
            <c:spPr>
              <a:solidFill>
                <a:srgbClr val="276A7C">
                  <a:lumMod val="60000"/>
                </a:srgbClr>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[工作簿1]Sheet1!$A$15:$E$15</c:f>
              <c:strCache>
                <c:ptCount val="5"/>
                <c:pt idx="0">
                  <c:v>基本支出</c:v>
                </c:pt>
                <c:pt idx="1">
                  <c:v>项目支出</c:v>
                </c:pt>
                <c:pt idx="2">
                  <c:v>上缴上级支出</c:v>
                </c:pt>
                <c:pt idx="3">
                  <c:v>经营支出</c:v>
                </c:pt>
                <c:pt idx="4">
                  <c:v>对附属单位补助支出</c:v>
                </c:pt>
              </c:strCache>
            </c:strRef>
          </c:cat>
          <c:val>
            <c:numRef>
              <c:f>[工作簿1]Sheet1!$A$16:$E$16</c:f>
              <c:numCache>
                <c:formatCode>General</c:formatCode>
                <c:ptCount val="5"/>
                <c:pt idx="0">
                  <c:v>636.81</c:v>
                </c:pt>
                <c:pt idx="1">
                  <c:v>4350.07</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7fb28d37-9862-4cc8-8385-2b8813212c0e}"/>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[工作簿1]Sheet1!$A$9</c:f>
              <c:strCache>
                <c:ptCount val="1"/>
                <c:pt idx="0">
                  <c:v>2023年</c:v>
                </c:pt>
              </c:strCache>
            </c:strRef>
          </c:tx>
          <c:spPr>
            <a:solidFill>
              <a:srgbClr val="F79646"/>
            </a:solidFill>
            <a:ln>
              <a:noFill/>
            </a:ln>
            <a:effectLst/>
          </c:spPr>
          <c:invertIfNegative val="0"/>
          <c:dLbls>
            <c:delete val="1"/>
          </c:dLbls>
          <c:cat>
            <c:strRef>
              <c:f>[工作簿1]Sheet1!$B$8:$C$8</c:f>
              <c:strCache>
                <c:ptCount val="2"/>
                <c:pt idx="0">
                  <c:v>收入（万元）</c:v>
                </c:pt>
                <c:pt idx="1">
                  <c:v>支出（万元）</c:v>
                </c:pt>
              </c:strCache>
            </c:strRef>
          </c:cat>
          <c:val>
            <c:numRef>
              <c:f>[工作簿1]Sheet1!$B$9:$C$9</c:f>
              <c:numCache>
                <c:formatCode>General</c:formatCode>
                <c:ptCount val="2"/>
                <c:pt idx="0">
                  <c:v>4408.34</c:v>
                </c:pt>
                <c:pt idx="1">
                  <c:v>4408.34</c:v>
                </c:pt>
              </c:numCache>
            </c:numRef>
          </c:val>
        </c:ser>
        <c:ser>
          <c:idx val="1"/>
          <c:order val="1"/>
          <c:tx>
            <c:strRef>
              <c:f>[工作簿1]Sheet1!$A$10</c:f>
              <c:strCache>
                <c:ptCount val="1"/>
                <c:pt idx="0">
                  <c:v>2024年</c:v>
                </c:pt>
              </c:strCache>
            </c:strRef>
          </c:tx>
          <c:spPr>
            <a:solidFill>
              <a:srgbClr val="4BACC6"/>
            </a:solidFill>
            <a:ln>
              <a:noFill/>
            </a:ln>
            <a:effectLst/>
          </c:spPr>
          <c:invertIfNegative val="0"/>
          <c:dLbls>
            <c:delete val="1"/>
          </c:dLbls>
          <c:cat>
            <c:strRef>
              <c:f>[工作簿1]Sheet1!$B$8:$C$8</c:f>
              <c:strCache>
                <c:ptCount val="2"/>
                <c:pt idx="0">
                  <c:v>收入（万元）</c:v>
                </c:pt>
                <c:pt idx="1">
                  <c:v>支出（万元）</c:v>
                </c:pt>
              </c:strCache>
            </c:strRef>
          </c:cat>
          <c:val>
            <c:numRef>
              <c:f>[工作簿1]Sheet1!$B$10:$C$10</c:f>
              <c:numCache>
                <c:formatCode>General</c:formatCode>
                <c:ptCount val="2"/>
                <c:pt idx="0">
                  <c:v>4986.88</c:v>
                </c:pt>
                <c:pt idx="1">
                  <c:v>4986.88</c:v>
                </c:pt>
              </c:numCache>
            </c:numRef>
          </c:val>
        </c:ser>
        <c:dLbls>
          <c:showLegendKey val="0"/>
          <c:showVal val="0"/>
          <c:showCatName val="0"/>
          <c:showSerName val="0"/>
          <c:showPercent val="0"/>
          <c:showBubbleSize val="0"/>
        </c:dLbls>
        <c:gapWidth val="219"/>
        <c:overlap val="-27"/>
        <c:axId val="942254332"/>
        <c:axId val="164682405"/>
      </c:barChart>
      <c:catAx>
        <c:axId val="942254332"/>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64682405"/>
        <c:crosses val="autoZero"/>
        <c:auto val="1"/>
        <c:lblAlgn val="ctr"/>
        <c:lblOffset val="100"/>
        <c:noMultiLvlLbl val="0"/>
      </c:catAx>
      <c:valAx>
        <c:axId val="164682405"/>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942254332"/>
        <c:crosses val="autoZero"/>
        <c:crossBetween val="between"/>
      </c:valAx>
      <c:dTable>
        <c:showHorzBorder val="1"/>
        <c:showVertBorder val="1"/>
        <c:showOutline val="1"/>
        <c:showKeys val="1"/>
        <c:spPr>
          <a:noFill/>
          <a:ln w="9525" cap="flat" cmpd="sng" algn="ctr">
            <a:solidFill>
              <a:srgbClr val="D9D9D9">
                <a:lumMod val="15000"/>
                <a:lumOff val="85000"/>
              </a:srgbClr>
            </a:solidFill>
            <a:round/>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d230c61e-b36a-4e4c-b688-440bb8678c7d}"/>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一般公共预算财政拨款支出决算变动情况</a:t>
            </a:r>
          </a:p>
        </c:rich>
      </c:tx>
      <c:layout>
        <c:manualLayout>
          <c:xMode val="edge"/>
          <c:yMode val="edge"/>
          <c:x val="0.120694444444444"/>
          <c:y val="0.0173611111111111"/>
        </c:manualLayout>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[工作簿1]Sheet1!$A$18:$B$18</c:f>
              <c:strCache>
                <c:ptCount val="2"/>
                <c:pt idx="0">
                  <c:v>2023年</c:v>
                </c:pt>
                <c:pt idx="1">
                  <c:v>2024年</c:v>
                </c:pt>
              </c:strCache>
            </c:strRef>
          </c:cat>
          <c:val>
            <c:numRef>
              <c:f>[工作簿1]Sheet1!$A$19:$B$19</c:f>
              <c:numCache>
                <c:formatCode>General</c:formatCode>
                <c:ptCount val="2"/>
                <c:pt idx="0">
                  <c:v>3602.31</c:v>
                </c:pt>
                <c:pt idx="1">
                  <c:v>4622.96</c:v>
                </c:pt>
              </c:numCache>
            </c:numRef>
          </c:val>
        </c:ser>
        <c:dLbls>
          <c:showLegendKey val="0"/>
          <c:showVal val="1"/>
          <c:showCatName val="0"/>
          <c:showSerName val="0"/>
          <c:showPercent val="0"/>
          <c:showBubbleSize val="0"/>
        </c:dLbls>
        <c:gapWidth val="219"/>
        <c:overlap val="-27"/>
        <c:axId val="258168322"/>
        <c:axId val="232642568"/>
      </c:barChart>
      <c:catAx>
        <c:axId val="258168322"/>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32642568"/>
        <c:crosses val="autoZero"/>
        <c:auto val="1"/>
        <c:lblAlgn val="ctr"/>
        <c:lblOffset val="100"/>
        <c:noMultiLvlLbl val="0"/>
      </c:catAx>
      <c:valAx>
        <c:axId val="232642568"/>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58168322"/>
        <c:crosses val="autoZero"/>
        <c:crossBetween val="between"/>
      </c:valAx>
      <c:spPr>
        <a:noFill/>
        <a:ln>
          <a:noFill/>
        </a:ln>
        <a:effectLst/>
      </c:spPr>
    </c:plotArea>
    <c:plotVisOnly val="1"/>
    <c:dispBlanksAs val="gap"/>
    <c:showDLblsOverMax val="0"/>
    <c:extLst>
      <c:ext uri="{0b15fc19-7d7d-44ad-8c2d-2c3a37ce22c3}">
        <chartProps xmlns="https://web.wps.cn/et/2018/main" chartId="{a6a6a4bb-8234-4578-a666-ada97c07f250}"/>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t>一般公共预算财政拨款支出决算结构</a:t>
            </a:r>
          </a:p>
        </c:rich>
      </c:tx>
      <c:layout>
        <c:manualLayout>
          <c:xMode val="edge"/>
          <c:yMode val="edge"/>
          <c:x val="0.206111111111111"/>
          <c:y val="0.03125"/>
        </c:manualLayout>
      </c:layout>
      <c:overlay val="0"/>
      <c:spPr>
        <a:noFill/>
        <a:ln>
          <a:noFill/>
        </a:ln>
        <a:effectLst/>
      </c:spPr>
    </c:title>
    <c:autoTitleDeleted val="0"/>
    <c:plotArea>
      <c:layout/>
      <c:ofPieChart>
        <c:ofPieType val="pie"/>
        <c:varyColors val="1"/>
        <c:ser>
          <c:idx val="0"/>
          <c:order val="0"/>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[工作簿1]Sheet1!$A$21:$D$21</c:f>
              <c:strCache>
                <c:ptCount val="4"/>
                <c:pt idx="0">
                  <c:v>农林水支出</c:v>
                </c:pt>
                <c:pt idx="1">
                  <c:v>社会保障和就业支出</c:v>
                </c:pt>
                <c:pt idx="2">
                  <c:v>卫生健康支出</c:v>
                </c:pt>
                <c:pt idx="3">
                  <c:v>住房保障支出</c:v>
                </c:pt>
              </c:strCache>
            </c:strRef>
          </c:cat>
          <c:val>
            <c:numRef>
              <c:f>[工作簿1]Sheet1!$A$22:$D$22</c:f>
              <c:numCache>
                <c:formatCode>General</c:formatCode>
                <c:ptCount val="4"/>
                <c:pt idx="0">
                  <c:v>293.34</c:v>
                </c:pt>
                <c:pt idx="1">
                  <c:v>4070.3</c:v>
                </c:pt>
                <c:pt idx="2">
                  <c:v>210.89</c:v>
                </c:pt>
                <c:pt idx="3">
                  <c:v>48.43</c:v>
                </c:pt>
              </c:numCache>
            </c:numRef>
          </c:val>
        </c:ser>
        <c:dLbls>
          <c:showLegendKey val="0"/>
          <c:showVal val="1"/>
          <c:showCatName val="0"/>
          <c:showSerName val="0"/>
          <c:showPercent val="0"/>
          <c:showBubbleSize val="0"/>
          <c:showLeaderLines val="1"/>
        </c:dLbls>
        <c:gapWidth val="150"/>
        <c:secondPieSize val="75"/>
        <c:serLines>
          <c:spPr>
            <a:ln w="9525" cap="flat" cmpd="sng" algn="ctr">
              <a:solidFill>
                <a:srgbClr val="A6A6A6">
                  <a:lumMod val="35000"/>
                  <a:lumOff val="65000"/>
                </a:srgbClr>
              </a:solidFill>
              <a:round/>
            </a:ln>
            <a:effectLst/>
          </c:spPr>
        </c:serLines>
      </c:of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d357477b-96ef-44f8-afd3-a9b82ac3b9b3}"/>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rgbClr val="595959">
                  <a:lumMod val="65000"/>
                  <a:lumOff val="35000"/>
                </a:srgbClr>
              </a:solidFill>
              <a:latin typeface="+mn-lt"/>
              <a:ea typeface="+mn-ea"/>
              <a:cs typeface="+mn-cs"/>
            </a:defRPr>
          </a:pPr>
        </a:p>
      </c:txPr>
    </c:title>
    <c:autoTitleDeleted val="0"/>
    <c:plotArea>
      <c:layout/>
      <c:pieChart>
        <c:varyColors val="1"/>
        <c:ser>
          <c:idx val="0"/>
          <c:order val="0"/>
          <c:spPr/>
          <c:explosion val="0"/>
          <c:dPt>
            <c:idx val="0"/>
            <c:bubble3D val="0"/>
            <c:spPr>
              <a:solidFill>
                <a:srgbClr val="F79646"/>
              </a:solidFill>
              <a:ln w="19050">
                <a:solidFill>
                  <a:srgbClr val="FFFFFF"/>
                </a:solidFill>
              </a:ln>
              <a:effectLst/>
            </c:spPr>
          </c:dPt>
          <c:dPt>
            <c:idx val="1"/>
            <c:bubble3D val="0"/>
            <c:spPr>
              <a:solidFill>
                <a:srgbClr val="4BACC6"/>
              </a:solidFill>
              <a:ln w="19050">
                <a:solidFill>
                  <a:srgbClr val="FFFFFF"/>
                </a:solidFill>
              </a:ln>
              <a:effectLst/>
            </c:spPr>
          </c:dPt>
          <c:dPt>
            <c:idx val="2"/>
            <c:bubble3D val="0"/>
            <c:spPr>
              <a:solidFill>
                <a:srgbClr val="8064A2"/>
              </a:solidFill>
              <a:ln w="19050">
                <a:solidFill>
                  <a:srgbClr val="FFFFFF"/>
                </a:solidFill>
              </a:ln>
              <a:effectLst/>
            </c:spPr>
          </c:dPt>
          <c:dLbls>
            <c:dLbl>
              <c:idx val="0"/>
              <c:layout>
                <c:manualLayout>
                  <c:x val="-0.0333333333333333"/>
                  <c:y val="-0.003472222222222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36577365441957"/>
                  <c:y val="0.01185360520655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[工作簿2]Sheet1!$A$33:$C$33</c:f>
              <c:strCache>
                <c:ptCount val="3"/>
                <c:pt idx="0">
                  <c:v>因公出国（境）费</c:v>
                </c:pt>
                <c:pt idx="1">
                  <c:v>公务用车购置及运行维护费</c:v>
                </c:pt>
                <c:pt idx="2">
                  <c:v>公务接待费</c:v>
                </c:pt>
              </c:strCache>
            </c:strRef>
          </c:cat>
          <c:val>
            <c:numRef>
              <c:f>[工作簿2]Sheet1!$A$34:$C$34</c:f>
              <c:numCache>
                <c:formatCode>General</c:formatCode>
                <c:ptCount val="3"/>
                <c:pt idx="0">
                  <c:v>0</c:v>
                </c:pt>
                <c:pt idx="1">
                  <c:v>11.6</c:v>
                </c:pt>
                <c:pt idx="2">
                  <c:v>0.16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4e7b9de2-ef87-428a-8328-03bc58023351}"/>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rgbClr val="F79646"/>
  <a:srgbClr val="4BACC6"/>
  <a:srgbClr val="8064A2"/>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rgbClr val="F79646"/>
  <a:srgbClr val="4BACC6"/>
  <a:srgbClr val="8064A2"/>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rgbClr val="F79646"/>
  <a:srgbClr val="4BACC6"/>
  <a:srgbClr val="8064A2"/>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48</Pages>
  <Words>19459</Words>
  <Characters>20603</Characters>
  <Lines>61</Lines>
  <Paragraphs>17</Paragraphs>
  <TotalTime>0</TotalTime>
  <ScaleCrop>false</ScaleCrop>
  <LinksUpToDate>false</LinksUpToDate>
  <CharactersWithSpaces>20776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奕夕^_^</cp:lastModifiedBy>
  <cp:lastPrinted>2025-08-06T17:34:00Z</cp:lastPrinted>
  <dcterms:modified xsi:type="dcterms:W3CDTF">2025-10-14T07:06:49Z</dcterms:modified>
  <dc:title>测试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8F1D664CA6A742ABA3FA032B39929594_13</vt:lpwstr>
  </property>
  <property fmtid="{D5CDD505-2E9C-101B-9397-08002B2CF9AE}" pid="4" name="KSOTemplateDocerSaveRecord">
    <vt:lpwstr>eyJoZGlkIjoiNTU1MWNhN2ZmY2ZhZmY3ODhlYTg0MWU5OGMyY2QwZmUiLCJ1c2VySWQiOiI0MzQ2NTM0NzEifQ==</vt:lpwstr>
  </property>
</Properties>
</file>