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widowControl/>
        <w:suppressLineNumbers w:val="0"/>
        <w:spacing w:before="0" w:beforeAutospacing="0"/>
        <w:ind w:left="0"/>
        <w:jc w:val="center"/>
      </w:pPr>
      <w:r>
        <w:rPr>
          <w:sz w:val="42"/>
          <w:szCs w:val="42"/>
          <w:shd w:val="clear" w:color="auto" w:fill="FFFFFF"/>
        </w:rPr>
        <w:t>2022年度</w:t>
      </w:r>
      <w:bookmarkStart w:id="0" w:name="_GoBack"/>
      <w:bookmarkEnd w:id="0"/>
    </w:p>
    <w:p>
      <w:pPr>
        <w:pStyle w:val="9"/>
        <w:keepNext w:val="0"/>
        <w:keepLines w:val="0"/>
        <w:widowControl/>
        <w:suppressLineNumbers w:val="0"/>
        <w:spacing w:before="0" w:beforeAutospacing="0"/>
        <w:ind w:left="0"/>
        <w:jc w:val="center"/>
      </w:pPr>
      <w:r>
        <w:rPr>
          <w:sz w:val="42"/>
          <w:szCs w:val="42"/>
          <w:shd w:val="clear" w:color="auto" w:fill="FFFFFF"/>
        </w:rPr>
        <w:t>阿坝州松潘县民族宗教局部门决算</w:t>
      </w:r>
    </w:p>
    <w:p>
      <w:pPr>
        <w:pStyle w:val="9"/>
        <w:keepNext w:val="0"/>
        <w:keepLines w:val="0"/>
        <w:widowControl/>
        <w:suppressLineNumbers w:val="0"/>
        <w:spacing w:before="0" w:beforeAutospacing="0"/>
        <w:ind w:left="0"/>
        <w:jc w:val="center"/>
      </w:pPr>
      <w:r>
        <w:rPr>
          <w:rFonts w:hint="eastAsia"/>
          <w:sz w:val="42"/>
          <w:szCs w:val="42"/>
          <w:shd w:val="clear" w:color="auto" w:fill="FFFFFF"/>
          <w:lang w:eastAsia="zh-CN"/>
        </w:rPr>
        <w:t>（</w:t>
      </w:r>
      <w:r>
        <w:rPr>
          <w:sz w:val="42"/>
          <w:szCs w:val="42"/>
          <w:shd w:val="clear" w:color="auto" w:fill="FFFFFF"/>
        </w:rPr>
        <w:t>部门公开范本</w:t>
      </w:r>
      <w:r>
        <w:rPr>
          <w:rFonts w:hint="eastAsia"/>
          <w:sz w:val="42"/>
          <w:szCs w:val="42"/>
          <w:shd w:val="clear" w:color="auto" w:fill="FFFFFF"/>
          <w:lang w:eastAsia="zh-CN"/>
        </w:rPr>
        <w:t>）</w:t>
      </w:r>
    </w:p>
    <w:p>
      <w:pPr>
        <w:pStyle w:val="9"/>
        <w:keepNext w:val="0"/>
        <w:keepLines w:val="0"/>
        <w:widowControl/>
        <w:suppressLineNumbers w:val="0"/>
        <w:spacing w:before="0" w:beforeAutospacing="0"/>
        <w:ind w:left="0"/>
        <w:jc w:val="center"/>
      </w:pPr>
      <w:r>
        <w:rPr>
          <w:shd w:val="clear" w:color="auto" w:fill="FFFFFF"/>
        </w:rPr>
        <w:t> </w:t>
      </w:r>
    </w:p>
    <w:p>
      <w:pPr>
        <w:pStyle w:val="9"/>
        <w:keepNext w:val="0"/>
        <w:keepLines w:val="0"/>
        <w:widowControl/>
        <w:suppressLineNumbers w:val="0"/>
        <w:spacing w:before="0" w:beforeAutospacing="0"/>
        <w:ind w:left="0"/>
        <w:jc w:val="center"/>
      </w:pPr>
      <w:r>
        <w:rPr>
          <w:shd w:val="clear" w:color="auto" w:fill="FFFFFF"/>
        </w:rPr>
        <w:t> </w:t>
      </w:r>
    </w:p>
    <w:p>
      <w:pPr>
        <w:pStyle w:val="9"/>
        <w:keepNext w:val="0"/>
        <w:keepLines w:val="0"/>
        <w:widowControl/>
        <w:suppressLineNumbers w:val="0"/>
        <w:spacing w:before="0" w:beforeAutospacing="0"/>
        <w:ind w:left="0"/>
        <w:jc w:val="center"/>
      </w:pPr>
      <w:r>
        <w:rPr>
          <w:shd w:val="clear" w:color="auto" w:fill="FFFFFF"/>
        </w:rPr>
        <w:t> </w:t>
      </w:r>
    </w:p>
    <w:p>
      <w:pPr>
        <w:pStyle w:val="9"/>
        <w:keepNext w:val="0"/>
        <w:keepLines w:val="0"/>
        <w:widowControl/>
        <w:suppressLineNumbers w:val="0"/>
        <w:spacing w:before="0" w:beforeAutospacing="0"/>
        <w:ind w:left="0"/>
        <w:jc w:val="center"/>
      </w:pPr>
      <w:r>
        <w:rPr>
          <w:shd w:val="clear" w:color="auto" w:fill="FFFFFF"/>
        </w:rPr>
        <w:t> </w:t>
      </w:r>
    </w:p>
    <w:p>
      <w:pPr>
        <w:pStyle w:val="9"/>
        <w:keepNext w:val="0"/>
        <w:keepLines w:val="0"/>
        <w:widowControl/>
        <w:suppressLineNumbers w:val="0"/>
        <w:spacing w:before="0" w:beforeAutospacing="0"/>
        <w:ind w:left="0"/>
        <w:jc w:val="center"/>
      </w:pPr>
      <w:r>
        <w:rPr>
          <w:shd w:val="clear" w:color="auto" w:fill="FFFFFF"/>
        </w:rPr>
        <w:t> </w:t>
      </w:r>
    </w:p>
    <w:p>
      <w:pPr>
        <w:pStyle w:val="9"/>
        <w:keepNext w:val="0"/>
        <w:keepLines w:val="0"/>
        <w:widowControl/>
        <w:suppressLineNumbers w:val="0"/>
        <w:spacing w:before="0" w:beforeAutospacing="0"/>
        <w:ind w:left="0"/>
        <w:jc w:val="center"/>
      </w:pPr>
      <w:r>
        <w:rPr>
          <w:shd w:val="clear" w:color="auto" w:fill="FFFFFF"/>
        </w:rPr>
        <w:t> </w:t>
      </w:r>
    </w:p>
    <w:p>
      <w:pPr>
        <w:pStyle w:val="9"/>
        <w:keepNext w:val="0"/>
        <w:keepLines w:val="0"/>
        <w:widowControl/>
        <w:suppressLineNumbers w:val="0"/>
        <w:spacing w:before="0" w:beforeAutospacing="0"/>
        <w:ind w:left="0"/>
        <w:jc w:val="center"/>
      </w:pPr>
      <w:r>
        <w:rPr>
          <w:shd w:val="clear" w:color="auto" w:fill="FFFFFF"/>
        </w:rPr>
        <w:t> </w:t>
      </w:r>
    </w:p>
    <w:p>
      <w:pPr>
        <w:pStyle w:val="9"/>
        <w:keepNext w:val="0"/>
        <w:keepLines w:val="0"/>
        <w:widowControl/>
        <w:suppressLineNumbers w:val="0"/>
        <w:spacing w:before="0" w:beforeAutospacing="0"/>
        <w:ind w:left="0"/>
        <w:jc w:val="center"/>
      </w:pPr>
      <w:r>
        <w:rPr>
          <w:shd w:val="clear" w:color="auto" w:fill="FFFFFF"/>
        </w:rPr>
        <w:t>已经保密审查、内容审定，同意对外公开</w:t>
      </w:r>
    </w:p>
    <w:p>
      <w:pPr>
        <w:pStyle w:val="9"/>
        <w:keepNext w:val="0"/>
        <w:keepLines w:val="0"/>
        <w:widowControl/>
        <w:suppressLineNumbers w:val="0"/>
        <w:spacing w:before="0" w:beforeAutospacing="0"/>
        <w:ind w:left="0"/>
        <w:jc w:val="left"/>
      </w:pP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 </w:t>
      </w:r>
    </w:p>
    <w:p>
      <w:pPr>
        <w:pStyle w:val="9"/>
        <w:keepNext w:val="0"/>
        <w:keepLines w:val="0"/>
        <w:widowControl/>
        <w:suppressLineNumbers w:val="0"/>
        <w:spacing w:before="0" w:beforeAutospacing="0"/>
        <w:ind w:left="0"/>
        <w:jc w:val="center"/>
      </w:pP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 </w:t>
      </w:r>
    </w:p>
    <w:p>
      <w:pPr>
        <w:pStyle w:val="9"/>
        <w:keepNext w:val="0"/>
        <w:keepLines w:val="0"/>
        <w:widowControl/>
        <w:suppressLineNumbers w:val="0"/>
        <w:spacing w:before="0" w:beforeAutospacing="0"/>
        <w:ind w:left="0"/>
        <w:jc w:val="center"/>
      </w:pPr>
      <w:r>
        <w:rPr>
          <w:shd w:val="clear" w:color="auto" w:fill="FFFFFF"/>
        </w:rPr>
        <w:t> </w:t>
      </w:r>
    </w:p>
    <w:p>
      <w:pPr>
        <w:pStyle w:val="9"/>
        <w:keepNext w:val="0"/>
        <w:keepLines w:val="0"/>
        <w:widowControl/>
        <w:suppressLineNumbers w:val="0"/>
        <w:spacing w:before="0" w:beforeAutospacing="0"/>
        <w:ind w:left="0"/>
        <w:jc w:val="center"/>
      </w:pPr>
      <w:r>
        <w:rPr>
          <w:shd w:val="clear" w:color="auto" w:fill="FFFFFF"/>
        </w:rPr>
        <w:t> </w:t>
      </w:r>
    </w:p>
    <w:p>
      <w:pPr>
        <w:pStyle w:val="9"/>
        <w:keepNext w:val="0"/>
        <w:keepLines w:val="0"/>
        <w:widowControl/>
        <w:suppressLineNumbers w:val="0"/>
        <w:spacing w:before="0" w:beforeAutospacing="0"/>
        <w:ind w:left="0"/>
        <w:jc w:val="center"/>
      </w:pPr>
      <w:r>
        <w:rPr>
          <w:shd w:val="clear" w:color="auto" w:fill="FFFFFF"/>
        </w:rPr>
        <w:t> </w:t>
      </w:r>
    </w:p>
    <w:p>
      <w:pPr>
        <w:pStyle w:val="9"/>
        <w:keepNext w:val="0"/>
        <w:keepLines w:val="0"/>
        <w:widowControl/>
        <w:suppressLineNumbers w:val="0"/>
        <w:spacing w:before="0" w:beforeAutospacing="0"/>
        <w:ind w:left="0"/>
        <w:jc w:val="center"/>
      </w:pPr>
      <w:r>
        <w:rPr>
          <w:shd w:val="clear" w:color="auto" w:fill="FFFFFF"/>
        </w:rPr>
        <w:br w:type="textWrapping"/>
      </w:r>
      <w:r>
        <w:rPr>
          <w:shd w:val="clear" w:color="auto" w:fill="FFFFFF"/>
        </w:rPr>
        <w:t>目录</w:t>
      </w:r>
    </w:p>
    <w:p>
      <w:pPr>
        <w:pStyle w:val="9"/>
        <w:keepNext w:val="0"/>
        <w:keepLines w:val="0"/>
        <w:widowControl/>
        <w:suppressLineNumbers w:val="0"/>
        <w:spacing w:before="0" w:beforeAutospacing="0"/>
        <w:ind w:left="0"/>
        <w:jc w:val="center"/>
      </w:pPr>
      <w:r>
        <w:rPr>
          <w:shd w:val="clear" w:color="auto" w:fill="FFFFFF"/>
        </w:rPr>
        <w:t> </w:t>
      </w:r>
    </w:p>
    <w:p>
      <w:pPr>
        <w:pStyle w:val="9"/>
        <w:keepNext w:val="0"/>
        <w:keepLines w:val="0"/>
        <w:widowControl/>
        <w:suppressLineNumbers w:val="0"/>
        <w:spacing w:before="0" w:beforeAutospacing="0"/>
        <w:ind w:left="0"/>
        <w:jc w:val="center"/>
      </w:pPr>
      <w:r>
        <w:rPr>
          <w:shd w:val="clear" w:color="auto" w:fill="FFFFFF"/>
        </w:rPr>
        <w:t>公开时间：2023年</w:t>
      </w:r>
      <w:r>
        <w:rPr>
          <w:rFonts w:hint="eastAsia"/>
          <w:shd w:val="clear" w:color="auto" w:fill="FFFFFF"/>
          <w:lang w:val="en-US" w:eastAsia="zh-CN"/>
        </w:rPr>
        <w:t>9</w:t>
      </w:r>
      <w:r>
        <w:rPr>
          <w:shd w:val="clear" w:color="auto" w:fill="FFFFFF"/>
        </w:rPr>
        <w:t>月</w:t>
      </w:r>
      <w:r>
        <w:rPr>
          <w:rFonts w:hint="eastAsia"/>
          <w:shd w:val="clear" w:color="auto" w:fill="FFFFFF"/>
          <w:lang w:val="en-US" w:eastAsia="zh-CN"/>
        </w:rPr>
        <w:t>10</w:t>
      </w:r>
      <w:r>
        <w:rPr>
          <w:shd w:val="clear" w:color="auto" w:fill="FFFFFF"/>
        </w:rPr>
        <w:t>日</w:t>
      </w:r>
    </w:p>
    <w:p>
      <w:pPr>
        <w:pStyle w:val="9"/>
        <w:keepNext w:val="0"/>
        <w:keepLines w:val="0"/>
        <w:widowControl/>
        <w:suppressLineNumbers w:val="0"/>
        <w:spacing w:before="0" w:beforeAutospacing="0"/>
        <w:ind w:left="0"/>
        <w:jc w:val="left"/>
      </w:pP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第一部分 部门概况</w:t>
      </w:r>
    </w:p>
    <w:p>
      <w:pPr>
        <w:pStyle w:val="9"/>
        <w:keepNext w:val="0"/>
        <w:keepLines w:val="0"/>
        <w:widowControl/>
        <w:suppressLineNumbers w:val="0"/>
        <w:spacing w:before="0" w:beforeAutospacing="0"/>
        <w:ind w:left="420"/>
        <w:jc w:val="left"/>
      </w:pPr>
      <w:r>
        <w:rPr>
          <w:shd w:val="clear" w:color="auto" w:fill="FFFFFF"/>
        </w:rPr>
        <w:t>一、基本职能及主要工作</w:t>
      </w:r>
    </w:p>
    <w:p>
      <w:pPr>
        <w:pStyle w:val="9"/>
        <w:keepNext w:val="0"/>
        <w:keepLines w:val="0"/>
        <w:widowControl/>
        <w:suppressLineNumbers w:val="0"/>
        <w:spacing w:before="0" w:beforeAutospacing="0"/>
        <w:ind w:left="420"/>
        <w:jc w:val="left"/>
      </w:pPr>
      <w:r>
        <w:rPr>
          <w:shd w:val="clear" w:color="auto" w:fill="FFFFFF"/>
        </w:rPr>
        <w:t>二、机构设置</w:t>
      </w:r>
    </w:p>
    <w:p>
      <w:pPr>
        <w:pStyle w:val="9"/>
        <w:keepNext w:val="0"/>
        <w:keepLines w:val="0"/>
        <w:widowControl/>
        <w:suppressLineNumbers w:val="0"/>
        <w:spacing w:before="0" w:beforeAutospacing="0"/>
        <w:ind w:left="0"/>
        <w:jc w:val="left"/>
      </w:pPr>
      <w:r>
        <w:rPr>
          <w:shd w:val="clear" w:color="auto" w:fill="FFFFFF"/>
        </w:rPr>
        <w:t>第二部分 2022年度部门决算情况说明</w:t>
      </w:r>
    </w:p>
    <w:p>
      <w:pPr>
        <w:pStyle w:val="9"/>
        <w:keepNext w:val="0"/>
        <w:keepLines w:val="0"/>
        <w:widowControl/>
        <w:suppressLineNumbers w:val="0"/>
        <w:spacing w:before="0" w:beforeAutospacing="0"/>
        <w:ind w:left="420"/>
        <w:jc w:val="left"/>
      </w:pPr>
      <w:r>
        <w:rPr>
          <w:shd w:val="clear" w:color="auto" w:fill="FFFFFF"/>
        </w:rPr>
        <w:t>一、收入支出决算总体情况说明</w:t>
      </w:r>
    </w:p>
    <w:p>
      <w:pPr>
        <w:pStyle w:val="9"/>
        <w:keepNext w:val="0"/>
        <w:keepLines w:val="0"/>
        <w:widowControl/>
        <w:suppressLineNumbers w:val="0"/>
        <w:spacing w:before="0" w:beforeAutospacing="0"/>
        <w:ind w:left="420"/>
        <w:jc w:val="left"/>
      </w:pPr>
      <w:r>
        <w:rPr>
          <w:shd w:val="clear" w:color="auto" w:fill="FFFFFF"/>
        </w:rPr>
        <w:t>二、收入决算情况说明</w:t>
      </w:r>
    </w:p>
    <w:p>
      <w:pPr>
        <w:pStyle w:val="9"/>
        <w:keepNext w:val="0"/>
        <w:keepLines w:val="0"/>
        <w:widowControl/>
        <w:suppressLineNumbers w:val="0"/>
        <w:spacing w:before="0" w:beforeAutospacing="0"/>
        <w:ind w:left="420"/>
        <w:jc w:val="left"/>
      </w:pPr>
      <w:r>
        <w:rPr>
          <w:shd w:val="clear" w:color="auto" w:fill="FFFFFF"/>
        </w:rPr>
        <w:t>三、支出决算情况说明</w:t>
      </w:r>
    </w:p>
    <w:p>
      <w:pPr>
        <w:pStyle w:val="9"/>
        <w:keepNext w:val="0"/>
        <w:keepLines w:val="0"/>
        <w:widowControl/>
        <w:suppressLineNumbers w:val="0"/>
        <w:spacing w:before="0" w:beforeAutospacing="0"/>
        <w:ind w:left="420"/>
        <w:jc w:val="left"/>
      </w:pPr>
      <w:r>
        <w:rPr>
          <w:shd w:val="clear" w:color="auto" w:fill="FFFFFF"/>
        </w:rPr>
        <w:t>四、财政拨款收入支出决算总体情况说明</w:t>
      </w:r>
    </w:p>
    <w:p>
      <w:pPr>
        <w:pStyle w:val="9"/>
        <w:keepNext w:val="0"/>
        <w:keepLines w:val="0"/>
        <w:widowControl/>
        <w:suppressLineNumbers w:val="0"/>
        <w:spacing w:before="0" w:beforeAutospacing="0"/>
        <w:ind w:left="420"/>
        <w:jc w:val="left"/>
      </w:pPr>
      <w:r>
        <w:rPr>
          <w:shd w:val="clear" w:color="auto" w:fill="FFFFFF"/>
        </w:rPr>
        <w:t>五、一般公共预算财政拨款支出决算情况说明</w:t>
      </w:r>
    </w:p>
    <w:p>
      <w:pPr>
        <w:pStyle w:val="9"/>
        <w:keepNext w:val="0"/>
        <w:keepLines w:val="0"/>
        <w:widowControl/>
        <w:suppressLineNumbers w:val="0"/>
        <w:spacing w:before="0" w:beforeAutospacing="0"/>
        <w:ind w:left="420"/>
        <w:jc w:val="left"/>
      </w:pPr>
      <w:r>
        <w:rPr>
          <w:shd w:val="clear" w:color="auto" w:fill="FFFFFF"/>
        </w:rPr>
        <w:t>六、一般公共预算财政拨款基本支出决算情况说明</w:t>
      </w:r>
    </w:p>
    <w:p>
      <w:pPr>
        <w:pStyle w:val="9"/>
        <w:keepNext w:val="0"/>
        <w:keepLines w:val="0"/>
        <w:widowControl/>
        <w:suppressLineNumbers w:val="0"/>
        <w:spacing w:before="0" w:beforeAutospacing="0"/>
        <w:ind w:left="420"/>
        <w:jc w:val="left"/>
      </w:pPr>
      <w:r>
        <w:rPr>
          <w:shd w:val="clear" w:color="auto" w:fill="FFFFFF"/>
        </w:rPr>
        <w:t>七、财政拨款“三公”经费支出决算情况说明</w:t>
      </w:r>
    </w:p>
    <w:p>
      <w:pPr>
        <w:pStyle w:val="9"/>
        <w:keepNext w:val="0"/>
        <w:keepLines w:val="0"/>
        <w:widowControl/>
        <w:suppressLineNumbers w:val="0"/>
        <w:spacing w:before="0" w:beforeAutospacing="0"/>
        <w:ind w:left="420"/>
        <w:jc w:val="left"/>
      </w:pPr>
      <w:r>
        <w:rPr>
          <w:shd w:val="clear" w:color="auto" w:fill="FFFFFF"/>
        </w:rPr>
        <w:t>八、政府性基金预算支出决算情况说明</w:t>
      </w:r>
    </w:p>
    <w:p>
      <w:pPr>
        <w:pStyle w:val="9"/>
        <w:keepNext w:val="0"/>
        <w:keepLines w:val="0"/>
        <w:widowControl/>
        <w:suppressLineNumbers w:val="0"/>
        <w:spacing w:before="0" w:beforeAutospacing="0"/>
        <w:ind w:left="0"/>
        <w:jc w:val="left"/>
      </w:pPr>
      <w:r>
        <w:rPr>
          <w:shd w:val="clear" w:color="auto" w:fill="FFFFFF"/>
        </w:rPr>
        <w:t>       九、国有资本经营预算支出决算情况说明</w:t>
      </w:r>
    </w:p>
    <w:p>
      <w:pPr>
        <w:pStyle w:val="9"/>
        <w:keepNext w:val="0"/>
        <w:keepLines w:val="0"/>
        <w:widowControl/>
        <w:suppressLineNumbers w:val="0"/>
        <w:spacing w:before="0" w:beforeAutospacing="0"/>
        <w:ind w:left="0"/>
        <w:jc w:val="left"/>
      </w:pPr>
      <w:r>
        <w:rPr>
          <w:shd w:val="clear" w:color="auto" w:fill="FFFFFF"/>
        </w:rPr>
        <w:t>       十、其他重要事项的情况说明 </w:t>
      </w:r>
    </w:p>
    <w:p>
      <w:pPr>
        <w:pStyle w:val="9"/>
        <w:keepNext w:val="0"/>
        <w:keepLines w:val="0"/>
        <w:widowControl/>
        <w:suppressLineNumbers w:val="0"/>
        <w:spacing w:before="0" w:beforeAutospacing="0"/>
        <w:ind w:left="0"/>
        <w:jc w:val="left"/>
      </w:pPr>
      <w:r>
        <w:rPr>
          <w:shd w:val="clear" w:color="auto" w:fill="FFFFFF"/>
        </w:rPr>
        <w:t>第三部分 名词解释</w:t>
      </w:r>
    </w:p>
    <w:p>
      <w:pPr>
        <w:pStyle w:val="9"/>
        <w:keepNext w:val="0"/>
        <w:keepLines w:val="0"/>
        <w:widowControl/>
        <w:suppressLineNumbers w:val="0"/>
        <w:spacing w:before="0" w:beforeAutospacing="0"/>
        <w:ind w:left="0"/>
        <w:jc w:val="left"/>
      </w:pPr>
      <w:r>
        <w:rPr>
          <w:shd w:val="clear" w:color="auto" w:fill="FFFFFF"/>
        </w:rPr>
        <w:t>第四部分 附件</w:t>
      </w:r>
    </w:p>
    <w:p>
      <w:pPr>
        <w:pStyle w:val="9"/>
        <w:keepNext w:val="0"/>
        <w:keepLines w:val="0"/>
        <w:widowControl/>
        <w:suppressLineNumbers w:val="0"/>
        <w:spacing w:before="0" w:beforeAutospacing="0"/>
        <w:ind w:left="0"/>
        <w:jc w:val="left"/>
      </w:pPr>
      <w:r>
        <w:rPr>
          <w:shd w:val="clear" w:color="auto" w:fill="FFFFFF"/>
        </w:rPr>
        <w:t>第五部分 附表</w:t>
      </w:r>
    </w:p>
    <w:p>
      <w:pPr>
        <w:pStyle w:val="9"/>
        <w:keepNext w:val="0"/>
        <w:keepLines w:val="0"/>
        <w:widowControl/>
        <w:suppressLineNumbers w:val="0"/>
        <w:spacing w:before="0" w:beforeAutospacing="0"/>
        <w:ind w:left="420"/>
        <w:jc w:val="left"/>
      </w:pPr>
      <w:r>
        <w:rPr>
          <w:shd w:val="clear" w:color="auto" w:fill="FFFFFF"/>
        </w:rPr>
        <w:t>一、收入支出决算总表</w:t>
      </w:r>
    </w:p>
    <w:p>
      <w:pPr>
        <w:pStyle w:val="9"/>
        <w:keepNext w:val="0"/>
        <w:keepLines w:val="0"/>
        <w:widowControl/>
        <w:suppressLineNumbers w:val="0"/>
        <w:spacing w:before="0" w:beforeAutospacing="0"/>
        <w:ind w:left="420"/>
        <w:jc w:val="left"/>
      </w:pPr>
      <w:r>
        <w:rPr>
          <w:shd w:val="clear" w:color="auto" w:fill="FFFFFF"/>
        </w:rPr>
        <w:t>二、收入决算表</w:t>
      </w:r>
    </w:p>
    <w:p>
      <w:pPr>
        <w:pStyle w:val="9"/>
        <w:keepNext w:val="0"/>
        <w:keepLines w:val="0"/>
        <w:widowControl/>
        <w:suppressLineNumbers w:val="0"/>
        <w:spacing w:before="0" w:beforeAutospacing="0"/>
        <w:ind w:left="420"/>
        <w:jc w:val="left"/>
      </w:pPr>
      <w:r>
        <w:rPr>
          <w:shd w:val="clear" w:color="auto" w:fill="FFFFFF"/>
        </w:rPr>
        <w:t>三、支出决算表</w:t>
      </w:r>
    </w:p>
    <w:p>
      <w:pPr>
        <w:pStyle w:val="9"/>
        <w:keepNext w:val="0"/>
        <w:keepLines w:val="0"/>
        <w:widowControl/>
        <w:suppressLineNumbers w:val="0"/>
        <w:spacing w:before="0" w:beforeAutospacing="0"/>
        <w:ind w:left="420"/>
        <w:jc w:val="left"/>
      </w:pPr>
      <w:r>
        <w:rPr>
          <w:shd w:val="clear" w:color="auto" w:fill="FFFFFF"/>
        </w:rPr>
        <w:t>四、财政拨款收入支出决算总表</w:t>
      </w:r>
    </w:p>
    <w:p>
      <w:pPr>
        <w:pStyle w:val="9"/>
        <w:keepNext w:val="0"/>
        <w:keepLines w:val="0"/>
        <w:widowControl/>
        <w:suppressLineNumbers w:val="0"/>
        <w:spacing w:before="0" w:beforeAutospacing="0"/>
        <w:ind w:left="420"/>
        <w:jc w:val="left"/>
      </w:pPr>
      <w:r>
        <w:rPr>
          <w:shd w:val="clear" w:color="auto" w:fill="FFFFFF"/>
        </w:rPr>
        <w:t>五、财政拨款支出决算明细表</w:t>
      </w:r>
    </w:p>
    <w:p>
      <w:pPr>
        <w:pStyle w:val="9"/>
        <w:keepNext w:val="0"/>
        <w:keepLines w:val="0"/>
        <w:widowControl/>
        <w:suppressLineNumbers w:val="0"/>
        <w:spacing w:before="0" w:beforeAutospacing="0"/>
        <w:ind w:left="420"/>
        <w:jc w:val="left"/>
      </w:pPr>
      <w:r>
        <w:rPr>
          <w:shd w:val="clear" w:color="auto" w:fill="FFFFFF"/>
        </w:rPr>
        <w:t>六、一般公共预算财政拨款支出决算表</w:t>
      </w:r>
    </w:p>
    <w:p>
      <w:pPr>
        <w:pStyle w:val="9"/>
        <w:keepNext w:val="0"/>
        <w:keepLines w:val="0"/>
        <w:widowControl/>
        <w:suppressLineNumbers w:val="0"/>
        <w:spacing w:before="0" w:beforeAutospacing="0"/>
        <w:ind w:left="420"/>
        <w:jc w:val="left"/>
      </w:pPr>
      <w:r>
        <w:rPr>
          <w:shd w:val="clear" w:color="auto" w:fill="FFFFFF"/>
        </w:rPr>
        <w:t>七、一般公共预算财政拨款支出决算明细表</w:t>
      </w:r>
    </w:p>
    <w:p>
      <w:pPr>
        <w:pStyle w:val="9"/>
        <w:keepNext w:val="0"/>
        <w:keepLines w:val="0"/>
        <w:widowControl/>
        <w:suppressLineNumbers w:val="0"/>
        <w:spacing w:before="0" w:beforeAutospacing="0"/>
        <w:ind w:left="420"/>
        <w:jc w:val="left"/>
      </w:pPr>
      <w:r>
        <w:rPr>
          <w:shd w:val="clear" w:color="auto" w:fill="FFFFFF"/>
        </w:rPr>
        <w:t>八、一般公共预算财政拨款基本支出决算表</w:t>
      </w:r>
    </w:p>
    <w:p>
      <w:pPr>
        <w:pStyle w:val="9"/>
        <w:keepNext w:val="0"/>
        <w:keepLines w:val="0"/>
        <w:widowControl/>
        <w:suppressLineNumbers w:val="0"/>
        <w:spacing w:before="0" w:beforeAutospacing="0"/>
        <w:ind w:left="420"/>
        <w:jc w:val="left"/>
      </w:pPr>
      <w:r>
        <w:rPr>
          <w:shd w:val="clear" w:color="auto" w:fill="FFFFFF"/>
        </w:rPr>
        <w:t>九、一般公共预算财政拨款项目支出决算表</w:t>
      </w:r>
    </w:p>
    <w:p>
      <w:pPr>
        <w:pStyle w:val="9"/>
        <w:keepNext w:val="0"/>
        <w:keepLines w:val="0"/>
        <w:widowControl/>
        <w:suppressLineNumbers w:val="0"/>
        <w:spacing w:before="0" w:beforeAutospacing="0"/>
        <w:ind w:left="420"/>
        <w:jc w:val="left"/>
      </w:pPr>
      <w:r>
        <w:rPr>
          <w:shd w:val="clear" w:color="auto" w:fill="FFFFFF"/>
        </w:rPr>
        <w:t>十、政府性基金预算财政拨款收入支出决算表</w:t>
      </w:r>
    </w:p>
    <w:p>
      <w:pPr>
        <w:pStyle w:val="9"/>
        <w:keepNext w:val="0"/>
        <w:keepLines w:val="0"/>
        <w:widowControl/>
        <w:suppressLineNumbers w:val="0"/>
        <w:spacing w:before="0" w:beforeAutospacing="0"/>
        <w:ind w:left="420"/>
        <w:jc w:val="left"/>
      </w:pPr>
      <w:r>
        <w:rPr>
          <w:shd w:val="clear" w:color="auto" w:fill="FFFFFF"/>
        </w:rPr>
        <w:t>十一、国有资本经营预算财政拨款收入支出决算表</w:t>
      </w:r>
    </w:p>
    <w:p>
      <w:pPr>
        <w:pStyle w:val="9"/>
        <w:keepNext w:val="0"/>
        <w:keepLines w:val="0"/>
        <w:widowControl/>
        <w:suppressLineNumbers w:val="0"/>
        <w:spacing w:before="0" w:beforeAutospacing="0"/>
        <w:ind w:left="420"/>
        <w:jc w:val="left"/>
      </w:pPr>
      <w:r>
        <w:rPr>
          <w:shd w:val="clear" w:color="auto" w:fill="FFFFFF"/>
        </w:rPr>
        <w:t>十二、国有资本经营预算财政拨款支出决算表</w:t>
      </w:r>
    </w:p>
    <w:p>
      <w:pPr>
        <w:pStyle w:val="9"/>
        <w:keepNext w:val="0"/>
        <w:keepLines w:val="0"/>
        <w:widowControl/>
        <w:suppressLineNumbers w:val="0"/>
        <w:spacing w:before="0" w:beforeAutospacing="0"/>
        <w:ind w:left="420"/>
        <w:jc w:val="left"/>
      </w:pPr>
      <w:r>
        <w:rPr>
          <w:shd w:val="clear" w:color="auto" w:fill="FFFFFF"/>
        </w:rPr>
        <w:t>十三、财政拨款“三公”经费支出决算表</w:t>
      </w:r>
    </w:p>
    <w:p>
      <w:pPr>
        <w:pStyle w:val="9"/>
        <w:keepNext w:val="0"/>
        <w:keepLines w:val="0"/>
        <w:widowControl/>
        <w:suppressLineNumbers w:val="0"/>
        <w:spacing w:before="0" w:beforeAutospacing="0"/>
        <w:ind w:left="0"/>
        <w:jc w:val="left"/>
      </w:pPr>
      <w:r>
        <w:rPr>
          <w:rFonts w:hint="eastAsia"/>
          <w:shd w:val="clear" w:color="auto" w:fill="FFFFFF"/>
          <w:lang w:eastAsia="zh-CN"/>
        </w:rPr>
        <w:t>（</w:t>
      </w:r>
      <w:r>
        <w:rPr>
          <w:shd w:val="clear" w:color="auto" w:fill="FFFFFF"/>
        </w:rPr>
        <w:t>注：请部门根据实际注明页码</w:t>
      </w:r>
      <w:r>
        <w:rPr>
          <w:rFonts w:hint="eastAsia"/>
          <w:shd w:val="clear" w:color="auto" w:fill="FFFFFF"/>
          <w:lang w:eastAsia="zh-CN"/>
        </w:rPr>
        <w:t>）</w:t>
      </w:r>
    </w:p>
    <w:p>
      <w:pPr>
        <w:pStyle w:val="9"/>
        <w:keepNext w:val="0"/>
        <w:keepLines w:val="0"/>
        <w:widowControl/>
        <w:suppressLineNumbers w:val="0"/>
        <w:spacing w:before="0" w:beforeAutospacing="0"/>
        <w:ind w:left="0"/>
        <w:jc w:val="left"/>
      </w:pP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 </w:t>
      </w:r>
    </w:p>
    <w:p>
      <w:pPr>
        <w:pStyle w:val="2"/>
        <w:keepNext w:val="0"/>
        <w:keepLines w:val="0"/>
        <w:widowControl/>
        <w:suppressLineNumbers w:val="0"/>
        <w:spacing w:before="0" w:beforeAutospacing="0"/>
        <w:ind w:left="0"/>
        <w:jc w:val="center"/>
      </w:pPr>
      <w:r>
        <w:rPr>
          <w:shd w:val="clear" w:color="auto" w:fill="FFFFFF"/>
        </w:rPr>
        <w:t>第一部分 部门概况</w:t>
      </w:r>
    </w:p>
    <w:p>
      <w:pPr>
        <w:pStyle w:val="9"/>
        <w:keepNext w:val="0"/>
        <w:keepLines w:val="0"/>
        <w:widowControl/>
        <w:suppressLineNumbers w:val="0"/>
        <w:spacing w:before="0" w:beforeAutospacing="0"/>
        <w:ind w:left="0"/>
        <w:jc w:val="left"/>
      </w:pPr>
      <w:r>
        <w:rPr>
          <w:shd w:val="clear" w:color="auto" w:fill="FFFFFF"/>
        </w:rPr>
        <w:t> </w:t>
      </w:r>
    </w:p>
    <w:p>
      <w:pPr>
        <w:pStyle w:val="3"/>
        <w:keepNext w:val="0"/>
        <w:keepLines w:val="0"/>
        <w:widowControl/>
        <w:suppressLineNumbers w:val="0"/>
        <w:spacing w:before="0" w:beforeAutospacing="0"/>
        <w:ind w:left="0"/>
        <w:jc w:val="left"/>
      </w:pPr>
      <w:r>
        <w:rPr>
          <w:shd w:val="clear" w:color="auto" w:fill="FFFFFF"/>
        </w:rPr>
        <w:t>一、基本职能及主要工作</w:t>
      </w:r>
    </w:p>
    <w:p>
      <w:pPr>
        <w:pStyle w:val="9"/>
        <w:keepNext w:val="0"/>
        <w:keepLines w:val="0"/>
        <w:widowControl/>
        <w:suppressLineNumbers w:val="0"/>
        <w:spacing w:before="0" w:beforeAutospacing="0"/>
        <w:ind w:left="0"/>
        <w:jc w:val="left"/>
        <w:rPr>
          <w:rFonts w:hint="eastAsia" w:eastAsia="宋体"/>
          <w:lang w:eastAsia="zh-CN"/>
        </w:rPr>
      </w:pPr>
      <w:r>
        <w:rPr>
          <w:shd w:val="clear" w:color="auto" w:fill="FFFFFF"/>
        </w:rPr>
        <w:t>（一）主要职能。（职能参照州政府批准的三定方案）</w:t>
      </w:r>
      <w:r>
        <w:rPr>
          <w:rFonts w:hint="eastAsia"/>
          <w:shd w:val="clear" w:color="auto" w:fill="FFFFFF"/>
          <w:lang w:eastAsia="zh-CN"/>
        </w:rPr>
        <w:t>（涉密不宜公开）</w:t>
      </w:r>
    </w:p>
    <w:p>
      <w:pPr>
        <w:pStyle w:val="9"/>
        <w:keepNext w:val="0"/>
        <w:keepLines w:val="0"/>
        <w:widowControl/>
        <w:suppressLineNumbers w:val="0"/>
        <w:spacing w:before="0" w:beforeAutospacing="0"/>
        <w:ind w:left="0"/>
        <w:jc w:val="left"/>
        <w:rPr>
          <w:rFonts w:hint="eastAsia" w:eastAsia="宋体"/>
          <w:lang w:eastAsia="zh-CN"/>
        </w:rPr>
      </w:pPr>
      <w:r>
        <w:rPr>
          <w:shd w:val="clear" w:color="auto" w:fill="FFFFFF"/>
        </w:rPr>
        <w:t>（二）2022年重点工作完成情况。</w:t>
      </w:r>
      <w:r>
        <w:rPr>
          <w:rFonts w:hint="eastAsia"/>
          <w:shd w:val="clear" w:color="auto" w:fill="FFFFFF"/>
          <w:lang w:eastAsia="zh-CN"/>
        </w:rPr>
        <w:t>（重点工作涉密不宜公开）</w:t>
      </w:r>
    </w:p>
    <w:p>
      <w:pPr>
        <w:pStyle w:val="3"/>
        <w:keepNext w:val="0"/>
        <w:keepLines w:val="0"/>
        <w:widowControl/>
        <w:suppressLineNumbers w:val="0"/>
        <w:spacing w:before="0" w:beforeAutospacing="0"/>
        <w:ind w:left="0"/>
        <w:jc w:val="left"/>
      </w:pPr>
      <w:r>
        <w:rPr>
          <w:shd w:val="clear" w:color="auto" w:fill="FFFFFF"/>
        </w:rPr>
        <w:t>二、机构设置</w:t>
      </w:r>
    </w:p>
    <w:p>
      <w:pPr>
        <w:pStyle w:val="9"/>
        <w:keepNext w:val="0"/>
        <w:keepLines w:val="0"/>
        <w:widowControl/>
        <w:suppressLineNumbers w:val="0"/>
        <w:spacing w:before="0" w:beforeAutospacing="0"/>
        <w:ind w:left="0"/>
        <w:jc w:val="left"/>
      </w:pPr>
      <w:r>
        <w:rPr>
          <w:shd w:val="clear" w:color="auto" w:fill="FFFFFF"/>
        </w:rPr>
        <w:t>阿坝州松潘县民族宗教局下属二级单位</w:t>
      </w:r>
      <w:r>
        <w:rPr>
          <w:rFonts w:hint="eastAsia"/>
          <w:shd w:val="clear" w:color="auto" w:fill="FFFFFF"/>
          <w:lang w:val="en-US" w:eastAsia="zh-CN"/>
        </w:rPr>
        <w:t>0</w:t>
      </w:r>
      <w:r>
        <w:rPr>
          <w:shd w:val="clear" w:color="auto" w:fill="FFFFFF"/>
        </w:rPr>
        <w:t>个，其中行政单位</w:t>
      </w:r>
      <w:r>
        <w:rPr>
          <w:rFonts w:hint="eastAsia"/>
          <w:shd w:val="clear" w:color="auto" w:fill="FFFFFF"/>
          <w:lang w:val="en-US" w:eastAsia="zh-CN"/>
        </w:rPr>
        <w:t>1</w:t>
      </w:r>
      <w:r>
        <w:rPr>
          <w:shd w:val="clear" w:color="auto" w:fill="FFFFFF"/>
        </w:rPr>
        <w:t>个，参照公务员法管理的事业单位</w:t>
      </w:r>
      <w:r>
        <w:rPr>
          <w:rFonts w:hint="eastAsia"/>
          <w:shd w:val="clear" w:color="auto" w:fill="FFFFFF"/>
          <w:lang w:val="en-US" w:eastAsia="zh-CN"/>
        </w:rPr>
        <w:t>0</w:t>
      </w:r>
      <w:r>
        <w:rPr>
          <w:shd w:val="clear" w:color="auto" w:fill="FFFFFF"/>
        </w:rPr>
        <w:t>个，其他事业单位</w:t>
      </w:r>
      <w:r>
        <w:rPr>
          <w:rFonts w:hint="eastAsia"/>
          <w:shd w:val="clear" w:color="auto" w:fill="FFFFFF"/>
          <w:lang w:val="en-US" w:eastAsia="zh-CN"/>
        </w:rPr>
        <w:t>0</w:t>
      </w:r>
      <w:r>
        <w:rPr>
          <w:shd w:val="clear" w:color="auto" w:fill="FFFFFF"/>
        </w:rPr>
        <w:t>个。</w:t>
      </w:r>
    </w:p>
    <w:p>
      <w:pPr>
        <w:pStyle w:val="2"/>
        <w:keepNext w:val="0"/>
        <w:keepLines w:val="0"/>
        <w:widowControl/>
        <w:suppressLineNumbers w:val="0"/>
        <w:spacing w:before="0" w:beforeAutospacing="0"/>
        <w:ind w:left="0"/>
        <w:jc w:val="center"/>
      </w:pPr>
      <w:r>
        <w:rPr>
          <w:shd w:val="clear" w:color="auto" w:fill="FFFFFF"/>
        </w:rPr>
        <w:t>第二部分 2022年度部门决算情况说明</w:t>
      </w:r>
    </w:p>
    <w:p>
      <w:pPr>
        <w:pStyle w:val="9"/>
        <w:keepNext w:val="0"/>
        <w:keepLines w:val="0"/>
        <w:widowControl/>
        <w:suppressLineNumbers w:val="0"/>
        <w:spacing w:before="0" w:beforeAutospacing="0"/>
        <w:ind w:left="0"/>
        <w:jc w:val="left"/>
      </w:pPr>
      <w:r>
        <w:rPr>
          <w:shd w:val="clear" w:color="auto" w:fill="FFFFFF"/>
        </w:rPr>
        <w:t>一、收入支出决算总体情况说明</w:t>
      </w:r>
    </w:p>
    <w:p>
      <w:pPr>
        <w:pStyle w:val="9"/>
        <w:keepNext w:val="0"/>
        <w:keepLines w:val="0"/>
        <w:widowControl/>
        <w:suppressLineNumbers w:val="0"/>
        <w:spacing w:before="0" w:beforeAutospacing="0"/>
        <w:ind w:left="0"/>
        <w:jc w:val="left"/>
        <w:rPr>
          <w:rFonts w:hint="eastAsia" w:eastAsia="宋体"/>
          <w:lang w:eastAsia="zh-CN"/>
        </w:rPr>
      </w:pPr>
      <w:r>
        <w:rPr>
          <w:shd w:val="clear" w:color="auto" w:fill="FFFFFF"/>
        </w:rPr>
        <w:t>2022年度收、支总计1,100.31万元。与2021年相比，收、支总计各增加-1,513.48万元，增长-57.90%。主要变动原因是</w:t>
      </w:r>
      <w:r>
        <w:rPr>
          <w:rFonts w:hint="eastAsia"/>
          <w:shd w:val="clear" w:color="auto" w:fill="FFFFFF"/>
          <w:lang w:eastAsia="zh-CN"/>
        </w:rPr>
        <w:t>当年项目减少。</w:t>
      </w:r>
    </w:p>
    <w:p>
      <w:pPr>
        <w:pStyle w:val="9"/>
        <w:keepNext w:val="0"/>
        <w:keepLines w:val="0"/>
        <w:widowControl/>
        <w:suppressLineNumbers w:val="0"/>
        <w:spacing w:before="0" w:beforeAutospacing="0"/>
        <w:ind w:left="0"/>
        <w:jc w:val="left"/>
      </w:pP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二、收入决算情况说明</w:t>
      </w:r>
    </w:p>
    <w:p>
      <w:pPr>
        <w:pStyle w:val="9"/>
        <w:keepNext w:val="0"/>
        <w:keepLines w:val="0"/>
        <w:widowControl/>
        <w:suppressLineNumbers w:val="0"/>
        <w:spacing w:before="0" w:beforeAutospacing="0"/>
        <w:ind w:left="0"/>
        <w:jc w:val="left"/>
      </w:pPr>
      <w:r>
        <w:rPr>
          <w:shd w:val="clear" w:color="auto" w:fill="FFFFFF"/>
        </w:rPr>
        <w:t>2022年本年收入合计1,100.31万元，其中：一般公共预算财政拨款收入1,100.31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pPr>
        <w:pStyle w:val="9"/>
        <w:keepNext w:val="0"/>
        <w:keepLines w:val="0"/>
        <w:widowControl/>
        <w:suppressLineNumbers w:val="0"/>
        <w:spacing w:before="0" w:beforeAutospacing="0"/>
        <w:ind w:left="0"/>
        <w:jc w:val="left"/>
      </w:pPr>
      <w:r>
        <w:rPr>
          <w:rStyle w:val="12"/>
          <w:shd w:val="clear" w:color="auto" w:fill="FFFFFF"/>
        </w:rPr>
        <w:t>（注：数据来源于财决01表，仅罗列本部门涉及的收入。）</w:t>
      </w: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三、支出决算情况说明</w:t>
      </w:r>
    </w:p>
    <w:p>
      <w:pPr>
        <w:pStyle w:val="9"/>
        <w:keepNext w:val="0"/>
        <w:keepLines w:val="0"/>
        <w:widowControl/>
        <w:suppressLineNumbers w:val="0"/>
        <w:spacing w:before="0" w:beforeAutospacing="0"/>
        <w:ind w:left="0"/>
        <w:jc w:val="left"/>
      </w:pPr>
      <w:r>
        <w:rPr>
          <w:shd w:val="clear" w:color="auto" w:fill="FFFFFF"/>
        </w:rPr>
        <w:t>2022年本年支出合计1,100.31万元，其中：基本支出360.64万元，占32.78%；项目支出739.67万元，占67.22%；上缴上级支出0.00万元，占0.00%；经营支出0.00万元，占经营支出0.00万元，占 0.00%；对附属单位补助支出0.00万元，占0.00%。</w:t>
      </w:r>
    </w:p>
    <w:p>
      <w:pPr>
        <w:pStyle w:val="9"/>
        <w:keepNext w:val="0"/>
        <w:keepLines w:val="0"/>
        <w:widowControl/>
        <w:suppressLineNumbers w:val="0"/>
        <w:spacing w:before="0" w:beforeAutospacing="0"/>
        <w:ind w:left="0"/>
        <w:jc w:val="left"/>
      </w:pPr>
      <w:r>
        <w:rPr>
          <w:rStyle w:val="12"/>
          <w:shd w:val="clear" w:color="auto" w:fill="FFFFFF"/>
        </w:rPr>
        <w:t>（注：数据来源于财决04表，仅罗列本部门涉及的支出。）</w:t>
      </w: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四、财政拨款收入支出决算总体情况说明</w:t>
      </w:r>
    </w:p>
    <w:p>
      <w:pPr>
        <w:pStyle w:val="9"/>
        <w:keepNext w:val="0"/>
        <w:keepLines w:val="0"/>
        <w:widowControl/>
        <w:suppressLineNumbers w:val="0"/>
        <w:spacing w:before="0" w:beforeAutospacing="0"/>
        <w:ind w:left="0"/>
        <w:jc w:val="left"/>
      </w:pPr>
      <w:r>
        <w:rPr>
          <w:shd w:val="clear" w:color="auto" w:fill="FFFFFF"/>
        </w:rPr>
        <w:t>2022年财政拨款收、支总计1,100.31万元。与2021年相比，财政拨款收、支总计各增加/减少-1,513.48万元，增长-57.90%。主要变动原因是</w:t>
      </w:r>
      <w:r>
        <w:rPr>
          <w:rFonts w:hint="eastAsia"/>
          <w:shd w:val="clear" w:color="auto" w:fill="FFFFFF"/>
          <w:lang w:eastAsia="zh-CN"/>
        </w:rPr>
        <w:t>当年项目减少。</w:t>
      </w:r>
    </w:p>
    <w:p>
      <w:pPr>
        <w:pStyle w:val="9"/>
        <w:keepNext w:val="0"/>
        <w:keepLines w:val="0"/>
        <w:widowControl/>
        <w:suppressLineNumbers w:val="0"/>
        <w:spacing w:before="0" w:beforeAutospacing="0"/>
        <w:ind w:left="0"/>
        <w:jc w:val="left"/>
      </w:pPr>
      <w:r>
        <w:rPr>
          <w:rStyle w:val="12"/>
          <w:shd w:val="clear" w:color="auto" w:fill="FFFFFF"/>
        </w:rPr>
        <w:t>（注：数据来源于财决01-1表）</w:t>
      </w: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五、</w:t>
      </w:r>
      <w:r>
        <w:rPr>
          <w:rStyle w:val="12"/>
          <w:shd w:val="clear" w:color="auto" w:fill="FFFFFF"/>
        </w:rPr>
        <w:t>一</w:t>
      </w:r>
      <w:r>
        <w:rPr>
          <w:shd w:val="clear" w:color="auto" w:fill="FFFFFF"/>
        </w:rPr>
        <w:t>般公共预算财政拨款支出决算情况说明</w:t>
      </w:r>
    </w:p>
    <w:p>
      <w:pPr>
        <w:pStyle w:val="9"/>
        <w:keepNext w:val="0"/>
        <w:keepLines w:val="0"/>
        <w:widowControl/>
        <w:suppressLineNumbers w:val="0"/>
        <w:spacing w:before="0" w:beforeAutospacing="0"/>
        <w:ind w:left="0"/>
        <w:jc w:val="left"/>
      </w:pPr>
      <w:r>
        <w:rPr>
          <w:rStyle w:val="12"/>
          <w:shd w:val="clear" w:color="auto" w:fill="FFFFFF"/>
        </w:rPr>
        <w:t>（一）一般公共预算财政拨款支出决算总体情况</w:t>
      </w:r>
    </w:p>
    <w:p>
      <w:pPr>
        <w:pStyle w:val="9"/>
        <w:keepNext w:val="0"/>
        <w:keepLines w:val="0"/>
        <w:widowControl/>
        <w:suppressLineNumbers w:val="0"/>
        <w:spacing w:before="0" w:beforeAutospacing="0"/>
        <w:ind w:left="0"/>
        <w:jc w:val="left"/>
      </w:pPr>
      <w:r>
        <w:rPr>
          <w:shd w:val="clear" w:color="auto" w:fill="FFFFFF"/>
        </w:rPr>
        <w:t>2022年一般公共预算财政拨款支出1,100.31万元，占本年支出合计的100.00%。与2021年相比，一般公共预算财政拨款支出增加-1,513.48万元，增长-57.90%。主要变动原因是</w:t>
      </w:r>
      <w:r>
        <w:rPr>
          <w:rFonts w:hint="eastAsia"/>
          <w:shd w:val="clear" w:color="auto" w:fill="FFFFFF"/>
          <w:lang w:eastAsia="zh-CN"/>
        </w:rPr>
        <w:t>当年项目减少</w:t>
      </w:r>
      <w:r>
        <w:rPr>
          <w:shd w:val="clear" w:color="auto" w:fill="FFFFFF"/>
        </w:rPr>
        <w:t> </w:t>
      </w:r>
    </w:p>
    <w:p>
      <w:pPr>
        <w:pStyle w:val="9"/>
        <w:keepNext w:val="0"/>
        <w:keepLines w:val="0"/>
        <w:widowControl/>
        <w:suppressLineNumbers w:val="0"/>
        <w:spacing w:before="0" w:beforeAutospacing="0"/>
        <w:ind w:left="0"/>
        <w:jc w:val="left"/>
      </w:pPr>
      <w:r>
        <w:rPr>
          <w:rStyle w:val="12"/>
          <w:shd w:val="clear" w:color="auto" w:fill="FFFFFF"/>
        </w:rPr>
        <w:t>（二）一般公共预算财政拨款支出决算结构情况</w:t>
      </w:r>
    </w:p>
    <w:p>
      <w:pPr>
        <w:pStyle w:val="9"/>
        <w:keepNext w:val="0"/>
        <w:keepLines w:val="0"/>
        <w:widowControl/>
        <w:suppressLineNumbers w:val="0"/>
        <w:spacing w:before="0" w:beforeAutospacing="0"/>
        <w:ind w:left="0"/>
        <w:jc w:val="left"/>
      </w:pPr>
      <w:r>
        <w:rPr>
          <w:shd w:val="clear" w:color="auto" w:fill="FFFFFF"/>
        </w:rPr>
        <w:t>2022年一般公共预算财政拨款支出1,100.31万元，主要用于以下方面</w:t>
      </w:r>
      <w:r>
        <w:rPr>
          <w:rFonts w:hint="eastAsia"/>
          <w:shd w:val="clear" w:color="auto" w:fill="FFFFFF"/>
          <w:lang w:eastAsia="zh-CN"/>
        </w:rPr>
        <w:t>：</w:t>
      </w:r>
      <w:r>
        <w:rPr>
          <w:rStyle w:val="12"/>
          <w:shd w:val="clear" w:color="auto" w:fill="FFFFFF"/>
        </w:rPr>
        <w:t>一般公共服务（类）</w:t>
      </w:r>
      <w:r>
        <w:rPr>
          <w:shd w:val="clear" w:color="auto" w:fill="FFFFFF"/>
        </w:rPr>
        <w:t>支出445.04万元，占40.45%；</w:t>
      </w:r>
      <w:r>
        <w:rPr>
          <w:rStyle w:val="12"/>
          <w:shd w:val="clear" w:color="auto" w:fill="FFFFFF"/>
        </w:rPr>
        <w:t>教育支出（类）</w:t>
      </w:r>
      <w:r>
        <w:rPr>
          <w:shd w:val="clear" w:color="auto" w:fill="FFFFFF"/>
        </w:rPr>
        <w:t>0.00万元，占0.00%；</w:t>
      </w:r>
      <w:r>
        <w:rPr>
          <w:rStyle w:val="12"/>
          <w:shd w:val="clear" w:color="auto" w:fill="FFFFFF"/>
        </w:rPr>
        <w:t>科学技术（类）</w:t>
      </w:r>
      <w:r>
        <w:rPr>
          <w:shd w:val="clear" w:color="auto" w:fill="FFFFFF"/>
        </w:rPr>
        <w:t>支出0.00万元，占0.00%；</w:t>
      </w:r>
      <w:r>
        <w:rPr>
          <w:rStyle w:val="12"/>
          <w:shd w:val="clear" w:color="auto" w:fill="FFFFFF"/>
        </w:rPr>
        <w:t>文化旅游体育与传媒（类）支出0.00万元，占0.00%；社会保障和就业（类）</w:t>
      </w:r>
      <w:r>
        <w:rPr>
          <w:shd w:val="clear" w:color="auto" w:fill="FFFFFF"/>
        </w:rPr>
        <w:t>支出43.22万元，占3.93%；</w:t>
      </w:r>
      <w:r>
        <w:rPr>
          <w:rStyle w:val="12"/>
          <w:shd w:val="clear" w:color="auto" w:fill="FFFFFF"/>
        </w:rPr>
        <w:t>卫生健康支出</w:t>
      </w:r>
      <w:r>
        <w:rPr>
          <w:shd w:val="clear" w:color="auto" w:fill="FFFFFF"/>
        </w:rPr>
        <w:t>16.31万元，占1.48%；住房保障支出22.66万元，占2.06%。</w:t>
      </w:r>
    </w:p>
    <w:p>
      <w:pPr>
        <w:pStyle w:val="9"/>
        <w:keepNext w:val="0"/>
        <w:keepLines w:val="0"/>
        <w:widowControl/>
        <w:suppressLineNumbers w:val="0"/>
        <w:spacing w:before="0" w:beforeAutospacing="0"/>
        <w:ind w:left="0"/>
        <w:jc w:val="left"/>
      </w:pPr>
      <w:r>
        <w:rPr>
          <w:rStyle w:val="12"/>
          <w:shd w:val="clear" w:color="auto" w:fill="FFFFFF"/>
        </w:rPr>
        <w:t>（注：数据来源于财决01-1表，仅罗列本部门涉及的全部功能分类科目，至类级。）</w:t>
      </w:r>
      <w:r>
        <w:rPr>
          <w:shd w:val="clear" w:color="auto" w:fill="FFFFFF"/>
        </w:rPr>
        <w:t> </w:t>
      </w:r>
    </w:p>
    <w:p>
      <w:pPr>
        <w:pStyle w:val="9"/>
        <w:keepNext w:val="0"/>
        <w:keepLines w:val="0"/>
        <w:widowControl/>
        <w:suppressLineNumbers w:val="0"/>
        <w:spacing w:before="0" w:beforeAutospacing="0"/>
        <w:ind w:left="0"/>
        <w:jc w:val="left"/>
      </w:pPr>
      <w:r>
        <w:rPr>
          <w:rStyle w:val="12"/>
          <w:shd w:val="clear" w:color="auto" w:fill="FFFFFF"/>
        </w:rPr>
        <w:t>（三）一般公共预算财政拨款支出决算具体情况</w:t>
      </w:r>
    </w:p>
    <w:p>
      <w:pPr>
        <w:pStyle w:val="9"/>
        <w:keepNext w:val="0"/>
        <w:keepLines w:val="0"/>
        <w:widowControl/>
        <w:suppressLineNumbers w:val="0"/>
        <w:spacing w:before="0" w:beforeAutospacing="0"/>
        <w:ind w:left="0"/>
        <w:jc w:val="left"/>
      </w:pPr>
      <w:r>
        <w:rPr>
          <w:rStyle w:val="12"/>
          <w:shd w:val="clear" w:color="auto" w:fill="FFFFFF"/>
        </w:rPr>
        <w:t>2022年一般公共预算支出决算数为1,100.31</w:t>
      </w:r>
      <w:r>
        <w:rPr>
          <w:shd w:val="clear" w:color="auto" w:fill="FFFFFF"/>
        </w:rPr>
        <w:t>，</w:t>
      </w:r>
      <w:r>
        <w:rPr>
          <w:rStyle w:val="12"/>
          <w:shd w:val="clear" w:color="auto" w:fill="FFFFFF"/>
        </w:rPr>
        <w:t>完成预算100.00%。其中：</w:t>
      </w:r>
    </w:p>
    <w:p>
      <w:pPr>
        <w:pStyle w:val="9"/>
        <w:keepNext w:val="0"/>
        <w:keepLines w:val="0"/>
        <w:widowControl/>
        <w:suppressLineNumbers w:val="0"/>
        <w:spacing w:before="0" w:beforeAutospacing="0"/>
        <w:ind w:left="0"/>
        <w:jc w:val="left"/>
      </w:pPr>
      <w:r>
        <w:rPr>
          <w:rStyle w:val="12"/>
          <w:shd w:val="clear" w:color="auto" w:fill="FFFFFF"/>
        </w:rPr>
        <w:t>1.一般公共服务（类）</w:t>
      </w:r>
      <w:r>
        <w:rPr>
          <w:rStyle w:val="12"/>
          <w:rFonts w:hint="eastAsia"/>
          <w:shd w:val="clear" w:color="auto" w:fill="FFFFFF"/>
          <w:lang w:val="en-US" w:eastAsia="zh-CN"/>
        </w:rPr>
        <w:t>201</w:t>
      </w:r>
      <w:r>
        <w:rPr>
          <w:rStyle w:val="12"/>
          <w:shd w:val="clear" w:color="auto" w:fill="FFFFFF"/>
        </w:rPr>
        <w:t>（款）</w:t>
      </w:r>
      <w:r>
        <w:rPr>
          <w:rStyle w:val="12"/>
          <w:rFonts w:hint="eastAsia"/>
          <w:shd w:val="clear" w:color="auto" w:fill="FFFFFF"/>
          <w:lang w:val="en-US" w:eastAsia="zh-CN"/>
        </w:rPr>
        <w:t>23</w:t>
      </w:r>
      <w:r>
        <w:rPr>
          <w:rStyle w:val="12"/>
          <w:shd w:val="clear" w:color="auto" w:fill="FFFFFF"/>
        </w:rPr>
        <w:t>（项）</w:t>
      </w:r>
      <w:r>
        <w:rPr>
          <w:rStyle w:val="12"/>
          <w:rFonts w:hint="eastAsia"/>
          <w:shd w:val="clear" w:color="auto" w:fill="FFFFFF"/>
          <w:lang w:eastAsia="zh-CN"/>
        </w:rPr>
        <w:t>支出决算为</w:t>
      </w:r>
      <w:r>
        <w:rPr>
          <w:rStyle w:val="12"/>
          <w:rFonts w:hint="eastAsia"/>
          <w:shd w:val="clear" w:color="auto" w:fill="FFFFFF"/>
          <w:lang w:val="en-US" w:eastAsia="zh-CN"/>
        </w:rPr>
        <w:t>445.04万元：其中2012301－行政运行：</w:t>
      </w:r>
      <w:r>
        <w:rPr>
          <w:rStyle w:val="12"/>
          <w:shd w:val="clear" w:color="auto" w:fill="FFFFFF"/>
        </w:rPr>
        <w:t xml:space="preserve"> 支出决算为</w:t>
      </w:r>
      <w:r>
        <w:rPr>
          <w:rStyle w:val="12"/>
          <w:rFonts w:hint="eastAsia"/>
          <w:shd w:val="clear" w:color="auto" w:fill="FFFFFF"/>
          <w:lang w:val="en-US" w:eastAsia="zh-CN"/>
        </w:rPr>
        <w:t>278.44</w:t>
      </w:r>
      <w:r>
        <w:rPr>
          <w:rStyle w:val="12"/>
          <w:shd w:val="clear" w:color="auto" w:fill="FFFFFF"/>
        </w:rPr>
        <w:t>万元，完成预算</w:t>
      </w:r>
      <w:r>
        <w:rPr>
          <w:rStyle w:val="12"/>
          <w:rFonts w:hint="eastAsia"/>
          <w:shd w:val="clear" w:color="auto" w:fill="FFFFFF"/>
          <w:lang w:val="en-US" w:eastAsia="zh-CN"/>
        </w:rPr>
        <w:t>100</w:t>
      </w:r>
      <w:r>
        <w:rPr>
          <w:rStyle w:val="12"/>
          <w:shd w:val="clear" w:color="auto" w:fill="FFFFFF"/>
        </w:rPr>
        <w:t>%</w:t>
      </w:r>
      <w:r>
        <w:rPr>
          <w:rStyle w:val="12"/>
          <w:rFonts w:hint="eastAsia"/>
          <w:shd w:val="clear" w:color="auto" w:fill="FFFFFF"/>
          <w:lang w:eastAsia="zh-CN"/>
        </w:rPr>
        <w:t>；</w:t>
      </w:r>
      <w:r>
        <w:rPr>
          <w:rStyle w:val="12"/>
          <w:rFonts w:hint="eastAsia"/>
          <w:shd w:val="clear" w:color="auto" w:fill="FFFFFF"/>
          <w:lang w:val="en-US" w:eastAsia="zh-CN"/>
        </w:rPr>
        <w:t>2012304－民族工作专项支出决算为6.99万元，</w:t>
      </w:r>
      <w:r>
        <w:rPr>
          <w:rStyle w:val="12"/>
          <w:shd w:val="clear" w:color="auto" w:fill="FFFFFF"/>
        </w:rPr>
        <w:t>完成预算</w:t>
      </w:r>
      <w:r>
        <w:rPr>
          <w:rStyle w:val="12"/>
          <w:rFonts w:hint="eastAsia"/>
          <w:shd w:val="clear" w:color="auto" w:fill="FFFFFF"/>
          <w:lang w:val="en-US" w:eastAsia="zh-CN"/>
        </w:rPr>
        <w:t>100</w:t>
      </w:r>
      <w:r>
        <w:rPr>
          <w:rStyle w:val="12"/>
          <w:shd w:val="clear" w:color="auto" w:fill="FFFFFF"/>
        </w:rPr>
        <w:t>%</w:t>
      </w:r>
      <w:r>
        <w:rPr>
          <w:rStyle w:val="12"/>
          <w:rFonts w:hint="eastAsia"/>
          <w:shd w:val="clear" w:color="auto" w:fill="FFFFFF"/>
          <w:lang w:val="en-US" w:eastAsia="zh-CN"/>
        </w:rPr>
        <w:t>；2012399－其他民族事务支出决算为159.61万元，</w:t>
      </w:r>
      <w:r>
        <w:rPr>
          <w:rStyle w:val="12"/>
          <w:shd w:val="clear" w:color="auto" w:fill="FFFFFF"/>
        </w:rPr>
        <w:t>完成预算</w:t>
      </w:r>
      <w:r>
        <w:rPr>
          <w:rStyle w:val="12"/>
          <w:rFonts w:hint="eastAsia"/>
          <w:shd w:val="clear" w:color="auto" w:fill="FFFFFF"/>
          <w:lang w:val="en-US" w:eastAsia="zh-CN"/>
        </w:rPr>
        <w:t>100</w:t>
      </w:r>
      <w:r>
        <w:rPr>
          <w:rStyle w:val="12"/>
          <w:shd w:val="clear" w:color="auto" w:fill="FFFFFF"/>
        </w:rPr>
        <w:t>%</w:t>
      </w:r>
      <w:r>
        <w:rPr>
          <w:rStyle w:val="12"/>
          <w:rFonts w:hint="eastAsia"/>
          <w:shd w:val="clear" w:color="auto" w:fill="FFFFFF"/>
          <w:lang w:eastAsia="zh-CN"/>
        </w:rPr>
        <w:t>。</w:t>
      </w:r>
      <w:r>
        <w:rPr>
          <w:rStyle w:val="12"/>
          <w:shd w:val="clear" w:color="auto" w:fill="FFFFFF"/>
        </w:rPr>
        <w:t>决算数等于预算数。</w:t>
      </w:r>
    </w:p>
    <w:p>
      <w:pPr>
        <w:pStyle w:val="9"/>
        <w:keepNext w:val="0"/>
        <w:keepLines w:val="0"/>
        <w:widowControl/>
        <w:suppressLineNumbers w:val="0"/>
        <w:spacing w:before="0" w:beforeAutospacing="0"/>
        <w:ind w:left="0"/>
        <w:jc w:val="left"/>
      </w:pPr>
      <w:r>
        <w:rPr>
          <w:rStyle w:val="12"/>
          <w:shd w:val="clear" w:color="auto" w:fill="FFFFFF"/>
        </w:rPr>
        <w:t>2.教育（类）***（款）***（项）</w:t>
      </w:r>
      <w:r>
        <w:rPr>
          <w:rStyle w:val="12"/>
          <w:rFonts w:hint="eastAsia"/>
          <w:shd w:val="clear" w:color="auto" w:fill="FFFFFF"/>
          <w:lang w:eastAsia="zh-CN"/>
        </w:rPr>
        <w:t>：</w:t>
      </w:r>
      <w:r>
        <w:rPr>
          <w:rStyle w:val="12"/>
          <w:shd w:val="clear" w:color="auto" w:fill="FFFFFF"/>
        </w:rPr>
        <w:t xml:space="preserve"> 支出决算为**万元，完成预算**%，决算数小于/等于预算数的主要原因是…。</w:t>
      </w:r>
    </w:p>
    <w:p>
      <w:pPr>
        <w:pStyle w:val="9"/>
        <w:keepNext w:val="0"/>
        <w:keepLines w:val="0"/>
        <w:widowControl/>
        <w:suppressLineNumbers w:val="0"/>
        <w:spacing w:before="0" w:beforeAutospacing="0"/>
        <w:ind w:left="0"/>
        <w:jc w:val="left"/>
      </w:pPr>
      <w:r>
        <w:rPr>
          <w:rStyle w:val="12"/>
          <w:shd w:val="clear" w:color="auto" w:fill="FFFFFF"/>
        </w:rPr>
        <w:t>3.科学技术（类）***（款）***（项）</w:t>
      </w:r>
      <w:r>
        <w:rPr>
          <w:rStyle w:val="12"/>
          <w:rFonts w:hint="eastAsia"/>
          <w:shd w:val="clear" w:color="auto" w:fill="FFFFFF"/>
          <w:lang w:eastAsia="zh-CN"/>
        </w:rPr>
        <w:t>：</w:t>
      </w:r>
      <w:r>
        <w:rPr>
          <w:rStyle w:val="12"/>
          <w:shd w:val="clear" w:color="auto" w:fill="FFFFFF"/>
        </w:rPr>
        <w:t xml:space="preserve"> 支出决算为**万元，完成预算**%，决算数小于/等于预算数的主要原因是…。</w:t>
      </w:r>
    </w:p>
    <w:p>
      <w:pPr>
        <w:pStyle w:val="9"/>
        <w:keepNext w:val="0"/>
        <w:keepLines w:val="0"/>
        <w:widowControl/>
        <w:suppressLineNumbers w:val="0"/>
        <w:spacing w:before="0" w:beforeAutospacing="0"/>
        <w:ind w:left="0"/>
        <w:jc w:val="left"/>
      </w:pPr>
      <w:r>
        <w:rPr>
          <w:rStyle w:val="12"/>
          <w:shd w:val="clear" w:color="auto" w:fill="FFFFFF"/>
        </w:rPr>
        <w:t>4.文化旅游体育与传媒（类）***（款）***（项）</w:t>
      </w:r>
      <w:r>
        <w:rPr>
          <w:rStyle w:val="12"/>
          <w:rFonts w:hint="eastAsia"/>
          <w:shd w:val="clear" w:color="auto" w:fill="FFFFFF"/>
          <w:lang w:eastAsia="zh-CN"/>
        </w:rPr>
        <w:t>：</w:t>
      </w:r>
      <w:r>
        <w:rPr>
          <w:rStyle w:val="12"/>
          <w:shd w:val="clear" w:color="auto" w:fill="FFFFFF"/>
        </w:rPr>
        <w:t xml:space="preserve"> 支出决算为**万元，完成预算**%，决算数小于/等于预算数的主要原因是…。</w:t>
      </w:r>
    </w:p>
    <w:p>
      <w:pPr>
        <w:pStyle w:val="9"/>
        <w:keepNext w:val="0"/>
        <w:keepLines w:val="0"/>
        <w:widowControl/>
        <w:suppressLineNumbers w:val="0"/>
        <w:spacing w:before="0" w:beforeAutospacing="0"/>
        <w:ind w:left="0"/>
        <w:jc w:val="left"/>
      </w:pPr>
      <w:r>
        <w:rPr>
          <w:rStyle w:val="12"/>
          <w:shd w:val="clear" w:color="auto" w:fill="FFFFFF"/>
        </w:rPr>
        <w:t>5.社会保障和就业（类）</w:t>
      </w:r>
      <w:r>
        <w:rPr>
          <w:rStyle w:val="12"/>
          <w:rFonts w:hint="eastAsia"/>
          <w:shd w:val="clear" w:color="auto" w:fill="FFFFFF"/>
          <w:lang w:val="en-US" w:eastAsia="zh-CN"/>
        </w:rPr>
        <w:t>208</w:t>
      </w:r>
      <w:r>
        <w:rPr>
          <w:rStyle w:val="12"/>
          <w:shd w:val="clear" w:color="auto" w:fill="FFFFFF"/>
        </w:rPr>
        <w:t>（款）</w:t>
      </w:r>
      <w:r>
        <w:rPr>
          <w:rStyle w:val="12"/>
          <w:rFonts w:hint="eastAsia"/>
          <w:shd w:val="clear" w:color="auto" w:fill="FFFFFF"/>
          <w:lang w:val="en-US" w:eastAsia="zh-CN"/>
        </w:rPr>
        <w:t>05</w:t>
      </w:r>
      <w:r>
        <w:rPr>
          <w:rStyle w:val="12"/>
          <w:shd w:val="clear" w:color="auto" w:fill="FFFFFF"/>
        </w:rPr>
        <w:t>（项）支出决算为</w:t>
      </w:r>
      <w:r>
        <w:rPr>
          <w:rStyle w:val="12"/>
          <w:rFonts w:hint="eastAsia"/>
          <w:shd w:val="clear" w:color="auto" w:fill="FFFFFF"/>
          <w:lang w:val="en-US" w:eastAsia="zh-CN"/>
        </w:rPr>
        <w:t>43.22</w:t>
      </w:r>
      <w:r>
        <w:rPr>
          <w:rStyle w:val="12"/>
          <w:shd w:val="clear" w:color="auto" w:fill="FFFFFF"/>
        </w:rPr>
        <w:t>万元</w:t>
      </w:r>
      <w:r>
        <w:rPr>
          <w:rStyle w:val="12"/>
          <w:rFonts w:hint="eastAsia"/>
          <w:shd w:val="clear" w:color="auto" w:fill="FFFFFF"/>
          <w:lang w:eastAsia="zh-CN"/>
        </w:rPr>
        <w:t>：其中</w:t>
      </w:r>
      <w:r>
        <w:rPr>
          <w:rStyle w:val="12"/>
          <w:rFonts w:hint="eastAsia"/>
          <w:shd w:val="clear" w:color="auto" w:fill="FFFFFF"/>
          <w:lang w:val="en-US" w:eastAsia="zh-CN"/>
        </w:rPr>
        <w:t>2080505－机关事业单位养老保险缴费支出决算为28.83万元，</w:t>
      </w:r>
      <w:r>
        <w:rPr>
          <w:rStyle w:val="12"/>
          <w:shd w:val="clear" w:color="auto" w:fill="FFFFFF"/>
        </w:rPr>
        <w:t>完成预算</w:t>
      </w:r>
      <w:r>
        <w:rPr>
          <w:rStyle w:val="12"/>
          <w:rFonts w:hint="eastAsia"/>
          <w:shd w:val="clear" w:color="auto" w:fill="FFFFFF"/>
          <w:lang w:val="en-US" w:eastAsia="zh-CN"/>
        </w:rPr>
        <w:t>100</w:t>
      </w:r>
      <w:r>
        <w:rPr>
          <w:rStyle w:val="12"/>
          <w:shd w:val="clear" w:color="auto" w:fill="FFFFFF"/>
        </w:rPr>
        <w:t>%，</w:t>
      </w:r>
      <w:r>
        <w:rPr>
          <w:rStyle w:val="12"/>
          <w:rFonts w:hint="eastAsia"/>
          <w:shd w:val="clear" w:color="auto" w:fill="FFFFFF"/>
          <w:lang w:val="en-US" w:eastAsia="zh-CN"/>
        </w:rPr>
        <w:t>2080506－机关事业单位职业年金缴费支出决算为14.39万元，完成预算数100%。</w:t>
      </w:r>
      <w:r>
        <w:rPr>
          <w:rStyle w:val="12"/>
          <w:shd w:val="clear" w:color="auto" w:fill="FFFFFF"/>
        </w:rPr>
        <w:t>决算数等于预算数。</w:t>
      </w:r>
    </w:p>
    <w:p>
      <w:pPr>
        <w:pStyle w:val="9"/>
        <w:keepNext w:val="0"/>
        <w:keepLines w:val="0"/>
        <w:widowControl/>
        <w:suppressLineNumbers w:val="0"/>
        <w:spacing w:before="0" w:beforeAutospacing="0"/>
        <w:ind w:left="0"/>
        <w:jc w:val="left"/>
      </w:pPr>
      <w:r>
        <w:rPr>
          <w:rStyle w:val="12"/>
          <w:shd w:val="clear" w:color="auto" w:fill="FFFFFF"/>
        </w:rPr>
        <w:t>6.卫生健康（类）</w:t>
      </w:r>
      <w:r>
        <w:rPr>
          <w:rStyle w:val="12"/>
          <w:rFonts w:hint="eastAsia"/>
          <w:shd w:val="clear" w:color="auto" w:fill="FFFFFF"/>
          <w:lang w:val="en-US" w:eastAsia="zh-CN"/>
        </w:rPr>
        <w:t>210</w:t>
      </w:r>
      <w:r>
        <w:rPr>
          <w:rStyle w:val="12"/>
          <w:shd w:val="clear" w:color="auto" w:fill="FFFFFF"/>
        </w:rPr>
        <w:t>（款）</w:t>
      </w:r>
      <w:r>
        <w:rPr>
          <w:rStyle w:val="12"/>
          <w:rFonts w:hint="eastAsia"/>
          <w:shd w:val="clear" w:color="auto" w:fill="FFFFFF"/>
          <w:lang w:val="en-US" w:eastAsia="zh-CN"/>
        </w:rPr>
        <w:t>11</w:t>
      </w:r>
      <w:r>
        <w:rPr>
          <w:rStyle w:val="12"/>
          <w:shd w:val="clear" w:color="auto" w:fill="FFFFFF"/>
        </w:rPr>
        <w:t>（项）支出决算为</w:t>
      </w:r>
      <w:r>
        <w:rPr>
          <w:rStyle w:val="12"/>
          <w:rFonts w:hint="eastAsia"/>
          <w:shd w:val="clear" w:color="auto" w:fill="FFFFFF"/>
          <w:lang w:val="en-US" w:eastAsia="zh-CN"/>
        </w:rPr>
        <w:t>16.31</w:t>
      </w:r>
      <w:r>
        <w:rPr>
          <w:rStyle w:val="12"/>
          <w:shd w:val="clear" w:color="auto" w:fill="FFFFFF"/>
        </w:rPr>
        <w:t>万元，完成预算</w:t>
      </w:r>
      <w:r>
        <w:rPr>
          <w:rStyle w:val="12"/>
          <w:rFonts w:hint="eastAsia"/>
          <w:shd w:val="clear" w:color="auto" w:fill="FFFFFF"/>
          <w:lang w:val="en-US" w:eastAsia="zh-CN"/>
        </w:rPr>
        <w:t>100</w:t>
      </w:r>
      <w:r>
        <w:rPr>
          <w:rStyle w:val="12"/>
          <w:shd w:val="clear" w:color="auto" w:fill="FFFFFF"/>
        </w:rPr>
        <w:t>%</w:t>
      </w:r>
      <w:r>
        <w:rPr>
          <w:rStyle w:val="12"/>
          <w:rFonts w:hint="eastAsia"/>
          <w:shd w:val="clear" w:color="auto" w:fill="FFFFFF"/>
          <w:lang w:eastAsia="zh-CN"/>
        </w:rPr>
        <w:t>：其中</w:t>
      </w:r>
      <w:r>
        <w:rPr>
          <w:rStyle w:val="12"/>
          <w:rFonts w:hint="eastAsia"/>
          <w:shd w:val="clear" w:color="auto" w:fill="FFFFFF"/>
          <w:lang w:val="en-US" w:eastAsia="zh-CN"/>
        </w:rPr>
        <w:t>2101101－行政单位医疗12.53万元，2101103－公务员医疗补助3.78万元。</w:t>
      </w:r>
      <w:r>
        <w:rPr>
          <w:rStyle w:val="12"/>
          <w:shd w:val="clear" w:color="auto" w:fill="FFFFFF"/>
        </w:rPr>
        <w:t>决算数等于预算数。</w:t>
      </w:r>
    </w:p>
    <w:p>
      <w:pPr>
        <w:pStyle w:val="9"/>
        <w:keepNext w:val="0"/>
        <w:keepLines w:val="0"/>
        <w:widowControl/>
        <w:suppressLineNumbers w:val="0"/>
        <w:spacing w:before="0" w:beforeAutospacing="0"/>
        <w:ind w:left="0"/>
        <w:jc w:val="left"/>
        <w:rPr>
          <w:rFonts w:hint="eastAsia" w:eastAsia="宋体"/>
          <w:lang w:val="en-US" w:eastAsia="zh-CN"/>
        </w:rPr>
      </w:pPr>
      <w:r>
        <w:rPr>
          <w:rStyle w:val="12"/>
          <w:rFonts w:hint="eastAsia"/>
          <w:sz w:val="24"/>
          <w:szCs w:val="24"/>
          <w:shd w:val="clear" w:color="auto" w:fill="FFFFFF"/>
          <w:lang w:val="en-US" w:eastAsia="zh-CN"/>
        </w:rPr>
        <w:t>7.住房保障支出</w:t>
      </w:r>
      <w:r>
        <w:rPr>
          <w:rStyle w:val="12"/>
          <w:shd w:val="clear" w:color="auto" w:fill="FFFFFF"/>
        </w:rPr>
        <w:t>（类）</w:t>
      </w:r>
      <w:r>
        <w:rPr>
          <w:rStyle w:val="12"/>
          <w:rFonts w:hint="eastAsia"/>
          <w:shd w:val="clear" w:color="auto" w:fill="FFFFFF"/>
          <w:lang w:val="en-US" w:eastAsia="zh-CN"/>
        </w:rPr>
        <w:t>221</w:t>
      </w:r>
      <w:r>
        <w:rPr>
          <w:rStyle w:val="12"/>
          <w:shd w:val="clear" w:color="auto" w:fill="FFFFFF"/>
        </w:rPr>
        <w:t>（款）</w:t>
      </w:r>
      <w:r>
        <w:rPr>
          <w:rStyle w:val="12"/>
          <w:rFonts w:hint="eastAsia"/>
          <w:shd w:val="clear" w:color="auto" w:fill="FFFFFF"/>
          <w:lang w:val="en-US" w:eastAsia="zh-CN"/>
        </w:rPr>
        <w:t>02</w:t>
      </w:r>
      <w:r>
        <w:rPr>
          <w:rStyle w:val="12"/>
          <w:shd w:val="clear" w:color="auto" w:fill="FFFFFF"/>
        </w:rPr>
        <w:t>（项）</w:t>
      </w:r>
      <w:r>
        <w:rPr>
          <w:rStyle w:val="12"/>
          <w:rFonts w:hint="eastAsia"/>
          <w:shd w:val="clear" w:color="auto" w:fill="FFFFFF"/>
          <w:lang w:val="en-US" w:eastAsia="zh-CN"/>
        </w:rPr>
        <w:t>01</w:t>
      </w:r>
      <w:r>
        <w:rPr>
          <w:rStyle w:val="12"/>
          <w:shd w:val="clear" w:color="auto" w:fill="FFFFFF"/>
        </w:rPr>
        <w:t>支出决算为</w:t>
      </w:r>
      <w:r>
        <w:rPr>
          <w:rStyle w:val="12"/>
          <w:rFonts w:hint="eastAsia"/>
          <w:shd w:val="clear" w:color="auto" w:fill="FFFFFF"/>
          <w:lang w:val="en-US" w:eastAsia="zh-CN"/>
        </w:rPr>
        <w:t>22.66</w:t>
      </w:r>
      <w:r>
        <w:rPr>
          <w:rStyle w:val="12"/>
          <w:shd w:val="clear" w:color="auto" w:fill="FFFFFF"/>
        </w:rPr>
        <w:t>万元，完成预算</w:t>
      </w:r>
      <w:r>
        <w:rPr>
          <w:rStyle w:val="12"/>
          <w:rFonts w:hint="eastAsia"/>
          <w:shd w:val="clear" w:color="auto" w:fill="FFFFFF"/>
          <w:lang w:val="en-US" w:eastAsia="zh-CN"/>
        </w:rPr>
        <w:t>100</w:t>
      </w:r>
      <w:r>
        <w:rPr>
          <w:rStyle w:val="12"/>
          <w:shd w:val="clear" w:color="auto" w:fill="FFFFFF"/>
        </w:rPr>
        <w:t>%</w:t>
      </w:r>
      <w:r>
        <w:rPr>
          <w:rStyle w:val="12"/>
          <w:rFonts w:hint="eastAsia"/>
          <w:shd w:val="clear" w:color="auto" w:fill="FFFFFF"/>
          <w:lang w:val="en-US" w:eastAsia="zh-CN"/>
        </w:rPr>
        <w:t>。</w:t>
      </w:r>
      <w:r>
        <w:rPr>
          <w:rStyle w:val="12"/>
          <w:shd w:val="clear" w:color="auto" w:fill="FFFFFF"/>
        </w:rPr>
        <w:t>决算数等于预算数</w:t>
      </w:r>
      <w:r>
        <w:rPr>
          <w:rStyle w:val="12"/>
          <w:rFonts w:hint="eastAsia"/>
          <w:shd w:val="clear" w:color="auto" w:fill="FFFFFF"/>
          <w:lang w:eastAsia="zh-CN"/>
        </w:rPr>
        <w:t>。</w:t>
      </w:r>
    </w:p>
    <w:p>
      <w:pPr>
        <w:pStyle w:val="9"/>
        <w:keepNext w:val="0"/>
        <w:keepLines w:val="0"/>
        <w:widowControl/>
        <w:suppressLineNumbers w:val="0"/>
        <w:spacing w:before="0" w:beforeAutospacing="0"/>
        <w:ind w:left="0"/>
        <w:jc w:val="left"/>
      </w:pPr>
      <w:r>
        <w:rPr>
          <w:rStyle w:val="12"/>
          <w:shd w:val="clear" w:color="auto" w:fill="FFFFFF"/>
        </w:rPr>
        <w:t>（注：数据来源于财决01-1表和财决08表，仅罗列本部门涉及的全部功能分类科目，至项级。上述“预算”口径为全年预算数。增减变动原因为决算数和全年预算数比较，与预算数持平可以不写原因。）</w:t>
      </w:r>
    </w:p>
    <w:p>
      <w:pPr>
        <w:pStyle w:val="9"/>
        <w:keepNext w:val="0"/>
        <w:keepLines w:val="0"/>
        <w:widowControl/>
        <w:suppressLineNumbers w:val="0"/>
        <w:spacing w:before="0" w:beforeAutospacing="0"/>
        <w:ind w:left="0"/>
        <w:jc w:val="left"/>
      </w:pPr>
      <w:r>
        <w:rPr>
          <w:shd w:val="clear" w:color="auto" w:fill="FFFFFF"/>
        </w:rPr>
        <w:t>六</w:t>
      </w:r>
      <w:r>
        <w:rPr>
          <w:rStyle w:val="12"/>
          <w:shd w:val="clear" w:color="auto" w:fill="FFFFFF"/>
        </w:rPr>
        <w:t>、一</w:t>
      </w:r>
      <w:r>
        <w:rPr>
          <w:shd w:val="clear" w:color="auto" w:fill="FFFFFF"/>
        </w:rPr>
        <w:t>般公共预算财政拨款基本支出决算情况说明   </w:t>
      </w:r>
    </w:p>
    <w:p>
      <w:pPr>
        <w:pStyle w:val="9"/>
        <w:keepNext w:val="0"/>
        <w:keepLines w:val="0"/>
        <w:widowControl/>
        <w:suppressLineNumbers w:val="0"/>
        <w:spacing w:before="0" w:beforeAutospacing="0"/>
        <w:ind w:left="0"/>
        <w:jc w:val="left"/>
      </w:pPr>
      <w:r>
        <w:rPr>
          <w:shd w:val="clear" w:color="auto" w:fill="FFFFFF"/>
        </w:rPr>
        <w:t>2022年一般公共预算财政拨款基本支出360.64万元，其中：</w:t>
      </w:r>
    </w:p>
    <w:p>
      <w:pPr>
        <w:pStyle w:val="9"/>
        <w:keepNext w:val="0"/>
        <w:keepLines w:val="0"/>
        <w:widowControl/>
        <w:suppressLineNumbers w:val="0"/>
        <w:spacing w:before="0" w:beforeAutospacing="0"/>
        <w:ind w:left="0" w:firstLine="480" w:firstLineChars="200"/>
        <w:jc w:val="left"/>
      </w:pPr>
      <w:r>
        <w:rPr>
          <w:shd w:val="clear" w:color="auto" w:fill="FFFFFF"/>
        </w:rPr>
        <w:t>人员经费326.86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pStyle w:val="9"/>
        <w:keepNext w:val="0"/>
        <w:keepLines w:val="0"/>
        <w:widowControl/>
        <w:suppressLineNumbers w:val="0"/>
        <w:spacing w:before="0" w:beforeAutospacing="0"/>
        <w:ind w:left="0"/>
        <w:jc w:val="left"/>
      </w:pPr>
      <w:r>
        <w:rPr>
          <w:shd w:val="clear" w:color="auto" w:fill="FFFFFF"/>
        </w:rPr>
        <w:t>　　公用经费33.77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9"/>
        <w:keepNext w:val="0"/>
        <w:keepLines w:val="0"/>
        <w:widowControl/>
        <w:suppressLineNumbers w:val="0"/>
        <w:spacing w:before="0" w:beforeAutospacing="0"/>
        <w:ind w:left="0"/>
        <w:jc w:val="left"/>
      </w:pPr>
      <w:r>
        <w:rPr>
          <w:rStyle w:val="12"/>
          <w:shd w:val="clear" w:color="auto" w:fill="FFFFFF"/>
        </w:rPr>
        <w:t>（注：数据来源于财决07表和财决08-1表，仅罗列本部门实际支出涉及的经济分类科目。）</w:t>
      </w:r>
    </w:p>
    <w:p>
      <w:pPr>
        <w:pStyle w:val="9"/>
        <w:keepNext w:val="0"/>
        <w:keepLines w:val="0"/>
        <w:widowControl/>
        <w:suppressLineNumbers w:val="0"/>
        <w:spacing w:before="0" w:beforeAutospacing="0"/>
        <w:ind w:left="0"/>
        <w:jc w:val="left"/>
      </w:pPr>
      <w:r>
        <w:rPr>
          <w:shd w:val="clear" w:color="auto" w:fill="FFFFFF"/>
        </w:rPr>
        <w:t>七、“三公”经费财政拨款支出决算情况说明</w:t>
      </w:r>
    </w:p>
    <w:p>
      <w:pPr>
        <w:pStyle w:val="9"/>
        <w:keepNext w:val="0"/>
        <w:keepLines w:val="0"/>
        <w:widowControl/>
        <w:suppressLineNumbers w:val="0"/>
        <w:spacing w:before="0" w:beforeAutospacing="0"/>
        <w:ind w:left="0"/>
        <w:jc w:val="left"/>
      </w:pPr>
      <w:r>
        <w:rPr>
          <w:rStyle w:val="12"/>
          <w:shd w:val="clear" w:color="auto" w:fill="FFFFFF"/>
        </w:rPr>
        <w:t>（一）“三公”经费财政拨款支出决算总体情况说明</w:t>
      </w:r>
    </w:p>
    <w:p>
      <w:pPr>
        <w:pStyle w:val="9"/>
        <w:keepNext w:val="0"/>
        <w:keepLines w:val="0"/>
        <w:widowControl/>
        <w:suppressLineNumbers w:val="0"/>
        <w:spacing w:before="0" w:beforeAutospacing="0"/>
        <w:ind w:left="0"/>
        <w:jc w:val="left"/>
      </w:pPr>
      <w:r>
        <w:rPr>
          <w:shd w:val="clear" w:color="auto" w:fill="FFFFFF"/>
        </w:rPr>
        <w:t>2022年“三公”经费财政拨款支出决算为3.50万元，完成预算100.00%，决算数</w:t>
      </w:r>
      <w:r>
        <w:rPr>
          <w:rFonts w:hint="eastAsia"/>
          <w:shd w:val="clear" w:color="auto" w:fill="FFFFFF"/>
          <w:lang w:eastAsia="zh-CN"/>
        </w:rPr>
        <w:t>等</w:t>
      </w:r>
      <w:r>
        <w:rPr>
          <w:shd w:val="clear" w:color="auto" w:fill="FFFFFF"/>
        </w:rPr>
        <w:t>于预算数。</w:t>
      </w:r>
    </w:p>
    <w:p>
      <w:pPr>
        <w:pStyle w:val="9"/>
        <w:keepNext w:val="0"/>
        <w:keepLines w:val="0"/>
        <w:widowControl/>
        <w:suppressLineNumbers w:val="0"/>
        <w:spacing w:before="0" w:beforeAutospacing="0"/>
        <w:ind w:left="0"/>
        <w:jc w:val="left"/>
      </w:pPr>
      <w:r>
        <w:rPr>
          <w:rStyle w:val="12"/>
          <w:shd w:val="clear" w:color="auto" w:fill="FFFFFF"/>
        </w:rPr>
        <w:t>（注：上述“预算”口径为全年预算数，包括一般公共预算和政府性基金预算财政拨款支出决算情况。）</w:t>
      </w:r>
    </w:p>
    <w:p>
      <w:pPr>
        <w:pStyle w:val="9"/>
        <w:keepNext w:val="0"/>
        <w:keepLines w:val="0"/>
        <w:widowControl/>
        <w:suppressLineNumbers w:val="0"/>
        <w:spacing w:before="0" w:beforeAutospacing="0"/>
        <w:ind w:left="0"/>
        <w:jc w:val="left"/>
      </w:pPr>
      <w:r>
        <w:rPr>
          <w:rStyle w:val="12"/>
          <w:shd w:val="clear" w:color="auto" w:fill="FFFFFF"/>
        </w:rPr>
        <w:t>（二）“三公”经费财政拨款支出决算具体情况说明</w:t>
      </w:r>
    </w:p>
    <w:p>
      <w:pPr>
        <w:pStyle w:val="9"/>
        <w:keepNext w:val="0"/>
        <w:keepLines w:val="0"/>
        <w:widowControl/>
        <w:suppressLineNumbers w:val="0"/>
        <w:spacing w:before="0" w:beforeAutospacing="0"/>
        <w:ind w:left="0"/>
        <w:jc w:val="left"/>
      </w:pPr>
      <w:r>
        <w:rPr>
          <w:shd w:val="clear" w:color="auto" w:fill="FFFFFF"/>
        </w:rPr>
        <w:t>2022年“三公”经费财政拨款支出决算中，因公出国（境）费支出决算0.00万元，占0.00%；公务用车购置及运行维护费支出决算3.50万元，占100.00%；公务接待费支出决算0.00万元，占0.00%。</w:t>
      </w:r>
    </w:p>
    <w:p>
      <w:pPr>
        <w:pStyle w:val="9"/>
        <w:keepNext w:val="0"/>
        <w:keepLines w:val="0"/>
        <w:widowControl/>
        <w:suppressLineNumbers w:val="0"/>
        <w:spacing w:before="0" w:beforeAutospacing="0"/>
        <w:ind w:left="0"/>
        <w:jc w:val="left"/>
      </w:pPr>
      <w:r>
        <w:rPr>
          <w:rStyle w:val="12"/>
          <w:shd w:val="clear" w:color="auto" w:fill="FFFFFF"/>
        </w:rPr>
        <w:t>1.因公出国（境）经费支出</w:t>
      </w:r>
      <w:r>
        <w:rPr>
          <w:shd w:val="clear" w:color="auto" w:fill="FFFFFF"/>
        </w:rPr>
        <w:t>0.00万元，</w:t>
      </w:r>
      <w:r>
        <w:rPr>
          <w:rStyle w:val="12"/>
          <w:shd w:val="clear" w:color="auto" w:fill="FFFFFF"/>
        </w:rPr>
        <w:t>完成预算0.00%。</w:t>
      </w:r>
      <w:r>
        <w:rPr>
          <w:shd w:val="clear" w:color="auto" w:fill="FFFFFF"/>
        </w:rPr>
        <w:t>全年安排因公出国（境）团组0次，出国（境）0人。因公出国（境）支出决算比2021年增加0.00万元，增长0.00%。</w:t>
      </w:r>
    </w:p>
    <w:p>
      <w:pPr>
        <w:pStyle w:val="9"/>
        <w:keepNext w:val="0"/>
        <w:keepLines w:val="0"/>
        <w:widowControl/>
        <w:suppressLineNumbers w:val="0"/>
        <w:spacing w:before="0" w:beforeAutospacing="0"/>
        <w:ind w:left="0"/>
        <w:jc w:val="left"/>
      </w:pPr>
      <w:r>
        <w:rPr>
          <w:rStyle w:val="12"/>
          <w:shd w:val="clear" w:color="auto" w:fill="FFFFFF"/>
        </w:rPr>
        <w:t>2.公务用车购置及运行维护费支出</w:t>
      </w:r>
      <w:r>
        <w:rPr>
          <w:shd w:val="clear" w:color="auto" w:fill="FFFFFF"/>
        </w:rPr>
        <w:t>3.50万元</w:t>
      </w:r>
      <w:r>
        <w:rPr>
          <w:rFonts w:hint="eastAsia"/>
          <w:shd w:val="clear" w:color="auto" w:fill="FFFFFF"/>
          <w:lang w:eastAsia="zh-CN"/>
        </w:rPr>
        <w:t>，</w:t>
      </w:r>
      <w:r>
        <w:rPr>
          <w:rStyle w:val="12"/>
          <w:shd w:val="clear" w:color="auto" w:fill="FFFFFF"/>
        </w:rPr>
        <w:t>完成预算100.00%。</w:t>
      </w:r>
      <w:r>
        <w:rPr>
          <w:shd w:val="clear" w:color="auto" w:fill="FFFFFF"/>
        </w:rPr>
        <w:t>公务用车购置及运行维护费支出决算比2021年增加0.00万元，增长0.00%。</w:t>
      </w:r>
    </w:p>
    <w:p>
      <w:pPr>
        <w:pStyle w:val="9"/>
        <w:keepNext w:val="0"/>
        <w:keepLines w:val="0"/>
        <w:widowControl/>
        <w:suppressLineNumbers w:val="0"/>
        <w:spacing w:before="0" w:beforeAutospacing="0"/>
        <w:ind w:left="0"/>
        <w:jc w:val="left"/>
      </w:pPr>
      <w:r>
        <w:rPr>
          <w:shd w:val="clear" w:color="auto" w:fill="FFFFFF"/>
        </w:rPr>
        <w:t>其中：</w:t>
      </w:r>
      <w:r>
        <w:rPr>
          <w:rStyle w:val="12"/>
          <w:shd w:val="clear" w:color="auto" w:fill="FFFFFF"/>
        </w:rPr>
        <w:t>公务用车购置支出</w:t>
      </w:r>
      <w:r>
        <w:rPr>
          <w:shd w:val="clear" w:color="auto" w:fill="FFFFFF"/>
        </w:rPr>
        <w:t>0.00万元。全年按规定更新购置公务用车0辆，其中：轿车**辆、金额**万元，越野车**辆、金额**万元，载客汽车**辆、金额**万元，主要用于…。截至2021年12月底，单位共有公务用车2辆，其中：轿车**辆、越野车**辆、载客汽车**辆。</w:t>
      </w:r>
    </w:p>
    <w:p>
      <w:pPr>
        <w:pStyle w:val="9"/>
        <w:keepNext w:val="0"/>
        <w:keepLines w:val="0"/>
        <w:widowControl/>
        <w:suppressLineNumbers w:val="0"/>
        <w:spacing w:before="0" w:beforeAutospacing="0"/>
        <w:ind w:left="0"/>
        <w:jc w:val="left"/>
      </w:pPr>
      <w:r>
        <w:rPr>
          <w:rStyle w:val="12"/>
          <w:shd w:val="clear" w:color="auto" w:fill="FFFFFF"/>
        </w:rPr>
        <w:t>公务用车运行维护费支出</w:t>
      </w:r>
      <w:r>
        <w:rPr>
          <w:shd w:val="clear" w:color="auto" w:fill="FFFFFF"/>
        </w:rPr>
        <w:t>3.50万元。主要用于</w:t>
      </w:r>
      <w:r>
        <w:rPr>
          <w:rFonts w:hint="eastAsia"/>
          <w:shd w:val="clear" w:color="auto" w:fill="FFFFFF"/>
          <w:lang w:eastAsia="zh-CN"/>
        </w:rPr>
        <w:t>当年下乡检查工作</w:t>
      </w:r>
      <w:r>
        <w:rPr>
          <w:shd w:val="clear" w:color="auto" w:fill="FFFFFF"/>
        </w:rPr>
        <w:t>等所需的公务用车燃料费、维修费、过路过桥费、保险费等支出。</w:t>
      </w:r>
    </w:p>
    <w:p>
      <w:pPr>
        <w:pStyle w:val="9"/>
        <w:keepNext w:val="0"/>
        <w:keepLines w:val="0"/>
        <w:widowControl/>
        <w:suppressLineNumbers w:val="0"/>
        <w:spacing w:before="0" w:beforeAutospacing="0"/>
        <w:ind w:left="0"/>
        <w:jc w:val="left"/>
      </w:pPr>
      <w:r>
        <w:rPr>
          <w:rStyle w:val="12"/>
          <w:shd w:val="clear" w:color="auto" w:fill="FFFFFF"/>
        </w:rPr>
        <w:t>3.公务接待费支出</w:t>
      </w:r>
      <w:r>
        <w:rPr>
          <w:shd w:val="clear" w:color="auto" w:fill="FFFFFF"/>
        </w:rPr>
        <w:t>0.00万元，</w:t>
      </w:r>
      <w:r>
        <w:rPr>
          <w:rStyle w:val="12"/>
          <w:shd w:val="clear" w:color="auto" w:fill="FFFFFF"/>
        </w:rPr>
        <w:t>完成预算100%。</w:t>
      </w:r>
      <w:r>
        <w:rPr>
          <w:shd w:val="clear" w:color="auto" w:fill="FFFFFF"/>
        </w:rPr>
        <w:t>公务接待费支出决算比2021年增加-0.15万元，增长-100.00%。主要原因是</w:t>
      </w:r>
      <w:r>
        <w:rPr>
          <w:rFonts w:hint="eastAsia"/>
          <w:shd w:val="clear" w:color="auto" w:fill="FFFFFF"/>
          <w:lang w:eastAsia="zh-CN"/>
        </w:rPr>
        <w:t>当年无接待费支出</w:t>
      </w:r>
      <w:r>
        <w:rPr>
          <w:shd w:val="clear" w:color="auto" w:fill="FFFFFF"/>
        </w:rPr>
        <w:t>。</w:t>
      </w:r>
    </w:p>
    <w:p>
      <w:pPr>
        <w:pStyle w:val="9"/>
        <w:keepNext w:val="0"/>
        <w:keepLines w:val="0"/>
        <w:widowControl/>
        <w:suppressLineNumbers w:val="0"/>
        <w:spacing w:before="0" w:beforeAutospacing="0"/>
        <w:ind w:left="0"/>
        <w:jc w:val="left"/>
      </w:pPr>
      <w:r>
        <w:rPr>
          <w:rStyle w:val="12"/>
          <w:shd w:val="clear" w:color="auto" w:fill="FFFFFF"/>
        </w:rPr>
        <w:t>国内公务接待支出</w:t>
      </w:r>
      <w:r>
        <w:rPr>
          <w:shd w:val="clear" w:color="auto" w:fill="FFFFFF"/>
        </w:rPr>
        <w:t>0.00万元，主要用于</w:t>
      </w:r>
      <w:r>
        <w:rPr>
          <w:rFonts w:hint="eastAsia"/>
          <w:shd w:val="clear" w:color="auto" w:fill="FFFFFF"/>
          <w:lang w:eastAsia="zh-CN"/>
        </w:rPr>
        <w:t>（</w:t>
      </w:r>
      <w:r>
        <w:rPr>
          <w:shd w:val="clear" w:color="auto" w:fill="FFFFFF"/>
        </w:rPr>
        <w:t>执行公务、开展业务活动开支的交通费、住宿费、用餐费等</w:t>
      </w:r>
      <w:r>
        <w:rPr>
          <w:rFonts w:hint="eastAsia"/>
          <w:shd w:val="clear" w:color="auto" w:fill="FFFFFF"/>
          <w:lang w:eastAsia="zh-CN"/>
        </w:rPr>
        <w:t>）</w:t>
      </w:r>
      <w:r>
        <w:rPr>
          <w:shd w:val="clear" w:color="auto" w:fill="FFFFFF"/>
        </w:rPr>
        <w:t>。国内公务接待0批次，0人次（不包括陪同人员），共计支出0.00万元。</w:t>
      </w:r>
    </w:p>
    <w:p>
      <w:pPr>
        <w:pStyle w:val="9"/>
        <w:keepNext w:val="0"/>
        <w:keepLines w:val="0"/>
        <w:widowControl/>
        <w:suppressLineNumbers w:val="0"/>
        <w:spacing w:before="0" w:beforeAutospacing="0"/>
        <w:ind w:left="0"/>
        <w:jc w:val="left"/>
      </w:pPr>
      <w:r>
        <w:rPr>
          <w:rStyle w:val="12"/>
          <w:shd w:val="clear" w:color="auto" w:fill="FFFFFF"/>
        </w:rPr>
        <w:t>外事接待支出</w:t>
      </w:r>
      <w:r>
        <w:rPr>
          <w:shd w:val="clear" w:color="auto" w:fill="FFFFFF"/>
        </w:rPr>
        <w:t>0.00万元，外事接待0批次，0人，共计支出0.00万元。</w:t>
      </w:r>
    </w:p>
    <w:p>
      <w:pPr>
        <w:pStyle w:val="9"/>
        <w:keepNext w:val="0"/>
        <w:keepLines w:val="0"/>
        <w:widowControl/>
        <w:suppressLineNumbers w:val="0"/>
        <w:spacing w:before="0" w:beforeAutospacing="0"/>
        <w:ind w:left="0"/>
        <w:jc w:val="left"/>
      </w:pPr>
      <w:r>
        <w:rPr>
          <w:shd w:val="clear" w:color="auto" w:fill="FFFFFF"/>
        </w:rPr>
        <w:t>八、政府性基金预算支出决算情况说明</w:t>
      </w:r>
    </w:p>
    <w:p>
      <w:pPr>
        <w:pStyle w:val="9"/>
        <w:keepNext w:val="0"/>
        <w:keepLines w:val="0"/>
        <w:widowControl/>
        <w:suppressLineNumbers w:val="0"/>
        <w:spacing w:before="0" w:beforeAutospacing="0"/>
        <w:ind w:left="0"/>
        <w:jc w:val="left"/>
      </w:pPr>
      <w:r>
        <w:rPr>
          <w:shd w:val="clear" w:color="auto" w:fill="FFFFFF"/>
        </w:rPr>
        <w:t>2022年政府性基金预算财政拨款支出0.00万元。</w:t>
      </w:r>
    </w:p>
    <w:p>
      <w:pPr>
        <w:pStyle w:val="9"/>
        <w:keepNext w:val="0"/>
        <w:keepLines w:val="0"/>
        <w:widowControl/>
        <w:suppressLineNumbers w:val="0"/>
        <w:spacing w:before="0" w:beforeAutospacing="0"/>
        <w:ind w:left="0"/>
        <w:jc w:val="left"/>
      </w:pPr>
      <w:r>
        <w:rPr>
          <w:shd w:val="clear" w:color="auto" w:fill="FFFFFF"/>
        </w:rPr>
        <w:t>九、国有资本经营预算支出决算情况说明</w:t>
      </w:r>
    </w:p>
    <w:p>
      <w:pPr>
        <w:pStyle w:val="9"/>
        <w:keepNext w:val="0"/>
        <w:keepLines w:val="0"/>
        <w:widowControl/>
        <w:suppressLineNumbers w:val="0"/>
        <w:spacing w:before="0" w:beforeAutospacing="0"/>
        <w:ind w:left="0"/>
        <w:jc w:val="left"/>
      </w:pPr>
      <w:r>
        <w:rPr>
          <w:shd w:val="clear" w:color="auto" w:fill="FFFFFF"/>
        </w:rPr>
        <w:t>2022年国有资本经营预算财政拨款支出0.00万元。 </w:t>
      </w:r>
    </w:p>
    <w:p>
      <w:pPr>
        <w:pStyle w:val="9"/>
        <w:keepNext w:val="0"/>
        <w:keepLines w:val="0"/>
        <w:widowControl/>
        <w:suppressLineNumbers w:val="0"/>
        <w:spacing w:before="0" w:beforeAutospacing="0"/>
        <w:ind w:left="0"/>
        <w:jc w:val="left"/>
      </w:pPr>
      <w:r>
        <w:rPr>
          <w:shd w:val="clear" w:color="auto" w:fill="FFFFFF"/>
        </w:rPr>
        <w:t>十、其他重要事项的情况说明</w:t>
      </w:r>
    </w:p>
    <w:p>
      <w:pPr>
        <w:pStyle w:val="9"/>
        <w:keepNext w:val="0"/>
        <w:keepLines w:val="0"/>
        <w:widowControl/>
        <w:suppressLineNumbers w:val="0"/>
        <w:spacing w:before="0" w:beforeAutospacing="0"/>
        <w:ind w:left="0"/>
        <w:jc w:val="left"/>
      </w:pPr>
      <w:r>
        <w:rPr>
          <w:rStyle w:val="12"/>
          <w:shd w:val="clear" w:color="auto" w:fill="FFFFFF"/>
        </w:rPr>
        <w:t>（一）机关运行经费支出情况</w:t>
      </w:r>
    </w:p>
    <w:p>
      <w:pPr>
        <w:pStyle w:val="9"/>
        <w:keepNext w:val="0"/>
        <w:keepLines w:val="0"/>
        <w:widowControl/>
        <w:suppressLineNumbers w:val="0"/>
        <w:spacing w:before="0" w:beforeAutospacing="0"/>
        <w:ind w:left="0"/>
        <w:jc w:val="left"/>
      </w:pPr>
      <w:r>
        <w:rPr>
          <w:shd w:val="clear" w:color="auto" w:fill="FFFFFF"/>
        </w:rPr>
        <w:t>2022年，阿坝州松潘县民族宗教局机关运行经费支出33.77万元，比2021年增加-13.25万元，增长-28.17%（或与2021年决算数持平）。主要原因是</w:t>
      </w:r>
      <w:r>
        <w:rPr>
          <w:rFonts w:hint="eastAsia"/>
          <w:shd w:val="clear" w:color="auto" w:fill="FFFFFF"/>
          <w:lang w:eastAsia="zh-CN"/>
        </w:rPr>
        <w:t>削减开支</w:t>
      </w:r>
      <w:r>
        <w:rPr>
          <w:rStyle w:val="12"/>
          <w:shd w:val="clear" w:color="auto" w:fill="FFFFFF"/>
        </w:rPr>
        <w:t>（注：数据来源于财决附03表）</w:t>
      </w:r>
    </w:p>
    <w:p>
      <w:pPr>
        <w:pStyle w:val="9"/>
        <w:keepNext w:val="0"/>
        <w:keepLines w:val="0"/>
        <w:widowControl/>
        <w:suppressLineNumbers w:val="0"/>
        <w:spacing w:before="0" w:beforeAutospacing="0"/>
        <w:ind w:left="0"/>
        <w:jc w:val="left"/>
      </w:pPr>
      <w:r>
        <w:rPr>
          <w:rStyle w:val="12"/>
          <w:shd w:val="clear" w:color="auto" w:fill="FFFFFF"/>
        </w:rPr>
        <w:t>（二）政府采购支出情况</w:t>
      </w:r>
    </w:p>
    <w:p>
      <w:pPr>
        <w:pStyle w:val="9"/>
        <w:keepNext w:val="0"/>
        <w:keepLines w:val="0"/>
        <w:widowControl/>
        <w:suppressLineNumbers w:val="0"/>
        <w:spacing w:before="0" w:beforeAutospacing="0"/>
        <w:ind w:left="0"/>
        <w:jc w:val="left"/>
      </w:pPr>
      <w:r>
        <w:rPr>
          <w:shd w:val="clear" w:color="auto" w:fill="FFFFFF"/>
        </w:rPr>
        <w:t>2022年，阿坝州松潘县民族宗教局政府采购支出总额0.00万元，其中：政府采购货物支出0.00万元、政府采购工程支出0.00万元、政府采购服务支出0.00万元。授予中小企业合同金额0.00万元，占政府采购支出总额的0.00%，其中：授予小微企业合同金额0.00万元，占政府采购支出总额的0.00%。</w:t>
      </w:r>
    </w:p>
    <w:p>
      <w:pPr>
        <w:pStyle w:val="9"/>
        <w:keepNext w:val="0"/>
        <w:keepLines w:val="0"/>
        <w:widowControl/>
        <w:suppressLineNumbers w:val="0"/>
        <w:spacing w:before="0" w:beforeAutospacing="0"/>
        <w:ind w:left="0"/>
        <w:jc w:val="left"/>
      </w:pPr>
      <w:r>
        <w:rPr>
          <w:rStyle w:val="12"/>
          <w:shd w:val="clear" w:color="auto" w:fill="FFFFFF"/>
        </w:rPr>
        <w:t>（注：数据来源于财决附03表）</w:t>
      </w:r>
    </w:p>
    <w:p>
      <w:pPr>
        <w:pStyle w:val="9"/>
        <w:keepNext w:val="0"/>
        <w:keepLines w:val="0"/>
        <w:widowControl/>
        <w:suppressLineNumbers w:val="0"/>
        <w:spacing w:before="0" w:beforeAutospacing="0"/>
        <w:ind w:left="0"/>
        <w:jc w:val="left"/>
      </w:pPr>
      <w:r>
        <w:rPr>
          <w:rStyle w:val="12"/>
          <w:shd w:val="clear" w:color="auto" w:fill="FFFFFF"/>
        </w:rPr>
        <w:t>（三）国有资产占有使用情况</w:t>
      </w:r>
    </w:p>
    <w:p>
      <w:pPr>
        <w:pStyle w:val="9"/>
        <w:keepNext w:val="0"/>
        <w:keepLines w:val="0"/>
        <w:widowControl/>
        <w:suppressLineNumbers w:val="0"/>
        <w:spacing w:before="0" w:beforeAutospacing="0"/>
        <w:ind w:left="0"/>
        <w:jc w:val="left"/>
      </w:pPr>
      <w:r>
        <w:rPr>
          <w:shd w:val="clear" w:color="auto" w:fill="FFFFFF"/>
        </w:rPr>
        <w:t>截至2022年12月31日，阿坝州松潘县民族宗教局共有车辆2辆，其中：主要领导干部用车0辆、机要通信用车0辆、应急保障用车0辆、其他用车2辆</w:t>
      </w:r>
      <w:r>
        <w:rPr>
          <w:rFonts w:hint="eastAsia"/>
          <w:shd w:val="clear" w:color="auto" w:fill="FFFFFF"/>
          <w:lang w:eastAsia="zh-CN"/>
        </w:rPr>
        <w:t>，</w:t>
      </w:r>
      <w:r>
        <w:rPr>
          <w:shd w:val="clear" w:color="auto" w:fill="FFFFFF"/>
        </w:rPr>
        <w:t>其他用车主要是用于</w:t>
      </w:r>
      <w:r>
        <w:rPr>
          <w:rFonts w:hint="eastAsia"/>
          <w:shd w:val="clear" w:color="auto" w:fill="FFFFFF"/>
          <w:lang w:eastAsia="zh-CN"/>
        </w:rPr>
        <w:t>下乡开展各项工作。</w:t>
      </w:r>
      <w:r>
        <w:rPr>
          <w:shd w:val="clear" w:color="auto" w:fill="FFFFFF"/>
        </w:rPr>
        <w:t>单价100万元（含）以上设备（不含车辆）0台（套）。</w:t>
      </w:r>
    </w:p>
    <w:p>
      <w:pPr>
        <w:pStyle w:val="9"/>
        <w:keepNext w:val="0"/>
        <w:keepLines w:val="0"/>
        <w:widowControl/>
        <w:suppressLineNumbers w:val="0"/>
        <w:spacing w:before="0" w:beforeAutospacing="0"/>
        <w:ind w:left="0"/>
        <w:jc w:val="left"/>
      </w:pPr>
      <w:r>
        <w:rPr>
          <w:rStyle w:val="12"/>
          <w:shd w:val="clear" w:color="auto" w:fill="FFFFFF"/>
        </w:rPr>
        <w:t>（注：数据来源于财决附03表，按部门决算报表填报数据罗列车辆情况。）</w:t>
      </w:r>
    </w:p>
    <w:p>
      <w:pPr>
        <w:pStyle w:val="9"/>
        <w:keepNext w:val="0"/>
        <w:keepLines w:val="0"/>
        <w:widowControl/>
        <w:suppressLineNumbers w:val="0"/>
        <w:spacing w:before="0" w:beforeAutospacing="0"/>
        <w:ind w:left="0"/>
        <w:jc w:val="left"/>
      </w:pPr>
      <w:r>
        <w:rPr>
          <w:shd w:val="clear" w:color="auto" w:fill="FFFFFF"/>
        </w:rPr>
        <w:t> </w:t>
      </w:r>
    </w:p>
    <w:p>
      <w:pPr>
        <w:pStyle w:val="9"/>
        <w:keepNext w:val="0"/>
        <w:keepLines w:val="0"/>
        <w:widowControl/>
        <w:suppressLineNumbers w:val="0"/>
        <w:spacing w:before="0" w:beforeAutospacing="0"/>
        <w:ind w:left="0"/>
        <w:jc w:val="center"/>
      </w:pPr>
      <w:r>
        <w:rPr>
          <w:rStyle w:val="12"/>
          <w:sz w:val="39"/>
          <w:szCs w:val="39"/>
          <w:shd w:val="clear" w:color="auto" w:fill="FFFFFF"/>
        </w:rPr>
        <w:t>第三部分 名词解释</w:t>
      </w:r>
    </w:p>
    <w:p>
      <w:pPr>
        <w:pStyle w:val="9"/>
        <w:keepNext w:val="0"/>
        <w:keepLines w:val="0"/>
        <w:widowControl/>
        <w:suppressLineNumbers w:val="0"/>
        <w:spacing w:before="0" w:beforeAutospacing="0"/>
        <w:ind w:left="0"/>
        <w:jc w:val="left"/>
      </w:pP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1.财政拨款收入：指单位从同级财政部门取得的财政预算资金。</w:t>
      </w:r>
    </w:p>
    <w:p>
      <w:pPr>
        <w:pStyle w:val="9"/>
        <w:keepNext w:val="0"/>
        <w:keepLines w:val="0"/>
        <w:widowControl/>
        <w:suppressLineNumbers w:val="0"/>
        <w:spacing w:before="0" w:beforeAutospacing="0"/>
        <w:ind w:left="0"/>
        <w:jc w:val="left"/>
      </w:pPr>
      <w:r>
        <w:rPr>
          <w:shd w:val="clear" w:color="auto" w:fill="FFFFFF"/>
        </w:rPr>
        <w:t>2.事业收入：指事业单位开展专业业务活动及辅助活动取得的收入。如…（二级预算单位事业收入情况）等。</w:t>
      </w:r>
    </w:p>
    <w:p>
      <w:pPr>
        <w:pStyle w:val="9"/>
        <w:keepNext w:val="0"/>
        <w:keepLines w:val="0"/>
        <w:widowControl/>
        <w:suppressLineNumbers w:val="0"/>
        <w:spacing w:before="0" w:beforeAutospacing="0"/>
        <w:ind w:left="0"/>
        <w:jc w:val="left"/>
      </w:pPr>
      <w:r>
        <w:rPr>
          <w:shd w:val="clear" w:color="auto" w:fill="FFFFFF"/>
        </w:rPr>
        <w:t>3.经营收入：指事业单位在专业业务活动及其辅助活动之外开展非独立核算经营活动取得的收入。如…（二级预算单位经营收入情况）等。</w:t>
      </w:r>
    </w:p>
    <w:p>
      <w:pPr>
        <w:pStyle w:val="9"/>
        <w:keepNext w:val="0"/>
        <w:keepLines w:val="0"/>
        <w:widowControl/>
        <w:suppressLineNumbers w:val="0"/>
        <w:spacing w:before="0" w:beforeAutospacing="0"/>
        <w:ind w:left="0"/>
        <w:jc w:val="left"/>
      </w:pPr>
      <w:r>
        <w:rPr>
          <w:shd w:val="clear" w:color="auto" w:fill="FFFFFF"/>
        </w:rPr>
        <w:t>4.其他收入：指单位取得的除上述收入以外的各项收入。主要是…（收入类型）等。</w:t>
      </w:r>
    </w:p>
    <w:p>
      <w:pPr>
        <w:pStyle w:val="9"/>
        <w:keepNext w:val="0"/>
        <w:keepLines w:val="0"/>
        <w:widowControl/>
        <w:suppressLineNumbers w:val="0"/>
        <w:spacing w:before="0" w:beforeAutospacing="0"/>
        <w:ind w:left="0"/>
        <w:jc w:val="left"/>
      </w:pPr>
      <w:r>
        <w:rPr>
          <w:shd w:val="clear" w:color="auto" w:fill="FFFFFF"/>
        </w:rPr>
        <w:t>5.使用非财政拨款结余：指事业单位使用以前年度积累的非财政拨款结余弥补当年收支差额的金额。</w:t>
      </w:r>
    </w:p>
    <w:p>
      <w:pPr>
        <w:pStyle w:val="9"/>
        <w:keepNext w:val="0"/>
        <w:keepLines w:val="0"/>
        <w:widowControl/>
        <w:suppressLineNumbers w:val="0"/>
        <w:spacing w:before="0" w:beforeAutospacing="0"/>
        <w:ind w:left="0"/>
        <w:jc w:val="left"/>
      </w:pPr>
      <w:r>
        <w:rPr>
          <w:shd w:val="clear" w:color="auto" w:fill="FFFFFF"/>
        </w:rPr>
        <w:t>6.年初结转和结余：指以前年度尚未完成、结转到本年按有关规定继续使用的资金。</w:t>
      </w:r>
    </w:p>
    <w:p>
      <w:pPr>
        <w:pStyle w:val="9"/>
        <w:keepNext w:val="0"/>
        <w:keepLines w:val="0"/>
        <w:widowControl/>
        <w:suppressLineNumbers w:val="0"/>
        <w:spacing w:before="0" w:beforeAutospacing="0"/>
        <w:ind w:left="0"/>
        <w:jc w:val="left"/>
      </w:pPr>
      <w:r>
        <w:rPr>
          <w:shd w:val="clear" w:color="auto" w:fill="FFFFFF"/>
        </w:rPr>
        <w:t>7.结余分配：指事业单位按照会计制度规定缴纳的所得税、提取的专用结余以及转入非财政拨款结余的金额等。</w:t>
      </w:r>
    </w:p>
    <w:p>
      <w:pPr>
        <w:pStyle w:val="9"/>
        <w:keepNext w:val="0"/>
        <w:keepLines w:val="0"/>
        <w:widowControl/>
        <w:suppressLineNumbers w:val="0"/>
        <w:spacing w:before="0" w:beforeAutospacing="0"/>
        <w:ind w:left="0"/>
        <w:jc w:val="left"/>
      </w:pPr>
      <w:r>
        <w:rPr>
          <w:shd w:val="clear" w:color="auto" w:fill="FFFFFF"/>
        </w:rPr>
        <w:t>8、年末结转和结余：指单位按有关规定结转到下年或以后年度继续使用的资金。</w:t>
      </w:r>
    </w:p>
    <w:p>
      <w:pPr>
        <w:pStyle w:val="9"/>
        <w:keepNext w:val="0"/>
        <w:keepLines w:val="0"/>
        <w:widowControl/>
        <w:suppressLineNumbers w:val="0"/>
        <w:spacing w:before="0" w:beforeAutospacing="0"/>
        <w:ind w:left="0"/>
        <w:jc w:val="left"/>
      </w:pPr>
      <w:r>
        <w:rPr>
          <w:shd w:val="clear" w:color="auto" w:fill="FFFFFF"/>
        </w:rPr>
        <w:t>9.一般公共服务（类）…（款）…（项）：指……。</w:t>
      </w:r>
    </w:p>
    <w:p>
      <w:pPr>
        <w:pStyle w:val="9"/>
        <w:keepNext w:val="0"/>
        <w:keepLines w:val="0"/>
        <w:widowControl/>
        <w:suppressLineNumbers w:val="0"/>
        <w:spacing w:before="0" w:beforeAutospacing="0"/>
        <w:ind w:left="0"/>
        <w:jc w:val="left"/>
      </w:pPr>
      <w:r>
        <w:rPr>
          <w:shd w:val="clear" w:color="auto" w:fill="FFFFFF"/>
        </w:rPr>
        <w:t>10.外交（类）…（款）…（项）：指……。</w:t>
      </w:r>
    </w:p>
    <w:p>
      <w:pPr>
        <w:pStyle w:val="9"/>
        <w:keepNext w:val="0"/>
        <w:keepLines w:val="0"/>
        <w:widowControl/>
        <w:suppressLineNumbers w:val="0"/>
        <w:spacing w:before="0" w:beforeAutospacing="0"/>
        <w:ind w:left="0"/>
        <w:jc w:val="left"/>
      </w:pPr>
      <w:r>
        <w:rPr>
          <w:shd w:val="clear" w:color="auto" w:fill="FFFFFF"/>
        </w:rPr>
        <w:t>11.公共安全（类）…（款）…（项）：指……。</w:t>
      </w:r>
    </w:p>
    <w:p>
      <w:pPr>
        <w:pStyle w:val="9"/>
        <w:keepNext w:val="0"/>
        <w:keepLines w:val="0"/>
        <w:widowControl/>
        <w:suppressLineNumbers w:val="0"/>
        <w:spacing w:before="0" w:beforeAutospacing="0"/>
        <w:ind w:left="0"/>
        <w:jc w:val="left"/>
      </w:pPr>
      <w:r>
        <w:rPr>
          <w:shd w:val="clear" w:color="auto" w:fill="FFFFFF"/>
        </w:rPr>
        <w:t>12.教育（类）…（款）…（项）：指……。</w:t>
      </w:r>
    </w:p>
    <w:p>
      <w:pPr>
        <w:pStyle w:val="9"/>
        <w:keepNext w:val="0"/>
        <w:keepLines w:val="0"/>
        <w:widowControl/>
        <w:suppressLineNumbers w:val="0"/>
        <w:spacing w:before="0" w:beforeAutospacing="0"/>
        <w:ind w:left="0"/>
        <w:jc w:val="left"/>
      </w:pPr>
      <w:r>
        <w:rPr>
          <w:shd w:val="clear" w:color="auto" w:fill="FFFFFF"/>
        </w:rPr>
        <w:t>13.科学技术（类）…（款）…（项）：指……。</w:t>
      </w:r>
    </w:p>
    <w:p>
      <w:pPr>
        <w:pStyle w:val="9"/>
        <w:keepNext w:val="0"/>
        <w:keepLines w:val="0"/>
        <w:widowControl/>
        <w:suppressLineNumbers w:val="0"/>
        <w:spacing w:before="0" w:beforeAutospacing="0"/>
        <w:ind w:left="0"/>
        <w:jc w:val="left"/>
      </w:pPr>
      <w:r>
        <w:rPr>
          <w:shd w:val="clear" w:color="auto" w:fill="FFFFFF"/>
        </w:rPr>
        <w:t>14.文化体育与传媒（类）…（款）…（项）：指……。</w:t>
      </w:r>
    </w:p>
    <w:p>
      <w:pPr>
        <w:pStyle w:val="9"/>
        <w:keepNext w:val="0"/>
        <w:keepLines w:val="0"/>
        <w:widowControl/>
        <w:suppressLineNumbers w:val="0"/>
        <w:spacing w:before="0" w:beforeAutospacing="0"/>
        <w:ind w:left="0"/>
        <w:jc w:val="left"/>
      </w:pPr>
      <w:r>
        <w:rPr>
          <w:shd w:val="clear" w:color="auto" w:fill="FFFFFF"/>
        </w:rPr>
        <w:t>15.社会保障和就业（类）…（款）…（项）：指……。</w:t>
      </w:r>
    </w:p>
    <w:p>
      <w:pPr>
        <w:pStyle w:val="9"/>
        <w:keepNext w:val="0"/>
        <w:keepLines w:val="0"/>
        <w:widowControl/>
        <w:suppressLineNumbers w:val="0"/>
        <w:spacing w:before="0" w:beforeAutospacing="0"/>
        <w:ind w:left="0"/>
        <w:jc w:val="left"/>
      </w:pPr>
      <w:r>
        <w:rPr>
          <w:shd w:val="clear" w:color="auto" w:fill="FFFFFF"/>
        </w:rPr>
        <w:t>16.医疗卫生与计划生育（类）…（款）…（项）：指……。</w:t>
      </w:r>
    </w:p>
    <w:p>
      <w:pPr>
        <w:pStyle w:val="9"/>
        <w:keepNext w:val="0"/>
        <w:keepLines w:val="0"/>
        <w:widowControl/>
        <w:suppressLineNumbers w:val="0"/>
        <w:spacing w:before="0" w:beforeAutospacing="0"/>
        <w:ind w:left="0"/>
        <w:jc w:val="left"/>
      </w:pPr>
      <w:r>
        <w:rPr>
          <w:shd w:val="clear" w:color="auto" w:fill="FFFFFF"/>
        </w:rPr>
        <w:t>17.节能环保（类）…（款）…（项）：指……。</w:t>
      </w:r>
    </w:p>
    <w:p>
      <w:pPr>
        <w:pStyle w:val="9"/>
        <w:keepNext w:val="0"/>
        <w:keepLines w:val="0"/>
        <w:widowControl/>
        <w:suppressLineNumbers w:val="0"/>
        <w:spacing w:before="0" w:beforeAutospacing="0"/>
        <w:ind w:left="0"/>
        <w:jc w:val="left"/>
      </w:pPr>
      <w:r>
        <w:rPr>
          <w:shd w:val="clear" w:color="auto" w:fill="FFFFFF"/>
        </w:rPr>
        <w:t>18.城乡社区（类）…（款）…（项）：指……。</w:t>
      </w:r>
    </w:p>
    <w:p>
      <w:pPr>
        <w:pStyle w:val="9"/>
        <w:keepNext w:val="0"/>
        <w:keepLines w:val="0"/>
        <w:widowControl/>
        <w:suppressLineNumbers w:val="0"/>
        <w:spacing w:before="0" w:beforeAutospacing="0"/>
        <w:ind w:left="0"/>
        <w:jc w:val="left"/>
      </w:pPr>
      <w:r>
        <w:rPr>
          <w:shd w:val="clear" w:color="auto" w:fill="FFFFFF"/>
        </w:rPr>
        <w:t>19.农林水（类）…（款）…（项）：指……。</w:t>
      </w:r>
    </w:p>
    <w:p>
      <w:pPr>
        <w:pStyle w:val="9"/>
        <w:keepNext w:val="0"/>
        <w:keepLines w:val="0"/>
        <w:widowControl/>
        <w:suppressLineNumbers w:val="0"/>
        <w:spacing w:before="0" w:beforeAutospacing="0"/>
        <w:ind w:left="0"/>
        <w:jc w:val="left"/>
      </w:pPr>
      <w:r>
        <w:rPr>
          <w:shd w:val="clear" w:color="auto" w:fill="FFFFFF"/>
        </w:rPr>
        <w:t>20.交通运输（类）…（款）…（项）：指……。</w:t>
      </w:r>
    </w:p>
    <w:p>
      <w:pPr>
        <w:pStyle w:val="9"/>
        <w:keepNext w:val="0"/>
        <w:keepLines w:val="0"/>
        <w:widowControl/>
        <w:suppressLineNumbers w:val="0"/>
        <w:spacing w:before="0" w:beforeAutospacing="0"/>
        <w:ind w:left="0"/>
        <w:jc w:val="left"/>
      </w:pPr>
      <w:r>
        <w:rPr>
          <w:shd w:val="clear" w:color="auto" w:fill="FFFFFF"/>
        </w:rPr>
        <w:t>21.资源勘探信息等（类）…（款）…（项）：指……。</w:t>
      </w:r>
    </w:p>
    <w:p>
      <w:pPr>
        <w:pStyle w:val="9"/>
        <w:keepNext w:val="0"/>
        <w:keepLines w:val="0"/>
        <w:widowControl/>
        <w:suppressLineNumbers w:val="0"/>
        <w:spacing w:before="0" w:beforeAutospacing="0"/>
        <w:ind w:left="0"/>
        <w:jc w:val="left"/>
      </w:pPr>
      <w:r>
        <w:rPr>
          <w:shd w:val="clear" w:color="auto" w:fill="FFFFFF"/>
        </w:rPr>
        <w:t>22.商业服务业（类）…（款）…（项）：指……。</w:t>
      </w:r>
    </w:p>
    <w:p>
      <w:pPr>
        <w:pStyle w:val="9"/>
        <w:keepNext w:val="0"/>
        <w:keepLines w:val="0"/>
        <w:widowControl/>
        <w:suppressLineNumbers w:val="0"/>
        <w:spacing w:before="0" w:beforeAutospacing="0"/>
        <w:ind w:left="0"/>
        <w:jc w:val="left"/>
      </w:pPr>
      <w:r>
        <w:rPr>
          <w:shd w:val="clear" w:color="auto" w:fill="FFFFFF"/>
        </w:rPr>
        <w:t>23.金融（类）…（款）…（项）：指……。</w:t>
      </w:r>
    </w:p>
    <w:p>
      <w:pPr>
        <w:pStyle w:val="9"/>
        <w:keepNext w:val="0"/>
        <w:keepLines w:val="0"/>
        <w:widowControl/>
        <w:suppressLineNumbers w:val="0"/>
        <w:spacing w:before="0" w:beforeAutospacing="0"/>
        <w:ind w:left="0"/>
        <w:jc w:val="left"/>
      </w:pPr>
      <w:r>
        <w:rPr>
          <w:shd w:val="clear" w:color="auto" w:fill="FFFFFF"/>
        </w:rPr>
        <w:t>24.国土海洋气象等（类）…（款）…（项）：指……。</w:t>
      </w:r>
    </w:p>
    <w:p>
      <w:pPr>
        <w:pStyle w:val="9"/>
        <w:keepNext w:val="0"/>
        <w:keepLines w:val="0"/>
        <w:widowControl/>
        <w:suppressLineNumbers w:val="0"/>
        <w:spacing w:before="0" w:beforeAutospacing="0"/>
        <w:ind w:left="0"/>
        <w:jc w:val="left"/>
      </w:pPr>
      <w:r>
        <w:rPr>
          <w:shd w:val="clear" w:color="auto" w:fill="FFFFFF"/>
        </w:rPr>
        <w:t>25.住房保障（类）…（款）…（项）：指……。</w:t>
      </w:r>
    </w:p>
    <w:p>
      <w:pPr>
        <w:pStyle w:val="9"/>
        <w:keepNext w:val="0"/>
        <w:keepLines w:val="0"/>
        <w:widowControl/>
        <w:suppressLineNumbers w:val="0"/>
        <w:spacing w:before="0" w:beforeAutospacing="0"/>
        <w:ind w:left="0"/>
        <w:jc w:val="left"/>
      </w:pPr>
      <w:r>
        <w:rPr>
          <w:shd w:val="clear" w:color="auto" w:fill="FFFFFF"/>
        </w:rPr>
        <w:t>26.粮油物资储备（类）…（款）…（项）：指……。</w:t>
      </w:r>
    </w:p>
    <w:p>
      <w:pPr>
        <w:pStyle w:val="9"/>
        <w:keepNext w:val="0"/>
        <w:keepLines w:val="0"/>
        <w:widowControl/>
        <w:suppressLineNumbers w:val="0"/>
        <w:spacing w:before="0" w:beforeAutospacing="0"/>
        <w:ind w:left="0"/>
        <w:jc w:val="left"/>
      </w:pPr>
      <w:r>
        <w:rPr>
          <w:rStyle w:val="12"/>
          <w:shd w:val="clear" w:color="auto" w:fill="FFFFFF"/>
        </w:rPr>
        <w:t>（解释本部门决算报表中涉及的全部功能分类科目至项级，不涉及的科目请自行删除。请参照《2022年政府收支分类科目》增减内容。）</w:t>
      </w:r>
    </w:p>
    <w:p>
      <w:pPr>
        <w:pStyle w:val="9"/>
        <w:keepNext w:val="0"/>
        <w:keepLines w:val="0"/>
        <w:widowControl/>
        <w:suppressLineNumbers w:val="0"/>
        <w:spacing w:before="0" w:beforeAutospacing="0"/>
        <w:ind w:left="0"/>
        <w:jc w:val="left"/>
      </w:pPr>
      <w:r>
        <w:rPr>
          <w:shd w:val="clear" w:color="auto" w:fill="FFFFFF"/>
        </w:rPr>
        <w:t>27.基本支出：指为保障机构正常运转、完成日常工作任务而发生的人员支出和公用支出。</w:t>
      </w:r>
    </w:p>
    <w:p>
      <w:pPr>
        <w:pStyle w:val="9"/>
        <w:keepNext w:val="0"/>
        <w:keepLines w:val="0"/>
        <w:widowControl/>
        <w:suppressLineNumbers w:val="0"/>
        <w:spacing w:before="0" w:beforeAutospacing="0"/>
        <w:ind w:left="0"/>
        <w:jc w:val="left"/>
      </w:pPr>
      <w:r>
        <w:rPr>
          <w:shd w:val="clear" w:color="auto" w:fill="FFFFFF"/>
        </w:rPr>
        <w:t>28.项目支出：指在基本支出之外为完成特定行政任务和事业发展目标所发生的支出。</w:t>
      </w:r>
    </w:p>
    <w:p>
      <w:pPr>
        <w:pStyle w:val="9"/>
        <w:keepNext w:val="0"/>
        <w:keepLines w:val="0"/>
        <w:widowControl/>
        <w:suppressLineNumbers w:val="0"/>
        <w:spacing w:before="0" w:beforeAutospacing="0"/>
        <w:ind w:left="0"/>
        <w:jc w:val="left"/>
      </w:pPr>
      <w:r>
        <w:rPr>
          <w:shd w:val="clear" w:color="auto" w:fill="FFFFFF"/>
        </w:rPr>
        <w:t>29.经营支出：指事业单位在专业业务活动及其辅助活动之外开展非独立核算经营活动发生的支出。</w:t>
      </w:r>
    </w:p>
    <w:p>
      <w:pPr>
        <w:pStyle w:val="9"/>
        <w:keepNext w:val="0"/>
        <w:keepLines w:val="0"/>
        <w:widowControl/>
        <w:suppressLineNumbers w:val="0"/>
        <w:spacing w:before="0" w:beforeAutospacing="0"/>
        <w:ind w:left="0"/>
        <w:jc w:val="left"/>
      </w:pPr>
      <w:r>
        <w:rPr>
          <w:shd w:val="clear" w:color="auto" w:fill="FFFFFF"/>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9"/>
        <w:keepNext w:val="0"/>
        <w:keepLines w:val="0"/>
        <w:widowControl/>
        <w:suppressLineNumbers w:val="0"/>
        <w:spacing w:before="0" w:beforeAutospacing="0"/>
        <w:ind w:left="0"/>
        <w:jc w:val="left"/>
      </w:pPr>
      <w:r>
        <w:rPr>
          <w:shd w:val="clear" w:color="auto" w:fill="FFFFFF"/>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pStyle w:val="9"/>
        <w:keepNext w:val="0"/>
        <w:keepLines w:val="0"/>
        <w:widowControl/>
        <w:suppressLineNumbers w:val="0"/>
        <w:spacing w:before="0" w:beforeAutospacing="0"/>
        <w:ind w:left="0"/>
        <w:jc w:val="left"/>
      </w:pPr>
      <w:r>
        <w:rPr>
          <w:rStyle w:val="12"/>
          <w:shd w:val="clear" w:color="auto" w:fill="FFFFFF"/>
        </w:rPr>
        <w:t>（名词解释部分请根据各部门实际列支情况罗列，并根据本部门职责职能增减名词解释内容。）</w:t>
      </w:r>
    </w:p>
    <w:p>
      <w:pPr>
        <w:pStyle w:val="9"/>
        <w:keepNext w:val="0"/>
        <w:keepLines w:val="0"/>
        <w:widowControl/>
        <w:suppressLineNumbers w:val="0"/>
        <w:spacing w:before="0" w:beforeAutospacing="0"/>
        <w:ind w:left="0"/>
        <w:jc w:val="left"/>
      </w:pPr>
      <w:r>
        <w:rPr>
          <w:shd w:val="clear" w:color="auto" w:fill="FFFFFF"/>
        </w:rPr>
        <w:t> </w:t>
      </w:r>
    </w:p>
    <w:p>
      <w:pPr>
        <w:pStyle w:val="9"/>
        <w:keepNext w:val="0"/>
        <w:keepLines w:val="0"/>
        <w:widowControl/>
        <w:suppressLineNumbers w:val="0"/>
        <w:spacing w:before="0" w:beforeAutospacing="0"/>
        <w:ind w:left="0"/>
        <w:jc w:val="center"/>
      </w:pPr>
      <w:r>
        <w:rPr>
          <w:rStyle w:val="12"/>
          <w:sz w:val="39"/>
          <w:szCs w:val="39"/>
          <w:shd w:val="clear" w:color="auto" w:fill="FFFFFF"/>
        </w:rPr>
        <w:t>第四部分 附件</w:t>
      </w:r>
    </w:p>
    <w:p>
      <w:pPr>
        <w:pStyle w:val="9"/>
        <w:keepNext w:val="0"/>
        <w:keepLines w:val="0"/>
        <w:widowControl/>
        <w:suppressLineNumbers w:val="0"/>
        <w:spacing w:before="0" w:beforeAutospacing="0"/>
        <w:ind w:left="0"/>
        <w:jc w:val="left"/>
      </w:pPr>
      <w:r>
        <w:rPr>
          <w:shd w:val="clear" w:color="auto" w:fill="FFFFFF"/>
        </w:rPr>
        <w:t>附件</w:t>
      </w:r>
    </w:p>
    <w:p>
      <w:pPr>
        <w:pStyle w:val="9"/>
        <w:keepNext w:val="0"/>
        <w:keepLines w:val="0"/>
        <w:widowControl/>
        <w:suppressLineNumbers w:val="0"/>
        <w:spacing w:before="0" w:beforeAutospacing="0"/>
        <w:ind w:left="0"/>
        <w:jc w:val="center"/>
      </w:pPr>
      <w:r>
        <w:rPr>
          <w:sz w:val="39"/>
          <w:szCs w:val="39"/>
          <w:shd w:val="clear" w:color="auto" w:fill="FFFFFF"/>
        </w:rPr>
        <w:t>2022年XX部门整体绩效评价报告</w:t>
      </w:r>
    </w:p>
    <w:p>
      <w:pPr>
        <w:pStyle w:val="9"/>
        <w:keepNext w:val="0"/>
        <w:keepLines w:val="0"/>
        <w:widowControl/>
        <w:suppressLineNumbers w:val="0"/>
        <w:spacing w:before="0" w:beforeAutospacing="0"/>
        <w:ind w:left="0"/>
        <w:jc w:val="center"/>
      </w:pPr>
      <w:r>
        <w:rPr>
          <w:shd w:val="clear" w:color="auto" w:fill="FFFFFF"/>
        </w:rPr>
        <w:t>（报告范围包括机关和下属单位）</w:t>
      </w:r>
    </w:p>
    <w:p>
      <w:pPr>
        <w:pStyle w:val="9"/>
        <w:keepNext w:val="0"/>
        <w:keepLines w:val="0"/>
        <w:widowControl/>
        <w:suppressLineNumbers w:val="0"/>
        <w:spacing w:before="0" w:beforeAutospacing="0"/>
        <w:ind w:left="0"/>
        <w:jc w:val="left"/>
      </w:pP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一、部门（单位）基本情况</w:t>
      </w:r>
    </w:p>
    <w:p>
      <w:pPr>
        <w:pStyle w:val="9"/>
        <w:keepNext w:val="0"/>
        <w:keepLines w:val="0"/>
        <w:widowControl/>
        <w:suppressLineNumbers w:val="0"/>
        <w:spacing w:before="0" w:beforeAutospacing="0"/>
        <w:ind w:left="0"/>
        <w:jc w:val="left"/>
      </w:pPr>
      <w:r>
        <w:rPr>
          <w:shd w:val="clear" w:color="auto" w:fill="FFFFFF"/>
        </w:rPr>
        <w:t>（一）机构组成。（简要介绍）</w:t>
      </w:r>
    </w:p>
    <w:p>
      <w:pPr>
        <w:pStyle w:val="9"/>
        <w:keepNext w:val="0"/>
        <w:keepLines w:val="0"/>
        <w:widowControl/>
        <w:suppressLineNumbers w:val="0"/>
        <w:spacing w:before="0" w:beforeAutospacing="0"/>
        <w:ind w:left="0"/>
        <w:jc w:val="left"/>
      </w:pPr>
      <w:r>
        <w:rPr>
          <w:shd w:val="clear" w:color="auto" w:fill="FFFFFF"/>
        </w:rPr>
        <w:t>（二）机构职能和人员概况。（简要介绍）</w:t>
      </w:r>
    </w:p>
    <w:p>
      <w:pPr>
        <w:pStyle w:val="9"/>
        <w:keepNext w:val="0"/>
        <w:keepLines w:val="0"/>
        <w:widowControl/>
        <w:suppressLineNumbers w:val="0"/>
        <w:spacing w:before="0" w:beforeAutospacing="0"/>
        <w:ind w:left="0"/>
        <w:jc w:val="left"/>
      </w:pPr>
      <w:r>
        <w:rPr>
          <w:shd w:val="clear" w:color="auto" w:fill="FFFFFF"/>
        </w:rPr>
        <w:t>（三）年度主要工作任务。</w:t>
      </w:r>
    </w:p>
    <w:p>
      <w:pPr>
        <w:pStyle w:val="9"/>
        <w:keepNext w:val="0"/>
        <w:keepLines w:val="0"/>
        <w:widowControl/>
        <w:suppressLineNumbers w:val="0"/>
        <w:spacing w:before="0" w:beforeAutospacing="0"/>
        <w:ind w:left="0"/>
        <w:jc w:val="left"/>
      </w:pPr>
      <w:r>
        <w:rPr>
          <w:shd w:val="clear" w:color="auto" w:fill="FFFFFF"/>
        </w:rPr>
        <w:t>（四）部门整体支出绩效目标。</w:t>
      </w:r>
    </w:p>
    <w:p>
      <w:pPr>
        <w:pStyle w:val="9"/>
        <w:keepNext w:val="0"/>
        <w:keepLines w:val="0"/>
        <w:widowControl/>
        <w:suppressLineNumbers w:val="0"/>
        <w:spacing w:before="0" w:beforeAutospacing="0"/>
        <w:ind w:left="0"/>
        <w:jc w:val="left"/>
      </w:pPr>
      <w:r>
        <w:rPr>
          <w:shd w:val="clear" w:color="auto" w:fill="FFFFFF"/>
        </w:rPr>
        <w:t>二、部门财政资金收支情况</w:t>
      </w:r>
    </w:p>
    <w:p>
      <w:pPr>
        <w:pStyle w:val="9"/>
        <w:keepNext w:val="0"/>
        <w:keepLines w:val="0"/>
        <w:widowControl/>
        <w:suppressLineNumbers w:val="0"/>
        <w:spacing w:before="0" w:beforeAutospacing="0"/>
        <w:ind w:left="0"/>
        <w:jc w:val="left"/>
      </w:pPr>
      <w:r>
        <w:rPr>
          <w:shd w:val="clear" w:color="auto" w:fill="FFFFFF"/>
        </w:rPr>
        <w:t>（一）部门财政资金收入情况。</w:t>
      </w:r>
    </w:p>
    <w:p>
      <w:pPr>
        <w:pStyle w:val="9"/>
        <w:keepNext w:val="0"/>
        <w:keepLines w:val="0"/>
        <w:widowControl/>
        <w:suppressLineNumbers w:val="0"/>
        <w:spacing w:before="0" w:beforeAutospacing="0"/>
        <w:ind w:left="0"/>
        <w:jc w:val="left"/>
      </w:pPr>
      <w:r>
        <w:rPr>
          <w:shd w:val="clear" w:color="auto" w:fill="FFFFFF"/>
        </w:rPr>
        <w:t>（二）部门财政资金支出情况。</w:t>
      </w:r>
    </w:p>
    <w:p>
      <w:pPr>
        <w:pStyle w:val="9"/>
        <w:keepNext w:val="0"/>
        <w:keepLines w:val="0"/>
        <w:widowControl/>
        <w:suppressLineNumbers w:val="0"/>
        <w:spacing w:before="0" w:beforeAutospacing="0"/>
        <w:ind w:left="0"/>
        <w:jc w:val="left"/>
      </w:pPr>
      <w:r>
        <w:rPr>
          <w:shd w:val="clear" w:color="auto" w:fill="FFFFFF"/>
        </w:rPr>
        <w:t>三、部门整体预算绩效管理情况（</w:t>
      </w:r>
      <w:r>
        <w:rPr>
          <w:rFonts w:hint="eastAsia"/>
          <w:shd w:val="clear" w:color="auto" w:fill="FFFFFF"/>
          <w:lang w:eastAsia="zh-CN"/>
        </w:rPr>
        <w:t>涉及</w:t>
      </w:r>
      <w:r>
        <w:rPr>
          <w:shd w:val="clear" w:color="auto" w:fill="FFFFFF"/>
        </w:rPr>
        <w:t>有专项预算的部门，专项预算项目自评报告作为附件报送；特定目标类部门预算项目绩效目标自评表作为附表报送）</w:t>
      </w:r>
    </w:p>
    <w:p>
      <w:pPr>
        <w:pStyle w:val="9"/>
        <w:keepNext w:val="0"/>
        <w:keepLines w:val="0"/>
        <w:widowControl/>
        <w:suppressLineNumbers w:val="0"/>
        <w:spacing w:before="0" w:beforeAutospacing="0"/>
        <w:ind w:left="0"/>
        <w:jc w:val="left"/>
      </w:pPr>
      <w:r>
        <w:rPr>
          <w:shd w:val="clear" w:color="auto" w:fill="FFFFFF"/>
        </w:rPr>
        <w:t>（一）部门预算项目绩效管理。</w:t>
      </w:r>
    </w:p>
    <w:p>
      <w:pPr>
        <w:pStyle w:val="9"/>
        <w:keepNext w:val="0"/>
        <w:keepLines w:val="0"/>
        <w:widowControl/>
        <w:suppressLineNumbers w:val="0"/>
        <w:spacing w:before="0" w:beforeAutospacing="0"/>
        <w:ind w:left="0"/>
        <w:jc w:val="left"/>
      </w:pPr>
      <w:r>
        <w:rPr>
          <w:shd w:val="clear" w:color="auto" w:fill="FFFFFF"/>
        </w:rPr>
        <w:t>包括部门绩效目标制定、目标实现（按人员类、运转类、特定目标类项目分类阐述）、支出控制、及时处置、执行进度、预算完成情况、资金结余率（低效无效率）和违规记录等情况。</w:t>
      </w:r>
    </w:p>
    <w:p>
      <w:pPr>
        <w:pStyle w:val="9"/>
        <w:keepNext w:val="0"/>
        <w:keepLines w:val="0"/>
        <w:widowControl/>
        <w:suppressLineNumbers w:val="0"/>
        <w:spacing w:before="0" w:beforeAutospacing="0"/>
        <w:ind w:left="0"/>
        <w:jc w:val="left"/>
      </w:pPr>
      <w:r>
        <w:rPr>
          <w:shd w:val="clear" w:color="auto" w:fill="FFFFFF"/>
        </w:rPr>
        <w:t>（二）结果应用情况。</w:t>
      </w:r>
    </w:p>
    <w:p>
      <w:pPr>
        <w:pStyle w:val="9"/>
        <w:keepNext w:val="0"/>
        <w:keepLines w:val="0"/>
        <w:widowControl/>
        <w:suppressLineNumbers w:val="0"/>
        <w:spacing w:before="0" w:beforeAutospacing="0"/>
        <w:ind w:left="0"/>
        <w:jc w:val="left"/>
      </w:pPr>
      <w:r>
        <w:rPr>
          <w:shd w:val="clear" w:color="auto" w:fill="FFFFFF"/>
        </w:rPr>
        <w:t>包括内部应用、自评公开、问题整改和应用反馈等情况。</w:t>
      </w:r>
    </w:p>
    <w:p>
      <w:pPr>
        <w:keepNext w:val="0"/>
        <w:keepLines w:val="0"/>
        <w:widowControl/>
        <w:numPr>
          <w:ilvl w:val="0"/>
          <w:numId w:val="1"/>
        </w:numPr>
        <w:suppressLineNumbers w:val="0"/>
        <w:spacing w:before="0" w:beforeAutospacing="0" w:after="100" w:afterAutospacing="1"/>
        <w:ind w:left="720" w:hanging="360"/>
        <w:jc w:val="left"/>
      </w:pPr>
      <w:r>
        <w:rPr>
          <w:shd w:val="clear" w:color="auto" w:fill="FFFFFF"/>
        </w:rPr>
        <w:t>自评质量</w:t>
      </w:r>
    </w:p>
    <w:p>
      <w:pPr>
        <w:pStyle w:val="9"/>
        <w:keepNext w:val="0"/>
        <w:keepLines w:val="0"/>
        <w:widowControl/>
        <w:suppressLineNumbers w:val="0"/>
        <w:spacing w:before="0" w:beforeAutospacing="0"/>
        <w:ind w:left="0"/>
        <w:jc w:val="left"/>
      </w:pPr>
      <w:r>
        <w:rPr>
          <w:shd w:val="clear" w:color="auto" w:fill="FFFFFF"/>
        </w:rPr>
        <w:t>    包括评价部门整体支出自评准确情况。</w:t>
      </w:r>
    </w:p>
    <w:p>
      <w:pPr>
        <w:pStyle w:val="9"/>
        <w:keepNext w:val="0"/>
        <w:keepLines w:val="0"/>
        <w:widowControl/>
        <w:suppressLineNumbers w:val="0"/>
        <w:spacing w:before="0" w:beforeAutospacing="0"/>
        <w:ind w:left="0"/>
        <w:jc w:val="left"/>
      </w:pPr>
      <w:r>
        <w:rPr>
          <w:shd w:val="clear" w:color="auto" w:fill="FFFFFF"/>
        </w:rPr>
        <w:t>四、评价结论及建议</w:t>
      </w:r>
    </w:p>
    <w:p>
      <w:pPr>
        <w:pStyle w:val="9"/>
        <w:keepNext w:val="0"/>
        <w:keepLines w:val="0"/>
        <w:widowControl/>
        <w:suppressLineNumbers w:val="0"/>
        <w:spacing w:before="0" w:beforeAutospacing="0"/>
        <w:ind w:left="0"/>
        <w:jc w:val="left"/>
      </w:pPr>
      <w:r>
        <w:rPr>
          <w:shd w:val="clear" w:color="auto" w:fill="FFFFFF"/>
        </w:rPr>
        <w:t>（一）评价结论。</w:t>
      </w:r>
    </w:p>
    <w:p>
      <w:pPr>
        <w:pStyle w:val="9"/>
        <w:keepNext w:val="0"/>
        <w:keepLines w:val="0"/>
        <w:widowControl/>
        <w:suppressLineNumbers w:val="0"/>
        <w:spacing w:before="0" w:beforeAutospacing="0"/>
        <w:ind w:left="0"/>
        <w:jc w:val="left"/>
      </w:pPr>
      <w:r>
        <w:rPr>
          <w:shd w:val="clear" w:color="auto" w:fill="FFFFFF"/>
        </w:rPr>
        <w:t>（二）存在问题。</w:t>
      </w:r>
    </w:p>
    <w:p>
      <w:pPr>
        <w:pStyle w:val="9"/>
        <w:keepNext w:val="0"/>
        <w:keepLines w:val="0"/>
        <w:widowControl/>
        <w:suppressLineNumbers w:val="0"/>
        <w:spacing w:before="0" w:beforeAutospacing="0"/>
        <w:ind w:left="0"/>
        <w:jc w:val="left"/>
      </w:pPr>
      <w:r>
        <w:rPr>
          <w:shd w:val="clear" w:color="auto" w:fill="FFFFFF"/>
        </w:rPr>
        <w:t>（三）改进建议。</w:t>
      </w:r>
    </w:p>
    <w:p>
      <w:pPr>
        <w:pStyle w:val="9"/>
        <w:keepNext w:val="0"/>
        <w:keepLines w:val="0"/>
        <w:widowControl/>
        <w:suppressLineNumbers w:val="0"/>
        <w:spacing w:before="0" w:beforeAutospacing="0"/>
        <w:ind w:left="0"/>
        <w:jc w:val="left"/>
      </w:pP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附件</w:t>
      </w:r>
    </w:p>
    <w:p>
      <w:pPr>
        <w:pStyle w:val="9"/>
        <w:keepNext w:val="0"/>
        <w:keepLines w:val="0"/>
        <w:widowControl/>
        <w:suppressLineNumbers w:val="0"/>
        <w:spacing w:before="0" w:beforeAutospacing="0"/>
        <w:ind w:left="0"/>
        <w:jc w:val="center"/>
      </w:pPr>
      <w:r>
        <w:rPr>
          <w:sz w:val="36"/>
          <w:szCs w:val="36"/>
          <w:shd w:val="clear" w:color="auto" w:fill="FFFFFF"/>
        </w:rPr>
        <w:t>2022年专项预算项目支出绩效自评报告范本</w:t>
      </w:r>
    </w:p>
    <w:p>
      <w:pPr>
        <w:pStyle w:val="9"/>
        <w:keepNext w:val="0"/>
        <w:keepLines w:val="0"/>
        <w:widowControl/>
        <w:suppressLineNumbers w:val="0"/>
        <w:spacing w:before="0" w:beforeAutospacing="0"/>
        <w:ind w:left="0"/>
        <w:jc w:val="center"/>
      </w:pPr>
      <w:r>
        <w:rPr>
          <w:shd w:val="clear" w:color="auto" w:fill="FFFFFF"/>
        </w:rPr>
        <w:t>（主管部门自评）</w:t>
      </w:r>
    </w:p>
    <w:p>
      <w:pPr>
        <w:pStyle w:val="9"/>
        <w:keepNext w:val="0"/>
        <w:keepLines w:val="0"/>
        <w:widowControl/>
        <w:suppressLineNumbers w:val="0"/>
        <w:spacing w:before="0" w:beforeAutospacing="0"/>
        <w:ind w:left="0"/>
        <w:jc w:val="center"/>
      </w:pP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一、项目概况</w:t>
      </w:r>
    </w:p>
    <w:p>
      <w:pPr>
        <w:pStyle w:val="9"/>
        <w:keepNext w:val="0"/>
        <w:keepLines w:val="0"/>
        <w:widowControl/>
        <w:suppressLineNumbers w:val="0"/>
        <w:spacing w:before="0" w:beforeAutospacing="0"/>
        <w:ind w:left="0"/>
        <w:jc w:val="left"/>
      </w:pPr>
      <w:r>
        <w:rPr>
          <w:rStyle w:val="12"/>
          <w:shd w:val="clear" w:color="auto" w:fill="FFFFFF"/>
        </w:rPr>
        <w:t>（一）项目基本情况。</w:t>
      </w:r>
    </w:p>
    <w:p>
      <w:pPr>
        <w:pStyle w:val="9"/>
        <w:keepNext w:val="0"/>
        <w:keepLines w:val="0"/>
        <w:widowControl/>
        <w:suppressLineNumbers w:val="0"/>
        <w:spacing w:before="0" w:beforeAutospacing="0"/>
        <w:ind w:left="0"/>
        <w:jc w:val="left"/>
      </w:pPr>
      <w:r>
        <w:rPr>
          <w:shd w:val="clear" w:color="auto" w:fill="FFFFFF"/>
        </w:rPr>
        <w:t>1．说明项目主管部门（单位）在该项目管理中的职能。</w:t>
      </w:r>
    </w:p>
    <w:p>
      <w:pPr>
        <w:pStyle w:val="9"/>
        <w:keepNext w:val="0"/>
        <w:keepLines w:val="0"/>
        <w:widowControl/>
        <w:suppressLineNumbers w:val="0"/>
        <w:spacing w:before="0" w:beforeAutospacing="0"/>
        <w:ind w:left="0"/>
        <w:jc w:val="left"/>
      </w:pPr>
      <w:r>
        <w:rPr>
          <w:shd w:val="clear" w:color="auto" w:fill="FFFFFF"/>
        </w:rPr>
        <w:t>2．项目立项、资金申报的依据。</w:t>
      </w:r>
    </w:p>
    <w:p>
      <w:pPr>
        <w:pStyle w:val="9"/>
        <w:keepNext w:val="0"/>
        <w:keepLines w:val="0"/>
        <w:widowControl/>
        <w:suppressLineNumbers w:val="0"/>
        <w:spacing w:before="0" w:beforeAutospacing="0"/>
        <w:ind w:left="0"/>
        <w:jc w:val="left"/>
      </w:pPr>
      <w:r>
        <w:rPr>
          <w:shd w:val="clear" w:color="auto" w:fill="FFFFFF"/>
        </w:rPr>
        <w:t>3．资金管理办法制定情况，资金支持具体项目的条件、范围与支持方式概况。</w:t>
      </w:r>
    </w:p>
    <w:p>
      <w:pPr>
        <w:pStyle w:val="9"/>
        <w:keepNext w:val="0"/>
        <w:keepLines w:val="0"/>
        <w:widowControl/>
        <w:suppressLineNumbers w:val="0"/>
        <w:spacing w:before="0" w:beforeAutospacing="0"/>
        <w:ind w:left="0"/>
        <w:jc w:val="left"/>
      </w:pPr>
      <w:r>
        <w:rPr>
          <w:shd w:val="clear" w:color="auto" w:fill="FFFFFF"/>
        </w:rPr>
        <w:t>4．资金分配的原则及考虑因素。</w:t>
      </w:r>
    </w:p>
    <w:p>
      <w:pPr>
        <w:pStyle w:val="9"/>
        <w:keepNext w:val="0"/>
        <w:keepLines w:val="0"/>
        <w:widowControl/>
        <w:suppressLineNumbers w:val="0"/>
        <w:spacing w:before="0" w:beforeAutospacing="0"/>
        <w:ind w:left="0"/>
        <w:jc w:val="left"/>
      </w:pPr>
      <w:r>
        <w:rPr>
          <w:rStyle w:val="12"/>
          <w:shd w:val="clear" w:color="auto" w:fill="FFFFFF"/>
        </w:rPr>
        <w:t>（二）项目绩效目标。</w:t>
      </w:r>
    </w:p>
    <w:p>
      <w:pPr>
        <w:pStyle w:val="9"/>
        <w:keepNext w:val="0"/>
        <w:keepLines w:val="0"/>
        <w:widowControl/>
        <w:suppressLineNumbers w:val="0"/>
        <w:spacing w:before="0" w:beforeAutospacing="0"/>
        <w:ind w:left="0"/>
        <w:jc w:val="left"/>
      </w:pPr>
      <w:r>
        <w:rPr>
          <w:shd w:val="clear" w:color="auto" w:fill="FFFFFF"/>
        </w:rPr>
        <w:t>1．项目主要内容。</w:t>
      </w:r>
    </w:p>
    <w:p>
      <w:pPr>
        <w:pStyle w:val="9"/>
        <w:keepNext w:val="0"/>
        <w:keepLines w:val="0"/>
        <w:widowControl/>
        <w:suppressLineNumbers w:val="0"/>
        <w:spacing w:before="0" w:beforeAutospacing="0"/>
        <w:ind w:left="0"/>
        <w:jc w:val="left"/>
      </w:pPr>
      <w:r>
        <w:rPr>
          <w:shd w:val="clear" w:color="auto" w:fill="FFFFFF"/>
        </w:rPr>
        <w:t>2．项目应实现的具体绩效目标，包括目标的量化、细化情况以及项目实施进度计划等。</w:t>
      </w:r>
    </w:p>
    <w:p>
      <w:pPr>
        <w:pStyle w:val="9"/>
        <w:keepNext w:val="0"/>
        <w:keepLines w:val="0"/>
        <w:widowControl/>
        <w:suppressLineNumbers w:val="0"/>
        <w:spacing w:before="0" w:beforeAutospacing="0"/>
        <w:ind w:left="0"/>
        <w:jc w:val="left"/>
      </w:pPr>
      <w:r>
        <w:rPr>
          <w:shd w:val="clear" w:color="auto" w:fill="FFFFFF"/>
        </w:rPr>
        <w:t>3．分析评价申报内容是否与实际相符，申报目标是否合理可行。</w:t>
      </w:r>
    </w:p>
    <w:p>
      <w:pPr>
        <w:pStyle w:val="9"/>
        <w:keepNext w:val="0"/>
        <w:keepLines w:val="0"/>
        <w:widowControl/>
        <w:suppressLineNumbers w:val="0"/>
        <w:spacing w:before="0" w:beforeAutospacing="0"/>
        <w:ind w:left="0"/>
        <w:jc w:val="left"/>
      </w:pPr>
      <w:r>
        <w:rPr>
          <w:rStyle w:val="12"/>
          <w:shd w:val="clear" w:color="auto" w:fill="FFFFFF"/>
        </w:rPr>
        <w:t>（三）项目自评步骤及方法。</w:t>
      </w:r>
    </w:p>
    <w:p>
      <w:pPr>
        <w:pStyle w:val="9"/>
        <w:keepNext w:val="0"/>
        <w:keepLines w:val="0"/>
        <w:widowControl/>
        <w:suppressLineNumbers w:val="0"/>
        <w:spacing w:before="0" w:beforeAutospacing="0"/>
        <w:ind w:left="0"/>
        <w:jc w:val="left"/>
      </w:pPr>
      <w:r>
        <w:rPr>
          <w:shd w:val="clear" w:color="auto" w:fill="FFFFFF"/>
        </w:rPr>
        <w:t>说明项目绩效自评采用的组织实施步骤及方法。</w:t>
      </w:r>
    </w:p>
    <w:p>
      <w:pPr>
        <w:pStyle w:val="9"/>
        <w:keepNext w:val="0"/>
        <w:keepLines w:val="0"/>
        <w:widowControl/>
        <w:suppressLineNumbers w:val="0"/>
        <w:spacing w:before="0" w:beforeAutospacing="0"/>
        <w:ind w:left="0"/>
        <w:jc w:val="left"/>
      </w:pPr>
      <w:r>
        <w:rPr>
          <w:shd w:val="clear" w:color="auto" w:fill="FFFFFF"/>
        </w:rPr>
        <w:t>二、项目资金申报及使用情况</w:t>
      </w:r>
    </w:p>
    <w:p>
      <w:pPr>
        <w:pStyle w:val="9"/>
        <w:keepNext w:val="0"/>
        <w:keepLines w:val="0"/>
        <w:widowControl/>
        <w:suppressLineNumbers w:val="0"/>
        <w:spacing w:before="0" w:beforeAutospacing="0"/>
        <w:ind w:left="0"/>
        <w:jc w:val="left"/>
      </w:pPr>
      <w:r>
        <w:rPr>
          <w:rStyle w:val="12"/>
          <w:shd w:val="clear" w:color="auto" w:fill="FFFFFF"/>
        </w:rPr>
        <w:t>（一）项目资金申报及批复情况。</w:t>
      </w:r>
    </w:p>
    <w:p>
      <w:pPr>
        <w:pStyle w:val="9"/>
        <w:keepNext w:val="0"/>
        <w:keepLines w:val="0"/>
        <w:widowControl/>
        <w:suppressLineNumbers w:val="0"/>
        <w:spacing w:before="0" w:beforeAutospacing="0"/>
        <w:ind w:left="0"/>
        <w:jc w:val="left"/>
      </w:pPr>
      <w:r>
        <w:rPr>
          <w:shd w:val="clear" w:color="auto" w:fill="FFFFFF"/>
        </w:rPr>
        <w:t>说明项目资金申报、批复及预算调整等程序的相关情况。</w:t>
      </w:r>
    </w:p>
    <w:p>
      <w:pPr>
        <w:pStyle w:val="9"/>
        <w:keepNext w:val="0"/>
        <w:keepLines w:val="0"/>
        <w:widowControl/>
        <w:suppressLineNumbers w:val="0"/>
        <w:spacing w:before="0" w:beforeAutospacing="0"/>
        <w:ind w:left="0"/>
        <w:jc w:val="left"/>
      </w:pPr>
      <w:r>
        <w:rPr>
          <w:rStyle w:val="12"/>
          <w:shd w:val="clear" w:color="auto" w:fill="FFFFFF"/>
        </w:rPr>
        <w:t>（二）资金计划、到位及使用情况（可用表格形式反映）。</w:t>
      </w:r>
    </w:p>
    <w:p>
      <w:pPr>
        <w:pStyle w:val="9"/>
        <w:keepNext w:val="0"/>
        <w:keepLines w:val="0"/>
        <w:widowControl/>
        <w:suppressLineNumbers w:val="0"/>
        <w:spacing w:before="0" w:beforeAutospacing="0"/>
        <w:ind w:left="0"/>
        <w:jc w:val="left"/>
      </w:pPr>
      <w:r>
        <w:rPr>
          <w:shd w:val="clear" w:color="auto" w:fill="FFFFFF"/>
        </w:rPr>
        <w:t>1．资金计划。在说明该项目全州资金计划的基础上，分项目大类或市（州）分别说明各类资金计划情况，包括中央、省、市（州）、县（市、区）财政资金、项目单位自筹、其他渠道资金（包括银行贷款及其他资金等）。</w:t>
      </w:r>
    </w:p>
    <w:p>
      <w:pPr>
        <w:pStyle w:val="9"/>
        <w:keepNext w:val="0"/>
        <w:keepLines w:val="0"/>
        <w:widowControl/>
        <w:suppressLineNumbers w:val="0"/>
        <w:spacing w:before="0" w:beforeAutospacing="0"/>
        <w:ind w:left="0"/>
        <w:jc w:val="left"/>
      </w:pPr>
      <w:r>
        <w:rPr>
          <w:shd w:val="clear" w:color="auto" w:fill="FFFFFF"/>
        </w:rPr>
        <w:t>2．资金到位。汇总统计</w:t>
      </w:r>
      <w:r>
        <w:rPr>
          <w:rFonts w:hint="eastAsia"/>
          <w:shd w:val="clear" w:color="auto" w:fill="FFFFFF"/>
          <w:lang w:eastAsia="zh-CN"/>
        </w:rPr>
        <w:t>截至</w:t>
      </w:r>
      <w:r>
        <w:rPr>
          <w:shd w:val="clear" w:color="auto" w:fill="FFFFFF"/>
        </w:rPr>
        <w:t>评价时点该项目全州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w:t>
      </w:r>
      <w:r>
        <w:rPr>
          <w:rFonts w:hint="eastAsia"/>
          <w:shd w:val="clear" w:color="auto" w:fill="FFFFFF"/>
          <w:lang w:eastAsia="zh-CN"/>
        </w:rPr>
        <w:t>做出</w:t>
      </w:r>
      <w:r>
        <w:rPr>
          <w:shd w:val="clear" w:color="auto" w:fill="FFFFFF"/>
        </w:rPr>
        <w:t>分析说明。</w:t>
      </w:r>
    </w:p>
    <w:p>
      <w:pPr>
        <w:pStyle w:val="9"/>
        <w:keepNext w:val="0"/>
        <w:keepLines w:val="0"/>
        <w:widowControl/>
        <w:suppressLineNumbers w:val="0"/>
        <w:spacing w:before="0" w:beforeAutospacing="0"/>
        <w:ind w:left="0"/>
        <w:jc w:val="left"/>
      </w:pPr>
      <w:r>
        <w:rPr>
          <w:shd w:val="clear" w:color="auto" w:fill="FFFFFF"/>
        </w:rPr>
        <w:t>3．资金使用。汇总统计</w:t>
      </w:r>
      <w:r>
        <w:rPr>
          <w:rFonts w:hint="eastAsia"/>
          <w:shd w:val="clear" w:color="auto" w:fill="FFFFFF"/>
          <w:lang w:eastAsia="zh-CN"/>
        </w:rPr>
        <w:t>截至</w:t>
      </w:r>
      <w:r>
        <w:rPr>
          <w:shd w:val="clear" w:color="auto" w:fill="FFFFFF"/>
        </w:rPr>
        <w:t>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pStyle w:val="9"/>
        <w:keepNext w:val="0"/>
        <w:keepLines w:val="0"/>
        <w:widowControl/>
        <w:suppressLineNumbers w:val="0"/>
        <w:spacing w:before="0" w:beforeAutospacing="0"/>
        <w:ind w:left="0"/>
        <w:jc w:val="left"/>
      </w:pPr>
      <w:r>
        <w:rPr>
          <w:rStyle w:val="12"/>
          <w:shd w:val="clear" w:color="auto" w:fill="FFFFFF"/>
        </w:rPr>
        <w:t>（三）项目财务管理情况。</w:t>
      </w:r>
    </w:p>
    <w:p>
      <w:pPr>
        <w:pStyle w:val="9"/>
        <w:keepNext w:val="0"/>
        <w:keepLines w:val="0"/>
        <w:widowControl/>
        <w:suppressLineNumbers w:val="0"/>
        <w:spacing w:before="0" w:beforeAutospacing="0"/>
        <w:ind w:left="0"/>
        <w:jc w:val="left"/>
      </w:pPr>
      <w:r>
        <w:rPr>
          <w:shd w:val="clear" w:color="auto" w:fill="FFFFFF"/>
        </w:rPr>
        <w:t>总体评价各项目实施单位财务管理制度是否健全，是否严格执行财务管理制度，账务处理是否及时，会计核算是否规范等。</w:t>
      </w:r>
    </w:p>
    <w:p>
      <w:pPr>
        <w:pStyle w:val="9"/>
        <w:keepNext w:val="0"/>
        <w:keepLines w:val="0"/>
        <w:widowControl/>
        <w:suppressLineNumbers w:val="0"/>
        <w:spacing w:before="0" w:beforeAutospacing="0"/>
        <w:ind w:left="0"/>
        <w:jc w:val="left"/>
      </w:pPr>
      <w:r>
        <w:rPr>
          <w:shd w:val="clear" w:color="auto" w:fill="FFFFFF"/>
        </w:rPr>
        <w:t>三、项目实施及管理情况</w:t>
      </w:r>
    </w:p>
    <w:p>
      <w:pPr>
        <w:pStyle w:val="9"/>
        <w:keepNext w:val="0"/>
        <w:keepLines w:val="0"/>
        <w:widowControl/>
        <w:suppressLineNumbers w:val="0"/>
        <w:spacing w:before="0" w:beforeAutospacing="0"/>
        <w:ind w:left="0"/>
        <w:jc w:val="left"/>
      </w:pPr>
      <w:r>
        <w:rPr>
          <w:shd w:val="clear" w:color="auto" w:fill="FFFFFF"/>
        </w:rPr>
        <w:t>结合项目组织实施管理办法，重点围绕以下内容进行分析评价，并对自评中发现的问题分析说明。</w:t>
      </w:r>
    </w:p>
    <w:p>
      <w:pPr>
        <w:pStyle w:val="9"/>
        <w:keepNext w:val="0"/>
        <w:keepLines w:val="0"/>
        <w:widowControl/>
        <w:suppressLineNumbers w:val="0"/>
        <w:spacing w:before="0" w:beforeAutospacing="0"/>
        <w:ind w:left="0"/>
        <w:jc w:val="left"/>
      </w:pPr>
      <w:r>
        <w:rPr>
          <w:rStyle w:val="12"/>
          <w:shd w:val="clear" w:color="auto" w:fill="FFFFFF"/>
        </w:rPr>
        <w:t>（一）项目组织架构及实施流程。</w:t>
      </w:r>
    </w:p>
    <w:p>
      <w:pPr>
        <w:pStyle w:val="9"/>
        <w:keepNext w:val="0"/>
        <w:keepLines w:val="0"/>
        <w:widowControl/>
        <w:suppressLineNumbers w:val="0"/>
        <w:spacing w:before="0" w:beforeAutospacing="0"/>
        <w:ind w:left="0"/>
        <w:jc w:val="left"/>
      </w:pPr>
      <w:r>
        <w:rPr>
          <w:rStyle w:val="12"/>
          <w:shd w:val="clear" w:color="auto" w:fill="FFFFFF"/>
        </w:rPr>
        <w:t>（二）项目管理情况。</w:t>
      </w:r>
      <w:r>
        <w:rPr>
          <w:shd w:val="clear" w:color="auto" w:fill="FFFFFF"/>
        </w:rPr>
        <w:t>结合项目特点，总体评价各项目实施单位执行相关法律法规及项目管理制度等情况，如招投标、政府采购、项目公示制等相关规定。</w:t>
      </w:r>
    </w:p>
    <w:p>
      <w:pPr>
        <w:pStyle w:val="9"/>
        <w:keepNext w:val="0"/>
        <w:keepLines w:val="0"/>
        <w:widowControl/>
        <w:suppressLineNumbers w:val="0"/>
        <w:spacing w:before="0" w:beforeAutospacing="0"/>
        <w:ind w:left="0"/>
        <w:jc w:val="left"/>
      </w:pPr>
      <w:r>
        <w:rPr>
          <w:rStyle w:val="12"/>
          <w:shd w:val="clear" w:color="auto" w:fill="FFFFFF"/>
        </w:rPr>
        <w:t>（三）项目监管情况。</w:t>
      </w:r>
      <w:r>
        <w:rPr>
          <w:shd w:val="clear" w:color="auto" w:fill="FFFFFF"/>
        </w:rPr>
        <w:t>说明项目主管部门为加强项目管理所采取的监管手段、监管程序、监管工作开展情况及实现的效果等。</w:t>
      </w:r>
    </w:p>
    <w:p>
      <w:pPr>
        <w:pStyle w:val="9"/>
        <w:keepNext w:val="0"/>
        <w:keepLines w:val="0"/>
        <w:widowControl/>
        <w:suppressLineNumbers w:val="0"/>
        <w:spacing w:before="0" w:beforeAutospacing="0"/>
        <w:ind w:left="0"/>
        <w:jc w:val="left"/>
      </w:pPr>
      <w:r>
        <w:rPr>
          <w:shd w:val="clear" w:color="auto" w:fill="FFFFFF"/>
        </w:rPr>
        <w:t>四、项目绩效情况</w:t>
      </w:r>
    </w:p>
    <w:p>
      <w:pPr>
        <w:pStyle w:val="9"/>
        <w:keepNext w:val="0"/>
        <w:keepLines w:val="0"/>
        <w:widowControl/>
        <w:suppressLineNumbers w:val="0"/>
        <w:spacing w:before="0" w:beforeAutospacing="0"/>
        <w:ind w:left="0"/>
        <w:jc w:val="left"/>
      </w:pPr>
      <w:r>
        <w:rPr>
          <w:rStyle w:val="12"/>
          <w:shd w:val="clear" w:color="auto" w:fill="FFFFFF"/>
        </w:rPr>
        <w:t>（一）项目完成情况。</w:t>
      </w:r>
    </w:p>
    <w:p>
      <w:pPr>
        <w:pStyle w:val="9"/>
        <w:keepNext w:val="0"/>
        <w:keepLines w:val="0"/>
        <w:widowControl/>
        <w:suppressLineNumbers w:val="0"/>
        <w:spacing w:before="0" w:beforeAutospacing="0"/>
        <w:ind w:left="0"/>
        <w:jc w:val="left"/>
      </w:pPr>
      <w:r>
        <w:rPr>
          <w:shd w:val="clear" w:color="auto" w:fill="FFFFFF"/>
        </w:rPr>
        <w:t>包括项目完成数量、质量、时效、成本等情况，资金结余情况，违规记录等，对照项目计划完成目标，对</w:t>
      </w:r>
      <w:r>
        <w:rPr>
          <w:rFonts w:hint="eastAsia"/>
          <w:shd w:val="clear" w:color="auto" w:fill="FFFFFF"/>
          <w:lang w:eastAsia="zh-CN"/>
        </w:rPr>
        <w:t>截至</w:t>
      </w:r>
      <w:r>
        <w:rPr>
          <w:shd w:val="clear" w:color="auto" w:fill="FFFFFF"/>
        </w:rPr>
        <w:t>评价时点的任务量完成、质量标准、进度计划、成本控制目标的实现程度进行评价，并进行分析说明。</w:t>
      </w:r>
    </w:p>
    <w:p>
      <w:pPr>
        <w:pStyle w:val="9"/>
        <w:keepNext w:val="0"/>
        <w:keepLines w:val="0"/>
        <w:widowControl/>
        <w:suppressLineNumbers w:val="0"/>
        <w:spacing w:before="0" w:beforeAutospacing="0"/>
        <w:ind w:left="0"/>
        <w:jc w:val="left"/>
      </w:pPr>
      <w:r>
        <w:rPr>
          <w:rStyle w:val="12"/>
          <w:shd w:val="clear" w:color="auto" w:fill="FFFFFF"/>
        </w:rPr>
        <w:t>（二）项目效益情况。</w:t>
      </w:r>
    </w:p>
    <w:p>
      <w:pPr>
        <w:pStyle w:val="9"/>
        <w:keepNext w:val="0"/>
        <w:keepLines w:val="0"/>
        <w:widowControl/>
        <w:suppressLineNumbers w:val="0"/>
        <w:spacing w:before="0" w:beforeAutospacing="0"/>
        <w:ind w:left="0"/>
        <w:jc w:val="left"/>
      </w:pPr>
      <w:r>
        <w:rPr>
          <w:shd w:val="clear" w:color="auto" w:fill="FFFFFF"/>
        </w:rPr>
        <w:t>从项目经济效益、社会效益、生态效益、可持续效益以及服务对象满意度等方面对项目效益进行全面分析评价。</w:t>
      </w:r>
    </w:p>
    <w:p>
      <w:pPr>
        <w:pStyle w:val="9"/>
        <w:keepNext w:val="0"/>
        <w:keepLines w:val="0"/>
        <w:widowControl/>
        <w:suppressLineNumbers w:val="0"/>
        <w:spacing w:before="0" w:beforeAutospacing="0"/>
        <w:ind w:left="0"/>
        <w:jc w:val="left"/>
      </w:pPr>
      <w:r>
        <w:rPr>
          <w:shd w:val="clear" w:color="auto" w:fill="FFFFFF"/>
        </w:rPr>
        <w:t>五、评价结论及建议</w:t>
      </w:r>
    </w:p>
    <w:p>
      <w:pPr>
        <w:pStyle w:val="9"/>
        <w:keepNext w:val="0"/>
        <w:keepLines w:val="0"/>
        <w:widowControl/>
        <w:suppressLineNumbers w:val="0"/>
        <w:spacing w:before="0" w:beforeAutospacing="0"/>
        <w:ind w:left="0"/>
        <w:jc w:val="left"/>
      </w:pPr>
      <w:r>
        <w:rPr>
          <w:rStyle w:val="12"/>
          <w:shd w:val="clear" w:color="auto" w:fill="FFFFFF"/>
        </w:rPr>
        <w:t>（一）评价结论。</w:t>
      </w:r>
    </w:p>
    <w:p>
      <w:pPr>
        <w:pStyle w:val="9"/>
        <w:keepNext w:val="0"/>
        <w:keepLines w:val="0"/>
        <w:widowControl/>
        <w:suppressLineNumbers w:val="0"/>
        <w:spacing w:before="0" w:beforeAutospacing="0"/>
        <w:ind w:left="0"/>
        <w:jc w:val="left"/>
      </w:pPr>
      <w:r>
        <w:rPr>
          <w:shd w:val="clear" w:color="auto" w:fill="FFFFFF"/>
        </w:rPr>
        <w:t>结合项目自身特点、评价重点及管理办法等要求，围绕专项项目支出绩效评价指标体系对项目进行总体评价。</w:t>
      </w:r>
    </w:p>
    <w:p>
      <w:pPr>
        <w:pStyle w:val="9"/>
        <w:keepNext w:val="0"/>
        <w:keepLines w:val="0"/>
        <w:widowControl/>
        <w:suppressLineNumbers w:val="0"/>
        <w:spacing w:before="0" w:beforeAutospacing="0"/>
        <w:ind w:left="0"/>
        <w:jc w:val="left"/>
      </w:pPr>
      <w:r>
        <w:rPr>
          <w:rStyle w:val="12"/>
          <w:shd w:val="clear" w:color="auto" w:fill="FFFFFF"/>
        </w:rPr>
        <w:t>（二）存在的问题。</w:t>
      </w:r>
    </w:p>
    <w:p>
      <w:pPr>
        <w:pStyle w:val="9"/>
        <w:keepNext w:val="0"/>
        <w:keepLines w:val="0"/>
        <w:widowControl/>
        <w:suppressLineNumbers w:val="0"/>
        <w:spacing w:before="0" w:beforeAutospacing="0"/>
        <w:ind w:left="0"/>
        <w:jc w:val="left"/>
      </w:pPr>
      <w:r>
        <w:rPr>
          <w:shd w:val="clear" w:color="auto" w:fill="FFFFFF"/>
        </w:rPr>
        <w:t>结合自评情况，分析存在的问题及原因。 </w:t>
      </w:r>
    </w:p>
    <w:p>
      <w:pPr>
        <w:pStyle w:val="9"/>
        <w:keepNext w:val="0"/>
        <w:keepLines w:val="0"/>
        <w:widowControl/>
        <w:suppressLineNumbers w:val="0"/>
        <w:spacing w:before="0" w:beforeAutospacing="0"/>
        <w:ind w:left="0"/>
        <w:jc w:val="left"/>
      </w:pPr>
      <w:r>
        <w:rPr>
          <w:rStyle w:val="12"/>
          <w:shd w:val="clear" w:color="auto" w:fill="FFFFFF"/>
        </w:rPr>
        <w:t>（三）相关建议。</w:t>
      </w:r>
    </w:p>
    <w:p>
      <w:pPr>
        <w:pStyle w:val="9"/>
        <w:keepNext w:val="0"/>
        <w:keepLines w:val="0"/>
        <w:widowControl/>
        <w:suppressLineNumbers w:val="0"/>
        <w:spacing w:before="0" w:beforeAutospacing="0"/>
        <w:ind w:left="0"/>
        <w:jc w:val="left"/>
      </w:pPr>
      <w:r>
        <w:rPr>
          <w:shd w:val="clear" w:color="auto" w:fill="FFFFFF"/>
        </w:rPr>
        <w:t>针对项目自评中发现的问题，提出下一步改进完善的意见及有关政策性建议。</w:t>
      </w:r>
    </w:p>
    <w:p>
      <w:pPr>
        <w:pStyle w:val="9"/>
        <w:keepNext w:val="0"/>
        <w:keepLines w:val="0"/>
        <w:widowControl/>
        <w:suppressLineNumbers w:val="0"/>
        <w:spacing w:before="0" w:beforeAutospacing="0"/>
        <w:ind w:left="0"/>
        <w:jc w:val="center"/>
      </w:pP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附表</w:t>
      </w:r>
    </w:p>
    <w:tbl>
      <w:tblPr>
        <w:tblStyle w:val="10"/>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80"/>
        <w:gridCol w:w="1140"/>
        <w:gridCol w:w="1635"/>
        <w:gridCol w:w="1185"/>
        <w:gridCol w:w="1230"/>
        <w:gridCol w:w="24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blCellSpacing w:w="0" w:type="dxa"/>
        </w:trPr>
        <w:tc>
          <w:tcPr>
            <w:tcW w:w="9585" w:type="dxa"/>
            <w:gridSpan w:val="6"/>
            <w:noWrap w:val="0"/>
            <w:vAlign w:val="center"/>
          </w:tcPr>
          <w:p>
            <w:pPr>
              <w:pStyle w:val="9"/>
              <w:keepNext w:val="0"/>
              <w:keepLines w:val="0"/>
              <w:widowControl/>
              <w:suppressLineNumbers w:val="0"/>
              <w:jc w:val="center"/>
            </w:pPr>
            <w:r>
              <w:rPr>
                <w:rStyle w:val="12"/>
              </w:rPr>
              <w:t>2022年100万元以上（含）特定目标类部门预算项目绩效目标自评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blCellSpacing w:w="0" w:type="dxa"/>
        </w:trPr>
        <w:tc>
          <w:tcPr>
            <w:tcW w:w="3120" w:type="dxa"/>
            <w:gridSpan w:val="2"/>
            <w:noWrap w:val="0"/>
            <w:vAlign w:val="center"/>
          </w:tcPr>
          <w:p>
            <w:pPr>
              <w:pStyle w:val="9"/>
              <w:keepNext w:val="0"/>
              <w:keepLines w:val="0"/>
              <w:widowControl/>
              <w:suppressLineNumbers w:val="0"/>
              <w:jc w:val="center"/>
            </w:pPr>
            <w:r>
              <w:t>主管部门及代码</w:t>
            </w:r>
          </w:p>
        </w:tc>
        <w:tc>
          <w:tcPr>
            <w:tcW w:w="2820" w:type="dxa"/>
            <w:gridSpan w:val="2"/>
            <w:noWrap w:val="0"/>
            <w:vAlign w:val="center"/>
          </w:tcPr>
          <w:p>
            <w:pPr>
              <w:pStyle w:val="9"/>
              <w:keepNext w:val="0"/>
              <w:keepLines w:val="0"/>
              <w:widowControl/>
              <w:suppressLineNumbers w:val="0"/>
              <w:jc w:val="center"/>
            </w:pPr>
            <w:r>
              <w:t> </w:t>
            </w:r>
          </w:p>
        </w:tc>
        <w:tc>
          <w:tcPr>
            <w:tcW w:w="1230" w:type="dxa"/>
            <w:noWrap w:val="0"/>
            <w:vAlign w:val="center"/>
          </w:tcPr>
          <w:p>
            <w:pPr>
              <w:pStyle w:val="9"/>
              <w:keepNext w:val="0"/>
              <w:keepLines w:val="0"/>
              <w:widowControl/>
              <w:suppressLineNumbers w:val="0"/>
              <w:jc w:val="center"/>
            </w:pPr>
            <w:r>
              <w:t>实施单位</w:t>
            </w:r>
          </w:p>
        </w:tc>
        <w:tc>
          <w:tcPr>
            <w:tcW w:w="2415" w:type="dxa"/>
            <w:noWrap w:val="0"/>
            <w:vAlign w:val="center"/>
          </w:tcPr>
          <w:p>
            <w:pPr>
              <w:pStyle w:val="9"/>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restart"/>
            <w:noWrap w:val="0"/>
            <w:vAlign w:val="center"/>
          </w:tcPr>
          <w:p>
            <w:pPr>
              <w:pStyle w:val="9"/>
              <w:keepNext w:val="0"/>
              <w:keepLines w:val="0"/>
              <w:widowControl/>
              <w:suppressLineNumbers w:val="0"/>
              <w:jc w:val="center"/>
            </w:pPr>
            <w:r>
              <w:t>项目预算</w:t>
            </w:r>
          </w:p>
          <w:p>
            <w:pPr>
              <w:pStyle w:val="9"/>
              <w:keepNext w:val="0"/>
              <w:keepLines w:val="0"/>
              <w:widowControl/>
              <w:suppressLineNumbers w:val="0"/>
              <w:jc w:val="center"/>
            </w:pPr>
            <w:r>
              <w:t>执行情况</w:t>
            </w:r>
          </w:p>
          <w:p>
            <w:pPr>
              <w:pStyle w:val="9"/>
              <w:keepNext w:val="0"/>
              <w:keepLines w:val="0"/>
              <w:widowControl/>
              <w:suppressLineNumbers w:val="0"/>
              <w:jc w:val="center"/>
            </w:pPr>
            <w:r>
              <w:t>（万元）</w:t>
            </w:r>
          </w:p>
        </w:tc>
        <w:tc>
          <w:tcPr>
            <w:tcW w:w="1635" w:type="dxa"/>
            <w:noWrap w:val="0"/>
            <w:vAlign w:val="center"/>
          </w:tcPr>
          <w:p>
            <w:pPr>
              <w:pStyle w:val="9"/>
              <w:keepNext w:val="0"/>
              <w:keepLines w:val="0"/>
              <w:widowControl/>
              <w:suppressLineNumbers w:val="0"/>
              <w:jc w:val="center"/>
            </w:pPr>
            <w:r>
              <w:t> 预算数：</w:t>
            </w:r>
          </w:p>
        </w:tc>
        <w:tc>
          <w:tcPr>
            <w:tcW w:w="1185" w:type="dxa"/>
            <w:noWrap w:val="0"/>
            <w:vAlign w:val="center"/>
          </w:tcPr>
          <w:p>
            <w:pPr>
              <w:pStyle w:val="9"/>
              <w:keepNext w:val="0"/>
              <w:keepLines w:val="0"/>
              <w:widowControl/>
              <w:suppressLineNumbers w:val="0"/>
              <w:jc w:val="center"/>
            </w:pPr>
            <w:r>
              <w:t> </w:t>
            </w:r>
          </w:p>
        </w:tc>
        <w:tc>
          <w:tcPr>
            <w:tcW w:w="1230" w:type="dxa"/>
            <w:noWrap w:val="0"/>
            <w:vAlign w:val="center"/>
          </w:tcPr>
          <w:p>
            <w:pPr>
              <w:pStyle w:val="9"/>
              <w:keepNext w:val="0"/>
              <w:keepLines w:val="0"/>
              <w:widowControl/>
              <w:suppressLineNumbers w:val="0"/>
              <w:jc w:val="center"/>
            </w:pPr>
            <w:r>
              <w:t> 执行数：</w:t>
            </w:r>
          </w:p>
        </w:tc>
        <w:tc>
          <w:tcPr>
            <w:tcW w:w="2415" w:type="dxa"/>
            <w:noWrap w:val="0"/>
            <w:vAlign w:val="center"/>
          </w:tcPr>
          <w:p>
            <w:pPr>
              <w:pStyle w:val="9"/>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0" w:type="dxa"/>
        </w:trPr>
        <w:tc>
          <w:tcPr>
            <w:tcW w:w="3120" w:type="dxa"/>
            <w:gridSpan w:val="2"/>
            <w:vMerge w:val="continue"/>
            <w:noWrap w:val="0"/>
            <w:vAlign w:val="center"/>
          </w:tcPr>
          <w:p>
            <w:pPr>
              <w:rPr>
                <w:rFonts w:hint="eastAsia" w:ascii="宋体"/>
                <w:sz w:val="24"/>
                <w:szCs w:val="24"/>
              </w:rPr>
            </w:pPr>
          </w:p>
        </w:tc>
        <w:tc>
          <w:tcPr>
            <w:tcW w:w="1635" w:type="dxa"/>
            <w:noWrap w:val="0"/>
            <w:vAlign w:val="center"/>
          </w:tcPr>
          <w:p>
            <w:pPr>
              <w:pStyle w:val="9"/>
              <w:keepNext w:val="0"/>
              <w:keepLines w:val="0"/>
              <w:widowControl/>
              <w:suppressLineNumbers w:val="0"/>
              <w:jc w:val="center"/>
            </w:pPr>
            <w:r>
              <w:t>其中：</w:t>
            </w:r>
          </w:p>
          <w:p>
            <w:pPr>
              <w:pStyle w:val="9"/>
              <w:keepNext w:val="0"/>
              <w:keepLines w:val="0"/>
              <w:widowControl/>
              <w:suppressLineNumbers w:val="0"/>
              <w:jc w:val="center"/>
            </w:pPr>
            <w:r>
              <w:t>财政拨款</w:t>
            </w:r>
          </w:p>
        </w:tc>
        <w:tc>
          <w:tcPr>
            <w:tcW w:w="1185" w:type="dxa"/>
            <w:noWrap w:val="0"/>
            <w:vAlign w:val="center"/>
          </w:tcPr>
          <w:p>
            <w:pPr>
              <w:pStyle w:val="9"/>
              <w:keepNext w:val="0"/>
              <w:keepLines w:val="0"/>
              <w:widowControl/>
              <w:suppressLineNumbers w:val="0"/>
              <w:jc w:val="center"/>
            </w:pPr>
            <w:r>
              <w:t> </w:t>
            </w:r>
          </w:p>
        </w:tc>
        <w:tc>
          <w:tcPr>
            <w:tcW w:w="1230" w:type="dxa"/>
            <w:noWrap w:val="0"/>
            <w:vAlign w:val="center"/>
          </w:tcPr>
          <w:p>
            <w:pPr>
              <w:pStyle w:val="9"/>
              <w:keepNext w:val="0"/>
              <w:keepLines w:val="0"/>
              <w:widowControl/>
              <w:suppressLineNumbers w:val="0"/>
              <w:jc w:val="center"/>
            </w:pPr>
            <w:r>
              <w:t>其中：</w:t>
            </w:r>
          </w:p>
          <w:p>
            <w:pPr>
              <w:pStyle w:val="9"/>
              <w:keepNext w:val="0"/>
              <w:keepLines w:val="0"/>
              <w:widowControl/>
              <w:suppressLineNumbers w:val="0"/>
              <w:jc w:val="center"/>
            </w:pPr>
            <w:r>
              <w:t>财政拨款</w:t>
            </w:r>
          </w:p>
        </w:tc>
        <w:tc>
          <w:tcPr>
            <w:tcW w:w="2415" w:type="dxa"/>
            <w:noWrap w:val="0"/>
            <w:vAlign w:val="center"/>
          </w:tcPr>
          <w:p>
            <w:pPr>
              <w:pStyle w:val="9"/>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continue"/>
            <w:noWrap w:val="0"/>
            <w:vAlign w:val="center"/>
          </w:tcPr>
          <w:p>
            <w:pPr>
              <w:rPr>
                <w:rFonts w:hint="eastAsia" w:ascii="宋体"/>
                <w:sz w:val="24"/>
                <w:szCs w:val="24"/>
              </w:rPr>
            </w:pPr>
          </w:p>
        </w:tc>
        <w:tc>
          <w:tcPr>
            <w:tcW w:w="1635" w:type="dxa"/>
            <w:noWrap w:val="0"/>
            <w:vAlign w:val="center"/>
          </w:tcPr>
          <w:p>
            <w:pPr>
              <w:pStyle w:val="9"/>
              <w:keepNext w:val="0"/>
              <w:keepLines w:val="0"/>
              <w:widowControl/>
              <w:suppressLineNumbers w:val="0"/>
              <w:jc w:val="center"/>
            </w:pPr>
            <w:r>
              <w:t>其他资金</w:t>
            </w:r>
          </w:p>
        </w:tc>
        <w:tc>
          <w:tcPr>
            <w:tcW w:w="1185" w:type="dxa"/>
            <w:noWrap w:val="0"/>
            <w:vAlign w:val="center"/>
          </w:tcPr>
          <w:p>
            <w:pPr>
              <w:pStyle w:val="9"/>
              <w:keepNext w:val="0"/>
              <w:keepLines w:val="0"/>
              <w:widowControl/>
              <w:suppressLineNumbers w:val="0"/>
              <w:jc w:val="center"/>
            </w:pPr>
            <w:r>
              <w:t> </w:t>
            </w:r>
          </w:p>
        </w:tc>
        <w:tc>
          <w:tcPr>
            <w:tcW w:w="1230" w:type="dxa"/>
            <w:noWrap w:val="0"/>
            <w:vAlign w:val="center"/>
          </w:tcPr>
          <w:p>
            <w:pPr>
              <w:pStyle w:val="9"/>
              <w:keepNext w:val="0"/>
              <w:keepLines w:val="0"/>
              <w:widowControl/>
              <w:suppressLineNumbers w:val="0"/>
              <w:jc w:val="center"/>
            </w:pPr>
            <w:r>
              <w:t>其他资金</w:t>
            </w:r>
          </w:p>
        </w:tc>
        <w:tc>
          <w:tcPr>
            <w:tcW w:w="2415" w:type="dxa"/>
            <w:noWrap w:val="0"/>
            <w:vAlign w:val="center"/>
          </w:tcPr>
          <w:p>
            <w:pPr>
              <w:pStyle w:val="9"/>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1980" w:type="dxa"/>
            <w:vMerge w:val="restart"/>
            <w:noWrap w:val="0"/>
            <w:vAlign w:val="center"/>
          </w:tcPr>
          <w:p>
            <w:pPr>
              <w:pStyle w:val="9"/>
              <w:keepNext w:val="0"/>
              <w:keepLines w:val="0"/>
              <w:widowControl/>
              <w:suppressLineNumbers w:val="0"/>
              <w:jc w:val="center"/>
            </w:pPr>
            <w:r>
              <w:t>年度总体目标</w:t>
            </w:r>
          </w:p>
          <w:p>
            <w:pPr>
              <w:pStyle w:val="9"/>
              <w:keepNext w:val="0"/>
              <w:keepLines w:val="0"/>
              <w:widowControl/>
              <w:suppressLineNumbers w:val="0"/>
              <w:jc w:val="center"/>
            </w:pPr>
            <w:r>
              <w:t>完成情况</w:t>
            </w:r>
          </w:p>
        </w:tc>
        <w:tc>
          <w:tcPr>
            <w:tcW w:w="3960" w:type="dxa"/>
            <w:gridSpan w:val="3"/>
            <w:noWrap w:val="0"/>
            <w:vAlign w:val="center"/>
          </w:tcPr>
          <w:p>
            <w:pPr>
              <w:pStyle w:val="9"/>
              <w:keepNext w:val="0"/>
              <w:keepLines w:val="0"/>
              <w:widowControl/>
              <w:suppressLineNumbers w:val="0"/>
              <w:jc w:val="center"/>
            </w:pPr>
            <w:r>
              <w:t>预期目标</w:t>
            </w:r>
          </w:p>
        </w:tc>
        <w:tc>
          <w:tcPr>
            <w:tcW w:w="3645" w:type="dxa"/>
            <w:gridSpan w:val="2"/>
            <w:noWrap w:val="0"/>
            <w:vAlign w:val="center"/>
          </w:tcPr>
          <w:p>
            <w:pPr>
              <w:pStyle w:val="9"/>
              <w:keepNext w:val="0"/>
              <w:keepLines w:val="0"/>
              <w:widowControl/>
              <w:suppressLineNumbers w:val="0"/>
              <w:jc w:val="center"/>
            </w:pPr>
            <w:r>
              <w:t>目标实际完成情况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blCellSpacing w:w="0" w:type="dxa"/>
        </w:trPr>
        <w:tc>
          <w:tcPr>
            <w:tcW w:w="1980" w:type="dxa"/>
            <w:vMerge w:val="continue"/>
            <w:noWrap w:val="0"/>
            <w:vAlign w:val="center"/>
          </w:tcPr>
          <w:p>
            <w:pPr>
              <w:rPr>
                <w:rFonts w:hint="eastAsia" w:ascii="宋体"/>
                <w:sz w:val="24"/>
                <w:szCs w:val="24"/>
              </w:rPr>
            </w:pPr>
          </w:p>
        </w:tc>
        <w:tc>
          <w:tcPr>
            <w:tcW w:w="3960" w:type="dxa"/>
            <w:gridSpan w:val="3"/>
            <w:noWrap w:val="0"/>
            <w:vAlign w:val="center"/>
          </w:tcPr>
          <w:p>
            <w:pPr>
              <w:pStyle w:val="9"/>
              <w:keepNext w:val="0"/>
              <w:keepLines w:val="0"/>
              <w:widowControl/>
              <w:suppressLineNumbers w:val="0"/>
              <w:jc w:val="center"/>
            </w:pPr>
            <w:r>
              <w:t> </w:t>
            </w:r>
          </w:p>
        </w:tc>
        <w:tc>
          <w:tcPr>
            <w:tcW w:w="3645" w:type="dxa"/>
            <w:gridSpan w:val="2"/>
            <w:noWrap w:val="0"/>
            <w:vAlign w:val="center"/>
          </w:tcPr>
          <w:p>
            <w:pPr>
              <w:pStyle w:val="9"/>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blCellSpacing w:w="0" w:type="dxa"/>
        </w:trPr>
        <w:tc>
          <w:tcPr>
            <w:tcW w:w="1980" w:type="dxa"/>
            <w:vMerge w:val="restart"/>
            <w:noWrap w:val="0"/>
            <w:vAlign w:val="center"/>
          </w:tcPr>
          <w:p>
            <w:pPr>
              <w:pStyle w:val="9"/>
              <w:keepNext w:val="0"/>
              <w:keepLines w:val="0"/>
              <w:widowControl/>
              <w:suppressLineNumbers w:val="0"/>
              <w:jc w:val="center"/>
            </w:pPr>
            <w:r>
              <w:t>年度绩效指标完成情况</w:t>
            </w:r>
          </w:p>
        </w:tc>
        <w:tc>
          <w:tcPr>
            <w:tcW w:w="1140" w:type="dxa"/>
            <w:noWrap w:val="0"/>
            <w:vAlign w:val="center"/>
          </w:tcPr>
          <w:p>
            <w:pPr>
              <w:pStyle w:val="9"/>
              <w:keepNext w:val="0"/>
              <w:keepLines w:val="0"/>
              <w:widowControl/>
              <w:suppressLineNumbers w:val="0"/>
              <w:jc w:val="center"/>
            </w:pPr>
            <w:r>
              <w:t>一级</w:t>
            </w:r>
          </w:p>
          <w:p>
            <w:pPr>
              <w:pStyle w:val="9"/>
              <w:keepNext w:val="0"/>
              <w:keepLines w:val="0"/>
              <w:widowControl/>
              <w:suppressLineNumbers w:val="0"/>
              <w:jc w:val="center"/>
            </w:pPr>
            <w:r>
              <w:t>指标</w:t>
            </w:r>
          </w:p>
        </w:tc>
        <w:tc>
          <w:tcPr>
            <w:tcW w:w="1635" w:type="dxa"/>
            <w:noWrap w:val="0"/>
            <w:vAlign w:val="center"/>
          </w:tcPr>
          <w:p>
            <w:pPr>
              <w:pStyle w:val="9"/>
              <w:keepNext w:val="0"/>
              <w:keepLines w:val="0"/>
              <w:widowControl/>
              <w:suppressLineNumbers w:val="0"/>
              <w:jc w:val="center"/>
            </w:pPr>
            <w:r>
              <w:t>二级</w:t>
            </w:r>
          </w:p>
          <w:p>
            <w:pPr>
              <w:pStyle w:val="9"/>
              <w:keepNext w:val="0"/>
              <w:keepLines w:val="0"/>
              <w:widowControl/>
              <w:suppressLineNumbers w:val="0"/>
              <w:jc w:val="center"/>
            </w:pPr>
            <w:r>
              <w:t>指标</w:t>
            </w:r>
          </w:p>
        </w:tc>
        <w:tc>
          <w:tcPr>
            <w:tcW w:w="1185" w:type="dxa"/>
            <w:noWrap w:val="0"/>
            <w:vAlign w:val="center"/>
          </w:tcPr>
          <w:p>
            <w:pPr>
              <w:pStyle w:val="9"/>
              <w:keepNext w:val="0"/>
              <w:keepLines w:val="0"/>
              <w:widowControl/>
              <w:suppressLineNumbers w:val="0"/>
              <w:jc w:val="center"/>
            </w:pPr>
            <w:r>
              <w:t>三级</w:t>
            </w:r>
          </w:p>
          <w:p>
            <w:pPr>
              <w:pStyle w:val="9"/>
              <w:keepNext w:val="0"/>
              <w:keepLines w:val="0"/>
              <w:widowControl/>
              <w:suppressLineNumbers w:val="0"/>
              <w:jc w:val="center"/>
            </w:pPr>
            <w:r>
              <w:t>指标</w:t>
            </w:r>
          </w:p>
        </w:tc>
        <w:tc>
          <w:tcPr>
            <w:tcW w:w="1230" w:type="dxa"/>
            <w:noWrap w:val="0"/>
            <w:vAlign w:val="center"/>
          </w:tcPr>
          <w:p>
            <w:pPr>
              <w:pStyle w:val="9"/>
              <w:keepNext w:val="0"/>
              <w:keepLines w:val="0"/>
              <w:widowControl/>
              <w:suppressLineNumbers w:val="0"/>
              <w:jc w:val="center"/>
            </w:pPr>
            <w:r>
              <w:t>预期指标值</w:t>
            </w:r>
          </w:p>
        </w:tc>
        <w:tc>
          <w:tcPr>
            <w:tcW w:w="2415" w:type="dxa"/>
            <w:noWrap w:val="0"/>
            <w:vAlign w:val="center"/>
          </w:tcPr>
          <w:p>
            <w:pPr>
              <w:pStyle w:val="9"/>
              <w:keepNext w:val="0"/>
              <w:keepLines w:val="0"/>
              <w:widowControl/>
              <w:suppressLineNumbers w:val="0"/>
              <w:jc w:val="center"/>
            </w:pPr>
            <w:r>
              <w:t>实际完成指标值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noWrap w:val="0"/>
            <w:vAlign w:val="center"/>
          </w:tcPr>
          <w:p>
            <w:pPr>
              <w:rPr>
                <w:rFonts w:hint="eastAsia" w:ascii="宋体"/>
                <w:sz w:val="24"/>
                <w:szCs w:val="24"/>
              </w:rPr>
            </w:pPr>
          </w:p>
        </w:tc>
        <w:tc>
          <w:tcPr>
            <w:tcW w:w="1140" w:type="dxa"/>
            <w:vMerge w:val="restart"/>
            <w:noWrap w:val="0"/>
            <w:vAlign w:val="center"/>
          </w:tcPr>
          <w:p>
            <w:pPr>
              <w:pStyle w:val="9"/>
              <w:keepNext w:val="0"/>
              <w:keepLines w:val="0"/>
              <w:widowControl/>
              <w:suppressLineNumbers w:val="0"/>
              <w:jc w:val="center"/>
            </w:pPr>
            <w:r>
              <w:t>完成</w:t>
            </w:r>
          </w:p>
          <w:p>
            <w:pPr>
              <w:pStyle w:val="9"/>
              <w:keepNext w:val="0"/>
              <w:keepLines w:val="0"/>
              <w:widowControl/>
              <w:suppressLineNumbers w:val="0"/>
              <w:jc w:val="center"/>
            </w:pPr>
            <w:r>
              <w:t>指标</w:t>
            </w:r>
          </w:p>
        </w:tc>
        <w:tc>
          <w:tcPr>
            <w:tcW w:w="1635" w:type="dxa"/>
            <w:noWrap w:val="0"/>
            <w:vAlign w:val="center"/>
          </w:tcPr>
          <w:p>
            <w:pPr>
              <w:pStyle w:val="9"/>
              <w:keepNext w:val="0"/>
              <w:keepLines w:val="0"/>
              <w:widowControl/>
              <w:suppressLineNumbers w:val="0"/>
              <w:jc w:val="center"/>
            </w:pPr>
            <w:r>
              <w:t>数量指标</w:t>
            </w:r>
          </w:p>
        </w:tc>
        <w:tc>
          <w:tcPr>
            <w:tcW w:w="1185" w:type="dxa"/>
            <w:noWrap w:val="0"/>
            <w:vAlign w:val="center"/>
          </w:tcPr>
          <w:p>
            <w:pPr>
              <w:pStyle w:val="9"/>
              <w:keepNext w:val="0"/>
              <w:keepLines w:val="0"/>
              <w:widowControl/>
              <w:suppressLineNumbers w:val="0"/>
              <w:jc w:val="center"/>
            </w:pPr>
            <w:r>
              <w:t> </w:t>
            </w:r>
          </w:p>
        </w:tc>
        <w:tc>
          <w:tcPr>
            <w:tcW w:w="1230" w:type="dxa"/>
            <w:noWrap w:val="0"/>
            <w:vAlign w:val="center"/>
          </w:tcPr>
          <w:p>
            <w:pPr>
              <w:pStyle w:val="9"/>
              <w:keepNext w:val="0"/>
              <w:keepLines w:val="0"/>
              <w:widowControl/>
              <w:suppressLineNumbers w:val="0"/>
              <w:jc w:val="center"/>
            </w:pPr>
            <w:r>
              <w:t> </w:t>
            </w:r>
          </w:p>
        </w:tc>
        <w:tc>
          <w:tcPr>
            <w:tcW w:w="2415" w:type="dxa"/>
            <w:noWrap w:val="0"/>
            <w:vAlign w:val="center"/>
          </w:tcPr>
          <w:p>
            <w:pPr>
              <w:pStyle w:val="9"/>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noWrap w:val="0"/>
            <w:vAlign w:val="center"/>
          </w:tcPr>
          <w:p>
            <w:pPr>
              <w:rPr>
                <w:rFonts w:hint="eastAsia" w:ascii="宋体"/>
                <w:sz w:val="24"/>
                <w:szCs w:val="24"/>
              </w:rPr>
            </w:pPr>
          </w:p>
        </w:tc>
        <w:tc>
          <w:tcPr>
            <w:tcW w:w="1140" w:type="dxa"/>
            <w:vMerge w:val="continue"/>
            <w:noWrap w:val="0"/>
            <w:vAlign w:val="center"/>
          </w:tcPr>
          <w:p>
            <w:pPr>
              <w:rPr>
                <w:rFonts w:hint="eastAsia" w:ascii="宋体"/>
                <w:sz w:val="24"/>
                <w:szCs w:val="24"/>
              </w:rPr>
            </w:pPr>
          </w:p>
        </w:tc>
        <w:tc>
          <w:tcPr>
            <w:tcW w:w="1635" w:type="dxa"/>
            <w:noWrap w:val="0"/>
            <w:vAlign w:val="center"/>
          </w:tcPr>
          <w:p>
            <w:pPr>
              <w:pStyle w:val="9"/>
              <w:keepNext w:val="0"/>
              <w:keepLines w:val="0"/>
              <w:widowControl/>
              <w:suppressLineNumbers w:val="0"/>
              <w:jc w:val="center"/>
            </w:pPr>
            <w:r>
              <w:t>质量指标</w:t>
            </w:r>
          </w:p>
        </w:tc>
        <w:tc>
          <w:tcPr>
            <w:tcW w:w="1185" w:type="dxa"/>
            <w:noWrap w:val="0"/>
            <w:vAlign w:val="center"/>
          </w:tcPr>
          <w:p>
            <w:pPr>
              <w:pStyle w:val="9"/>
              <w:keepNext w:val="0"/>
              <w:keepLines w:val="0"/>
              <w:widowControl/>
              <w:suppressLineNumbers w:val="0"/>
              <w:jc w:val="center"/>
            </w:pPr>
            <w:r>
              <w:t> </w:t>
            </w:r>
          </w:p>
        </w:tc>
        <w:tc>
          <w:tcPr>
            <w:tcW w:w="1230" w:type="dxa"/>
            <w:noWrap w:val="0"/>
            <w:vAlign w:val="center"/>
          </w:tcPr>
          <w:p>
            <w:pPr>
              <w:pStyle w:val="9"/>
              <w:keepNext w:val="0"/>
              <w:keepLines w:val="0"/>
              <w:widowControl/>
              <w:suppressLineNumbers w:val="0"/>
              <w:jc w:val="center"/>
            </w:pPr>
            <w:r>
              <w:t> </w:t>
            </w:r>
          </w:p>
        </w:tc>
        <w:tc>
          <w:tcPr>
            <w:tcW w:w="2415" w:type="dxa"/>
            <w:noWrap w:val="0"/>
            <w:vAlign w:val="center"/>
          </w:tcPr>
          <w:p>
            <w:pPr>
              <w:pStyle w:val="9"/>
              <w:keepNext w:val="0"/>
              <w:keepLines w:val="0"/>
              <w:widowControl/>
              <w:suppressLineNumbers w:val="0"/>
              <w:jc w:val="center"/>
            </w:pPr>
            <w:r>
              <w:t> </w:t>
            </w:r>
          </w:p>
        </w:tc>
      </w:tr>
      <w:tr>
        <w:tblPrEx>
          <w:tblCellMar>
            <w:top w:w="0" w:type="dxa"/>
            <w:left w:w="0" w:type="dxa"/>
            <w:bottom w:w="0" w:type="dxa"/>
            <w:right w:w="0" w:type="dxa"/>
          </w:tblCellMar>
        </w:tblPrEx>
        <w:trPr>
          <w:trHeight w:val="420" w:hRule="atLeast"/>
          <w:tblCellSpacing w:w="0" w:type="dxa"/>
        </w:trPr>
        <w:tc>
          <w:tcPr>
            <w:tcW w:w="1980" w:type="dxa"/>
            <w:vMerge w:val="continue"/>
            <w:noWrap w:val="0"/>
            <w:vAlign w:val="center"/>
          </w:tcPr>
          <w:p>
            <w:pPr>
              <w:rPr>
                <w:rFonts w:hint="eastAsia" w:ascii="宋体"/>
                <w:sz w:val="24"/>
                <w:szCs w:val="24"/>
              </w:rPr>
            </w:pPr>
          </w:p>
        </w:tc>
        <w:tc>
          <w:tcPr>
            <w:tcW w:w="1140" w:type="dxa"/>
            <w:vMerge w:val="continue"/>
            <w:noWrap w:val="0"/>
            <w:vAlign w:val="center"/>
          </w:tcPr>
          <w:p>
            <w:pPr>
              <w:rPr>
                <w:rFonts w:hint="eastAsia" w:ascii="宋体"/>
                <w:sz w:val="24"/>
                <w:szCs w:val="24"/>
              </w:rPr>
            </w:pPr>
          </w:p>
        </w:tc>
        <w:tc>
          <w:tcPr>
            <w:tcW w:w="1635" w:type="dxa"/>
            <w:noWrap w:val="0"/>
            <w:vAlign w:val="center"/>
          </w:tcPr>
          <w:p>
            <w:pPr>
              <w:pStyle w:val="9"/>
              <w:keepNext w:val="0"/>
              <w:keepLines w:val="0"/>
              <w:widowControl/>
              <w:suppressLineNumbers w:val="0"/>
              <w:jc w:val="center"/>
            </w:pPr>
            <w:r>
              <w:t>时效指标</w:t>
            </w:r>
          </w:p>
        </w:tc>
        <w:tc>
          <w:tcPr>
            <w:tcW w:w="1185" w:type="dxa"/>
            <w:noWrap w:val="0"/>
            <w:vAlign w:val="center"/>
          </w:tcPr>
          <w:p>
            <w:pPr>
              <w:pStyle w:val="9"/>
              <w:keepNext w:val="0"/>
              <w:keepLines w:val="0"/>
              <w:widowControl/>
              <w:suppressLineNumbers w:val="0"/>
              <w:jc w:val="center"/>
            </w:pPr>
            <w:r>
              <w:t> </w:t>
            </w:r>
          </w:p>
        </w:tc>
        <w:tc>
          <w:tcPr>
            <w:tcW w:w="1230" w:type="dxa"/>
            <w:noWrap w:val="0"/>
            <w:vAlign w:val="center"/>
          </w:tcPr>
          <w:p>
            <w:pPr>
              <w:pStyle w:val="9"/>
              <w:keepNext w:val="0"/>
              <w:keepLines w:val="0"/>
              <w:widowControl/>
              <w:suppressLineNumbers w:val="0"/>
              <w:jc w:val="center"/>
            </w:pPr>
            <w:r>
              <w:t> </w:t>
            </w:r>
          </w:p>
        </w:tc>
        <w:tc>
          <w:tcPr>
            <w:tcW w:w="2415" w:type="dxa"/>
            <w:noWrap w:val="0"/>
            <w:vAlign w:val="center"/>
          </w:tcPr>
          <w:p>
            <w:pPr>
              <w:pStyle w:val="9"/>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0"/>
            <w:vAlign w:val="center"/>
          </w:tcPr>
          <w:p>
            <w:pPr>
              <w:rPr>
                <w:rFonts w:hint="eastAsia" w:ascii="宋体"/>
                <w:sz w:val="24"/>
                <w:szCs w:val="24"/>
              </w:rPr>
            </w:pPr>
          </w:p>
        </w:tc>
        <w:tc>
          <w:tcPr>
            <w:tcW w:w="1140" w:type="dxa"/>
            <w:vMerge w:val="continue"/>
            <w:noWrap w:val="0"/>
            <w:vAlign w:val="center"/>
          </w:tcPr>
          <w:p>
            <w:pPr>
              <w:rPr>
                <w:rFonts w:hint="eastAsia" w:ascii="宋体"/>
                <w:sz w:val="24"/>
                <w:szCs w:val="24"/>
              </w:rPr>
            </w:pPr>
          </w:p>
        </w:tc>
        <w:tc>
          <w:tcPr>
            <w:tcW w:w="1635" w:type="dxa"/>
            <w:noWrap w:val="0"/>
            <w:vAlign w:val="center"/>
          </w:tcPr>
          <w:p>
            <w:pPr>
              <w:pStyle w:val="9"/>
              <w:keepNext w:val="0"/>
              <w:keepLines w:val="0"/>
              <w:widowControl/>
              <w:suppressLineNumbers w:val="0"/>
              <w:jc w:val="center"/>
            </w:pPr>
            <w:r>
              <w:t>成本指标</w:t>
            </w:r>
          </w:p>
        </w:tc>
        <w:tc>
          <w:tcPr>
            <w:tcW w:w="1185" w:type="dxa"/>
            <w:noWrap w:val="0"/>
            <w:vAlign w:val="center"/>
          </w:tcPr>
          <w:p>
            <w:pPr>
              <w:pStyle w:val="9"/>
              <w:keepNext w:val="0"/>
              <w:keepLines w:val="0"/>
              <w:widowControl/>
              <w:suppressLineNumbers w:val="0"/>
              <w:jc w:val="center"/>
            </w:pPr>
            <w:r>
              <w:t> </w:t>
            </w:r>
          </w:p>
        </w:tc>
        <w:tc>
          <w:tcPr>
            <w:tcW w:w="1230" w:type="dxa"/>
            <w:noWrap w:val="0"/>
            <w:vAlign w:val="center"/>
          </w:tcPr>
          <w:p>
            <w:pPr>
              <w:pStyle w:val="9"/>
              <w:keepNext w:val="0"/>
              <w:keepLines w:val="0"/>
              <w:widowControl/>
              <w:suppressLineNumbers w:val="0"/>
              <w:jc w:val="center"/>
            </w:pPr>
            <w:r>
              <w:t> </w:t>
            </w:r>
          </w:p>
        </w:tc>
        <w:tc>
          <w:tcPr>
            <w:tcW w:w="2415" w:type="dxa"/>
            <w:noWrap w:val="0"/>
            <w:vAlign w:val="center"/>
          </w:tcPr>
          <w:p>
            <w:pPr>
              <w:pStyle w:val="9"/>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0"/>
            <w:vAlign w:val="center"/>
          </w:tcPr>
          <w:p>
            <w:pPr>
              <w:rPr>
                <w:rFonts w:hint="eastAsia" w:ascii="宋体"/>
                <w:sz w:val="24"/>
                <w:szCs w:val="24"/>
              </w:rPr>
            </w:pPr>
          </w:p>
        </w:tc>
        <w:tc>
          <w:tcPr>
            <w:tcW w:w="1140" w:type="dxa"/>
            <w:vMerge w:val="restart"/>
            <w:noWrap w:val="0"/>
            <w:vAlign w:val="center"/>
          </w:tcPr>
          <w:p>
            <w:pPr>
              <w:pStyle w:val="9"/>
              <w:keepNext w:val="0"/>
              <w:keepLines w:val="0"/>
              <w:widowControl/>
              <w:suppressLineNumbers w:val="0"/>
              <w:jc w:val="center"/>
            </w:pPr>
            <w:r>
              <w:t>效益</w:t>
            </w:r>
          </w:p>
          <w:p>
            <w:pPr>
              <w:pStyle w:val="9"/>
              <w:keepNext w:val="0"/>
              <w:keepLines w:val="0"/>
              <w:widowControl/>
              <w:suppressLineNumbers w:val="0"/>
              <w:jc w:val="center"/>
            </w:pPr>
            <w:r>
              <w:t>指标</w:t>
            </w:r>
          </w:p>
        </w:tc>
        <w:tc>
          <w:tcPr>
            <w:tcW w:w="1635" w:type="dxa"/>
            <w:noWrap w:val="0"/>
            <w:vAlign w:val="center"/>
          </w:tcPr>
          <w:p>
            <w:pPr>
              <w:pStyle w:val="9"/>
              <w:keepNext w:val="0"/>
              <w:keepLines w:val="0"/>
              <w:widowControl/>
              <w:suppressLineNumbers w:val="0"/>
              <w:jc w:val="center"/>
            </w:pPr>
            <w:r>
              <w:t>经济效益指标</w:t>
            </w:r>
          </w:p>
        </w:tc>
        <w:tc>
          <w:tcPr>
            <w:tcW w:w="1185" w:type="dxa"/>
            <w:noWrap w:val="0"/>
            <w:vAlign w:val="center"/>
          </w:tcPr>
          <w:p>
            <w:pPr>
              <w:pStyle w:val="9"/>
              <w:keepNext w:val="0"/>
              <w:keepLines w:val="0"/>
              <w:widowControl/>
              <w:suppressLineNumbers w:val="0"/>
              <w:jc w:val="center"/>
            </w:pPr>
            <w:r>
              <w:t> </w:t>
            </w:r>
          </w:p>
        </w:tc>
        <w:tc>
          <w:tcPr>
            <w:tcW w:w="1230" w:type="dxa"/>
            <w:noWrap w:val="0"/>
            <w:vAlign w:val="center"/>
          </w:tcPr>
          <w:p>
            <w:pPr>
              <w:pStyle w:val="9"/>
              <w:keepNext w:val="0"/>
              <w:keepLines w:val="0"/>
              <w:widowControl/>
              <w:suppressLineNumbers w:val="0"/>
              <w:jc w:val="center"/>
            </w:pPr>
            <w:r>
              <w:t> </w:t>
            </w:r>
          </w:p>
        </w:tc>
        <w:tc>
          <w:tcPr>
            <w:tcW w:w="2415" w:type="dxa"/>
            <w:noWrap w:val="0"/>
            <w:vAlign w:val="center"/>
          </w:tcPr>
          <w:p>
            <w:pPr>
              <w:pStyle w:val="9"/>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0"/>
            <w:vAlign w:val="center"/>
          </w:tcPr>
          <w:p>
            <w:pPr>
              <w:rPr>
                <w:rFonts w:hint="eastAsia" w:ascii="宋体"/>
                <w:sz w:val="24"/>
                <w:szCs w:val="24"/>
              </w:rPr>
            </w:pPr>
          </w:p>
        </w:tc>
        <w:tc>
          <w:tcPr>
            <w:tcW w:w="1140" w:type="dxa"/>
            <w:vMerge w:val="continue"/>
            <w:noWrap w:val="0"/>
            <w:vAlign w:val="center"/>
          </w:tcPr>
          <w:p>
            <w:pPr>
              <w:rPr>
                <w:rFonts w:hint="eastAsia" w:ascii="宋体"/>
                <w:sz w:val="24"/>
                <w:szCs w:val="24"/>
              </w:rPr>
            </w:pPr>
          </w:p>
        </w:tc>
        <w:tc>
          <w:tcPr>
            <w:tcW w:w="1635" w:type="dxa"/>
            <w:noWrap w:val="0"/>
            <w:vAlign w:val="center"/>
          </w:tcPr>
          <w:p>
            <w:pPr>
              <w:pStyle w:val="9"/>
              <w:keepNext w:val="0"/>
              <w:keepLines w:val="0"/>
              <w:widowControl/>
              <w:suppressLineNumbers w:val="0"/>
              <w:jc w:val="center"/>
            </w:pPr>
            <w:r>
              <w:t>社会效益指标</w:t>
            </w:r>
          </w:p>
        </w:tc>
        <w:tc>
          <w:tcPr>
            <w:tcW w:w="1185" w:type="dxa"/>
            <w:noWrap w:val="0"/>
            <w:vAlign w:val="center"/>
          </w:tcPr>
          <w:p>
            <w:pPr>
              <w:pStyle w:val="9"/>
              <w:keepNext w:val="0"/>
              <w:keepLines w:val="0"/>
              <w:widowControl/>
              <w:suppressLineNumbers w:val="0"/>
              <w:jc w:val="center"/>
            </w:pPr>
            <w:r>
              <w:t> </w:t>
            </w:r>
          </w:p>
        </w:tc>
        <w:tc>
          <w:tcPr>
            <w:tcW w:w="1230" w:type="dxa"/>
            <w:noWrap w:val="0"/>
            <w:vAlign w:val="center"/>
          </w:tcPr>
          <w:p>
            <w:pPr>
              <w:pStyle w:val="9"/>
              <w:keepNext w:val="0"/>
              <w:keepLines w:val="0"/>
              <w:widowControl/>
              <w:suppressLineNumbers w:val="0"/>
              <w:jc w:val="center"/>
            </w:pPr>
            <w:r>
              <w:t> </w:t>
            </w:r>
          </w:p>
        </w:tc>
        <w:tc>
          <w:tcPr>
            <w:tcW w:w="2415" w:type="dxa"/>
            <w:noWrap w:val="0"/>
            <w:vAlign w:val="center"/>
          </w:tcPr>
          <w:p>
            <w:pPr>
              <w:pStyle w:val="9"/>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980" w:type="dxa"/>
            <w:vMerge w:val="continue"/>
            <w:noWrap w:val="0"/>
            <w:vAlign w:val="center"/>
          </w:tcPr>
          <w:p>
            <w:pPr>
              <w:rPr>
                <w:rFonts w:hint="eastAsia" w:ascii="宋体"/>
                <w:sz w:val="24"/>
                <w:szCs w:val="24"/>
              </w:rPr>
            </w:pPr>
          </w:p>
        </w:tc>
        <w:tc>
          <w:tcPr>
            <w:tcW w:w="1140" w:type="dxa"/>
            <w:vMerge w:val="continue"/>
            <w:noWrap w:val="0"/>
            <w:vAlign w:val="center"/>
          </w:tcPr>
          <w:p>
            <w:pPr>
              <w:rPr>
                <w:rFonts w:hint="eastAsia" w:ascii="宋体"/>
                <w:sz w:val="24"/>
                <w:szCs w:val="24"/>
              </w:rPr>
            </w:pPr>
          </w:p>
        </w:tc>
        <w:tc>
          <w:tcPr>
            <w:tcW w:w="1635" w:type="dxa"/>
            <w:noWrap w:val="0"/>
            <w:vAlign w:val="center"/>
          </w:tcPr>
          <w:p>
            <w:pPr>
              <w:pStyle w:val="9"/>
              <w:keepNext w:val="0"/>
              <w:keepLines w:val="0"/>
              <w:widowControl/>
              <w:suppressLineNumbers w:val="0"/>
              <w:ind w:left="423"/>
              <w:jc w:val="both"/>
            </w:pPr>
            <w:r>
              <w:t>生态效益指标</w:t>
            </w:r>
          </w:p>
        </w:tc>
        <w:tc>
          <w:tcPr>
            <w:tcW w:w="1185" w:type="dxa"/>
            <w:noWrap w:val="0"/>
            <w:vAlign w:val="center"/>
          </w:tcPr>
          <w:p>
            <w:pPr>
              <w:pStyle w:val="9"/>
              <w:keepNext w:val="0"/>
              <w:keepLines w:val="0"/>
              <w:widowControl/>
              <w:suppressLineNumbers w:val="0"/>
              <w:jc w:val="center"/>
            </w:pPr>
            <w:r>
              <w:t> </w:t>
            </w:r>
          </w:p>
        </w:tc>
        <w:tc>
          <w:tcPr>
            <w:tcW w:w="1230" w:type="dxa"/>
            <w:noWrap w:val="0"/>
            <w:vAlign w:val="center"/>
          </w:tcPr>
          <w:p>
            <w:pPr>
              <w:pStyle w:val="9"/>
              <w:keepNext w:val="0"/>
              <w:keepLines w:val="0"/>
              <w:widowControl/>
              <w:suppressLineNumbers w:val="0"/>
              <w:jc w:val="center"/>
            </w:pPr>
            <w:r>
              <w:t> </w:t>
            </w:r>
          </w:p>
        </w:tc>
        <w:tc>
          <w:tcPr>
            <w:tcW w:w="2415" w:type="dxa"/>
            <w:noWrap w:val="0"/>
            <w:vAlign w:val="center"/>
          </w:tcPr>
          <w:p>
            <w:pPr>
              <w:pStyle w:val="9"/>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0"/>
            <w:vAlign w:val="center"/>
          </w:tcPr>
          <w:p>
            <w:pPr>
              <w:rPr>
                <w:rFonts w:hint="eastAsia" w:ascii="宋体"/>
                <w:sz w:val="24"/>
                <w:szCs w:val="24"/>
              </w:rPr>
            </w:pPr>
          </w:p>
        </w:tc>
        <w:tc>
          <w:tcPr>
            <w:tcW w:w="1140" w:type="dxa"/>
            <w:vMerge w:val="continue"/>
            <w:noWrap w:val="0"/>
            <w:vAlign w:val="center"/>
          </w:tcPr>
          <w:p>
            <w:pPr>
              <w:rPr>
                <w:rFonts w:hint="eastAsia" w:ascii="宋体"/>
                <w:sz w:val="24"/>
                <w:szCs w:val="24"/>
              </w:rPr>
            </w:pPr>
          </w:p>
        </w:tc>
        <w:tc>
          <w:tcPr>
            <w:tcW w:w="1635" w:type="dxa"/>
            <w:noWrap w:val="0"/>
            <w:vAlign w:val="center"/>
          </w:tcPr>
          <w:p>
            <w:pPr>
              <w:pStyle w:val="9"/>
              <w:keepNext w:val="0"/>
              <w:keepLines w:val="0"/>
              <w:widowControl/>
              <w:suppressLineNumbers w:val="0"/>
              <w:jc w:val="center"/>
            </w:pPr>
            <w:r>
              <w:t>可持续影响指标</w:t>
            </w:r>
          </w:p>
        </w:tc>
        <w:tc>
          <w:tcPr>
            <w:tcW w:w="1185" w:type="dxa"/>
            <w:noWrap w:val="0"/>
            <w:vAlign w:val="center"/>
          </w:tcPr>
          <w:p>
            <w:pPr>
              <w:pStyle w:val="9"/>
              <w:keepNext w:val="0"/>
              <w:keepLines w:val="0"/>
              <w:widowControl/>
              <w:suppressLineNumbers w:val="0"/>
              <w:jc w:val="center"/>
            </w:pPr>
            <w:r>
              <w:t> </w:t>
            </w:r>
          </w:p>
        </w:tc>
        <w:tc>
          <w:tcPr>
            <w:tcW w:w="1230" w:type="dxa"/>
            <w:noWrap w:val="0"/>
            <w:vAlign w:val="center"/>
          </w:tcPr>
          <w:p>
            <w:pPr>
              <w:pStyle w:val="9"/>
              <w:keepNext w:val="0"/>
              <w:keepLines w:val="0"/>
              <w:widowControl/>
              <w:suppressLineNumbers w:val="0"/>
              <w:jc w:val="center"/>
            </w:pPr>
            <w:r>
              <w:t> </w:t>
            </w:r>
          </w:p>
        </w:tc>
        <w:tc>
          <w:tcPr>
            <w:tcW w:w="2415" w:type="dxa"/>
            <w:noWrap w:val="0"/>
            <w:vAlign w:val="center"/>
          </w:tcPr>
          <w:p>
            <w:pPr>
              <w:pStyle w:val="9"/>
              <w:keepNext w:val="0"/>
              <w:keepLines w:val="0"/>
              <w:widowControl/>
              <w:suppressLineNumbers w:val="0"/>
              <w:jc w:val="center"/>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blCellSpacing w:w="0" w:type="dxa"/>
        </w:trPr>
        <w:tc>
          <w:tcPr>
            <w:tcW w:w="1980" w:type="dxa"/>
            <w:vMerge w:val="continue"/>
            <w:noWrap w:val="0"/>
            <w:vAlign w:val="center"/>
          </w:tcPr>
          <w:p>
            <w:pPr>
              <w:rPr>
                <w:rFonts w:hint="eastAsia" w:ascii="宋体"/>
                <w:sz w:val="24"/>
                <w:szCs w:val="24"/>
              </w:rPr>
            </w:pPr>
          </w:p>
        </w:tc>
        <w:tc>
          <w:tcPr>
            <w:tcW w:w="1140" w:type="dxa"/>
            <w:noWrap w:val="0"/>
            <w:vAlign w:val="center"/>
          </w:tcPr>
          <w:p>
            <w:pPr>
              <w:pStyle w:val="9"/>
              <w:keepNext w:val="0"/>
              <w:keepLines w:val="0"/>
              <w:widowControl/>
              <w:suppressLineNumbers w:val="0"/>
              <w:jc w:val="center"/>
            </w:pPr>
            <w:r>
              <w:t>满意</w:t>
            </w:r>
          </w:p>
          <w:p>
            <w:pPr>
              <w:pStyle w:val="9"/>
              <w:keepNext w:val="0"/>
              <w:keepLines w:val="0"/>
              <w:widowControl/>
              <w:suppressLineNumbers w:val="0"/>
              <w:jc w:val="center"/>
            </w:pPr>
            <w:r>
              <w:t>度指标</w:t>
            </w:r>
          </w:p>
        </w:tc>
        <w:tc>
          <w:tcPr>
            <w:tcW w:w="1635" w:type="dxa"/>
            <w:noWrap w:val="0"/>
            <w:vAlign w:val="center"/>
          </w:tcPr>
          <w:p>
            <w:pPr>
              <w:pStyle w:val="9"/>
              <w:keepNext w:val="0"/>
              <w:keepLines w:val="0"/>
              <w:widowControl/>
              <w:suppressLineNumbers w:val="0"/>
              <w:jc w:val="center"/>
            </w:pPr>
            <w:r>
              <w:t>满意度</w:t>
            </w:r>
          </w:p>
          <w:p>
            <w:pPr>
              <w:pStyle w:val="9"/>
              <w:keepNext w:val="0"/>
              <w:keepLines w:val="0"/>
              <w:widowControl/>
              <w:suppressLineNumbers w:val="0"/>
              <w:jc w:val="center"/>
            </w:pPr>
            <w:r>
              <w:t>指标</w:t>
            </w:r>
          </w:p>
        </w:tc>
        <w:tc>
          <w:tcPr>
            <w:tcW w:w="1185" w:type="dxa"/>
            <w:noWrap w:val="0"/>
            <w:vAlign w:val="center"/>
          </w:tcPr>
          <w:p>
            <w:pPr>
              <w:pStyle w:val="9"/>
              <w:keepNext w:val="0"/>
              <w:keepLines w:val="0"/>
              <w:widowControl/>
              <w:suppressLineNumbers w:val="0"/>
              <w:jc w:val="center"/>
            </w:pPr>
            <w:r>
              <w:t> </w:t>
            </w:r>
          </w:p>
        </w:tc>
        <w:tc>
          <w:tcPr>
            <w:tcW w:w="1230" w:type="dxa"/>
            <w:noWrap w:val="0"/>
            <w:vAlign w:val="center"/>
          </w:tcPr>
          <w:p>
            <w:pPr>
              <w:pStyle w:val="9"/>
              <w:keepNext w:val="0"/>
              <w:keepLines w:val="0"/>
              <w:widowControl/>
              <w:suppressLineNumbers w:val="0"/>
              <w:jc w:val="center"/>
            </w:pPr>
            <w:r>
              <w:t> </w:t>
            </w:r>
          </w:p>
        </w:tc>
        <w:tc>
          <w:tcPr>
            <w:tcW w:w="2415" w:type="dxa"/>
            <w:noWrap w:val="0"/>
            <w:vAlign w:val="center"/>
          </w:tcPr>
          <w:p>
            <w:pPr>
              <w:pStyle w:val="9"/>
              <w:keepNext w:val="0"/>
              <w:keepLines w:val="0"/>
              <w:widowControl/>
              <w:suppressLineNumbers w:val="0"/>
              <w:jc w:val="center"/>
            </w:pPr>
            <w:r>
              <w:t> </w:t>
            </w:r>
          </w:p>
        </w:tc>
      </w:tr>
    </w:tbl>
    <w:p>
      <w:pPr>
        <w:pStyle w:val="9"/>
        <w:keepNext w:val="0"/>
        <w:keepLines w:val="0"/>
        <w:widowControl/>
        <w:suppressLineNumbers w:val="0"/>
        <w:spacing w:before="0" w:beforeAutospacing="0"/>
        <w:ind w:left="0"/>
        <w:jc w:val="left"/>
      </w:pPr>
      <w:r>
        <w:rPr>
          <w:shd w:val="clear" w:color="auto" w:fill="FFFFFF"/>
        </w:rPr>
        <w:t>（注：有两个及以上100万元以上（含）特定目标类部门预算项目的，需分别开展绩效目标自评并填写附表）</w:t>
      </w:r>
    </w:p>
    <w:p>
      <w:pPr>
        <w:pStyle w:val="9"/>
        <w:keepNext w:val="0"/>
        <w:keepLines w:val="0"/>
        <w:widowControl/>
        <w:suppressLineNumbers w:val="0"/>
        <w:spacing w:before="0" w:beforeAutospacing="0"/>
        <w:ind w:left="0"/>
        <w:jc w:val="left"/>
      </w:pP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 </w:t>
      </w:r>
    </w:p>
    <w:p>
      <w:pPr>
        <w:pStyle w:val="9"/>
        <w:keepNext w:val="0"/>
        <w:keepLines w:val="0"/>
        <w:widowControl/>
        <w:suppressLineNumbers w:val="0"/>
        <w:spacing w:before="0" w:beforeAutospacing="0"/>
        <w:ind w:left="0"/>
        <w:jc w:val="left"/>
      </w:pPr>
      <w:r>
        <w:rPr>
          <w:shd w:val="clear" w:color="auto" w:fill="FFFFFF"/>
        </w:rPr>
        <w:t> </w:t>
      </w:r>
    </w:p>
    <w:p>
      <w:pPr>
        <w:pStyle w:val="9"/>
        <w:keepNext w:val="0"/>
        <w:keepLines w:val="0"/>
        <w:widowControl/>
        <w:suppressLineNumbers w:val="0"/>
        <w:spacing w:before="0" w:beforeAutospacing="0"/>
        <w:ind w:left="0"/>
        <w:jc w:val="center"/>
      </w:pPr>
      <w:r>
        <w:rPr>
          <w:rStyle w:val="12"/>
          <w:sz w:val="39"/>
          <w:szCs w:val="39"/>
          <w:shd w:val="clear" w:color="auto" w:fill="FFFFFF"/>
        </w:rPr>
        <w:t>第五部分 附表</w:t>
      </w:r>
    </w:p>
    <w:p>
      <w:pPr>
        <w:pStyle w:val="3"/>
        <w:keepNext w:val="0"/>
        <w:keepLines w:val="0"/>
        <w:widowControl/>
        <w:suppressLineNumbers w:val="0"/>
        <w:spacing w:before="0" w:beforeAutospacing="0"/>
        <w:ind w:left="0"/>
        <w:jc w:val="left"/>
      </w:pPr>
      <w:r>
        <w:rPr>
          <w:shd w:val="clear" w:color="auto" w:fill="FFFFFF"/>
        </w:rPr>
        <w:t>一、收入支出决算总表</w:t>
      </w:r>
    </w:p>
    <w:p>
      <w:pPr>
        <w:pStyle w:val="3"/>
        <w:keepNext w:val="0"/>
        <w:keepLines w:val="0"/>
        <w:widowControl/>
        <w:suppressLineNumbers w:val="0"/>
        <w:spacing w:before="0" w:beforeAutospacing="0"/>
        <w:ind w:left="0"/>
        <w:jc w:val="left"/>
      </w:pPr>
      <w:r>
        <w:rPr>
          <w:shd w:val="clear" w:color="auto" w:fill="FFFFFF"/>
        </w:rPr>
        <w:t>二、收入决算表</w:t>
      </w:r>
    </w:p>
    <w:p>
      <w:pPr>
        <w:pStyle w:val="3"/>
        <w:keepNext w:val="0"/>
        <w:keepLines w:val="0"/>
        <w:widowControl/>
        <w:suppressLineNumbers w:val="0"/>
        <w:spacing w:before="0" w:beforeAutospacing="0"/>
        <w:ind w:left="0"/>
        <w:jc w:val="left"/>
      </w:pPr>
      <w:r>
        <w:rPr>
          <w:shd w:val="clear" w:color="auto" w:fill="FFFFFF"/>
        </w:rPr>
        <w:t>三、支出决算表</w:t>
      </w:r>
    </w:p>
    <w:p>
      <w:pPr>
        <w:pStyle w:val="3"/>
        <w:keepNext w:val="0"/>
        <w:keepLines w:val="0"/>
        <w:widowControl/>
        <w:suppressLineNumbers w:val="0"/>
        <w:spacing w:before="0" w:beforeAutospacing="0"/>
        <w:ind w:left="0"/>
        <w:jc w:val="left"/>
      </w:pPr>
      <w:r>
        <w:rPr>
          <w:shd w:val="clear" w:color="auto" w:fill="FFFFFF"/>
        </w:rPr>
        <w:t>四、财政拨款收入支出决算总表</w:t>
      </w:r>
    </w:p>
    <w:p>
      <w:pPr>
        <w:pStyle w:val="3"/>
        <w:keepNext w:val="0"/>
        <w:keepLines w:val="0"/>
        <w:widowControl/>
        <w:suppressLineNumbers w:val="0"/>
        <w:spacing w:before="0" w:beforeAutospacing="0"/>
        <w:ind w:left="0"/>
        <w:jc w:val="left"/>
      </w:pPr>
      <w:r>
        <w:rPr>
          <w:shd w:val="clear" w:color="auto" w:fill="FFFFFF"/>
        </w:rPr>
        <w:t>五、财政拨款支出决算明细表</w:t>
      </w:r>
    </w:p>
    <w:p>
      <w:pPr>
        <w:pStyle w:val="3"/>
        <w:keepNext w:val="0"/>
        <w:keepLines w:val="0"/>
        <w:widowControl/>
        <w:suppressLineNumbers w:val="0"/>
        <w:spacing w:before="0" w:beforeAutospacing="0"/>
        <w:ind w:left="0"/>
        <w:jc w:val="left"/>
      </w:pPr>
      <w:r>
        <w:rPr>
          <w:shd w:val="clear" w:color="auto" w:fill="FFFFFF"/>
        </w:rPr>
        <w:t>六、一般公共预算财政拨款支出决算表</w:t>
      </w:r>
    </w:p>
    <w:p>
      <w:pPr>
        <w:pStyle w:val="3"/>
        <w:keepNext w:val="0"/>
        <w:keepLines w:val="0"/>
        <w:widowControl/>
        <w:suppressLineNumbers w:val="0"/>
        <w:spacing w:before="0" w:beforeAutospacing="0"/>
        <w:ind w:left="0"/>
        <w:jc w:val="left"/>
      </w:pPr>
      <w:r>
        <w:rPr>
          <w:shd w:val="clear" w:color="auto" w:fill="FFFFFF"/>
        </w:rPr>
        <w:t>七、一般公共预算财政拨款支出决算明细表</w:t>
      </w:r>
    </w:p>
    <w:p>
      <w:pPr>
        <w:pStyle w:val="3"/>
        <w:keepNext w:val="0"/>
        <w:keepLines w:val="0"/>
        <w:widowControl/>
        <w:suppressLineNumbers w:val="0"/>
        <w:spacing w:before="0" w:beforeAutospacing="0"/>
        <w:ind w:left="0"/>
        <w:jc w:val="left"/>
      </w:pPr>
      <w:r>
        <w:rPr>
          <w:shd w:val="clear" w:color="auto" w:fill="FFFFFF"/>
        </w:rPr>
        <w:t>八、一般公共预算财政拨款基本支出决算表</w:t>
      </w:r>
    </w:p>
    <w:p>
      <w:pPr>
        <w:pStyle w:val="3"/>
        <w:keepNext w:val="0"/>
        <w:keepLines w:val="0"/>
        <w:widowControl/>
        <w:suppressLineNumbers w:val="0"/>
        <w:spacing w:before="0" w:beforeAutospacing="0"/>
        <w:ind w:left="0"/>
        <w:jc w:val="left"/>
      </w:pPr>
      <w:r>
        <w:rPr>
          <w:shd w:val="clear" w:color="auto" w:fill="FFFFFF"/>
        </w:rPr>
        <w:t>九、一般公共预算财政拨款项目支出决算表</w:t>
      </w:r>
    </w:p>
    <w:p>
      <w:pPr>
        <w:pStyle w:val="3"/>
        <w:keepNext w:val="0"/>
        <w:keepLines w:val="0"/>
        <w:widowControl/>
        <w:suppressLineNumbers w:val="0"/>
        <w:spacing w:before="0" w:beforeAutospacing="0"/>
        <w:ind w:left="0"/>
        <w:jc w:val="left"/>
      </w:pPr>
      <w:r>
        <w:rPr>
          <w:shd w:val="clear" w:color="auto" w:fill="FFFFFF"/>
        </w:rPr>
        <w:t>十、政府性基金预算财政拨款收入支出决算表</w:t>
      </w:r>
    </w:p>
    <w:p>
      <w:pPr>
        <w:pStyle w:val="3"/>
        <w:keepNext w:val="0"/>
        <w:keepLines w:val="0"/>
        <w:widowControl/>
        <w:suppressLineNumbers w:val="0"/>
        <w:spacing w:before="0" w:beforeAutospacing="0"/>
        <w:ind w:left="0"/>
        <w:jc w:val="left"/>
      </w:pPr>
      <w:r>
        <w:rPr>
          <w:shd w:val="clear" w:color="auto" w:fill="FFFFFF"/>
        </w:rPr>
        <w:t>十一、国有资本经营预算财政拨款收入支出决算表</w:t>
      </w:r>
    </w:p>
    <w:p>
      <w:pPr>
        <w:pStyle w:val="3"/>
        <w:keepNext w:val="0"/>
        <w:keepLines w:val="0"/>
        <w:widowControl/>
        <w:suppressLineNumbers w:val="0"/>
        <w:spacing w:before="0" w:beforeAutospacing="0"/>
        <w:ind w:left="0"/>
        <w:jc w:val="left"/>
      </w:pPr>
      <w:r>
        <w:rPr>
          <w:shd w:val="clear" w:color="auto" w:fill="FFFFFF"/>
        </w:rPr>
        <w:t>十二、国有资本经营预算财政拨款支出决算表</w:t>
      </w:r>
    </w:p>
    <w:p>
      <w:pPr>
        <w:pStyle w:val="3"/>
        <w:keepNext w:val="0"/>
        <w:keepLines w:val="0"/>
        <w:widowControl/>
        <w:suppressLineNumbers w:val="0"/>
        <w:spacing w:before="0" w:beforeAutospacing="0"/>
        <w:ind w:left="0"/>
        <w:jc w:val="left"/>
      </w:pPr>
      <w:r>
        <w:rPr>
          <w:shd w:val="clear" w:color="auto" w:fill="FFFFFF"/>
        </w:rPr>
        <w:t>十三、财政拨款“三公”经费支出决算表</w:t>
      </w:r>
    </w:p>
    <w:sectPr>
      <w:pgSz w:w="11915" w:h="16851"/>
      <w:pgMar w:top="1440" w:right="1800" w:bottom="1440" w:left="1800" w:header="851" w:footer="992" w:gutter="0"/>
      <w:paperSrc/>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20DCC"/>
    <w:multiLevelType w:val="multilevel"/>
    <w:tmpl w:val="DE720DC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isplayHorizontalDrawingGridEvery w:val="1"/>
  <w:displayVerticalDrawingGridEvery w:val="1"/>
  <w:noPunctuationKerning w:val="1"/>
  <w:characterSpacingControl w:val="doNotCompress"/>
  <w:compat>
    <w:spaceForUL/>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mIxOGQyMmFkYzIxMGJmYTcyYWQyNzc5MmRhZDEifQ=="/>
  </w:docVars>
  <w:rsids>
    <w:rsidRoot w:val="00000000"/>
    <w:rsid w:val="012F7375"/>
    <w:rsid w:val="0922771B"/>
    <w:rsid w:val="0AFE0634"/>
    <w:rsid w:val="0F5B5C09"/>
    <w:rsid w:val="19B90C5D"/>
    <w:rsid w:val="21881272"/>
    <w:rsid w:val="21DC6129"/>
    <w:rsid w:val="2B6E3016"/>
    <w:rsid w:val="2F752058"/>
    <w:rsid w:val="47C84519"/>
    <w:rsid w:val="538E582D"/>
    <w:rsid w:val="53AB7982"/>
    <w:rsid w:val="59891D6E"/>
    <w:rsid w:val="6152345C"/>
    <w:rsid w:val="62687F1B"/>
    <w:rsid w:val="68847619"/>
    <w:rsid w:val="695E6DB7"/>
    <w:rsid w:val="6F531A88"/>
    <w:rsid w:val="769331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宋体" w:hAnsi="宋体" w:eastAsia="宋体" w:cs="宋体"/>
      <w:kern w:val="0"/>
      <w:sz w:val="24"/>
      <w:szCs w:val="24"/>
      <w:lang w:val="en-US" w:eastAsia="zh-CN" w:bidi="ar"/>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paragraph" w:styleId="6">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kern w:val="0"/>
      <w:sz w:val="20"/>
      <w:szCs w:val="20"/>
      <w:lang w:val="en-US" w:eastAsia="zh-CN" w:bidi="ar"/>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2023-09-09T01:17:23Z</dcterms:created>
  <dc:creator>Administrator</dc:creator>
  <cp:lastModifiedBy>暖暖</cp:lastModifiedBy>
  <dcterms:modified xsi:type="dcterms:W3CDTF">2023-09-09T09:27:32Z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9F78CCF0519B40B2A426656C59A6C661_13</vt:lpwstr>
  </property>
</Properties>
</file>