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DE354">
      <w:pPr>
        <w:pStyle w:val="5"/>
        <w:spacing w:before="0" w:after="0"/>
        <w:jc w:val="center"/>
        <w:rPr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2024</w:t>
      </w:r>
      <w:r>
        <w:rPr>
          <w:rFonts w:hint="eastAsia" w:ascii="华文中宋" w:hAnsi="华文中宋" w:eastAsia="华文中宋"/>
          <w:sz w:val="36"/>
          <w:szCs w:val="36"/>
        </w:rPr>
        <w:t>年度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阿坝州松潘县教育局</w:t>
      </w:r>
      <w:r>
        <w:rPr>
          <w:rFonts w:hint="eastAsia" w:ascii="华文中宋" w:hAnsi="华文中宋" w:eastAsia="华文中宋"/>
          <w:sz w:val="36"/>
          <w:szCs w:val="36"/>
        </w:rPr>
        <w:t>部门</w:t>
      </w:r>
      <w:r>
        <w:rPr>
          <w:rFonts w:ascii="宋体" w:hAnsi="宋体" w:eastAsia="宋体" w:cs="宋体"/>
          <w:sz w:val="36"/>
          <w:szCs w:val="36"/>
        </w:rPr>
        <w:t>决算分析报告</w:t>
      </w:r>
    </w:p>
    <w:p w14:paraId="20BF4132">
      <w:pPr>
        <w:pStyle w:val="5"/>
        <w:spacing w:before="0" w:after="0"/>
        <w:ind w:firstLine="640"/>
        <w:jc w:val="both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 </w:t>
      </w:r>
    </w:p>
    <w:p w14:paraId="56BB75A1">
      <w:pPr>
        <w:pStyle w:val="5"/>
        <w:spacing w:before="0" w:after="0" w:line="520" w:lineRule="atLeast"/>
        <w:ind w:firstLine="640"/>
      </w:pPr>
      <w:r>
        <w:rPr>
          <w:rFonts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部门</w:t>
      </w:r>
      <w:r>
        <w:rPr>
          <w:rFonts w:ascii="黑体" w:hAnsi="黑体" w:eastAsia="黑体" w:cs="黑体"/>
          <w:sz w:val="32"/>
          <w:szCs w:val="32"/>
        </w:rPr>
        <w:t>情况</w:t>
      </w:r>
    </w:p>
    <w:p w14:paraId="2341A0A2">
      <w:pPr>
        <w:pStyle w:val="5"/>
        <w:spacing w:before="0" w:after="0" w:line="520" w:lineRule="atLeast"/>
        <w:ind w:firstLine="640"/>
      </w:pPr>
      <w:r>
        <w:rPr>
          <w:rFonts w:ascii="楷体_GB2312" w:hAnsi="楷体_GB2312" w:eastAsia="楷体_GB2312" w:cs="楷体_GB2312"/>
          <w:b/>
          <w:bCs/>
          <w:sz w:val="32"/>
          <w:szCs w:val="32"/>
        </w:rPr>
        <w:t>（一）基本情况。</w:t>
      </w:r>
    </w:p>
    <w:p w14:paraId="72F2FED5">
      <w:pPr>
        <w:pStyle w:val="5"/>
        <w:spacing w:before="0" w:after="0" w:line="520" w:lineRule="atLeast"/>
        <w:ind w:firstLine="640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</w:t>
      </w:r>
      <w:r>
        <w:rPr>
          <w:rFonts w:ascii="仿宋_GB2312" w:hAnsi="仿宋_GB2312" w:eastAsia="仿宋_GB2312" w:cs="仿宋_GB2312"/>
          <w:sz w:val="32"/>
          <w:szCs w:val="32"/>
        </w:rPr>
        <w:t>主要职能。</w:t>
      </w:r>
    </w:p>
    <w:p w14:paraId="64BABD63">
      <w:pPr>
        <w:pStyle w:val="5"/>
        <w:spacing w:before="0" w:after="0" w:line="520" w:lineRule="atLeast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</w:rPr>
        <w:t>1.拟订全县教育发展战略、规划、政策和改革方案并组织实施。</w:t>
      </w:r>
    </w:p>
    <w:p w14:paraId="4B7460EA">
      <w:pPr>
        <w:pStyle w:val="5"/>
        <w:spacing w:before="0" w:after="0" w:line="520" w:lineRule="atLeas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2.贯彻执行国家教育方面的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sz w:val="32"/>
          <w:szCs w:val="32"/>
        </w:rPr>
        <w:t>和方针、政策。</w:t>
      </w:r>
    </w:p>
    <w:p w14:paraId="1491EA39">
      <w:pPr>
        <w:pStyle w:val="5"/>
        <w:spacing w:before="0" w:after="0" w:line="520" w:lineRule="atLeast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3.负责制定全县教育经费的管理办法并对执行情况进行监督检查。</w:t>
      </w:r>
    </w:p>
    <w:p w14:paraId="633DE2AF">
      <w:pPr>
        <w:pStyle w:val="5"/>
        <w:spacing w:before="0" w:after="0" w:line="520" w:lineRule="atLeast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4.组织执行政府债务管理制度和政策，制定具体管理办法，负责管理政府债务，防范财政风险。</w:t>
      </w:r>
    </w:p>
    <w:p w14:paraId="08A6C4F7">
      <w:pPr>
        <w:pStyle w:val="5"/>
        <w:spacing w:before="0" w:after="0" w:line="520" w:lineRule="atLeast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5.负责管理全县教育系统的会计工作。</w:t>
      </w:r>
    </w:p>
    <w:p w14:paraId="03502C16">
      <w:pPr>
        <w:pStyle w:val="5"/>
        <w:spacing w:before="0" w:after="0" w:line="520" w:lineRule="atLeast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6.负责全县教育系统事业统计工作。</w:t>
      </w:r>
    </w:p>
    <w:p w14:paraId="2F9CE0BD">
      <w:pPr>
        <w:pStyle w:val="5"/>
        <w:spacing w:before="0" w:after="0" w:line="520" w:lineRule="atLeast"/>
        <w:ind w:firstLine="960" w:firstLineChars="300"/>
      </w:pPr>
      <w:r>
        <w:rPr>
          <w:rFonts w:hint="eastAsia" w:ascii="仿宋_GB2312" w:hAnsi="仿宋_GB2312" w:eastAsia="仿宋_GB2312" w:cs="仿宋_GB2312"/>
          <w:sz w:val="32"/>
          <w:szCs w:val="32"/>
        </w:rPr>
        <w:t>7.承办教育局、财政局、统计局交办的其他事项。</w:t>
      </w:r>
    </w:p>
    <w:p w14:paraId="53048A12">
      <w:pPr>
        <w:pStyle w:val="5"/>
        <w:spacing w:before="0" w:after="0" w:line="520" w:lineRule="atLeast"/>
        <w:ind w:firstLine="640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</w:t>
      </w:r>
      <w:r>
        <w:rPr>
          <w:rFonts w:ascii="仿宋_GB2312" w:hAnsi="仿宋_GB2312" w:eastAsia="仿宋_GB2312" w:cs="仿宋_GB2312"/>
          <w:sz w:val="32"/>
          <w:szCs w:val="32"/>
        </w:rPr>
        <w:t>机构情况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3196A819">
      <w:pPr>
        <w:pStyle w:val="5"/>
        <w:spacing w:before="0" w:after="0" w:line="520" w:lineRule="atLeast"/>
        <w:ind w:firstLine="640"/>
        <w:rPr>
          <w:rFonts w:hint="default"/>
          <w:lang w:val="en-US"/>
        </w:rPr>
      </w:pPr>
      <w:r>
        <w:rPr>
          <w:rFonts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本部门本年度纳入</w:t>
      </w:r>
      <w:bookmarkStart w:id="0" w:name="_GoBack"/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本套</w:t>
      </w:r>
      <w:bookmarkEnd w:id="0"/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决算编制范围的独立编制机构数共25个，上下年度无任何变动。</w:t>
      </w:r>
    </w:p>
    <w:p w14:paraId="7036B8BC">
      <w:pPr>
        <w:numPr>
          <w:ilvl w:val="0"/>
          <w:numId w:val="1"/>
        </w:numPr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人员情况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7171CA2B">
      <w:pPr>
        <w:numPr>
          <w:ilvl w:val="0"/>
          <w:numId w:val="0"/>
        </w:numPr>
        <w:snapToGrid w:val="0"/>
        <w:spacing w:line="520" w:lineRule="exact"/>
        <w:ind w:firstLine="840" w:firstLineChars="3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本部门本年度年末实有人数为970人，比上年减少37人；年末实有离退休人数为0人，比上年增加0人；变动情况及原因为人员变动。</w:t>
      </w:r>
    </w:p>
    <w:p w14:paraId="72A2FB2D">
      <w:pPr>
        <w:pStyle w:val="5"/>
        <w:spacing w:before="0" w:after="0" w:line="520" w:lineRule="atLeast"/>
        <w:ind w:firstLine="640"/>
        <w:jc w:val="both"/>
      </w:pPr>
    </w:p>
    <w:p w14:paraId="1E7374EB">
      <w:pPr>
        <w:pStyle w:val="5"/>
        <w:spacing w:before="0" w:after="0" w:line="520" w:lineRule="atLeast"/>
        <w:ind w:firstLine="640"/>
      </w:pPr>
      <w:r>
        <w:rPr>
          <w:rFonts w:ascii="楷体_GB2312" w:hAnsi="楷体_GB2312" w:eastAsia="楷体_GB2312" w:cs="楷体_GB2312"/>
          <w:b/>
          <w:bCs/>
          <w:sz w:val="32"/>
          <w:szCs w:val="32"/>
        </w:rPr>
        <w:t>（二）当年取得的主要事业成效。</w:t>
      </w:r>
    </w:p>
    <w:p w14:paraId="5EF7351F">
      <w:pPr>
        <w:pStyle w:val="5"/>
        <w:spacing w:before="0" w:after="0" w:line="520" w:lineRule="atLeast"/>
        <w:ind w:firstLine="640"/>
        <w:jc w:val="both"/>
        <w:rPr>
          <w:rFonts w:hint="eastAsia" w:eastAsia="仿宋_GB2312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 w14:paraId="3CDD2A9E">
      <w:pPr>
        <w:pStyle w:val="5"/>
        <w:spacing w:before="0" w:after="0" w:line="520" w:lineRule="atLeast"/>
        <w:ind w:firstLine="640"/>
      </w:pPr>
      <w:r>
        <w:rPr>
          <w:rFonts w:ascii="黑体" w:hAnsi="黑体" w:eastAsia="黑体" w:cs="黑体"/>
          <w:sz w:val="32"/>
          <w:szCs w:val="32"/>
        </w:rPr>
        <w:t>二、收入支出预算执行情况分析</w:t>
      </w:r>
    </w:p>
    <w:p w14:paraId="2473C6F9">
      <w:pPr>
        <w:pStyle w:val="5"/>
        <w:spacing w:before="0" w:after="0" w:line="520" w:lineRule="atLeast"/>
        <w:ind w:firstLine="640"/>
        <w:jc w:val="both"/>
      </w:pPr>
      <w:r>
        <w:rPr>
          <w:rFonts w:ascii="楷体_GB2312" w:hAnsi="楷体_GB2312" w:eastAsia="楷体_GB2312" w:cs="楷体_GB2312"/>
          <w:b/>
          <w:bCs/>
          <w:sz w:val="32"/>
          <w:szCs w:val="32"/>
        </w:rPr>
        <w:t>（一）收入支出预算安排情况。</w:t>
      </w:r>
    </w:p>
    <w:p w14:paraId="04C2CC60">
      <w:pPr>
        <w:pStyle w:val="5"/>
        <w:spacing w:before="0" w:after="0" w:line="520" w:lineRule="atLeast"/>
        <w:ind w:firstLine="720"/>
        <w:jc w:val="both"/>
      </w:pPr>
      <w:r>
        <w:rPr>
          <w:rFonts w:ascii="仿宋_GB2312" w:hAnsi="仿宋_GB2312" w:eastAsia="仿宋_GB2312" w:cs="仿宋_GB2312"/>
          <w:sz w:val="32"/>
          <w:szCs w:val="32"/>
        </w:rPr>
        <w:t>1.本年度年初预算收入数为26,662.24万元，上年度年初预算收入数为25,888.61万元，比去年增加773.63万元，本年度年初预算支出数为26,662.24万元，上年度年初预算支出数为25,888.61万元，比去年增加773.63万元。</w:t>
      </w:r>
    </w:p>
    <w:p w14:paraId="67DB2489">
      <w:pPr>
        <w:pStyle w:val="5"/>
        <w:spacing w:before="0" w:after="0" w:line="520" w:lineRule="atLeast"/>
        <w:ind w:firstLine="720"/>
        <w:jc w:val="both"/>
      </w:pPr>
      <w:r>
        <w:rPr>
          <w:rFonts w:ascii="仿宋_GB2312" w:hAnsi="仿宋_GB2312" w:eastAsia="仿宋_GB2312" w:cs="仿宋_GB2312"/>
          <w:sz w:val="32"/>
          <w:szCs w:val="32"/>
        </w:rPr>
        <w:t>图1、年初预算收支分析图</w:t>
      </w:r>
    </w:p>
    <w:p w14:paraId="52C7F523">
      <w:pPr>
        <w:pStyle w:val="5"/>
        <w:spacing w:before="0" w:after="0" w:line="520" w:lineRule="atLeast"/>
        <w:ind w:firstLine="640"/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  <w:r>
        <w:rPr>
          <w:rFonts w:ascii="仿宋_GB2312" w:hAnsi="仿宋_GB2312" w:eastAsia="仿宋_GB2312" w:cs="仿宋_GB2312"/>
          <w:sz w:val="32"/>
          <w:szCs w:val="32"/>
        </w:rPr>
        <w:t> </w:t>
      </w:r>
      <w:r>
        <w:drawing>
          <wp:inline distT="0" distB="0" distL="114300" distR="114300">
            <wp:extent cx="3810000" cy="2540000"/>
            <wp:effectExtent l="4445" t="4445" r="8255" b="8255"/>
            <wp:docPr id="100001" name="图表 10000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96AEC00">
      <w:pPr>
        <w:pStyle w:val="5"/>
        <w:spacing w:before="0" w:after="0" w:line="520" w:lineRule="atLeast"/>
        <w:ind w:firstLine="720"/>
        <w:jc w:val="both"/>
      </w:pPr>
      <w:r>
        <w:rPr>
          <w:rFonts w:ascii="仿宋_GB2312" w:hAnsi="仿宋_GB2312" w:eastAsia="仿宋_GB2312" w:cs="仿宋_GB2312"/>
          <w:sz w:val="32"/>
          <w:szCs w:val="32"/>
        </w:rPr>
        <w:t>2.本年度全年预算收入数为35,216.25万元，上年度全年预算收入数为42,502.10万元，比去年减少7285.85万元。本年度全年预算支出数为35,238.60万元，上年度全年预算支出数为42,664.61万元，比去年减少7426.01万元。</w:t>
      </w:r>
    </w:p>
    <w:p w14:paraId="36E29581">
      <w:pPr>
        <w:pStyle w:val="5"/>
        <w:spacing w:before="0" w:after="0" w:line="520" w:lineRule="atLeast"/>
        <w:ind w:left="540"/>
        <w:jc w:val="both"/>
      </w:pPr>
      <w:r>
        <w:rPr>
          <w:rFonts w:ascii="仿宋_GB2312" w:hAnsi="仿宋_GB2312" w:eastAsia="仿宋_GB2312" w:cs="仿宋_GB2312"/>
          <w:sz w:val="32"/>
          <w:szCs w:val="32"/>
        </w:rPr>
        <w:t>图2、全年预算收支分析表</w:t>
      </w:r>
    </w:p>
    <w:p w14:paraId="473829EC">
      <w:pPr>
        <w:pStyle w:val="5"/>
        <w:spacing w:before="0" w:after="0" w:line="520" w:lineRule="atLeast"/>
        <w:ind w:firstLine="720"/>
        <w:jc w:val="both"/>
      </w:pPr>
      <w:r>
        <w:rPr>
          <w:rFonts w:ascii="仿宋_GB2312" w:hAnsi="仿宋_GB2312" w:eastAsia="仿宋_GB2312" w:cs="仿宋_GB2312"/>
          <w:sz w:val="32"/>
          <w:szCs w:val="32"/>
        </w:rPr>
        <w:t> </w:t>
      </w:r>
      <w:r>
        <w:drawing>
          <wp:inline distT="0" distB="0" distL="114300" distR="114300">
            <wp:extent cx="3810000" cy="2540000"/>
            <wp:effectExtent l="4445" t="4445" r="8255" b="8255"/>
            <wp:docPr id="100002" name="图表 10000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F9507FA">
      <w:pPr>
        <w:pStyle w:val="5"/>
        <w:spacing w:before="0" w:after="0" w:line="520" w:lineRule="atLeast"/>
        <w:ind w:firstLine="640"/>
        <w:jc w:val="both"/>
      </w:pPr>
      <w:r>
        <w:rPr>
          <w:rFonts w:ascii="楷体_GB2312" w:hAnsi="楷体_GB2312" w:eastAsia="楷体_GB2312" w:cs="楷体_GB2312"/>
          <w:b/>
          <w:bCs/>
          <w:sz w:val="32"/>
          <w:szCs w:val="32"/>
        </w:rPr>
        <w:t>（二）收入支出预算执行情况。</w:t>
      </w:r>
    </w:p>
    <w:p w14:paraId="5ABAC292">
      <w:pPr>
        <w:pStyle w:val="5"/>
        <w:spacing w:before="0" w:after="0" w:line="520" w:lineRule="atLeast"/>
        <w:ind w:firstLine="720"/>
        <w:jc w:val="both"/>
      </w:pPr>
      <w:r>
        <w:rPr>
          <w:rFonts w:ascii="仿宋_GB2312" w:hAnsi="仿宋_GB2312" w:eastAsia="仿宋_GB2312" w:cs="仿宋_GB2312"/>
          <w:sz w:val="32"/>
          <w:szCs w:val="32"/>
        </w:rPr>
        <w:t>本年预算收入数为35,216.25万元，收入决算数为35,216.25万元，预算完成度100%。本年度预算支出数为35,238.60万元，支出决算数为35,238.60万元，预算完成度100%。</w:t>
      </w:r>
    </w:p>
    <w:p w14:paraId="12D64849">
      <w:pPr>
        <w:pStyle w:val="5"/>
        <w:spacing w:before="0" w:after="0" w:line="520" w:lineRule="atLeast"/>
        <w:ind w:firstLine="720"/>
        <w:jc w:val="both"/>
      </w:pPr>
      <w:r>
        <w:rPr>
          <w:rFonts w:ascii="仿宋_GB2312" w:hAnsi="仿宋_GB2312" w:eastAsia="仿宋_GB2312" w:cs="仿宋_GB2312"/>
          <w:sz w:val="32"/>
          <w:szCs w:val="32"/>
        </w:rPr>
        <w:t>图3、预算执行分析</w:t>
      </w:r>
    </w:p>
    <w:p w14:paraId="6049862F">
      <w:pPr>
        <w:pStyle w:val="5"/>
        <w:spacing w:before="0" w:after="0" w:line="520" w:lineRule="atLeast"/>
        <w:ind w:firstLine="640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     </w:t>
      </w:r>
      <w:r>
        <w:rPr>
          <w:rFonts w:ascii="仿宋_GB2312" w:hAnsi="仿宋_GB2312" w:eastAsia="仿宋_GB2312" w:cs="仿宋_GB2312"/>
          <w:sz w:val="32"/>
          <w:szCs w:val="32"/>
        </w:rPr>
        <w:t>    </w:t>
      </w:r>
      <w:r>
        <w:drawing>
          <wp:inline distT="0" distB="0" distL="114300" distR="114300">
            <wp:extent cx="3810000" cy="2540000"/>
            <wp:effectExtent l="4445" t="4445" r="8255" b="8255"/>
            <wp:docPr id="100003" name="图表 10000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99A9066">
      <w:pPr>
        <w:pStyle w:val="5"/>
        <w:spacing w:before="0" w:after="0" w:line="520" w:lineRule="atLeast"/>
        <w:ind w:firstLine="640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1.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收入支出与预算对比分析。</w:t>
      </w:r>
    </w:p>
    <w:p w14:paraId="693A7B5C">
      <w:pPr>
        <w:pStyle w:val="5"/>
        <w:spacing w:before="0" w:after="0" w:line="520" w:lineRule="atLeast"/>
        <w:ind w:firstLine="640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     </w:t>
      </w:r>
      <w:r>
        <w:rPr>
          <w:rFonts w:ascii="仿宋_GB2312" w:hAnsi="仿宋_GB2312" w:eastAsia="仿宋_GB2312" w:cs="仿宋_GB2312"/>
          <w:sz w:val="32"/>
          <w:szCs w:val="32"/>
        </w:rPr>
        <w:t>本年年初预算收入26,662.24万元，全年预算收入35,216.25万元，全年决算收入35,216.25万元：</w:t>
      </w:r>
      <w:r>
        <w:rPr>
          <w:rFonts w:ascii="仿宋_GB2312" w:hAnsi="仿宋_GB2312" w:eastAsia="仿宋_GB2312" w:cs="仿宋_GB2312"/>
          <w:sz w:val="32"/>
          <w:szCs w:val="32"/>
        </w:rPr>
        <w:br w:type="textWrapping"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2158"/>
        <w:gridCol w:w="2158"/>
        <w:gridCol w:w="2158"/>
      </w:tblGrid>
      <w:tr w14:paraId="04F82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8" w:type="dxa"/>
            <w:tcBorders>
              <w:bottom w:val="single" w:color="666666" w:themeColor="text1" w:themeTint="99" w:sz="12" w:space="0"/>
              <w:insideH w:val="single" w:sz="12" w:space="0"/>
            </w:tcBorders>
            <w:vAlign w:val="center"/>
          </w:tcPr>
          <w:p w14:paraId="3C752DA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</w:t>
            </w:r>
          </w:p>
        </w:tc>
        <w:tc>
          <w:tcPr>
            <w:tcW w:w="2158" w:type="dxa"/>
            <w:tcBorders>
              <w:bottom w:val="single" w:color="666666" w:themeColor="text1" w:themeTint="99" w:sz="12" w:space="0"/>
              <w:insideH w:val="single" w:sz="12" w:space="0"/>
            </w:tcBorders>
            <w:vAlign w:val="center"/>
          </w:tcPr>
          <w:p w14:paraId="49E7887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年初预算收入</w:t>
            </w:r>
          </w:p>
        </w:tc>
        <w:tc>
          <w:tcPr>
            <w:tcW w:w="2158" w:type="dxa"/>
            <w:tcBorders>
              <w:bottom w:val="single" w:color="666666" w:themeColor="text1" w:themeTint="99" w:sz="12" w:space="0"/>
              <w:insideH w:val="single" w:sz="12" w:space="0"/>
            </w:tcBorders>
            <w:vAlign w:val="center"/>
          </w:tcPr>
          <w:p w14:paraId="44EA3A0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全年预算收入</w:t>
            </w:r>
          </w:p>
        </w:tc>
        <w:tc>
          <w:tcPr>
            <w:tcW w:w="2158" w:type="dxa"/>
            <w:tcBorders>
              <w:bottom w:val="single" w:color="666666" w:themeColor="text1" w:themeTint="99" w:sz="12" w:space="0"/>
              <w:insideH w:val="single" w:sz="12" w:space="0"/>
            </w:tcBorders>
            <w:vAlign w:val="center"/>
          </w:tcPr>
          <w:p w14:paraId="3244660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全年决算收入</w:t>
            </w:r>
          </w:p>
        </w:tc>
      </w:tr>
      <w:tr w14:paraId="2CE38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8" w:type="dxa"/>
            <w:vAlign w:val="center"/>
          </w:tcPr>
          <w:p w14:paraId="77AD872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一般公共预算财政拨款收入</w:t>
            </w:r>
          </w:p>
        </w:tc>
        <w:tc>
          <w:tcPr>
            <w:tcW w:w="2158" w:type="dxa"/>
            <w:vAlign w:val="center"/>
          </w:tcPr>
          <w:p w14:paraId="37C168FA">
            <w:pPr>
              <w:spacing w:after="0" w:line="240" w:lineRule="auto"/>
              <w:jc w:val="right"/>
            </w:pPr>
            <w:r>
              <w:t>26,662.24</w:t>
            </w:r>
          </w:p>
        </w:tc>
        <w:tc>
          <w:tcPr>
            <w:tcW w:w="2158" w:type="dxa"/>
            <w:vAlign w:val="center"/>
          </w:tcPr>
          <w:p w14:paraId="7F40DE6B">
            <w:pPr>
              <w:spacing w:after="0" w:line="240" w:lineRule="auto"/>
              <w:jc w:val="right"/>
            </w:pPr>
            <w:r>
              <w:t>35,189.70</w:t>
            </w:r>
          </w:p>
        </w:tc>
        <w:tc>
          <w:tcPr>
            <w:tcW w:w="2158" w:type="dxa"/>
            <w:vAlign w:val="center"/>
          </w:tcPr>
          <w:p w14:paraId="0CFD97FF">
            <w:pPr>
              <w:spacing w:after="0" w:line="240" w:lineRule="auto"/>
              <w:jc w:val="right"/>
            </w:pPr>
            <w:r>
              <w:t>35,189.70</w:t>
            </w:r>
          </w:p>
        </w:tc>
      </w:tr>
      <w:tr w14:paraId="3FBB4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8" w:type="dxa"/>
            <w:vAlign w:val="center"/>
          </w:tcPr>
          <w:p w14:paraId="3425D49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政府性基金预算财政拨款收入</w:t>
            </w:r>
          </w:p>
        </w:tc>
        <w:tc>
          <w:tcPr>
            <w:tcW w:w="2158" w:type="dxa"/>
            <w:vAlign w:val="center"/>
          </w:tcPr>
          <w:p w14:paraId="455FF7C4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2F01BDAA">
            <w:pPr>
              <w:spacing w:after="0" w:line="240" w:lineRule="auto"/>
              <w:jc w:val="right"/>
            </w:pPr>
            <w:r>
              <w:t>26.55</w:t>
            </w:r>
          </w:p>
        </w:tc>
        <w:tc>
          <w:tcPr>
            <w:tcW w:w="2158" w:type="dxa"/>
            <w:vAlign w:val="center"/>
          </w:tcPr>
          <w:p w14:paraId="78030490">
            <w:pPr>
              <w:spacing w:after="0" w:line="240" w:lineRule="auto"/>
              <w:jc w:val="right"/>
            </w:pPr>
            <w:r>
              <w:t>26.55</w:t>
            </w:r>
          </w:p>
        </w:tc>
      </w:tr>
      <w:tr w14:paraId="51315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8" w:type="dxa"/>
            <w:vAlign w:val="center"/>
          </w:tcPr>
          <w:p w14:paraId="5C3CB25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国有资本经营预算财政拨款收入</w:t>
            </w:r>
          </w:p>
        </w:tc>
        <w:tc>
          <w:tcPr>
            <w:tcW w:w="2158" w:type="dxa"/>
            <w:vAlign w:val="center"/>
          </w:tcPr>
          <w:p w14:paraId="54125EE7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55EED2DB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21A86D00">
            <w:pPr>
              <w:spacing w:after="0" w:line="240" w:lineRule="auto"/>
              <w:jc w:val="right"/>
            </w:pPr>
            <w:r>
              <w:t>0.00</w:t>
            </w:r>
          </w:p>
        </w:tc>
      </w:tr>
      <w:tr w14:paraId="7F30B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8" w:type="dxa"/>
            <w:vAlign w:val="center"/>
          </w:tcPr>
          <w:p w14:paraId="637E2FC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上级补助收入</w:t>
            </w:r>
          </w:p>
        </w:tc>
        <w:tc>
          <w:tcPr>
            <w:tcW w:w="2158" w:type="dxa"/>
            <w:vAlign w:val="center"/>
          </w:tcPr>
          <w:p w14:paraId="5FC13A36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21B44D3F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1432DA85">
            <w:pPr>
              <w:spacing w:after="0" w:line="240" w:lineRule="auto"/>
              <w:jc w:val="right"/>
            </w:pPr>
            <w:r>
              <w:t>0.00</w:t>
            </w:r>
          </w:p>
        </w:tc>
      </w:tr>
      <w:tr w14:paraId="1BEC0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8" w:type="dxa"/>
            <w:vAlign w:val="center"/>
          </w:tcPr>
          <w:p w14:paraId="73AB859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事业收入</w:t>
            </w:r>
          </w:p>
        </w:tc>
        <w:tc>
          <w:tcPr>
            <w:tcW w:w="2158" w:type="dxa"/>
            <w:vAlign w:val="center"/>
          </w:tcPr>
          <w:p w14:paraId="388BBD2A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3A35AB58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624E0EE0">
            <w:pPr>
              <w:spacing w:after="0" w:line="240" w:lineRule="auto"/>
              <w:jc w:val="right"/>
            </w:pPr>
            <w:r>
              <w:t>0.00</w:t>
            </w:r>
          </w:p>
        </w:tc>
      </w:tr>
      <w:tr w14:paraId="2365F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8" w:type="dxa"/>
            <w:vAlign w:val="center"/>
          </w:tcPr>
          <w:p w14:paraId="0ECD1C6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经营收入</w:t>
            </w:r>
          </w:p>
        </w:tc>
        <w:tc>
          <w:tcPr>
            <w:tcW w:w="2158" w:type="dxa"/>
            <w:vAlign w:val="center"/>
          </w:tcPr>
          <w:p w14:paraId="49D67C64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7905A42B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19F2D416">
            <w:pPr>
              <w:spacing w:after="0" w:line="240" w:lineRule="auto"/>
              <w:jc w:val="right"/>
            </w:pPr>
            <w:r>
              <w:t>0.00</w:t>
            </w:r>
          </w:p>
        </w:tc>
      </w:tr>
      <w:tr w14:paraId="26537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8" w:type="dxa"/>
            <w:vAlign w:val="center"/>
          </w:tcPr>
          <w:p w14:paraId="6DDE519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附属</w:t>
            </w:r>
            <w:r>
              <w:rPr>
                <w:rFonts w:hint="eastAsia" w:eastAsia="宋体"/>
                <w:b/>
                <w:bCs/>
                <w:lang w:eastAsia="zh-CN"/>
              </w:rPr>
              <w:t>部门</w:t>
            </w:r>
            <w:r>
              <w:rPr>
                <w:b/>
                <w:bCs/>
              </w:rPr>
              <w:t>上缴收入</w:t>
            </w:r>
          </w:p>
        </w:tc>
        <w:tc>
          <w:tcPr>
            <w:tcW w:w="2158" w:type="dxa"/>
            <w:vAlign w:val="center"/>
          </w:tcPr>
          <w:p w14:paraId="36800D58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7E2F2A6D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390EB981">
            <w:pPr>
              <w:spacing w:after="0" w:line="240" w:lineRule="auto"/>
              <w:jc w:val="right"/>
            </w:pPr>
            <w:r>
              <w:t>0.00</w:t>
            </w:r>
          </w:p>
        </w:tc>
      </w:tr>
      <w:tr w14:paraId="1C944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8" w:type="dxa"/>
            <w:vAlign w:val="center"/>
          </w:tcPr>
          <w:p w14:paraId="350B742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其他收入</w:t>
            </w:r>
          </w:p>
        </w:tc>
        <w:tc>
          <w:tcPr>
            <w:tcW w:w="2158" w:type="dxa"/>
            <w:vAlign w:val="center"/>
          </w:tcPr>
          <w:p w14:paraId="032BE718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449D52CD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2FC1931D">
            <w:pPr>
              <w:spacing w:after="0" w:line="240" w:lineRule="auto"/>
              <w:jc w:val="right"/>
            </w:pPr>
            <w:r>
              <w:t>0.00</w:t>
            </w:r>
          </w:p>
        </w:tc>
      </w:tr>
    </w:tbl>
    <w:p w14:paraId="085E00A9"/>
    <w:p w14:paraId="6755E544">
      <w:pPr>
        <w:pStyle w:val="5"/>
        <w:spacing w:before="0" w:after="0" w:line="520" w:lineRule="atLeast"/>
        <w:ind w:firstLine="720"/>
      </w:pPr>
      <w:r>
        <w:rPr>
          <w:rFonts w:ascii="仿宋_GB2312" w:hAnsi="仿宋_GB2312" w:eastAsia="仿宋_GB2312" w:cs="仿宋_GB2312"/>
          <w:sz w:val="32"/>
          <w:szCs w:val="32"/>
        </w:rPr>
        <w:t>本年年初预算支出26,662.24万元，全年预算支出35,238.60万元，全年决算支出35,238.60万元：</w:t>
      </w:r>
    </w:p>
    <w:p w14:paraId="29F7F28F">
      <w:pPr>
        <w:pStyle w:val="5"/>
        <w:spacing w:before="0" w:after="0" w:line="520" w:lineRule="atLeast"/>
        <w:ind w:firstLine="720"/>
      </w:pPr>
      <w:r>
        <w:rPr>
          <w:rFonts w:ascii="仿宋_GB2312" w:hAnsi="仿宋_GB2312" w:eastAsia="仿宋_GB2312" w:cs="仿宋_GB2312"/>
          <w:sz w:val="32"/>
          <w:szCs w:val="32"/>
        </w:rPr>
        <w:t>功能科目支出详情：</w:t>
      </w:r>
      <w:r>
        <w:rPr>
          <w:rFonts w:ascii="仿宋_GB2312" w:hAnsi="仿宋_GB2312" w:eastAsia="仿宋_GB2312" w:cs="仿宋_GB2312"/>
          <w:sz w:val="32"/>
          <w:szCs w:val="32"/>
        </w:rPr>
        <w:br w:type="textWrapping"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2158"/>
        <w:gridCol w:w="2158"/>
        <w:gridCol w:w="2158"/>
      </w:tblGrid>
      <w:tr w14:paraId="39839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8" w:type="dxa"/>
            <w:tcBorders>
              <w:bottom w:val="single" w:color="666666" w:themeColor="text1" w:themeTint="99" w:sz="12" w:space="0"/>
              <w:insideH w:val="single" w:sz="12" w:space="0"/>
            </w:tcBorders>
            <w:vAlign w:val="center"/>
          </w:tcPr>
          <w:p w14:paraId="24FBCA1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</w:t>
            </w:r>
          </w:p>
        </w:tc>
        <w:tc>
          <w:tcPr>
            <w:tcW w:w="2158" w:type="dxa"/>
            <w:tcBorders>
              <w:bottom w:val="single" w:color="666666" w:themeColor="text1" w:themeTint="99" w:sz="12" w:space="0"/>
              <w:insideH w:val="single" w:sz="12" w:space="0"/>
            </w:tcBorders>
            <w:vAlign w:val="center"/>
          </w:tcPr>
          <w:p w14:paraId="7C10F82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年初预算支出</w:t>
            </w:r>
          </w:p>
        </w:tc>
        <w:tc>
          <w:tcPr>
            <w:tcW w:w="2158" w:type="dxa"/>
            <w:tcBorders>
              <w:bottom w:val="single" w:color="666666" w:themeColor="text1" w:themeTint="99" w:sz="12" w:space="0"/>
              <w:insideH w:val="single" w:sz="12" w:space="0"/>
            </w:tcBorders>
            <w:vAlign w:val="center"/>
          </w:tcPr>
          <w:p w14:paraId="4B1CCFB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全年预算支出</w:t>
            </w:r>
          </w:p>
        </w:tc>
        <w:tc>
          <w:tcPr>
            <w:tcW w:w="2158" w:type="dxa"/>
            <w:tcBorders>
              <w:bottom w:val="single" w:color="666666" w:themeColor="text1" w:themeTint="99" w:sz="12" w:space="0"/>
              <w:insideH w:val="single" w:sz="12" w:space="0"/>
            </w:tcBorders>
            <w:vAlign w:val="center"/>
          </w:tcPr>
          <w:p w14:paraId="1514858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全年决算支出</w:t>
            </w:r>
          </w:p>
        </w:tc>
      </w:tr>
      <w:tr w14:paraId="6E04E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8" w:type="dxa"/>
            <w:vAlign w:val="center"/>
          </w:tcPr>
          <w:p w14:paraId="0A371CD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一般公共服务支出</w:t>
            </w:r>
          </w:p>
        </w:tc>
        <w:tc>
          <w:tcPr>
            <w:tcW w:w="2158" w:type="dxa"/>
            <w:vAlign w:val="center"/>
          </w:tcPr>
          <w:p w14:paraId="52C7B498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3F026E39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15446792">
            <w:pPr>
              <w:spacing w:after="0" w:line="240" w:lineRule="auto"/>
              <w:jc w:val="right"/>
            </w:pPr>
            <w:r>
              <w:t>0.00</w:t>
            </w:r>
          </w:p>
        </w:tc>
      </w:tr>
      <w:tr w14:paraId="64404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8" w:type="dxa"/>
            <w:vAlign w:val="center"/>
          </w:tcPr>
          <w:p w14:paraId="14C192B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外交支出</w:t>
            </w:r>
          </w:p>
        </w:tc>
        <w:tc>
          <w:tcPr>
            <w:tcW w:w="2158" w:type="dxa"/>
            <w:vAlign w:val="center"/>
          </w:tcPr>
          <w:p w14:paraId="14B978D1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19428A65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48EF48A6">
            <w:pPr>
              <w:spacing w:after="0" w:line="240" w:lineRule="auto"/>
              <w:jc w:val="right"/>
            </w:pPr>
            <w:r>
              <w:t>0.00</w:t>
            </w:r>
          </w:p>
        </w:tc>
      </w:tr>
      <w:tr w14:paraId="20AAD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8" w:type="dxa"/>
            <w:vAlign w:val="center"/>
          </w:tcPr>
          <w:p w14:paraId="5A1B24A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国防支出</w:t>
            </w:r>
          </w:p>
        </w:tc>
        <w:tc>
          <w:tcPr>
            <w:tcW w:w="2158" w:type="dxa"/>
            <w:vAlign w:val="center"/>
          </w:tcPr>
          <w:p w14:paraId="1404D2F2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10BFA017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394538E4">
            <w:pPr>
              <w:spacing w:after="0" w:line="240" w:lineRule="auto"/>
              <w:jc w:val="right"/>
            </w:pPr>
            <w:r>
              <w:t>0.00</w:t>
            </w:r>
          </w:p>
        </w:tc>
      </w:tr>
      <w:tr w14:paraId="298F2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8" w:type="dxa"/>
            <w:vAlign w:val="center"/>
          </w:tcPr>
          <w:p w14:paraId="3E6EB73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公共安全支出</w:t>
            </w:r>
          </w:p>
        </w:tc>
        <w:tc>
          <w:tcPr>
            <w:tcW w:w="2158" w:type="dxa"/>
            <w:vAlign w:val="center"/>
          </w:tcPr>
          <w:p w14:paraId="723CD22C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2C7F78F7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0D6B8F47">
            <w:pPr>
              <w:spacing w:after="0" w:line="240" w:lineRule="auto"/>
              <w:jc w:val="right"/>
            </w:pPr>
            <w:r>
              <w:t>0.00</w:t>
            </w:r>
          </w:p>
        </w:tc>
      </w:tr>
      <w:tr w14:paraId="668BC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8" w:type="dxa"/>
            <w:vAlign w:val="center"/>
          </w:tcPr>
          <w:p w14:paraId="0C309A6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教育支出</w:t>
            </w:r>
          </w:p>
        </w:tc>
        <w:tc>
          <w:tcPr>
            <w:tcW w:w="2158" w:type="dxa"/>
            <w:vAlign w:val="center"/>
          </w:tcPr>
          <w:p w14:paraId="55AED5A7">
            <w:pPr>
              <w:spacing w:after="0" w:line="240" w:lineRule="auto"/>
              <w:jc w:val="right"/>
            </w:pPr>
            <w:r>
              <w:t>18,975.29</w:t>
            </w:r>
          </w:p>
        </w:tc>
        <w:tc>
          <w:tcPr>
            <w:tcW w:w="2158" w:type="dxa"/>
            <w:vAlign w:val="center"/>
          </w:tcPr>
          <w:p w14:paraId="5C0D07D9">
            <w:pPr>
              <w:spacing w:after="0" w:line="240" w:lineRule="auto"/>
              <w:jc w:val="right"/>
            </w:pPr>
            <w:r>
              <w:t>30,075.30</w:t>
            </w:r>
          </w:p>
        </w:tc>
        <w:tc>
          <w:tcPr>
            <w:tcW w:w="2158" w:type="dxa"/>
            <w:vAlign w:val="center"/>
          </w:tcPr>
          <w:p w14:paraId="7333D6B2">
            <w:pPr>
              <w:spacing w:after="0" w:line="240" w:lineRule="auto"/>
              <w:jc w:val="right"/>
            </w:pPr>
            <w:r>
              <w:t>30,075.30</w:t>
            </w:r>
          </w:p>
        </w:tc>
      </w:tr>
      <w:tr w14:paraId="07262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8" w:type="dxa"/>
            <w:vAlign w:val="center"/>
          </w:tcPr>
          <w:p w14:paraId="3C6F01F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科学技术支出</w:t>
            </w:r>
          </w:p>
        </w:tc>
        <w:tc>
          <w:tcPr>
            <w:tcW w:w="2158" w:type="dxa"/>
            <w:vAlign w:val="center"/>
          </w:tcPr>
          <w:p w14:paraId="08A9E4F1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2FD4FB43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013F12A5">
            <w:pPr>
              <w:spacing w:after="0" w:line="240" w:lineRule="auto"/>
              <w:jc w:val="right"/>
            </w:pPr>
            <w:r>
              <w:t>0.00</w:t>
            </w:r>
          </w:p>
        </w:tc>
      </w:tr>
      <w:tr w14:paraId="379F1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8" w:type="dxa"/>
            <w:vAlign w:val="center"/>
          </w:tcPr>
          <w:p w14:paraId="571B9D2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文化旅游体育与传媒支出</w:t>
            </w:r>
          </w:p>
        </w:tc>
        <w:tc>
          <w:tcPr>
            <w:tcW w:w="2158" w:type="dxa"/>
            <w:vAlign w:val="center"/>
          </w:tcPr>
          <w:p w14:paraId="454B4865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07E32021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1F62D915">
            <w:pPr>
              <w:spacing w:after="0" w:line="240" w:lineRule="auto"/>
              <w:jc w:val="right"/>
            </w:pPr>
            <w:r>
              <w:t>0.00</w:t>
            </w:r>
          </w:p>
        </w:tc>
      </w:tr>
      <w:tr w14:paraId="3E434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8" w:type="dxa"/>
            <w:vAlign w:val="center"/>
          </w:tcPr>
          <w:p w14:paraId="4575566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社会保障和就业支出</w:t>
            </w:r>
          </w:p>
        </w:tc>
        <w:tc>
          <w:tcPr>
            <w:tcW w:w="2158" w:type="dxa"/>
            <w:vAlign w:val="center"/>
          </w:tcPr>
          <w:p w14:paraId="63C9BCA4">
            <w:pPr>
              <w:spacing w:after="0" w:line="240" w:lineRule="auto"/>
              <w:jc w:val="right"/>
            </w:pPr>
            <w:r>
              <w:t>4,087.21</w:t>
            </w:r>
          </w:p>
        </w:tc>
        <w:tc>
          <w:tcPr>
            <w:tcW w:w="2158" w:type="dxa"/>
            <w:vAlign w:val="center"/>
          </w:tcPr>
          <w:p w14:paraId="741251B1">
            <w:pPr>
              <w:spacing w:after="0" w:line="240" w:lineRule="auto"/>
              <w:jc w:val="right"/>
            </w:pPr>
            <w:r>
              <w:t>2,657.71</w:t>
            </w:r>
          </w:p>
        </w:tc>
        <w:tc>
          <w:tcPr>
            <w:tcW w:w="2158" w:type="dxa"/>
            <w:vAlign w:val="center"/>
          </w:tcPr>
          <w:p w14:paraId="151E882E">
            <w:pPr>
              <w:spacing w:after="0" w:line="240" w:lineRule="auto"/>
              <w:jc w:val="right"/>
            </w:pPr>
            <w:r>
              <w:t>2,657.71</w:t>
            </w:r>
          </w:p>
        </w:tc>
      </w:tr>
      <w:tr w14:paraId="4D7D5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8" w:type="dxa"/>
            <w:vAlign w:val="center"/>
          </w:tcPr>
          <w:p w14:paraId="74E7079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卫生健康支出</w:t>
            </w:r>
          </w:p>
        </w:tc>
        <w:tc>
          <w:tcPr>
            <w:tcW w:w="2158" w:type="dxa"/>
            <w:vAlign w:val="center"/>
          </w:tcPr>
          <w:p w14:paraId="73A470C8">
            <w:pPr>
              <w:spacing w:after="0" w:line="240" w:lineRule="auto"/>
              <w:jc w:val="right"/>
            </w:pPr>
            <w:r>
              <w:t>1,505.17</w:t>
            </w:r>
          </w:p>
        </w:tc>
        <w:tc>
          <w:tcPr>
            <w:tcW w:w="2158" w:type="dxa"/>
            <w:vAlign w:val="center"/>
          </w:tcPr>
          <w:p w14:paraId="17F4B94B">
            <w:pPr>
              <w:spacing w:after="0" w:line="240" w:lineRule="auto"/>
              <w:jc w:val="right"/>
            </w:pPr>
            <w:r>
              <w:t>1,049.45</w:t>
            </w:r>
          </w:p>
        </w:tc>
        <w:tc>
          <w:tcPr>
            <w:tcW w:w="2158" w:type="dxa"/>
            <w:vAlign w:val="center"/>
          </w:tcPr>
          <w:p w14:paraId="570898C4">
            <w:pPr>
              <w:spacing w:after="0" w:line="240" w:lineRule="auto"/>
              <w:jc w:val="right"/>
            </w:pPr>
            <w:r>
              <w:t>1,049.45</w:t>
            </w:r>
          </w:p>
        </w:tc>
      </w:tr>
      <w:tr w14:paraId="73A07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8" w:type="dxa"/>
            <w:vAlign w:val="center"/>
          </w:tcPr>
          <w:p w14:paraId="305D3E5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节能环保支出</w:t>
            </w:r>
          </w:p>
        </w:tc>
        <w:tc>
          <w:tcPr>
            <w:tcW w:w="2158" w:type="dxa"/>
            <w:vAlign w:val="center"/>
          </w:tcPr>
          <w:p w14:paraId="5B3571DE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64022E40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4495DC46">
            <w:pPr>
              <w:spacing w:after="0" w:line="240" w:lineRule="auto"/>
              <w:jc w:val="right"/>
            </w:pPr>
            <w:r>
              <w:t>0.00</w:t>
            </w:r>
          </w:p>
        </w:tc>
      </w:tr>
      <w:tr w14:paraId="393B5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8" w:type="dxa"/>
            <w:vAlign w:val="center"/>
          </w:tcPr>
          <w:p w14:paraId="32F4FC4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城乡社区支出</w:t>
            </w:r>
          </w:p>
        </w:tc>
        <w:tc>
          <w:tcPr>
            <w:tcW w:w="2158" w:type="dxa"/>
            <w:vAlign w:val="center"/>
          </w:tcPr>
          <w:p w14:paraId="5FAC1D80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0FC41160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353D98CA">
            <w:pPr>
              <w:spacing w:after="0" w:line="240" w:lineRule="auto"/>
              <w:jc w:val="right"/>
            </w:pPr>
            <w:r>
              <w:t>0.00</w:t>
            </w:r>
          </w:p>
        </w:tc>
      </w:tr>
      <w:tr w14:paraId="39312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8" w:type="dxa"/>
            <w:vAlign w:val="center"/>
          </w:tcPr>
          <w:p w14:paraId="0B5DBFF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农林水支出</w:t>
            </w:r>
          </w:p>
        </w:tc>
        <w:tc>
          <w:tcPr>
            <w:tcW w:w="2158" w:type="dxa"/>
            <w:vAlign w:val="center"/>
          </w:tcPr>
          <w:p w14:paraId="523D6A6C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7A0DB700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79325382">
            <w:pPr>
              <w:spacing w:after="0" w:line="240" w:lineRule="auto"/>
              <w:jc w:val="right"/>
            </w:pPr>
            <w:r>
              <w:t>0.00</w:t>
            </w:r>
          </w:p>
        </w:tc>
      </w:tr>
      <w:tr w14:paraId="0050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8" w:type="dxa"/>
            <w:vAlign w:val="center"/>
          </w:tcPr>
          <w:p w14:paraId="3506427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交通运输支出</w:t>
            </w:r>
          </w:p>
        </w:tc>
        <w:tc>
          <w:tcPr>
            <w:tcW w:w="2158" w:type="dxa"/>
            <w:vAlign w:val="center"/>
          </w:tcPr>
          <w:p w14:paraId="52BBCBA9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62D411B9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5E1D4A63">
            <w:pPr>
              <w:spacing w:after="0" w:line="240" w:lineRule="auto"/>
              <w:jc w:val="right"/>
            </w:pPr>
            <w:r>
              <w:t>0.00</w:t>
            </w:r>
          </w:p>
        </w:tc>
      </w:tr>
      <w:tr w14:paraId="478DA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8" w:type="dxa"/>
            <w:vAlign w:val="center"/>
          </w:tcPr>
          <w:p w14:paraId="6831F6B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资源勘探工业信息等支出</w:t>
            </w:r>
          </w:p>
        </w:tc>
        <w:tc>
          <w:tcPr>
            <w:tcW w:w="2158" w:type="dxa"/>
            <w:vAlign w:val="center"/>
          </w:tcPr>
          <w:p w14:paraId="3B6A1B38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6F453173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10522D91">
            <w:pPr>
              <w:spacing w:after="0" w:line="240" w:lineRule="auto"/>
              <w:jc w:val="right"/>
            </w:pPr>
            <w:r>
              <w:t>0.00</w:t>
            </w:r>
          </w:p>
        </w:tc>
      </w:tr>
      <w:tr w14:paraId="5E19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8" w:type="dxa"/>
            <w:vAlign w:val="center"/>
          </w:tcPr>
          <w:p w14:paraId="7FF7415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商业服务业等支出</w:t>
            </w:r>
          </w:p>
        </w:tc>
        <w:tc>
          <w:tcPr>
            <w:tcW w:w="2158" w:type="dxa"/>
            <w:vAlign w:val="center"/>
          </w:tcPr>
          <w:p w14:paraId="2C22AC8C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17BEA030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68898A9F">
            <w:pPr>
              <w:spacing w:after="0" w:line="240" w:lineRule="auto"/>
              <w:jc w:val="right"/>
            </w:pPr>
            <w:r>
              <w:t>0.00</w:t>
            </w:r>
          </w:p>
        </w:tc>
      </w:tr>
      <w:tr w14:paraId="08AB0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8" w:type="dxa"/>
            <w:vAlign w:val="center"/>
          </w:tcPr>
          <w:p w14:paraId="0935377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金融支出</w:t>
            </w:r>
          </w:p>
        </w:tc>
        <w:tc>
          <w:tcPr>
            <w:tcW w:w="2158" w:type="dxa"/>
            <w:vAlign w:val="center"/>
          </w:tcPr>
          <w:p w14:paraId="50310986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0341F773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56D79966">
            <w:pPr>
              <w:spacing w:after="0" w:line="240" w:lineRule="auto"/>
              <w:jc w:val="right"/>
            </w:pPr>
            <w:r>
              <w:t>0.00</w:t>
            </w:r>
          </w:p>
        </w:tc>
      </w:tr>
      <w:tr w14:paraId="0AD85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8" w:type="dxa"/>
            <w:vAlign w:val="center"/>
          </w:tcPr>
          <w:p w14:paraId="1E0E5E6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援助其他地区支出</w:t>
            </w:r>
          </w:p>
        </w:tc>
        <w:tc>
          <w:tcPr>
            <w:tcW w:w="2158" w:type="dxa"/>
            <w:vAlign w:val="center"/>
          </w:tcPr>
          <w:p w14:paraId="4D429F3A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63B1F0FD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3275E4E2">
            <w:pPr>
              <w:spacing w:after="0" w:line="240" w:lineRule="auto"/>
              <w:jc w:val="right"/>
            </w:pPr>
            <w:r>
              <w:t>0.00</w:t>
            </w:r>
          </w:p>
        </w:tc>
      </w:tr>
      <w:tr w14:paraId="28CB3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8" w:type="dxa"/>
            <w:vAlign w:val="center"/>
          </w:tcPr>
          <w:p w14:paraId="74881E0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自然资源海洋气象等支出</w:t>
            </w:r>
          </w:p>
        </w:tc>
        <w:tc>
          <w:tcPr>
            <w:tcW w:w="2158" w:type="dxa"/>
            <w:vAlign w:val="center"/>
          </w:tcPr>
          <w:p w14:paraId="710925F9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7133896A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00752D7B">
            <w:pPr>
              <w:spacing w:after="0" w:line="240" w:lineRule="auto"/>
              <w:jc w:val="right"/>
            </w:pPr>
            <w:r>
              <w:t>0.00</w:t>
            </w:r>
          </w:p>
        </w:tc>
      </w:tr>
      <w:tr w14:paraId="58366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8" w:type="dxa"/>
            <w:vAlign w:val="center"/>
          </w:tcPr>
          <w:p w14:paraId="179BEB9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住房保障支出</w:t>
            </w:r>
          </w:p>
        </w:tc>
        <w:tc>
          <w:tcPr>
            <w:tcW w:w="2158" w:type="dxa"/>
            <w:vAlign w:val="center"/>
          </w:tcPr>
          <w:p w14:paraId="40F35D54">
            <w:pPr>
              <w:spacing w:after="0" w:line="240" w:lineRule="auto"/>
              <w:jc w:val="right"/>
            </w:pPr>
            <w:r>
              <w:t>2,094.57</w:t>
            </w:r>
          </w:p>
        </w:tc>
        <w:tc>
          <w:tcPr>
            <w:tcW w:w="2158" w:type="dxa"/>
            <w:vAlign w:val="center"/>
          </w:tcPr>
          <w:p w14:paraId="1EAC3263">
            <w:pPr>
              <w:spacing w:after="0" w:line="240" w:lineRule="auto"/>
              <w:jc w:val="right"/>
            </w:pPr>
            <w:r>
              <w:t>1,429.59</w:t>
            </w:r>
          </w:p>
        </w:tc>
        <w:tc>
          <w:tcPr>
            <w:tcW w:w="2158" w:type="dxa"/>
            <w:vAlign w:val="center"/>
          </w:tcPr>
          <w:p w14:paraId="3DE2D4AF">
            <w:pPr>
              <w:spacing w:after="0" w:line="240" w:lineRule="auto"/>
              <w:jc w:val="right"/>
            </w:pPr>
            <w:r>
              <w:t>1,429.59</w:t>
            </w:r>
          </w:p>
        </w:tc>
      </w:tr>
      <w:tr w14:paraId="138F6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8" w:type="dxa"/>
            <w:vAlign w:val="center"/>
          </w:tcPr>
          <w:p w14:paraId="43F73AD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粮油物资储备支出</w:t>
            </w:r>
          </w:p>
        </w:tc>
        <w:tc>
          <w:tcPr>
            <w:tcW w:w="2158" w:type="dxa"/>
            <w:vAlign w:val="center"/>
          </w:tcPr>
          <w:p w14:paraId="00C0B6AF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7F909199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2E17AC9E">
            <w:pPr>
              <w:spacing w:after="0" w:line="240" w:lineRule="auto"/>
              <w:jc w:val="right"/>
            </w:pPr>
            <w:r>
              <w:t>0.00</w:t>
            </w:r>
          </w:p>
        </w:tc>
      </w:tr>
      <w:tr w14:paraId="5B90E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8" w:type="dxa"/>
            <w:vAlign w:val="center"/>
          </w:tcPr>
          <w:p w14:paraId="5D461A1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国有资本经营预算支出</w:t>
            </w:r>
          </w:p>
        </w:tc>
        <w:tc>
          <w:tcPr>
            <w:tcW w:w="2158" w:type="dxa"/>
            <w:vAlign w:val="center"/>
          </w:tcPr>
          <w:p w14:paraId="7BC2DBF4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5C456B1E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75DB0EA0">
            <w:pPr>
              <w:spacing w:after="0" w:line="240" w:lineRule="auto"/>
              <w:jc w:val="right"/>
            </w:pPr>
            <w:r>
              <w:t>0.00</w:t>
            </w:r>
          </w:p>
        </w:tc>
      </w:tr>
      <w:tr w14:paraId="0B6CC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8" w:type="dxa"/>
            <w:vAlign w:val="center"/>
          </w:tcPr>
          <w:p w14:paraId="09E0391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灾害防治及应急管理支出</w:t>
            </w:r>
          </w:p>
        </w:tc>
        <w:tc>
          <w:tcPr>
            <w:tcW w:w="2158" w:type="dxa"/>
            <w:vAlign w:val="center"/>
          </w:tcPr>
          <w:p w14:paraId="79FC7129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6AAC0C3C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022515D6">
            <w:pPr>
              <w:spacing w:after="0" w:line="240" w:lineRule="auto"/>
              <w:jc w:val="right"/>
            </w:pPr>
            <w:r>
              <w:t>0.00</w:t>
            </w:r>
          </w:p>
        </w:tc>
      </w:tr>
      <w:tr w14:paraId="5A5E8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8" w:type="dxa"/>
            <w:vAlign w:val="center"/>
          </w:tcPr>
          <w:p w14:paraId="10B4DAA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其他支出</w:t>
            </w:r>
          </w:p>
        </w:tc>
        <w:tc>
          <w:tcPr>
            <w:tcW w:w="2158" w:type="dxa"/>
            <w:vAlign w:val="center"/>
          </w:tcPr>
          <w:p w14:paraId="3A06430D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3D81C315">
            <w:pPr>
              <w:spacing w:after="0" w:line="240" w:lineRule="auto"/>
              <w:jc w:val="right"/>
            </w:pPr>
            <w:r>
              <w:t>26.55</w:t>
            </w:r>
          </w:p>
        </w:tc>
        <w:tc>
          <w:tcPr>
            <w:tcW w:w="2158" w:type="dxa"/>
            <w:vAlign w:val="center"/>
          </w:tcPr>
          <w:p w14:paraId="15C560AA">
            <w:pPr>
              <w:spacing w:after="0" w:line="240" w:lineRule="auto"/>
              <w:jc w:val="right"/>
            </w:pPr>
            <w:r>
              <w:t>26.55</w:t>
            </w:r>
          </w:p>
        </w:tc>
      </w:tr>
      <w:tr w14:paraId="22C0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8" w:type="dxa"/>
            <w:vAlign w:val="center"/>
          </w:tcPr>
          <w:p w14:paraId="3A4F0D4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债务还本支出</w:t>
            </w:r>
          </w:p>
        </w:tc>
        <w:tc>
          <w:tcPr>
            <w:tcW w:w="2158" w:type="dxa"/>
            <w:vAlign w:val="center"/>
          </w:tcPr>
          <w:p w14:paraId="49EC358C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343F35CD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7D93DA64">
            <w:pPr>
              <w:spacing w:after="0" w:line="240" w:lineRule="auto"/>
              <w:jc w:val="right"/>
            </w:pPr>
            <w:r>
              <w:t>0.00</w:t>
            </w:r>
          </w:p>
        </w:tc>
      </w:tr>
      <w:tr w14:paraId="1E99A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8" w:type="dxa"/>
            <w:vAlign w:val="center"/>
          </w:tcPr>
          <w:p w14:paraId="1A013EB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债务付息支出</w:t>
            </w:r>
          </w:p>
        </w:tc>
        <w:tc>
          <w:tcPr>
            <w:tcW w:w="2158" w:type="dxa"/>
            <w:vAlign w:val="center"/>
          </w:tcPr>
          <w:p w14:paraId="7C133FE6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5D046D43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550DFBB2">
            <w:pPr>
              <w:spacing w:after="0" w:line="240" w:lineRule="auto"/>
              <w:jc w:val="right"/>
            </w:pPr>
            <w:r>
              <w:t>0.00</w:t>
            </w:r>
          </w:p>
        </w:tc>
      </w:tr>
      <w:tr w14:paraId="4A4D7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8" w:type="dxa"/>
            <w:vAlign w:val="center"/>
          </w:tcPr>
          <w:p w14:paraId="2205B38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抗疫特别国债安排的支出</w:t>
            </w:r>
          </w:p>
        </w:tc>
        <w:tc>
          <w:tcPr>
            <w:tcW w:w="2158" w:type="dxa"/>
            <w:vAlign w:val="center"/>
          </w:tcPr>
          <w:p w14:paraId="294746D2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127F75B9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08B714D7">
            <w:pPr>
              <w:spacing w:after="0" w:line="240" w:lineRule="auto"/>
              <w:jc w:val="right"/>
            </w:pPr>
            <w:r>
              <w:t>0.00</w:t>
            </w:r>
          </w:p>
        </w:tc>
      </w:tr>
    </w:tbl>
    <w:p w14:paraId="01F97134"/>
    <w:p w14:paraId="75A713C1">
      <w:pPr>
        <w:pStyle w:val="5"/>
        <w:spacing w:before="0" w:after="0" w:line="520" w:lineRule="atLeast"/>
        <w:ind w:firstLine="720"/>
      </w:pPr>
      <w:r>
        <w:rPr>
          <w:rFonts w:ascii="仿宋_GB2312" w:hAnsi="仿宋_GB2312" w:eastAsia="仿宋_GB2312" w:cs="仿宋_GB2312"/>
          <w:sz w:val="32"/>
          <w:szCs w:val="32"/>
        </w:rPr>
        <w:t>支出性质支出详情：</w:t>
      </w:r>
      <w:r>
        <w:rPr>
          <w:rFonts w:ascii="仿宋_GB2312" w:hAnsi="仿宋_GB2312" w:eastAsia="仿宋_GB2312" w:cs="仿宋_GB2312"/>
          <w:sz w:val="32"/>
          <w:szCs w:val="32"/>
        </w:rPr>
        <w:br w:type="textWrapping"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2158"/>
        <w:gridCol w:w="2158"/>
        <w:gridCol w:w="2158"/>
      </w:tblGrid>
      <w:tr w14:paraId="70521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8" w:type="dxa"/>
            <w:tcBorders>
              <w:bottom w:val="single" w:color="666666" w:themeColor="text1" w:themeTint="99" w:sz="12" w:space="0"/>
              <w:insideH w:val="single" w:sz="12" w:space="0"/>
            </w:tcBorders>
            <w:vAlign w:val="center"/>
          </w:tcPr>
          <w:p w14:paraId="29CB0FC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</w:t>
            </w:r>
          </w:p>
        </w:tc>
        <w:tc>
          <w:tcPr>
            <w:tcW w:w="2158" w:type="dxa"/>
            <w:tcBorders>
              <w:bottom w:val="single" w:color="666666" w:themeColor="text1" w:themeTint="99" w:sz="12" w:space="0"/>
              <w:insideH w:val="single" w:sz="12" w:space="0"/>
            </w:tcBorders>
            <w:vAlign w:val="center"/>
          </w:tcPr>
          <w:p w14:paraId="018CB27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年初预算支出</w:t>
            </w:r>
          </w:p>
        </w:tc>
        <w:tc>
          <w:tcPr>
            <w:tcW w:w="2158" w:type="dxa"/>
            <w:tcBorders>
              <w:bottom w:val="single" w:color="666666" w:themeColor="text1" w:themeTint="99" w:sz="12" w:space="0"/>
              <w:insideH w:val="single" w:sz="12" w:space="0"/>
            </w:tcBorders>
            <w:vAlign w:val="center"/>
          </w:tcPr>
          <w:p w14:paraId="2DE6709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全年预算支出</w:t>
            </w:r>
          </w:p>
        </w:tc>
        <w:tc>
          <w:tcPr>
            <w:tcW w:w="2158" w:type="dxa"/>
            <w:tcBorders>
              <w:bottom w:val="single" w:color="666666" w:themeColor="text1" w:themeTint="99" w:sz="12" w:space="0"/>
              <w:insideH w:val="single" w:sz="12" w:space="0"/>
            </w:tcBorders>
            <w:vAlign w:val="center"/>
          </w:tcPr>
          <w:p w14:paraId="46A0581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全年决算支出</w:t>
            </w:r>
          </w:p>
        </w:tc>
      </w:tr>
      <w:tr w14:paraId="2263C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8" w:type="dxa"/>
            <w:vAlign w:val="center"/>
          </w:tcPr>
          <w:p w14:paraId="6682BB9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基本支出</w:t>
            </w:r>
          </w:p>
        </w:tc>
        <w:tc>
          <w:tcPr>
            <w:tcW w:w="2158" w:type="dxa"/>
            <w:vAlign w:val="center"/>
          </w:tcPr>
          <w:p w14:paraId="0FAAEDAC">
            <w:pPr>
              <w:spacing w:after="0" w:line="240" w:lineRule="auto"/>
              <w:jc w:val="right"/>
            </w:pPr>
            <w:r>
              <w:t>24,671.27</w:t>
            </w:r>
          </w:p>
        </w:tc>
        <w:tc>
          <w:tcPr>
            <w:tcW w:w="2158" w:type="dxa"/>
            <w:vAlign w:val="center"/>
          </w:tcPr>
          <w:p w14:paraId="28740537">
            <w:pPr>
              <w:spacing w:after="0" w:line="240" w:lineRule="auto"/>
              <w:jc w:val="right"/>
            </w:pPr>
            <w:r>
              <w:t>25,608.20</w:t>
            </w:r>
          </w:p>
        </w:tc>
        <w:tc>
          <w:tcPr>
            <w:tcW w:w="2158" w:type="dxa"/>
            <w:vAlign w:val="center"/>
          </w:tcPr>
          <w:p w14:paraId="61B89BE5">
            <w:pPr>
              <w:spacing w:after="0" w:line="240" w:lineRule="auto"/>
              <w:jc w:val="right"/>
            </w:pPr>
            <w:r>
              <w:t>25,608.20</w:t>
            </w:r>
          </w:p>
        </w:tc>
      </w:tr>
      <w:tr w14:paraId="7BCAC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8" w:type="dxa"/>
            <w:vAlign w:val="center"/>
          </w:tcPr>
          <w:p w14:paraId="4C2CEF3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人员经费</w:t>
            </w:r>
          </w:p>
        </w:tc>
        <w:tc>
          <w:tcPr>
            <w:tcW w:w="2158" w:type="dxa"/>
            <w:vAlign w:val="center"/>
          </w:tcPr>
          <w:p w14:paraId="6B72038F">
            <w:pPr>
              <w:spacing w:after="0" w:line="240" w:lineRule="auto"/>
              <w:jc w:val="right"/>
            </w:pPr>
            <w:r>
              <w:t>24,279.27</w:t>
            </w:r>
          </w:p>
        </w:tc>
        <w:tc>
          <w:tcPr>
            <w:tcW w:w="2158" w:type="dxa"/>
            <w:vAlign w:val="center"/>
          </w:tcPr>
          <w:p w14:paraId="343859B5">
            <w:pPr>
              <w:spacing w:after="0" w:line="240" w:lineRule="auto"/>
              <w:jc w:val="right"/>
            </w:pPr>
            <w:r>
              <w:t>25,231.54</w:t>
            </w:r>
          </w:p>
        </w:tc>
        <w:tc>
          <w:tcPr>
            <w:tcW w:w="2158" w:type="dxa"/>
            <w:vAlign w:val="center"/>
          </w:tcPr>
          <w:p w14:paraId="6868C3F9">
            <w:pPr>
              <w:spacing w:after="0" w:line="240" w:lineRule="auto"/>
              <w:jc w:val="right"/>
            </w:pPr>
            <w:r>
              <w:t>25,231.54</w:t>
            </w:r>
          </w:p>
        </w:tc>
      </w:tr>
      <w:tr w14:paraId="06C0E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8" w:type="dxa"/>
            <w:vAlign w:val="center"/>
          </w:tcPr>
          <w:p w14:paraId="18652F5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公用经费</w:t>
            </w:r>
          </w:p>
        </w:tc>
        <w:tc>
          <w:tcPr>
            <w:tcW w:w="2158" w:type="dxa"/>
            <w:vAlign w:val="center"/>
          </w:tcPr>
          <w:p w14:paraId="351EF91F">
            <w:pPr>
              <w:spacing w:after="0" w:line="240" w:lineRule="auto"/>
              <w:jc w:val="right"/>
            </w:pPr>
            <w:r>
              <w:t>392.00</w:t>
            </w:r>
          </w:p>
        </w:tc>
        <w:tc>
          <w:tcPr>
            <w:tcW w:w="2158" w:type="dxa"/>
            <w:vAlign w:val="center"/>
          </w:tcPr>
          <w:p w14:paraId="3E93C2F1">
            <w:pPr>
              <w:spacing w:after="0" w:line="240" w:lineRule="auto"/>
              <w:jc w:val="right"/>
            </w:pPr>
            <w:r>
              <w:t>376.66</w:t>
            </w:r>
          </w:p>
        </w:tc>
        <w:tc>
          <w:tcPr>
            <w:tcW w:w="2158" w:type="dxa"/>
            <w:vAlign w:val="center"/>
          </w:tcPr>
          <w:p w14:paraId="5CF19741">
            <w:pPr>
              <w:spacing w:after="0" w:line="240" w:lineRule="auto"/>
              <w:jc w:val="right"/>
            </w:pPr>
            <w:r>
              <w:t>376.66</w:t>
            </w:r>
          </w:p>
        </w:tc>
      </w:tr>
      <w:tr w14:paraId="6CDBA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8" w:type="dxa"/>
            <w:vAlign w:val="center"/>
          </w:tcPr>
          <w:p w14:paraId="40EB12B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项目支出</w:t>
            </w:r>
          </w:p>
        </w:tc>
        <w:tc>
          <w:tcPr>
            <w:tcW w:w="2158" w:type="dxa"/>
            <w:vAlign w:val="center"/>
          </w:tcPr>
          <w:p w14:paraId="3A682E50">
            <w:pPr>
              <w:spacing w:after="0" w:line="240" w:lineRule="auto"/>
              <w:jc w:val="right"/>
            </w:pPr>
            <w:r>
              <w:t>1,990.98</w:t>
            </w:r>
          </w:p>
        </w:tc>
        <w:tc>
          <w:tcPr>
            <w:tcW w:w="2158" w:type="dxa"/>
            <w:vAlign w:val="center"/>
          </w:tcPr>
          <w:p w14:paraId="43242CDB">
            <w:pPr>
              <w:spacing w:after="0" w:line="240" w:lineRule="auto"/>
              <w:jc w:val="right"/>
            </w:pPr>
            <w:r>
              <w:t>9,630.40</w:t>
            </w:r>
          </w:p>
        </w:tc>
        <w:tc>
          <w:tcPr>
            <w:tcW w:w="2158" w:type="dxa"/>
            <w:vAlign w:val="center"/>
          </w:tcPr>
          <w:p w14:paraId="14D10706">
            <w:pPr>
              <w:spacing w:after="0" w:line="240" w:lineRule="auto"/>
              <w:jc w:val="right"/>
            </w:pPr>
            <w:r>
              <w:t>9,630.40</w:t>
            </w:r>
          </w:p>
        </w:tc>
      </w:tr>
      <w:tr w14:paraId="4CF36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8" w:type="dxa"/>
            <w:vAlign w:val="center"/>
          </w:tcPr>
          <w:p w14:paraId="48E6DA2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基本建设类项目</w:t>
            </w:r>
          </w:p>
        </w:tc>
        <w:tc>
          <w:tcPr>
            <w:tcW w:w="2158" w:type="dxa"/>
            <w:vAlign w:val="center"/>
          </w:tcPr>
          <w:p w14:paraId="6EC689D1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3EA6085B">
            <w:pPr>
              <w:spacing w:after="0" w:line="240" w:lineRule="auto"/>
              <w:jc w:val="right"/>
            </w:pPr>
            <w:r>
              <w:t>1,425.86</w:t>
            </w:r>
          </w:p>
        </w:tc>
        <w:tc>
          <w:tcPr>
            <w:tcW w:w="2158" w:type="dxa"/>
            <w:vAlign w:val="center"/>
          </w:tcPr>
          <w:p w14:paraId="6C287D25">
            <w:pPr>
              <w:spacing w:after="0" w:line="240" w:lineRule="auto"/>
              <w:jc w:val="right"/>
            </w:pPr>
            <w:r>
              <w:t>1,425.86</w:t>
            </w:r>
          </w:p>
        </w:tc>
      </w:tr>
      <w:tr w14:paraId="18D77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8" w:type="dxa"/>
            <w:vAlign w:val="center"/>
          </w:tcPr>
          <w:p w14:paraId="1EE5E5D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上缴上级支出</w:t>
            </w:r>
          </w:p>
        </w:tc>
        <w:tc>
          <w:tcPr>
            <w:tcW w:w="2158" w:type="dxa"/>
            <w:vAlign w:val="center"/>
          </w:tcPr>
          <w:p w14:paraId="0EE734A6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052B0D4E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22547E59">
            <w:pPr>
              <w:spacing w:after="0" w:line="240" w:lineRule="auto"/>
              <w:jc w:val="right"/>
            </w:pPr>
            <w:r>
              <w:t>0.00</w:t>
            </w:r>
          </w:p>
        </w:tc>
      </w:tr>
      <w:tr w14:paraId="6BEB4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8" w:type="dxa"/>
            <w:vAlign w:val="center"/>
          </w:tcPr>
          <w:p w14:paraId="46F2899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经营支出</w:t>
            </w:r>
          </w:p>
        </w:tc>
        <w:tc>
          <w:tcPr>
            <w:tcW w:w="2158" w:type="dxa"/>
            <w:vAlign w:val="center"/>
          </w:tcPr>
          <w:p w14:paraId="0913FFEE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5E694252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4D1F975B">
            <w:pPr>
              <w:spacing w:after="0" w:line="240" w:lineRule="auto"/>
              <w:jc w:val="right"/>
            </w:pPr>
            <w:r>
              <w:t>0.00</w:t>
            </w:r>
          </w:p>
        </w:tc>
      </w:tr>
      <w:tr w14:paraId="74FE9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58" w:type="dxa"/>
            <w:vAlign w:val="center"/>
          </w:tcPr>
          <w:p w14:paraId="2AC96E3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对附属</w:t>
            </w:r>
            <w:r>
              <w:rPr>
                <w:rFonts w:hint="eastAsia" w:eastAsia="宋体"/>
                <w:b/>
                <w:bCs/>
                <w:lang w:eastAsia="zh-CN"/>
              </w:rPr>
              <w:t>部门</w:t>
            </w:r>
            <w:r>
              <w:rPr>
                <w:b/>
                <w:bCs/>
              </w:rPr>
              <w:t>补助支出</w:t>
            </w:r>
          </w:p>
        </w:tc>
        <w:tc>
          <w:tcPr>
            <w:tcW w:w="2158" w:type="dxa"/>
            <w:vAlign w:val="center"/>
          </w:tcPr>
          <w:p w14:paraId="20378762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6D04E18E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2158" w:type="dxa"/>
            <w:vAlign w:val="center"/>
          </w:tcPr>
          <w:p w14:paraId="1CA3C71B">
            <w:pPr>
              <w:spacing w:after="0" w:line="240" w:lineRule="auto"/>
              <w:jc w:val="right"/>
            </w:pPr>
            <w:r>
              <w:t>0.00</w:t>
            </w:r>
          </w:p>
        </w:tc>
      </w:tr>
    </w:tbl>
    <w:p w14:paraId="53D395E9"/>
    <w:p w14:paraId="1C444A11">
      <w:pPr>
        <w:pStyle w:val="5"/>
        <w:spacing w:before="0" w:after="0" w:line="520" w:lineRule="atLeast"/>
        <w:ind w:firstLine="640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2.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收入支出结构分析。</w:t>
      </w:r>
    </w:p>
    <w:p w14:paraId="62844CFA">
      <w:pPr>
        <w:pStyle w:val="5"/>
        <w:spacing w:before="0" w:after="0" w:line="520" w:lineRule="atLeast"/>
        <w:ind w:firstLine="640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   </w:t>
      </w:r>
      <w:r>
        <w:rPr>
          <w:rFonts w:ascii="仿宋_GB2312" w:hAnsi="仿宋_GB2312" w:eastAsia="仿宋_GB2312" w:cs="仿宋_GB2312"/>
          <w:sz w:val="32"/>
          <w:szCs w:val="32"/>
        </w:rPr>
        <w:t> 2024年本年收入合计35,216.25万元，与上年收入合计相比增加1853.73万元；</w:t>
      </w:r>
      <w:r>
        <w:rPr>
          <w:rFonts w:ascii="Helvetica" w:hAnsi="Helvetica" w:eastAsia="Helvetica" w:cs="Helvetica"/>
          <w:sz w:val="32"/>
          <w:szCs w:val="32"/>
        </w:rPr>
        <w:t> </w:t>
      </w:r>
    </w:p>
    <w:p w14:paraId="3F90FD8F">
      <w:pPr>
        <w:pStyle w:val="5"/>
        <w:spacing w:before="0" w:after="0" w:line="520" w:lineRule="atLeast"/>
        <w:ind w:firstLine="64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> 一般公共预算财政拨款为35,189.70万元，与上年相比增减1,849.21万元；</w:t>
      </w:r>
    </w:p>
    <w:p w14:paraId="298C5298">
      <w:pPr>
        <w:pStyle w:val="5"/>
        <w:shd w:val="clear" w:color="auto" w:fill="auto"/>
        <w:spacing w:before="0" w:after="0" w:line="520" w:lineRule="atLeast"/>
        <w:ind w:firstLine="64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政府性基金预算财政拨款为26.55万元，与上年相比增减4.51万元；</w:t>
      </w:r>
    </w:p>
    <w:p w14:paraId="00D88F54">
      <w:pPr>
        <w:pStyle w:val="5"/>
        <w:shd w:val="clear" w:color="auto" w:fill="auto"/>
        <w:spacing w:before="0" w:after="0" w:line="520" w:lineRule="atLeast"/>
        <w:ind w:firstLine="64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国有资本经营预算财政拨款为0.00万元，与上年相比增减0.00万元；</w:t>
      </w:r>
    </w:p>
    <w:p w14:paraId="2DC7F3F3">
      <w:pPr>
        <w:pStyle w:val="5"/>
        <w:shd w:val="clear" w:color="auto" w:fill="auto"/>
        <w:spacing w:before="0" w:after="0" w:line="520" w:lineRule="atLeast"/>
        <w:ind w:firstLine="64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事业收入为0.00万元，与上年相比增减0.00万元；</w:t>
      </w:r>
    </w:p>
    <w:p w14:paraId="08EA270E">
      <w:pPr>
        <w:pStyle w:val="5"/>
        <w:shd w:val="clear" w:color="auto" w:fill="auto"/>
        <w:spacing w:before="0" w:after="0" w:line="520" w:lineRule="atLeast"/>
        <w:ind w:firstLine="64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事业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部门</w:t>
      </w:r>
      <w:r>
        <w:rPr>
          <w:rFonts w:hint="eastAsia" w:ascii="仿宋" w:hAnsi="仿宋" w:eastAsia="仿宋" w:cs="仿宋"/>
          <w:sz w:val="32"/>
          <w:szCs w:val="32"/>
        </w:rPr>
        <w:t>经营收入为0.00万元，与上年相比增减0.00万元；</w:t>
      </w:r>
    </w:p>
    <w:p w14:paraId="2C5FF2D5">
      <w:pPr>
        <w:pStyle w:val="5"/>
        <w:shd w:val="clear" w:color="auto" w:fill="auto"/>
        <w:spacing w:before="0" w:after="0" w:line="520" w:lineRule="atLeast"/>
        <w:ind w:firstLine="64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其他收入为0.00万元，与上年相比增减0.00万元；</w:t>
      </w:r>
    </w:p>
    <w:p w14:paraId="73EAED0C">
      <w:pPr>
        <w:pStyle w:val="5"/>
        <w:spacing w:before="0" w:after="0" w:line="520" w:lineRule="atLeast"/>
        <w:ind w:firstLine="720"/>
        <w:jc w:val="both"/>
      </w:pPr>
      <w:r>
        <w:rPr>
          <w:rFonts w:ascii="仿宋_GB2312" w:hAnsi="仿宋_GB2312" w:eastAsia="仿宋_GB2312" w:cs="仿宋_GB2312"/>
          <w:sz w:val="32"/>
          <w:szCs w:val="32"/>
        </w:rPr>
        <w:t>图4、收入结构分析图</w:t>
      </w:r>
    </w:p>
    <w:p w14:paraId="27762613">
      <w:pPr>
        <w:pStyle w:val="5"/>
        <w:spacing w:before="0" w:after="0" w:line="520" w:lineRule="atLeast"/>
        <w:ind w:firstLine="640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  </w:t>
      </w:r>
      <w:r>
        <w:rPr>
          <w:rFonts w:ascii="仿宋_GB2312" w:hAnsi="仿宋_GB2312" w:eastAsia="仿宋_GB2312" w:cs="仿宋_GB2312"/>
          <w:sz w:val="32"/>
          <w:szCs w:val="32"/>
        </w:rPr>
        <w:t>  </w:t>
      </w:r>
      <w:r>
        <w:drawing>
          <wp:inline distT="0" distB="0" distL="114300" distR="114300">
            <wp:extent cx="3810000" cy="2540000"/>
            <wp:effectExtent l="4445" t="4445" r="8255" b="8255"/>
            <wp:docPr id="100004" name="图表 10000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D8B3A82">
      <w:pPr>
        <w:pStyle w:val="5"/>
        <w:spacing w:before="0" w:after="0" w:line="520" w:lineRule="atLeast"/>
        <w:ind w:firstLine="640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  <w:r>
        <w:rPr>
          <w:rFonts w:ascii="仿宋_GB2312" w:hAnsi="仿宋_GB2312" w:eastAsia="仿宋_GB2312" w:cs="仿宋_GB2312"/>
          <w:sz w:val="32"/>
          <w:szCs w:val="32"/>
        </w:rPr>
        <w:t> 2024年本年支出合计35,238.60万元，与上年相比增加1713.57万元；</w:t>
      </w:r>
      <w:r>
        <w:rPr>
          <w:rFonts w:ascii="Helvetica" w:hAnsi="Helvetica" w:eastAsia="Helvetica" w:cs="Helvetica"/>
          <w:sz w:val="32"/>
          <w:szCs w:val="32"/>
        </w:rPr>
        <w:t> </w:t>
      </w:r>
    </w:p>
    <w:p w14:paraId="23D6A4B1">
      <w:pPr>
        <w:pStyle w:val="5"/>
        <w:spacing w:before="0" w:after="0" w:line="520" w:lineRule="atLeast"/>
        <w:ind w:firstLine="64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>基本支出为25,608.20万元，与上年相比增减913.40万元；</w:t>
      </w:r>
    </w:p>
    <w:p w14:paraId="04654B37">
      <w:pPr>
        <w:pStyle w:val="5"/>
        <w:shd w:val="clear" w:color="auto" w:fill="auto"/>
        <w:spacing w:before="0" w:after="0" w:line="520" w:lineRule="atLeast"/>
        <w:ind w:firstLine="64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人员经费为25,231.54万元，与上年相比增减809.11万元；</w:t>
      </w:r>
    </w:p>
    <w:p w14:paraId="0323FBA5">
      <w:pPr>
        <w:pStyle w:val="5"/>
        <w:shd w:val="clear" w:color="auto" w:fill="auto"/>
        <w:spacing w:before="0" w:after="0" w:line="520" w:lineRule="atLeast"/>
        <w:ind w:firstLine="64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日常公用经费为376.66万元，与上年相比增减104.29万元；</w:t>
      </w:r>
    </w:p>
    <w:p w14:paraId="0EA88959">
      <w:pPr>
        <w:pStyle w:val="5"/>
        <w:shd w:val="clear" w:color="auto" w:fill="auto"/>
        <w:spacing w:before="0" w:after="0" w:line="520" w:lineRule="atLeast"/>
        <w:ind w:firstLine="64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项目支出为9,630.40万元，与上年相比增减800.17万元；</w:t>
      </w:r>
    </w:p>
    <w:p w14:paraId="0A7392D0">
      <w:pPr>
        <w:pStyle w:val="5"/>
        <w:shd w:val="clear" w:color="auto" w:fill="auto"/>
        <w:spacing w:before="0" w:after="0" w:line="520" w:lineRule="atLeast"/>
        <w:ind w:firstLine="64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基本建设类项目为1,425.86万元，与上年相比增减146.46万元；</w:t>
      </w:r>
    </w:p>
    <w:p w14:paraId="7D13C05F">
      <w:pPr>
        <w:pStyle w:val="5"/>
        <w:shd w:val="clear" w:color="auto" w:fill="auto"/>
        <w:spacing w:before="0" w:after="0" w:line="520" w:lineRule="atLeast"/>
        <w:ind w:firstLine="64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事业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部门</w:t>
      </w:r>
      <w:r>
        <w:rPr>
          <w:rFonts w:hint="eastAsia" w:ascii="仿宋" w:hAnsi="仿宋" w:eastAsia="仿宋" w:cs="仿宋"/>
          <w:sz w:val="32"/>
          <w:szCs w:val="32"/>
        </w:rPr>
        <w:t>经营支出为0.00万元，与上年相比增减0.00万元；</w:t>
      </w:r>
    </w:p>
    <w:p w14:paraId="22D8008B">
      <w:pPr>
        <w:pStyle w:val="5"/>
        <w:spacing w:before="0" w:after="0" w:line="520" w:lineRule="atLeast"/>
        <w:ind w:firstLine="720"/>
        <w:jc w:val="both"/>
      </w:pPr>
      <w:r>
        <w:rPr>
          <w:rFonts w:ascii="仿宋_GB2312" w:hAnsi="仿宋_GB2312" w:eastAsia="仿宋_GB2312" w:cs="仿宋_GB2312"/>
          <w:sz w:val="32"/>
          <w:szCs w:val="32"/>
        </w:rPr>
        <w:t>图5、支出结构分析</w:t>
      </w:r>
    </w:p>
    <w:p w14:paraId="10D2058A">
      <w:pPr>
        <w:pStyle w:val="5"/>
        <w:spacing w:before="0" w:after="0" w:line="520" w:lineRule="atLeast"/>
        <w:jc w:val="both"/>
      </w:pPr>
      <w:r>
        <w:rPr>
          <w:rFonts w:ascii="仿宋_GB2312" w:hAnsi="仿宋_GB2312" w:eastAsia="仿宋_GB2312" w:cs="仿宋_GB2312"/>
          <w:sz w:val="32"/>
          <w:szCs w:val="32"/>
        </w:rPr>
        <w:t xml:space="preserve">      </w:t>
      </w:r>
      <w:r>
        <w:drawing>
          <wp:inline distT="0" distB="0" distL="114300" distR="114300">
            <wp:extent cx="3810000" cy="2540000"/>
            <wp:effectExtent l="4445" t="4445" r="8255" b="8255"/>
            <wp:docPr id="100005" name="图表 10000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712D9A6">
      <w:pPr>
        <w:pStyle w:val="5"/>
        <w:spacing w:before="0" w:after="0" w:line="520" w:lineRule="atLeast"/>
        <w:ind w:firstLine="640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3.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支出按经济分类科目分析。</w:t>
      </w:r>
    </w:p>
    <w:p w14:paraId="1F71AE9C">
      <w:pPr>
        <w:pStyle w:val="5"/>
        <w:spacing w:before="0" w:after="0" w:line="520" w:lineRule="atLeast"/>
        <w:ind w:firstLine="720"/>
        <w:jc w:val="both"/>
      </w:pPr>
      <w:r>
        <w:rPr>
          <w:rFonts w:ascii="仿宋_GB2312" w:hAnsi="仿宋_GB2312" w:eastAsia="仿宋_GB2312" w:cs="仿宋_GB2312"/>
          <w:sz w:val="32"/>
          <w:szCs w:val="32"/>
        </w:rPr>
        <w:t>（1）</w:t>
      </w:r>
      <w:r>
        <w:rPr>
          <w:rFonts w:ascii="仿宋" w:hAnsi="仿宋" w:eastAsia="仿宋" w:cs="仿宋"/>
          <w:sz w:val="32"/>
          <w:szCs w:val="32"/>
        </w:rPr>
        <w:t>“</w:t>
      </w:r>
      <w:r>
        <w:rPr>
          <w:rFonts w:ascii="仿宋_GB2312" w:hAnsi="仿宋_GB2312" w:eastAsia="仿宋_GB2312" w:cs="仿宋_GB2312"/>
          <w:sz w:val="32"/>
          <w:szCs w:val="32"/>
        </w:rPr>
        <w:t>三公</w:t>
      </w:r>
      <w:r>
        <w:rPr>
          <w:rFonts w:ascii="仿宋" w:hAnsi="仿宋" w:eastAsia="仿宋" w:cs="仿宋"/>
          <w:sz w:val="32"/>
          <w:szCs w:val="32"/>
        </w:rPr>
        <w:t>”</w:t>
      </w:r>
      <w:r>
        <w:rPr>
          <w:rFonts w:ascii="仿宋_GB2312" w:hAnsi="仿宋_GB2312" w:eastAsia="仿宋_GB2312" w:cs="仿宋_GB2312"/>
          <w:sz w:val="32"/>
          <w:szCs w:val="32"/>
        </w:rPr>
        <w:t>经费支出情况：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ascii="仿宋_GB2312" w:hAnsi="仿宋_GB2312" w:eastAsia="仿宋_GB2312" w:cs="仿宋_GB2312"/>
          <w:sz w:val="32"/>
          <w:szCs w:val="32"/>
        </w:rPr>
        <w:t>本年度</w:t>
      </w:r>
      <w:r>
        <w:rPr>
          <w:rFonts w:ascii="仿宋" w:hAnsi="仿宋" w:eastAsia="仿宋" w:cs="仿宋"/>
          <w:sz w:val="32"/>
          <w:szCs w:val="32"/>
        </w:rPr>
        <w:t>“</w:t>
      </w:r>
      <w:r>
        <w:rPr>
          <w:rFonts w:ascii="仿宋_GB2312" w:hAnsi="仿宋_GB2312" w:eastAsia="仿宋_GB2312" w:cs="仿宋_GB2312"/>
          <w:sz w:val="32"/>
          <w:szCs w:val="32"/>
        </w:rPr>
        <w:t>三公</w:t>
      </w:r>
      <w:r>
        <w:rPr>
          <w:rFonts w:ascii="仿宋" w:hAnsi="仿宋" w:eastAsia="仿宋" w:cs="仿宋"/>
          <w:sz w:val="32"/>
          <w:szCs w:val="32"/>
        </w:rPr>
        <w:t>”</w:t>
      </w:r>
      <w:r>
        <w:rPr>
          <w:rFonts w:ascii="仿宋_GB2312" w:hAnsi="仿宋_GB2312" w:eastAsia="仿宋_GB2312" w:cs="仿宋_GB2312"/>
          <w:sz w:val="32"/>
          <w:szCs w:val="32"/>
        </w:rPr>
        <w:t>经费支出决算数为6.04万元；</w:t>
      </w:r>
    </w:p>
    <w:p w14:paraId="50B4414E">
      <w:pPr>
        <w:pStyle w:val="5"/>
        <w:spacing w:before="0" w:after="0" w:line="520" w:lineRule="atLeast"/>
        <w:ind w:firstLine="720"/>
        <w:jc w:val="both"/>
      </w:pPr>
      <w:r>
        <w:rPr>
          <w:rFonts w:ascii="仿宋_GB2312" w:hAnsi="仿宋_GB2312" w:eastAsia="仿宋_GB2312" w:cs="仿宋_GB2312"/>
          <w:sz w:val="32"/>
          <w:szCs w:val="32"/>
        </w:rPr>
        <w:t>因公出国（境）费决算数为0.00万元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ascii="仿宋_GB2312" w:hAnsi="仿宋_GB2312" w:eastAsia="仿宋_GB2312" w:cs="仿宋_GB2312"/>
          <w:sz w:val="32"/>
          <w:szCs w:val="32"/>
        </w:rPr>
        <w:t>公务用车购置及运行维护费决算数为5.80万元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ascii="仿宋_GB2312" w:hAnsi="仿宋_GB2312" w:eastAsia="仿宋_GB2312" w:cs="仿宋_GB2312"/>
          <w:sz w:val="32"/>
          <w:szCs w:val="32"/>
        </w:rPr>
        <w:t>公务用车购置费决算数为0.00万元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ascii="仿宋_GB2312" w:hAnsi="仿宋_GB2312" w:eastAsia="仿宋_GB2312" w:cs="仿宋_GB2312"/>
          <w:sz w:val="32"/>
          <w:szCs w:val="32"/>
        </w:rPr>
        <w:t>公务用车运行维护费决算数为5.80万元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ascii="仿宋_GB2312" w:hAnsi="仿宋_GB2312" w:eastAsia="仿宋_GB2312" w:cs="仿宋_GB2312"/>
          <w:sz w:val="32"/>
          <w:szCs w:val="32"/>
        </w:rPr>
        <w:t>公务接待费决算数为0.24万元。</w:t>
      </w:r>
    </w:p>
    <w:p w14:paraId="655252F2">
      <w:pPr>
        <w:pStyle w:val="5"/>
        <w:spacing w:before="0" w:after="0" w:line="520" w:lineRule="atLeast"/>
        <w:ind w:firstLine="720"/>
      </w:pPr>
      <w:r>
        <w:rPr>
          <w:rFonts w:ascii="仿宋_GB2312" w:hAnsi="仿宋_GB2312" w:eastAsia="仿宋_GB2312" w:cs="仿宋_GB2312"/>
          <w:sz w:val="32"/>
          <w:szCs w:val="32"/>
        </w:rPr>
        <w:t>图6、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“三公”经费</w:t>
      </w:r>
      <w:r>
        <w:rPr>
          <w:rFonts w:ascii="仿宋_GB2312" w:hAnsi="仿宋_GB2312" w:eastAsia="仿宋_GB2312" w:cs="仿宋_GB2312"/>
          <w:sz w:val="32"/>
          <w:szCs w:val="32"/>
        </w:rPr>
        <w:t>支出分析图</w:t>
      </w:r>
      <w:r>
        <w:drawing>
          <wp:inline distT="0" distB="0" distL="114300" distR="114300">
            <wp:extent cx="3810000" cy="2540000"/>
            <wp:effectExtent l="4445" t="4445" r="8255" b="8255"/>
            <wp:docPr id="100006" name="图表 10000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D9C625A">
      <w:pPr>
        <w:pStyle w:val="5"/>
        <w:spacing w:before="0" w:after="0" w:line="520" w:lineRule="atLeast"/>
        <w:ind w:firstLine="720"/>
      </w:pPr>
      <w:r>
        <w:rPr>
          <w:rFonts w:ascii="仿宋_GB2312" w:hAnsi="仿宋_GB2312" w:eastAsia="仿宋_GB2312" w:cs="仿宋_GB2312"/>
          <w:sz w:val="32"/>
          <w:szCs w:val="32"/>
        </w:rPr>
        <w:t>（2）培训费支出情况：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ascii="仿宋_GB2312" w:hAnsi="仿宋_GB2312" w:eastAsia="仿宋_GB2312" w:cs="仿宋_GB2312"/>
          <w:sz w:val="32"/>
          <w:szCs w:val="32"/>
        </w:rPr>
        <w:t>本年度培训费支出决算数为74.14万元；</w:t>
      </w:r>
    </w:p>
    <w:p w14:paraId="152E817D">
      <w:pPr>
        <w:pStyle w:val="5"/>
        <w:spacing w:before="0" w:after="0" w:line="520" w:lineRule="atLeast"/>
        <w:ind w:firstLine="640"/>
      </w:pPr>
      <w:r>
        <w:rPr>
          <w:rFonts w:ascii="仿宋_GB2312" w:hAnsi="仿宋_GB2312" w:eastAsia="仿宋_GB2312" w:cs="仿宋_GB2312"/>
          <w:sz w:val="32"/>
          <w:szCs w:val="32"/>
        </w:rPr>
        <w:t> （3）会议费支出情况：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ascii="仿宋_GB2312" w:hAnsi="仿宋_GB2312" w:eastAsia="仿宋_GB2312" w:cs="仿宋_GB2312"/>
          <w:sz w:val="32"/>
          <w:szCs w:val="32"/>
        </w:rPr>
        <w:t>本年度会议费支出决算数为0.00万元；</w:t>
      </w:r>
    </w:p>
    <w:p w14:paraId="61F64029">
      <w:pPr>
        <w:pStyle w:val="5"/>
        <w:spacing w:before="0" w:after="0" w:line="520" w:lineRule="atLeast"/>
        <w:ind w:firstLine="64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支出按功能分类科目分析。</w:t>
      </w:r>
    </w:p>
    <w:p w14:paraId="6AC034FC">
      <w:pPr>
        <w:pStyle w:val="5"/>
        <w:spacing w:before="0" w:after="0" w:line="520" w:lineRule="atLeast"/>
        <w:ind w:firstLine="720"/>
      </w:pPr>
      <w:r>
        <w:rPr>
          <w:rFonts w:ascii="仿宋_GB2312" w:hAnsi="仿宋_GB2312" w:eastAsia="仿宋_GB2312" w:cs="仿宋_GB2312"/>
          <w:sz w:val="32"/>
          <w:szCs w:val="32"/>
        </w:rPr>
        <w:t>2024年本年支出合计为35,238.60万元；与上年支出相比增加1227.86万元，增减比例为3.61%。其中重点功能分类科目：</w:t>
      </w: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2050101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行政运行本年支出数为992.14万元，占全年总支出数2.82%;</w:t>
      </w:r>
    </w:p>
    <w:p w14:paraId="1513832A">
      <w:pPr>
        <w:pStyle w:val="5"/>
        <w:shd w:val="clear" w:color="auto" w:fill="auto"/>
        <w:spacing w:before="0" w:after="0" w:line="520" w:lineRule="atLeast"/>
        <w:ind w:firstLine="720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2050199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其他教育管理事务支出本年支出数为38.44万元，占全年总支出数0.11%;</w:t>
      </w:r>
    </w:p>
    <w:p w14:paraId="631208A0">
      <w:pPr>
        <w:pStyle w:val="5"/>
        <w:shd w:val="clear" w:color="auto" w:fill="auto"/>
        <w:spacing w:before="0" w:after="0" w:line="520" w:lineRule="atLeast"/>
        <w:ind w:firstLine="720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2050201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学前教育本年支出数为3,351.20万元，占全年总支出数9.51%;</w:t>
      </w:r>
    </w:p>
    <w:p w14:paraId="6DDF0A80">
      <w:pPr>
        <w:pStyle w:val="5"/>
        <w:shd w:val="clear" w:color="auto" w:fill="auto"/>
        <w:spacing w:before="0" w:after="0" w:line="520" w:lineRule="atLeast"/>
        <w:ind w:firstLine="720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2050202-小学教育本年支出数为16,293.54万元，占全年总支出数46.24%;</w:t>
      </w:r>
    </w:p>
    <w:p w14:paraId="2B4C3287">
      <w:pPr>
        <w:pStyle w:val="5"/>
        <w:shd w:val="clear" w:color="auto" w:fill="auto"/>
        <w:spacing w:before="0" w:after="0" w:line="520" w:lineRule="atLeast"/>
        <w:ind w:firstLine="720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2050203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初中教育本年支出数为4,747.62万元，占全年总支出数13.47%;</w:t>
      </w:r>
    </w:p>
    <w:p w14:paraId="4721404A">
      <w:pPr>
        <w:pStyle w:val="5"/>
        <w:shd w:val="clear" w:color="auto" w:fill="auto"/>
        <w:spacing w:before="0" w:after="0" w:line="520" w:lineRule="atLeast"/>
        <w:ind w:firstLine="720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2050204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高中教育本年支出数为256.17万元，占全年总支出数0.73%;</w:t>
      </w:r>
    </w:p>
    <w:p w14:paraId="635530D6">
      <w:pPr>
        <w:pStyle w:val="5"/>
        <w:shd w:val="clear" w:color="auto" w:fill="auto"/>
        <w:spacing w:before="0" w:after="0" w:line="520" w:lineRule="atLeast"/>
        <w:ind w:firstLine="720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2050299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其他普通教育支出本年支出数为1,911.35万元，占全年总支出数5.42%;</w:t>
      </w:r>
    </w:p>
    <w:p w14:paraId="20ADB825">
      <w:pPr>
        <w:pStyle w:val="5"/>
        <w:shd w:val="clear" w:color="auto" w:fill="auto"/>
        <w:spacing w:before="0" w:after="0" w:line="520" w:lineRule="atLeast"/>
        <w:ind w:firstLine="720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2050399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其他职业教育支出本年支出数为73.60万元，占全年总支出数0.21%;</w:t>
      </w:r>
    </w:p>
    <w:p w14:paraId="4009F641">
      <w:pPr>
        <w:pStyle w:val="5"/>
        <w:shd w:val="clear" w:color="auto" w:fill="auto"/>
        <w:spacing w:before="0" w:after="0" w:line="520" w:lineRule="atLeast"/>
        <w:ind w:firstLine="720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2050801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教师进修本年支出数为460.45万元，占全年总支出数1.31%;</w:t>
      </w:r>
    </w:p>
    <w:p w14:paraId="20DA7C64">
      <w:pPr>
        <w:pStyle w:val="5"/>
        <w:shd w:val="clear" w:color="auto" w:fill="auto"/>
        <w:spacing w:before="0" w:after="0" w:line="520" w:lineRule="atLeast"/>
        <w:ind w:firstLine="720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2050803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培训支出本年支出数为44.23万元，占全年总支出数0.13%;</w:t>
      </w:r>
    </w:p>
    <w:p w14:paraId="5CA28B55">
      <w:pPr>
        <w:pStyle w:val="5"/>
        <w:shd w:val="clear" w:color="auto" w:fill="auto"/>
        <w:spacing w:before="0" w:after="0" w:line="520" w:lineRule="atLeast"/>
        <w:ind w:firstLine="720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2050901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农村中小学校舍建设本年支出数为123.50万元，占全年总支出数0.35%;</w:t>
      </w:r>
    </w:p>
    <w:p w14:paraId="278CBECA">
      <w:pPr>
        <w:pStyle w:val="5"/>
        <w:shd w:val="clear" w:color="auto" w:fill="auto"/>
        <w:spacing w:before="0" w:after="0" w:line="520" w:lineRule="atLeast"/>
        <w:ind w:firstLine="720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2050903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城市中小学校舍建设本年支出数为25.55万元，占全年总支出数0.07%;</w:t>
      </w:r>
    </w:p>
    <w:p w14:paraId="65FCBF80">
      <w:pPr>
        <w:pStyle w:val="5"/>
        <w:shd w:val="clear" w:color="auto" w:fill="auto"/>
        <w:spacing w:before="0" w:after="0" w:line="520" w:lineRule="atLeast"/>
        <w:ind w:firstLine="720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2050904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城市中小学教学设施本年支出数为55.05万元，占全年总支出数0.16%;</w:t>
      </w:r>
    </w:p>
    <w:p w14:paraId="340E90BB">
      <w:pPr>
        <w:pStyle w:val="5"/>
        <w:shd w:val="clear" w:color="auto" w:fill="auto"/>
        <w:spacing w:before="0" w:after="0" w:line="520" w:lineRule="atLeast"/>
        <w:ind w:firstLine="720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2059999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其他教育支出本年支出数为1,702.47万元，占全年总支出数4.83%;</w:t>
      </w:r>
    </w:p>
    <w:p w14:paraId="7644B265">
      <w:pPr>
        <w:pStyle w:val="5"/>
        <w:shd w:val="clear" w:color="auto" w:fill="auto"/>
        <w:spacing w:before="0" w:after="0" w:line="520" w:lineRule="atLeast"/>
        <w:ind w:firstLine="720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2080505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机关事业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ascii="仿宋_GB2312" w:hAnsi="仿宋_GB2312" w:eastAsia="仿宋_GB2312" w:cs="仿宋_GB2312"/>
          <w:sz w:val="32"/>
          <w:szCs w:val="32"/>
        </w:rPr>
        <w:t>基本养老保险缴费支出本年支出数为1,575.25万元，占全年总支出数4.47%;</w:t>
      </w:r>
    </w:p>
    <w:p w14:paraId="371AFBF1">
      <w:pPr>
        <w:pStyle w:val="5"/>
        <w:shd w:val="clear" w:color="auto" w:fill="auto"/>
        <w:spacing w:before="0" w:after="0" w:line="520" w:lineRule="atLeast"/>
        <w:ind w:firstLine="720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2080506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机关事业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ascii="仿宋_GB2312" w:hAnsi="仿宋_GB2312" w:eastAsia="仿宋_GB2312" w:cs="仿宋_GB2312"/>
          <w:sz w:val="32"/>
          <w:szCs w:val="32"/>
        </w:rPr>
        <w:t>职业年金缴费支出本年支出数为1,082.46万元，占全年总支出数3.07%;</w:t>
      </w:r>
    </w:p>
    <w:p w14:paraId="57714921">
      <w:pPr>
        <w:pStyle w:val="5"/>
        <w:shd w:val="clear" w:color="auto" w:fill="auto"/>
        <w:spacing w:before="0" w:after="0" w:line="520" w:lineRule="atLeast"/>
        <w:ind w:firstLine="720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2100409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重大公共卫生服务本年支出数为2.99万元，占全年总支出数0.01%;</w:t>
      </w:r>
    </w:p>
    <w:p w14:paraId="2CB3CA9B">
      <w:pPr>
        <w:pStyle w:val="5"/>
        <w:shd w:val="clear" w:color="auto" w:fill="auto"/>
        <w:spacing w:before="0" w:after="0" w:line="520" w:lineRule="atLeast"/>
        <w:ind w:firstLine="720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2101101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ascii="仿宋_GB2312" w:hAnsi="仿宋_GB2312" w:eastAsia="仿宋_GB2312" w:cs="仿宋_GB2312"/>
          <w:sz w:val="32"/>
          <w:szCs w:val="32"/>
        </w:rPr>
        <w:t>医疗本年支出数为13.02万元，占全年总支出数0.04%;</w:t>
      </w:r>
    </w:p>
    <w:p w14:paraId="2273F935">
      <w:pPr>
        <w:pStyle w:val="5"/>
        <w:shd w:val="clear" w:color="auto" w:fill="auto"/>
        <w:spacing w:before="0" w:after="0" w:line="520" w:lineRule="atLeast"/>
        <w:ind w:firstLine="720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2101102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事业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ascii="仿宋_GB2312" w:hAnsi="仿宋_GB2312" w:eastAsia="仿宋_GB2312" w:cs="仿宋_GB2312"/>
          <w:sz w:val="32"/>
          <w:szCs w:val="32"/>
        </w:rPr>
        <w:t>医疗本年支出数为721.43万元，占全年总支出数2.05%;</w:t>
      </w:r>
    </w:p>
    <w:p w14:paraId="41B8E52F">
      <w:pPr>
        <w:pStyle w:val="5"/>
        <w:shd w:val="clear" w:color="auto" w:fill="auto"/>
        <w:spacing w:before="0" w:after="0" w:line="520" w:lineRule="atLeast"/>
        <w:ind w:firstLine="720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2101103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公务员医疗补助本年支出数为89.39万元，占全年总支出数0.25%;</w:t>
      </w:r>
    </w:p>
    <w:p w14:paraId="6D2047E0">
      <w:pPr>
        <w:pStyle w:val="5"/>
        <w:shd w:val="clear" w:color="auto" w:fill="auto"/>
        <w:spacing w:before="0" w:after="0" w:line="520" w:lineRule="atLeast"/>
        <w:ind w:firstLine="720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2101199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其他行政事业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ascii="仿宋_GB2312" w:hAnsi="仿宋_GB2312" w:eastAsia="仿宋_GB2312" w:cs="仿宋_GB2312"/>
          <w:sz w:val="32"/>
          <w:szCs w:val="32"/>
        </w:rPr>
        <w:t>医疗支出本年支出数为222.61万元，占全年总支出数0.63%;</w:t>
      </w:r>
    </w:p>
    <w:p w14:paraId="06300151">
      <w:pPr>
        <w:pStyle w:val="5"/>
        <w:shd w:val="clear" w:color="auto" w:fill="auto"/>
        <w:spacing w:before="0" w:after="0" w:line="520" w:lineRule="atLeast"/>
        <w:ind w:firstLine="720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2210201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住房公积金本年支出数为1,429.59万元，占全年总支出数4.06%;</w:t>
      </w:r>
    </w:p>
    <w:p w14:paraId="1E5EFE10">
      <w:pPr>
        <w:pStyle w:val="5"/>
        <w:shd w:val="clear" w:color="auto" w:fill="auto"/>
        <w:spacing w:before="0" w:after="0" w:line="520" w:lineRule="atLeast"/>
        <w:ind w:firstLine="720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2296004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用于教育事业的彩票公益金支出本年支出数为26.55万元，占全年总支出数0.08%</w:t>
      </w:r>
    </w:p>
    <w:p w14:paraId="2F428638">
      <w:pPr>
        <w:pStyle w:val="5"/>
        <w:spacing w:before="0" w:after="0" w:line="520" w:lineRule="atLeast"/>
        <w:ind w:firstLine="640"/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5.财政拨款收入、支出分析。</w:t>
      </w:r>
    </w:p>
    <w:p w14:paraId="072CDFF7">
      <w:pPr>
        <w:pStyle w:val="5"/>
        <w:spacing w:before="0" w:after="0" w:line="520" w:lineRule="atLeast"/>
        <w:ind w:firstLine="720"/>
      </w:pPr>
      <w:r>
        <w:rPr>
          <w:rFonts w:ascii="仿宋_GB2312" w:hAnsi="仿宋_GB2312" w:eastAsia="仿宋_GB2312" w:cs="仿宋_GB2312"/>
          <w:sz w:val="32"/>
          <w:szCs w:val="32"/>
        </w:rPr>
        <w:t>2024年财政本年收入合计为35,216.25万元；与上年全年收入数相比增加1368.02万元，增减比例为4.04%。</w:t>
      </w:r>
    </w:p>
    <w:p w14:paraId="28F38453">
      <w:pPr>
        <w:pStyle w:val="5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205-教育支出，本年收入30,052.95万元，其中基本支出20,474.44万元，项目支出9,578.50万元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D3B33EE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20501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教育管理事务，本年收入1,030.58万元，其中基本支出992.14万元，项目支出38.44万元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69FF9B7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2050101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行政运行，本年收入992.14万元，其中基本支出992.14万元，项目支出0.00万元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185ECB1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2050199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其他教育管理事务支出，本年收入38.44万元，其中基本支出0.00万元，项目支出38.44万元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D28A289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20502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普通教育，本年收入26,539.87万元，其中基本支出19,021.86万元，项目支出7,518.01万元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2732C6D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2050201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学前教育，本年收入3,351.20万元，其中基本支出1,152.00万元，项目支出2,199.20万元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42B966F6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2050202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小学教育，本年收入16,293.54万元，其中基本支出13,539.91万元，项目支出2,753.63万元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2C3B754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2050203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初中教育，本年收入4,747.62万元，其中基本支出4,329.95万元，项目支出417.67万元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440C5F1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2050204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高中教育，本年收入236.17万元，其中基本支出0.00万元，项目支出236.17万元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2ECF12C0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2050299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其他普通教育支出，本年收入1,911.35万元，其中基本支出0.00万元，项目支出1,911.35万元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EBF6CF6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20503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职业教育，本年收入73.60万元，其中基本支出0.00万元，项目支出73.60万元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EE87C75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2050399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其他职业教育支出，本年收入73.60万元，其中基本支出0.00万元，项目支出73.60万元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2354CDBB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20508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进修及培训，本年收入502.33万元，其中基本支出460.45万元，项目支出41.88万元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A75BE64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2050801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教师进修，本年收入460.45万元，其中基本支出460.45万元，项目支出0.00万元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AC8C41F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2050803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培训支出，本年收入41.88万元，其中基本支出0.00万元，项目支出41.88万元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EB416A6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20509-教育费附加安排的支出，本年收入204.10万元，其中基本支出0.00万元，项目支出204.10万元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BA12972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2050901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农村中小学校舍建设，本年收入123.50万元，其中基本支出0.00万元，项目支出123.50万元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AEB2FF6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2050903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城市中小学校舍建设，本年收入25.55万元，其中基本支出0.00万元，项目支出25.55万元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FFBB454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2050904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城市中小学教学设施，本年收入55.05万元，其中基本支出0.00万元，项目支出55.05万元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779831D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20599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其他教育支出，本年收入1,702.47万元，其中基本支出0.00万元，项目支出1,702.47万元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E8F3675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2059999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其他教育支出，本年收入1,702.47万元，其中基本支出0.00万元，项目支出1,702.47万元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9E2CF0F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社会保障和就业支出，本年收入2,657.71万元，其中基本支出2,657.71万元，项目支出0.00万元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D62CFD1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20805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行政事业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ascii="仿宋_GB2312" w:hAnsi="仿宋_GB2312" w:eastAsia="仿宋_GB2312" w:cs="仿宋_GB2312"/>
          <w:sz w:val="32"/>
          <w:szCs w:val="32"/>
        </w:rPr>
        <w:t>养老支出，本年收入2,657.71万元，其中基本支出2,657.71万元，项目支出0.00万元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85DD026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2080505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机关事业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ascii="仿宋_GB2312" w:hAnsi="仿宋_GB2312" w:eastAsia="仿宋_GB2312" w:cs="仿宋_GB2312"/>
          <w:sz w:val="32"/>
          <w:szCs w:val="32"/>
        </w:rPr>
        <w:t>基本养老保险缴费支出，本年收入1,575.25万元，其中基本支出1,575.25万元，项目支出0.00万元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E0CF1E7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2080506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机关事业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ascii="仿宋_GB2312" w:hAnsi="仿宋_GB2312" w:eastAsia="仿宋_GB2312" w:cs="仿宋_GB2312"/>
          <w:sz w:val="32"/>
          <w:szCs w:val="32"/>
        </w:rPr>
        <w:t>职业年金缴费支出，本年收入1,082.46万元，其中基本支出1,082.46万元，项目支出0.00万元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55475D1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卫生健康支出，本年收入1,049.45万元，其中基本支出1,046.45万元，项目支出2.99万元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2A1D4469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21004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公共卫生，本年收入2.99万元，其中基本支出0.00万元，项目支出2.99万元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367DAD4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2100409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重大公共卫生服务，本年收入2.99万元，其中基本支出0.00万元，项目支出2.99万元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AB5DDFD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21011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行政事业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ascii="仿宋_GB2312" w:hAnsi="仿宋_GB2312" w:eastAsia="仿宋_GB2312" w:cs="仿宋_GB2312"/>
          <w:sz w:val="32"/>
          <w:szCs w:val="32"/>
        </w:rPr>
        <w:t>医疗，本年收入1,046.45万元，其中基本支出1,046.45万元，项目支出0.00万元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F7B45C2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2101101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ascii="仿宋_GB2312" w:hAnsi="仿宋_GB2312" w:eastAsia="仿宋_GB2312" w:cs="仿宋_GB2312"/>
          <w:sz w:val="32"/>
          <w:szCs w:val="32"/>
        </w:rPr>
        <w:t>医疗，本年收入13.02万元，其中基本支出13.02万元，项目支出0.00万元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C3A5AFE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2101102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事业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ascii="仿宋_GB2312" w:hAnsi="仿宋_GB2312" w:eastAsia="仿宋_GB2312" w:cs="仿宋_GB2312"/>
          <w:sz w:val="32"/>
          <w:szCs w:val="32"/>
        </w:rPr>
        <w:t>医疗，本年收入721.43万元，其中基本支出721.43万元，项目支出0.00万元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47627130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2101103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公务员医疗补助，本年收入89.39万元，其中基本支出89.39万元，项目支出0.00万元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984D2C4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2101199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其他行政事业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ascii="仿宋_GB2312" w:hAnsi="仿宋_GB2312" w:eastAsia="仿宋_GB2312" w:cs="仿宋_GB2312"/>
          <w:sz w:val="32"/>
          <w:szCs w:val="32"/>
        </w:rPr>
        <w:t>医疗支出，本年收入222.61万元，其中基本支出222.61万元，项目支出0.00万元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1712478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221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住房保障支出，本年收入1,429.59万元，其中基本支出1,429.59万元，项目支出0.00万元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4CD95C9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22102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住房改革支出，本年收入1,429.59万元，其中基本支出1,429.59万元，项目支出0.00万元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242F0C01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2210201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住房公积金，本年收入1,429.59万元，其中基本支出1,429.59万元，项目支出0.00万元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2C3D0AC6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229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其他支出，本年收入26.55万元，其中基本支出0.00万元，项目支出26.55万元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24482035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22960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彩票公益金安排的支出，本年收入26.55万元，其中基本支出0.00万元，项目支出26.55万元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CAA46DA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2296004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用于教育事业的彩票公益金支出，本年收入26.55万元，其中基本支出0.00万元，项目支出26.55万元</w:t>
      </w:r>
    </w:p>
    <w:p w14:paraId="6BB103B3">
      <w:pPr>
        <w:pStyle w:val="5"/>
        <w:spacing w:before="0" w:after="0" w:line="520" w:lineRule="atLeast"/>
        <w:ind w:firstLine="720"/>
      </w:pPr>
      <w:r>
        <w:rPr>
          <w:rFonts w:ascii="仿宋_GB2312" w:hAnsi="仿宋_GB2312" w:eastAsia="仿宋_GB2312" w:cs="仿宋_GB2312"/>
          <w:sz w:val="32"/>
          <w:szCs w:val="32"/>
        </w:rPr>
        <w:t>2024年财政本年支出合计为35,238.60万元，与上年全年支出相比增加1227.86万元，增减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比例</w:t>
      </w:r>
      <w:r>
        <w:rPr>
          <w:rFonts w:ascii="仿宋_GB2312" w:hAnsi="仿宋_GB2312" w:eastAsia="仿宋_GB2312" w:cs="仿宋_GB2312"/>
          <w:sz w:val="32"/>
          <w:szCs w:val="32"/>
        </w:rPr>
        <w:t>为3.61%。</w:t>
      </w:r>
    </w:p>
    <w:p w14:paraId="58E58267">
      <w:pPr>
        <w:pStyle w:val="5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2050101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行政运行，本年收入992.14万元，其中基本支出992.14万元，项目支出0.00万元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2DB2B745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2050199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其他教育管理事务支出，本年收入38.44万元，其中基本支出0.00万元，项目支出38.44万元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82072BE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2050201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学前教育，本年收入3,351.20万元，其中基本支出1,152.00万元，项目支出2,199.20万元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CA92475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2050202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小学教育，本年收入16,293.54万元，其中基本支出13,539.91万元，项目支出2,753.63万元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CA0DF3B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2050203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初中教育，本年收入4,747.62万元，其中基本支出4,329.95万元，项目支出417.67万元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F2726A4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2050204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高中教育，本年收入236.17万元，其中基本支出0.00万元，项目支出236.17万元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890011D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2050299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其他普通教育支出，本年收入1,911.35万元，其中基本支出0.00万元，项目支出1,911.35万元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29CDD70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2050399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其他职业教育支出，本年收入73.60万元，其中基本支出0.00万元，项目支出73.60万元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3088062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2050801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教师进修，本年收入460.45万元，其中基本支出460.45万元，项目支出0.00万元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8D3BA08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2050803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培训支出，本年收入41.88万元，其中基本支出0.00万元，项目支出41.88万元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C22DE1F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2050901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农村中小学校舍建设，本年收入123.50万元，其中基本支出0.00万元，项目支出123.50万元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D6F6938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2050903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城市中小学校舍建设，本年收入25.55万元，其中基本支出0.00万元，项目支出25.55万元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70CCA84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2050904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城市中小学教学设施，本年收入55.05万元，其中基本支出0.00万元，项目支出55.05万元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57B3473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2059999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其他教育支出，本年收入1,702.47万元，其中基本支出0.00万元，项目支出1,702.47万元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405CA8E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2080505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机关事业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ascii="仿宋_GB2312" w:hAnsi="仿宋_GB2312" w:eastAsia="仿宋_GB2312" w:cs="仿宋_GB2312"/>
          <w:sz w:val="32"/>
          <w:szCs w:val="32"/>
        </w:rPr>
        <w:t>基本养老保险缴费支出，本年收入1,575.25万元，其中基本支出1,575.25万元，项目支出0.00万元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7ABDFC8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2080506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机关事业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ascii="仿宋_GB2312" w:hAnsi="仿宋_GB2312" w:eastAsia="仿宋_GB2312" w:cs="仿宋_GB2312"/>
          <w:sz w:val="32"/>
          <w:szCs w:val="32"/>
        </w:rPr>
        <w:t>职业年金缴费支出，本年收入1,082.46万元，其中基本支出1,082.46万元，项目支出0.00万元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1FAF993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2100409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重大公共卫生服务，本年收入2.99万元，其中基本支出0.00万元，项目支出2.99万元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7D3A98C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2101101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ascii="仿宋_GB2312" w:hAnsi="仿宋_GB2312" w:eastAsia="仿宋_GB2312" w:cs="仿宋_GB2312"/>
          <w:sz w:val="32"/>
          <w:szCs w:val="32"/>
        </w:rPr>
        <w:t>医疗，本年收入13.02万元，其中基本支出13.02万元，项目支出0.00万元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C291592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2101102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事业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ascii="仿宋_GB2312" w:hAnsi="仿宋_GB2312" w:eastAsia="仿宋_GB2312" w:cs="仿宋_GB2312"/>
          <w:sz w:val="32"/>
          <w:szCs w:val="32"/>
        </w:rPr>
        <w:t>医疗，本年收入721.43万元，其中基本支出721.43万元，项目支出0.00万元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26310F6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2101103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公务员医疗补助，本年收入89.39万元，其中基本支出89.39万元，项目支出0.00万元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2FBAF03A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2101199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其他行政事业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ascii="仿宋_GB2312" w:hAnsi="仿宋_GB2312" w:eastAsia="仿宋_GB2312" w:cs="仿宋_GB2312"/>
          <w:sz w:val="32"/>
          <w:szCs w:val="32"/>
        </w:rPr>
        <w:t>医疗支出，本年收入222.61万元，其中基本支出222.61万元，项目支出0.00万元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141FB59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2210201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住房公积金，本年收入1,429.59万元，其中基本支出1,429.59万元，项目支出0.00万元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0494669">
      <w:pPr>
        <w:pStyle w:val="5"/>
        <w:shd w:val="clear" w:color="auto" w:fill="auto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  <w:szCs w:val="32"/>
        </w:rPr>
        <w:t>2296004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ascii="仿宋_GB2312" w:hAnsi="仿宋_GB2312" w:eastAsia="仿宋_GB2312" w:cs="仿宋_GB2312"/>
          <w:sz w:val="32"/>
          <w:szCs w:val="32"/>
        </w:rPr>
        <w:t>用于教育事业的彩票公益金支出，本年收入26.55万元，其中基本支出0.00万元，项目支出26.55万元</w:t>
      </w:r>
    </w:p>
    <w:p w14:paraId="1FEB220F">
      <w:pPr>
        <w:pStyle w:val="5"/>
        <w:spacing w:before="0" w:after="0" w:line="520" w:lineRule="atLeast"/>
        <w:ind w:firstLine="640"/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6.非财政拨款收入、支出分析。</w:t>
      </w:r>
    </w:p>
    <w:p w14:paraId="15CB8845">
      <w:pPr>
        <w:pStyle w:val="5"/>
        <w:spacing w:before="0" w:after="0" w:line="520" w:lineRule="atLeast"/>
        <w:ind w:firstLine="720"/>
      </w:pPr>
      <w:r>
        <w:rPr>
          <w:rFonts w:ascii="仿宋_GB2312" w:hAnsi="仿宋_GB2312" w:eastAsia="仿宋_GB2312" w:cs="仿宋_GB2312"/>
          <w:sz w:val="32"/>
          <w:szCs w:val="32"/>
        </w:rPr>
        <w:t>2024年非财政本年收入合计为0.00万元；与上年相比增减0万元，增减比例为0%。</w:t>
      </w:r>
    </w:p>
    <w:p w14:paraId="6F24C35C">
      <w:pPr>
        <w:pStyle w:val="5"/>
        <w:spacing w:before="0" w:after="0" w:line="520" w:lineRule="atLeast"/>
        <w:ind w:firstLine="720"/>
      </w:pPr>
      <w:r>
        <w:rPr>
          <w:rFonts w:ascii="仿宋_GB2312" w:hAnsi="仿宋_GB2312" w:eastAsia="仿宋_GB2312" w:cs="仿宋_GB2312"/>
          <w:sz w:val="32"/>
          <w:szCs w:val="32"/>
        </w:rPr>
        <w:t>收入构成分为上级补助收入本年收入为0.00万元；事业收入本年收入为0.00万元；经营收入本年收入为0.00万元；附属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ascii="仿宋_GB2312" w:hAnsi="仿宋_GB2312" w:eastAsia="仿宋_GB2312" w:cs="仿宋_GB2312"/>
          <w:sz w:val="32"/>
          <w:szCs w:val="32"/>
        </w:rPr>
        <w:t>上缴收入本年收入为0.00万元；其他收入本年收入为0.00万元。</w:t>
      </w:r>
    </w:p>
    <w:p w14:paraId="6E723A17">
      <w:pPr>
        <w:pStyle w:val="5"/>
        <w:spacing w:before="0" w:after="0" w:line="520" w:lineRule="atLeast"/>
        <w:ind w:firstLine="720"/>
      </w:pPr>
    </w:p>
    <w:p w14:paraId="6C51FB58">
      <w:pPr>
        <w:pStyle w:val="5"/>
        <w:spacing w:before="0" w:after="0" w:line="520" w:lineRule="atLeast"/>
        <w:ind w:firstLine="720"/>
      </w:pPr>
      <w:r>
        <w:rPr>
          <w:rFonts w:ascii="仿宋_GB2312" w:hAnsi="仿宋_GB2312" w:eastAsia="仿宋_GB2312" w:cs="仿宋_GB2312"/>
          <w:sz w:val="32"/>
          <w:szCs w:val="32"/>
        </w:rPr>
        <w:t>2024年非财政本年支出合计为0.00万元；与上年相比增减0万元，增减比例为0%。</w:t>
      </w:r>
    </w:p>
    <w:p w14:paraId="227A6445">
      <w:pPr>
        <w:pStyle w:val="5"/>
        <w:spacing w:before="0" w:after="0" w:line="520" w:lineRule="atLeast"/>
        <w:ind w:firstLine="720"/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支出构成分为</w:t>
      </w:r>
      <w:r>
        <w:rPr>
          <w:rFonts w:ascii="仿宋_GB2312" w:hAnsi="仿宋_GB2312" w:eastAsia="仿宋_GB2312" w:cs="仿宋_GB2312"/>
          <w:sz w:val="32"/>
          <w:szCs w:val="32"/>
        </w:rPr>
        <w:t>基本支出合计数为0.00万元；其中：人员经费支出数为0.00万元；公用经费支出数为0.00万元；项目支出支出数为0.00万元；</w:t>
      </w:r>
    </w:p>
    <w:p w14:paraId="448DD264">
      <w:pPr>
        <w:pStyle w:val="5"/>
        <w:spacing w:before="0" w:after="0" w:line="520" w:lineRule="atLeast"/>
        <w:ind w:firstLine="640"/>
      </w:pPr>
      <w:r>
        <w:rPr>
          <w:rFonts w:ascii="楷体_GB2312" w:hAnsi="楷体_GB2312" w:eastAsia="楷体_GB2312" w:cs="楷体_GB2312"/>
          <w:b/>
          <w:bCs/>
          <w:sz w:val="32"/>
          <w:szCs w:val="32"/>
        </w:rPr>
        <w:t>（三）年末结转和结余情况。</w:t>
      </w:r>
    </w:p>
    <w:p w14:paraId="127C2AB2">
      <w:pPr>
        <w:pStyle w:val="5"/>
        <w:spacing w:before="0" w:after="0" w:line="520" w:lineRule="atLeast"/>
        <w:ind w:firstLine="640"/>
      </w:pPr>
      <w:r>
        <w:rPr>
          <w:rFonts w:ascii="仿宋_GB2312" w:hAnsi="仿宋_GB2312" w:eastAsia="仿宋_GB2312" w:cs="仿宋_GB2312"/>
          <w:sz w:val="32"/>
          <w:szCs w:val="32"/>
        </w:rPr>
        <w:t>1.财政拨款结转和结余</w:t>
      </w:r>
    </w:p>
    <w:p w14:paraId="48BE1A42">
      <w:pPr>
        <w:pStyle w:val="5"/>
        <w:spacing w:before="0" w:after="0" w:line="520" w:lineRule="atLeast"/>
        <w:ind w:firstLine="720"/>
      </w:pPr>
      <w:r>
        <w:rPr>
          <w:rFonts w:ascii="仿宋_GB2312" w:hAnsi="仿宋_GB2312" w:eastAsia="仿宋_GB2312" w:cs="仿宋_GB2312"/>
          <w:sz w:val="32"/>
          <w:szCs w:val="32"/>
        </w:rPr>
        <w:t>无财政拨款结转和结余</w:t>
      </w:r>
    </w:p>
    <w:p w14:paraId="5FE70A7A">
      <w:pPr>
        <w:pStyle w:val="5"/>
        <w:spacing w:before="0" w:after="0" w:line="520" w:lineRule="atLeast"/>
        <w:ind w:firstLine="640"/>
      </w:pPr>
      <w:r>
        <w:rPr>
          <w:rFonts w:ascii="仿宋_GB2312" w:hAnsi="仿宋_GB2312" w:eastAsia="仿宋_GB2312" w:cs="仿宋_GB2312"/>
          <w:sz w:val="32"/>
          <w:szCs w:val="32"/>
        </w:rPr>
        <w:t>2.非财政拨款结转和结余</w:t>
      </w:r>
    </w:p>
    <w:p w14:paraId="3EFF97F6">
      <w:pPr>
        <w:pStyle w:val="5"/>
        <w:spacing w:before="0" w:after="0" w:line="520" w:lineRule="atLeast"/>
        <w:ind w:firstLine="720"/>
      </w:pPr>
      <w:r>
        <w:rPr>
          <w:rFonts w:ascii="仿宋_GB2312" w:hAnsi="仿宋_GB2312" w:eastAsia="仿宋_GB2312" w:cs="仿宋_GB2312"/>
          <w:sz w:val="32"/>
          <w:szCs w:val="32"/>
        </w:rPr>
        <w:t>本年非财政拨款结转和结余0.00万元，与上年度相比增减0万元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其中：基本支出结转结余0.00万元，项目支出结转0.00万元，项目支出结余0.00万元，经营支出结余0.00万元，</w:t>
      </w:r>
    </w:p>
    <w:p w14:paraId="5538A825">
      <w:pPr>
        <w:pStyle w:val="5"/>
        <w:spacing w:before="0" w:after="0" w:line="520" w:lineRule="atLeast"/>
        <w:ind w:firstLine="720"/>
      </w:pPr>
    </w:p>
    <w:p w14:paraId="42D7C590">
      <w:pPr>
        <w:pStyle w:val="5"/>
        <w:spacing w:before="0" w:after="0" w:line="520" w:lineRule="atLeast"/>
        <w:ind w:firstLine="640"/>
      </w:pPr>
      <w:r>
        <w:rPr>
          <w:rFonts w:ascii="楷体_GB2312" w:hAnsi="楷体_GB2312" w:eastAsia="楷体_GB2312" w:cs="楷体_GB2312"/>
          <w:b/>
          <w:bCs/>
          <w:sz w:val="32"/>
          <w:szCs w:val="32"/>
        </w:rPr>
        <w:t>（四）与预算支出相关的其他指标分析。</w:t>
      </w:r>
    </w:p>
    <w:p w14:paraId="252EF706">
      <w:pPr>
        <w:pStyle w:val="5"/>
        <w:spacing w:before="0" w:after="0" w:line="520" w:lineRule="atLeast"/>
      </w:pPr>
      <w:r>
        <w:rPr>
          <w:rFonts w:ascii="仿宋_GB2312" w:hAnsi="仿宋_GB2312" w:eastAsia="仿宋_GB2312" w:cs="仿宋_GB2312"/>
          <w:sz w:val="32"/>
          <w:szCs w:val="32"/>
        </w:rPr>
        <w:t>本年银行存款1,155.44万元，较上年1,424.10万元，减少268.66万元。房屋39,685.89万元，较上年38,243.88万元，增加1442.01万元。车辆84.00万元，较上年84.00万元，增减0万元。</w:t>
      </w:r>
    </w:p>
    <w:p w14:paraId="02FA536C">
      <w:pPr>
        <w:pStyle w:val="5"/>
        <w:spacing w:before="0" w:after="0" w:line="520" w:lineRule="atLeast"/>
        <w:ind w:firstLine="640"/>
      </w:pPr>
      <w:r>
        <w:rPr>
          <w:rFonts w:ascii="楷体_GB2312" w:hAnsi="楷体_GB2312" w:eastAsia="楷体_GB2312" w:cs="楷体_GB2312"/>
          <w:b/>
          <w:bCs/>
          <w:sz w:val="32"/>
          <w:szCs w:val="32"/>
        </w:rPr>
        <w:t>（五）绩效目标完成情况。</w:t>
      </w:r>
    </w:p>
    <w:p w14:paraId="7E26B72E">
      <w:pPr>
        <w:pStyle w:val="5"/>
        <w:spacing w:before="0" w:after="0" w:line="520" w:lineRule="atLeast"/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2024</w:t>
      </w:r>
      <w:r>
        <w:rPr>
          <w:rFonts w:hint="eastAsia" w:ascii="宋体" w:hAnsi="宋体" w:eastAsia="宋体" w:cs="宋体"/>
          <w:sz w:val="28"/>
          <w:szCs w:val="28"/>
        </w:rPr>
        <w:t>年项目绩效目标完成情况好</w:t>
      </w:r>
    </w:p>
    <w:p w14:paraId="7A4FE787">
      <w:pPr>
        <w:pStyle w:val="5"/>
        <w:spacing w:before="0" w:after="0" w:line="520" w:lineRule="atLeast"/>
        <w:ind w:firstLine="600"/>
      </w:pPr>
      <w:r>
        <w:rPr>
          <w:rFonts w:ascii="楷体_GB2312" w:hAnsi="楷体_GB2312" w:eastAsia="楷体_GB2312" w:cs="楷体_GB2312"/>
          <w:sz w:val="30"/>
          <w:szCs w:val="30"/>
        </w:rPr>
        <w:t>注：个别</w:t>
      </w:r>
      <w:r>
        <w:rPr>
          <w:rFonts w:hint="eastAsia" w:ascii="楷体_GB2312" w:hAnsi="楷体_GB2312" w:eastAsia="楷体_GB2312" w:cs="楷体_GB2312"/>
          <w:sz w:val="30"/>
          <w:szCs w:val="30"/>
          <w:lang w:eastAsia="zh-CN"/>
        </w:rPr>
        <w:t>部门</w:t>
      </w:r>
      <w:r>
        <w:rPr>
          <w:rFonts w:ascii="楷体_GB2312" w:hAnsi="楷体_GB2312" w:eastAsia="楷体_GB2312" w:cs="楷体_GB2312"/>
          <w:sz w:val="30"/>
          <w:szCs w:val="30"/>
        </w:rPr>
        <w:t>如在报送决算时尚未完成绩效评价工作的，可不在报告中说明。</w:t>
      </w:r>
    </w:p>
    <w:p w14:paraId="47B2590A">
      <w:pPr>
        <w:pStyle w:val="5"/>
        <w:spacing w:before="0" w:after="0" w:line="520" w:lineRule="atLeast"/>
        <w:ind w:firstLine="640"/>
      </w:pPr>
      <w:r>
        <w:rPr>
          <w:rFonts w:ascii="楷体_GB2312" w:hAnsi="楷体_GB2312" w:eastAsia="楷体_GB2312" w:cs="楷体_GB2312"/>
          <w:b/>
          <w:bCs/>
          <w:sz w:val="32"/>
          <w:szCs w:val="32"/>
        </w:rPr>
        <w:t>（六）当年预算执行及绩效管理中存在问题、原因及改进措施。</w:t>
      </w:r>
    </w:p>
    <w:p w14:paraId="060CE6DD">
      <w:pPr>
        <w:pStyle w:val="5"/>
        <w:spacing w:before="0" w:after="0" w:line="520" w:lineRule="atLeast"/>
        <w:ind w:firstLine="640"/>
        <w:jc w:val="both"/>
      </w:pPr>
      <w:r>
        <w:rPr>
          <w:rFonts w:ascii="仿宋_GB2312" w:hAnsi="仿宋_GB2312" w:eastAsia="仿宋_GB2312" w:cs="仿宋_GB2312"/>
          <w:sz w:val="32"/>
          <w:szCs w:val="32"/>
        </w:rPr>
        <w:t>无</w:t>
      </w:r>
    </w:p>
    <w:p w14:paraId="1E9CBC98">
      <w:pPr>
        <w:pStyle w:val="5"/>
        <w:spacing w:before="0" w:after="0" w:line="520" w:lineRule="atLeast"/>
        <w:ind w:firstLine="640"/>
      </w:pPr>
      <w:r>
        <w:rPr>
          <w:rFonts w:ascii="黑体" w:hAnsi="黑体" w:eastAsia="黑体" w:cs="黑体"/>
          <w:sz w:val="32"/>
          <w:szCs w:val="32"/>
        </w:rPr>
        <w:t>三、本年度部门决算等财务工作开展情况</w:t>
      </w:r>
    </w:p>
    <w:p w14:paraId="1B51D6F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（一）本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ascii="仿宋_GB2312" w:hAnsi="仿宋_GB2312" w:eastAsia="仿宋_GB2312" w:cs="仿宋_GB2312"/>
          <w:sz w:val="32"/>
          <w:szCs w:val="32"/>
        </w:rPr>
        <w:t>财务管理、绩效管理、决算组织、编报、审核情况。</w:t>
      </w:r>
    </w:p>
    <w:p w14:paraId="7E0A477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atLeas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本部门进一步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财务管理制度，包括预算管理制度、财务核算制度、内部控制制度等，确保财务工作规范有序进行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。严格执行预算管理，确保预算执行进度和绩效目标的实现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按照财政部门的要求，及时组织决算编报工作，积极完成决算、编报、审核等方面工作，认真如实填报，提高决算质量，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决算报表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通过审核通过后上报县财政局。</w:t>
      </w:r>
    </w:p>
    <w:p w14:paraId="4BB11239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ascii="仿宋_GB2312" w:hAnsi="仿宋_GB2312" w:eastAsia="仿宋_GB2312" w:cs="仿宋_GB2312"/>
          <w:sz w:val="32"/>
          <w:szCs w:val="32"/>
        </w:rPr>
        <w:t>决算及绩效信息公开工作开展情况。</w:t>
      </w:r>
    </w:p>
    <w:p w14:paraId="031074E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主管部门按时批复决算数据，本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及时按照时限要求在县政府门户网站进行决算信息公开工作。</w:t>
      </w:r>
    </w:p>
    <w:p w14:paraId="7602A8A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1"/>
        <w:textAlignment w:val="auto"/>
      </w:pPr>
      <w:r>
        <w:rPr>
          <w:rFonts w:ascii="仿宋_GB2312" w:hAnsi="仿宋_GB2312" w:eastAsia="仿宋_GB2312" w:cs="仿宋_GB2312"/>
          <w:sz w:val="32"/>
          <w:szCs w:val="32"/>
        </w:rPr>
        <w:t>（三）</w:t>
      </w:r>
      <w:r>
        <w:rPr>
          <w:rFonts w:ascii="楷体_GB2312" w:hAnsi="楷体_GB2312" w:eastAsia="楷体_GB2312" w:cs="楷体_GB2312"/>
          <w:sz w:val="32"/>
          <w:szCs w:val="32"/>
        </w:rPr>
        <w:t>对部门决算管理工作的意见和建议。</w:t>
      </w:r>
    </w:p>
    <w:p w14:paraId="20B4505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960" w:firstLineChars="3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无。</w:t>
      </w: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7DF4EA3F">
      <w:pPr>
        <w:pStyle w:val="5"/>
        <w:spacing w:before="0" w:after="0" w:line="520" w:lineRule="atLeast"/>
        <w:ind w:firstLine="640"/>
      </w:pPr>
      <w:r>
        <w:rPr>
          <w:rFonts w:ascii="仿宋_GB2312" w:hAnsi="仿宋_GB2312" w:eastAsia="仿宋_GB2312" w:cs="仿宋_GB2312"/>
          <w:sz w:val="32"/>
          <w:szCs w:val="32"/>
        </w:rPr>
        <w:t>注：收入支出预算执行情况分析可参考部门决算分析评价表及行政事业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ascii="仿宋_GB2312" w:hAnsi="仿宋_GB2312" w:eastAsia="仿宋_GB2312" w:cs="仿宋_GB2312"/>
          <w:sz w:val="32"/>
          <w:szCs w:val="32"/>
        </w:rPr>
        <w:t>财务分析指标（附后）。</w:t>
      </w:r>
    </w:p>
    <w:p w14:paraId="11B846E0">
      <w:pPr>
        <w:pStyle w:val="5"/>
        <w:spacing w:before="0" w:after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387E2D72">
      <w:pPr>
        <w:pStyle w:val="5"/>
        <w:spacing w:before="0" w:after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5291FEA9">
      <w:pPr>
        <w:pStyle w:val="5"/>
        <w:spacing w:before="0" w:after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5A9F3A15">
      <w:pPr>
        <w:pStyle w:val="5"/>
        <w:spacing w:before="0" w:after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774D8BB1">
      <w:pPr>
        <w:pStyle w:val="5"/>
        <w:spacing w:before="0" w:after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568F52F4">
      <w:pPr>
        <w:pStyle w:val="5"/>
        <w:spacing w:before="0" w:after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3609CB08">
      <w:pPr>
        <w:pStyle w:val="5"/>
        <w:spacing w:before="0" w:after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7FC90D00">
      <w:pPr>
        <w:pStyle w:val="5"/>
        <w:spacing w:before="0" w:after="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02FD73AE">
      <w:pPr>
        <w:pStyle w:val="5"/>
        <w:spacing w:before="0" w:after="0"/>
        <w:rPr>
          <w:sz w:val="24"/>
          <w:szCs w:val="24"/>
        </w:rPr>
      </w:pPr>
    </w:p>
    <w:p w14:paraId="26391A9A">
      <w:pPr>
        <w:pStyle w:val="5"/>
        <w:spacing w:before="0" w:after="0"/>
        <w:rPr>
          <w:sz w:val="24"/>
          <w:szCs w:val="24"/>
        </w:rPr>
      </w:pPr>
    </w:p>
    <w:p w14:paraId="3FC0E3E1">
      <w:pPr>
        <w:pStyle w:val="5"/>
        <w:spacing w:before="0" w:after="0"/>
        <w:rPr>
          <w:sz w:val="24"/>
          <w:szCs w:val="24"/>
        </w:rPr>
      </w:pPr>
    </w:p>
    <w:p w14:paraId="741A593A">
      <w:pPr>
        <w:pStyle w:val="5"/>
        <w:spacing w:before="0" w:after="0"/>
        <w:rPr>
          <w:sz w:val="24"/>
          <w:szCs w:val="24"/>
        </w:rPr>
      </w:pPr>
    </w:p>
    <w:p w14:paraId="2460C327">
      <w:pPr>
        <w:pStyle w:val="5"/>
        <w:spacing w:before="0" w:after="0"/>
        <w:rPr>
          <w:sz w:val="24"/>
          <w:szCs w:val="24"/>
        </w:rPr>
      </w:pPr>
    </w:p>
    <w:p w14:paraId="6CB30C17">
      <w:pPr>
        <w:pStyle w:val="5"/>
        <w:spacing w:before="0" w:after="0"/>
        <w:rPr>
          <w:sz w:val="24"/>
          <w:szCs w:val="24"/>
        </w:rPr>
      </w:pPr>
    </w:p>
    <w:p w14:paraId="767A6DCE">
      <w:pPr>
        <w:pStyle w:val="5"/>
        <w:spacing w:before="0" w:after="0"/>
        <w:rPr>
          <w:sz w:val="24"/>
          <w:szCs w:val="24"/>
        </w:rPr>
      </w:pPr>
    </w:p>
    <w:p w14:paraId="76F3C2BC">
      <w:pPr>
        <w:pStyle w:val="5"/>
        <w:spacing w:before="0" w:after="0"/>
        <w:rPr>
          <w:sz w:val="24"/>
          <w:szCs w:val="24"/>
        </w:rPr>
      </w:pPr>
    </w:p>
    <w:p w14:paraId="5B7D6B18">
      <w:pPr>
        <w:pStyle w:val="5"/>
        <w:spacing w:before="0" w:after="0"/>
        <w:rPr>
          <w:sz w:val="24"/>
          <w:szCs w:val="24"/>
        </w:rPr>
      </w:pPr>
    </w:p>
    <w:p w14:paraId="2BDD0EE5">
      <w:pPr>
        <w:pStyle w:val="5"/>
        <w:spacing w:before="0" w:after="0"/>
        <w:rPr>
          <w:sz w:val="24"/>
          <w:szCs w:val="24"/>
        </w:rPr>
      </w:pPr>
    </w:p>
    <w:p w14:paraId="1C4B9A97">
      <w:pPr>
        <w:pStyle w:val="5"/>
        <w:spacing w:before="0" w:after="0"/>
        <w:rPr>
          <w:sz w:val="24"/>
          <w:szCs w:val="24"/>
        </w:rPr>
      </w:pPr>
    </w:p>
    <w:p w14:paraId="0DBF8216">
      <w:pPr>
        <w:pStyle w:val="5"/>
        <w:spacing w:before="0" w:after="0"/>
        <w:rPr>
          <w:sz w:val="24"/>
          <w:szCs w:val="24"/>
        </w:rPr>
      </w:pPr>
    </w:p>
    <w:p w14:paraId="7AA553A8">
      <w:pPr>
        <w:pStyle w:val="5"/>
      </w:pPr>
    </w:p>
    <w:sectPr>
      <w:pgSz w:w="12240" w:h="15840"/>
      <w:pgMar w:top="1440" w:right="1804" w:bottom="1440" w:left="180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0617F5"/>
    <w:multiLevelType w:val="singleLevel"/>
    <w:tmpl w:val="280617F5"/>
    <w:lvl w:ilvl="0" w:tentative="0">
      <w:start w:val="3"/>
      <w:numFmt w:val="decimal"/>
      <w:suff w:val="nothing"/>
      <w:lvlText w:val="%1．"/>
      <w:lvlJc w:val="left"/>
    </w:lvl>
  </w:abstractNum>
  <w:abstractNum w:abstractNumId="1">
    <w:nsid w:val="62076BF5"/>
    <w:multiLevelType w:val="singleLevel"/>
    <w:tmpl w:val="62076BF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02EF5"/>
    <w:rsid w:val="075F07F1"/>
    <w:rsid w:val="1C9B0077"/>
    <w:rsid w:val="22A301F1"/>
    <w:rsid w:val="307726D1"/>
    <w:rsid w:val="3EC647A9"/>
    <w:rsid w:val="52BA18DC"/>
    <w:rsid w:val="721F6D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5">
    <w:name w:val="Normal_0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table" w:customStyle="1" w:styleId="6">
    <w:name w:val="Grid Table 1 Light"/>
    <w:basedOn w:val="2"/>
    <w:uiPriority w:val="46"/>
    <w:pPr>
      <w:spacing w:after="0" w:line="240" w:lineRule="auto"/>
    </w:pPr>
    <w:tblPr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年初预算收支分析图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2023年</c:f>
              <c:strCache>
                <c:ptCount val="1"/>
                <c:pt idx="0">
                  <c:v>2023年</c:v>
                </c:pt>
              </c:strCache>
            </c:strRef>
          </c:tx>
          <c:invertIfNegative val="0"/>
          <c:dLbls>
            <c:dLbl>
              <c:idx val="0"/>
              <c:layout/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{"收入数","支出数"}</c:f>
              <c:strCache>
                <c:ptCount val="2"/>
                <c:pt idx="0">
                  <c:v>收入数</c:v>
                </c:pt>
                <c:pt idx="1">
                  <c:v>支出数</c:v>
                </c:pt>
              </c:strCache>
            </c:strRef>
          </c:cat>
          <c:val>
            <c:numRef>
              <c:f>{25888.61,25888.61}</c:f>
              <c:numCache>
                <c:formatCode>General</c:formatCode>
                <c:ptCount val="2"/>
                <c:pt idx="0">
                  <c:v>25888.61</c:v>
                </c:pt>
                <c:pt idx="1">
                  <c:v>25888.61</c:v>
                </c:pt>
              </c:numCache>
            </c:numRef>
          </c:val>
        </c:ser>
        <c:ser>
          <c:idx val="1"/>
          <c:order val="1"/>
          <c:tx>
            <c:strRef>
              <c:f>2024年</c:f>
              <c:strCache>
                <c:ptCount val="1"/>
                <c:pt idx="0">
                  <c:v>2024年</c:v>
                </c:pt>
              </c:strCache>
            </c:strRef>
          </c:tx>
          <c:invertIfNegative val="0"/>
          <c:dLbls>
            <c:dLbl>
              <c:idx val="0"/>
              <c:layout/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{"收入数","支出数"}</c:f>
              <c:strCache>
                <c:ptCount val="2"/>
                <c:pt idx="0">
                  <c:v>收入数</c:v>
                </c:pt>
                <c:pt idx="1">
                  <c:v>支出数</c:v>
                </c:pt>
              </c:strCache>
            </c:strRef>
          </c:cat>
          <c:val>
            <c:numRef>
              <c:f>{26662.24,26662.24}</c:f>
              <c:numCache>
                <c:formatCode>General</c:formatCode>
                <c:ptCount val="2"/>
                <c:pt idx="0">
                  <c:v>26662.24</c:v>
                </c:pt>
                <c:pt idx="1">
                  <c:v>26662.24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5321312"/>
        <c:axId val="305319744"/>
      </c:barChart>
      <c:catAx>
        <c:axId val="305321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19744"/>
        <c:crosses val="autoZero"/>
        <c:auto val="1"/>
        <c:lblAlgn val="ctr"/>
        <c:lblOffset val="100"/>
        <c:noMultiLvlLbl val="0"/>
      </c:catAx>
      <c:valAx>
        <c:axId val="305319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21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160e0d9-4b69-4f72-bf96-05b7a8c660ad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全年预算收支分析表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2023年</c:f>
              <c:strCache>
                <c:ptCount val="1"/>
                <c:pt idx="0">
                  <c:v>2023年</c:v>
                </c:pt>
              </c:strCache>
            </c:strRef>
          </c:tx>
          <c:invertIfNegative val="0"/>
          <c:dLbls>
            <c:dLbl>
              <c:idx val="0"/>
              <c:layout/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{"收入数","支出数"}</c:f>
              <c:strCache>
                <c:ptCount val="2"/>
                <c:pt idx="0">
                  <c:v>收入数</c:v>
                </c:pt>
                <c:pt idx="1">
                  <c:v>支出数</c:v>
                </c:pt>
              </c:strCache>
            </c:strRef>
          </c:cat>
          <c:val>
            <c:numRef>
              <c:f>{42502.1,42664.61}</c:f>
              <c:numCache>
                <c:formatCode>General</c:formatCode>
                <c:ptCount val="2"/>
                <c:pt idx="0">
                  <c:v>42502.1</c:v>
                </c:pt>
                <c:pt idx="1">
                  <c:v>42664.61</c:v>
                </c:pt>
              </c:numCache>
            </c:numRef>
          </c:val>
        </c:ser>
        <c:ser>
          <c:idx val="1"/>
          <c:order val="1"/>
          <c:tx>
            <c:strRef>
              <c:f>2024年</c:f>
              <c:strCache>
                <c:ptCount val="1"/>
                <c:pt idx="0">
                  <c:v>2024年</c:v>
                </c:pt>
              </c:strCache>
            </c:strRef>
          </c:tx>
          <c:invertIfNegative val="0"/>
          <c:dLbls>
            <c:dLbl>
              <c:idx val="0"/>
              <c:layout/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{"收入数","支出数"}</c:f>
              <c:strCache>
                <c:ptCount val="2"/>
                <c:pt idx="0">
                  <c:v>收入数</c:v>
                </c:pt>
                <c:pt idx="1">
                  <c:v>支出数</c:v>
                </c:pt>
              </c:strCache>
            </c:strRef>
          </c:cat>
          <c:val>
            <c:numRef>
              <c:f>{35216.25,35238.6}</c:f>
              <c:numCache>
                <c:formatCode>General</c:formatCode>
                <c:ptCount val="2"/>
                <c:pt idx="0">
                  <c:v>35216.25</c:v>
                </c:pt>
                <c:pt idx="1">
                  <c:v>35238.6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5321312"/>
        <c:axId val="305319744"/>
      </c:barChart>
      <c:catAx>
        <c:axId val="305321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19744"/>
        <c:crosses val="autoZero"/>
        <c:auto val="1"/>
        <c:lblAlgn val="ctr"/>
        <c:lblOffset val="100"/>
        <c:noMultiLvlLbl val="0"/>
      </c:catAx>
      <c:valAx>
        <c:axId val="305319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21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98d58c1f-a7dc-46af-a455-681fa298f341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预算执行分析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预算数</c:f>
              <c:strCache>
                <c:ptCount val="1"/>
                <c:pt idx="0">
                  <c:v>预算数</c:v>
                </c:pt>
              </c:strCache>
            </c:strRef>
          </c:tx>
          <c:invertIfNegative val="0"/>
          <c:dLbls>
            <c:dLbl>
              <c:idx val="0"/>
              <c:layout/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{"收入数","支出数"}</c:f>
              <c:strCache>
                <c:ptCount val="2"/>
                <c:pt idx="0">
                  <c:v>收入数</c:v>
                </c:pt>
                <c:pt idx="1">
                  <c:v>支出数</c:v>
                </c:pt>
              </c:strCache>
            </c:strRef>
          </c:cat>
          <c:val>
            <c:numRef>
              <c:f>{35216.25,35238.6}</c:f>
              <c:numCache>
                <c:formatCode>General</c:formatCode>
                <c:ptCount val="2"/>
                <c:pt idx="0">
                  <c:v>35216.25</c:v>
                </c:pt>
                <c:pt idx="1">
                  <c:v>35238.6</c:v>
                </c:pt>
              </c:numCache>
            </c:numRef>
          </c:val>
        </c:ser>
        <c:ser>
          <c:idx val="1"/>
          <c:order val="1"/>
          <c:tx>
            <c:strRef>
              <c:f>决算数</c:f>
              <c:strCache>
                <c:ptCount val="1"/>
                <c:pt idx="0">
                  <c:v>决算数</c:v>
                </c:pt>
              </c:strCache>
            </c:strRef>
          </c:tx>
          <c:invertIfNegative val="0"/>
          <c:dLbls>
            <c:dLbl>
              <c:idx val="0"/>
              <c:layout/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{"收入数","支出数"}</c:f>
              <c:strCache>
                <c:ptCount val="2"/>
                <c:pt idx="0">
                  <c:v>收入数</c:v>
                </c:pt>
                <c:pt idx="1">
                  <c:v>支出数</c:v>
                </c:pt>
              </c:strCache>
            </c:strRef>
          </c:cat>
          <c:val>
            <c:numRef>
              <c:f>{35216.25,35238.6}</c:f>
              <c:numCache>
                <c:formatCode>General</c:formatCode>
                <c:ptCount val="2"/>
                <c:pt idx="0">
                  <c:v>35216.25</c:v>
                </c:pt>
                <c:pt idx="1">
                  <c:v>35238.6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5321312"/>
        <c:axId val="305319744"/>
      </c:barChart>
      <c:catAx>
        <c:axId val="305321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19744"/>
        <c:crosses val="autoZero"/>
        <c:auto val="1"/>
        <c:lblAlgn val="ctr"/>
        <c:lblOffset val="100"/>
        <c:noMultiLvlLbl val="0"/>
      </c:catAx>
      <c:valAx>
        <c:axId val="305319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21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6e515ff0-4283-4bd8-bb23-ad93f68f77db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收入结构分析图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收入结构分析图</c:f>
              <c:strCache>
                <c:ptCount val="1"/>
                <c:pt idx="0">
                  <c:v>收入结构分析图</c:v>
                </c:pt>
              </c:strCache>
            </c:strRef>
          </c:tx>
          <c:spPr>
            <a:ln w="19050">
              <a:solidFill>
                <a:schemeClr val="lt1"/>
              </a:solidFill>
            </a:ln>
          </c:spPr>
          <c:explosion val="0"/>
          <c:dPt>
            <c:idx val="0"/>
            <c:bubble3D val="0"/>
            <c:spPr>
              <a:ln w="19050">
                <a:solidFill>
                  <a:schemeClr val="lt1"/>
                </a:solidFill>
              </a:ln>
            </c:spPr>
          </c:dPt>
          <c:dPt>
            <c:idx val="1"/>
            <c:bubble3D val="0"/>
            <c:spPr>
              <a:ln w="19050">
                <a:solidFill>
                  <a:schemeClr val="lt1"/>
                </a:solidFill>
              </a:ln>
            </c:spPr>
          </c:dPt>
          <c:dLbls>
            <c:dLbl>
              <c:idx val="0"/>
              <c:layout/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1"/>
            <c:showVal val="1"/>
            <c:showCatName val="1"/>
            <c:showSerName val="1"/>
            <c:showPercent val="1"/>
            <c:showBubbleSize val="1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{"一般公共预算财政拨款","政府性基金预算财政拨款"}</c:f>
              <c:strCache>
                <c:ptCount val="2"/>
                <c:pt idx="0">
                  <c:v>一般公共预算财政拨款</c:v>
                </c:pt>
                <c:pt idx="1">
                  <c:v>政府性基金预算财政拨款</c:v>
                </c:pt>
              </c:strCache>
            </c:strRef>
          </c:cat>
          <c:val>
            <c:numRef>
              <c:f>{35189.7,26.55}</c:f>
              <c:numCache>
                <c:formatCode>General</c:formatCode>
                <c:ptCount val="2"/>
                <c:pt idx="0">
                  <c:v>35189.7</c:v>
                </c:pt>
                <c:pt idx="1">
                  <c:v>26.55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8036dbab-b80d-473a-affc-a77b8ab99eb2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支出结构分析图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支出结构分析图</c:f>
              <c:strCache>
                <c:ptCount val="1"/>
                <c:pt idx="0">
                  <c:v>支出结构分析图</c:v>
                </c:pt>
              </c:strCache>
            </c:strRef>
          </c:tx>
          <c:spPr>
            <a:ln w="19050">
              <a:solidFill>
                <a:schemeClr val="lt1"/>
              </a:solidFill>
            </a:ln>
          </c:spPr>
          <c:explosion val="0"/>
          <c:dPt>
            <c:idx val="0"/>
            <c:bubble3D val="0"/>
            <c:spPr>
              <a:ln w="19050">
                <a:solidFill>
                  <a:schemeClr val="lt1"/>
                </a:solidFill>
              </a:ln>
            </c:spPr>
          </c:dPt>
          <c:dPt>
            <c:idx val="1"/>
            <c:bubble3D val="0"/>
            <c:spPr>
              <a:ln w="19050">
                <a:solidFill>
                  <a:schemeClr val="lt1"/>
                </a:solidFill>
              </a:ln>
            </c:spPr>
          </c:dPt>
          <c:dPt>
            <c:idx val="2"/>
            <c:bubble3D val="0"/>
            <c:spPr>
              <a:ln w="19050">
                <a:solidFill>
                  <a:schemeClr val="lt1"/>
                </a:solidFill>
              </a:ln>
            </c:spPr>
          </c:dPt>
          <c:dLbls>
            <c:dLbl>
              <c:idx val="0"/>
              <c:layout/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1"/>
            <c:showVal val="1"/>
            <c:showCatName val="1"/>
            <c:showSerName val="1"/>
            <c:showPercent val="1"/>
            <c:showBubbleSize val="1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{"基本支出","项目支出","基本建设类项目"}</c:f>
              <c:strCache>
                <c:ptCount val="3"/>
                <c:pt idx="0">
                  <c:v>基本支出</c:v>
                </c:pt>
                <c:pt idx="1">
                  <c:v>项目支出</c:v>
                </c:pt>
                <c:pt idx="2">
                  <c:v>基本建设类项目</c:v>
                </c:pt>
              </c:strCache>
            </c:strRef>
          </c:cat>
          <c:val>
            <c:numRef>
              <c:f>{25608.2,9630.4,1425.86}</c:f>
              <c:numCache>
                <c:formatCode>General</c:formatCode>
                <c:ptCount val="3"/>
                <c:pt idx="0">
                  <c:v>25608.2</c:v>
                </c:pt>
                <c:pt idx="1">
                  <c:v>9630.4</c:v>
                </c:pt>
                <c:pt idx="2">
                  <c:v>1425.86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fbb64a82-6eac-4e40-b2c1-7ac4e24ea71b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三公经费支出分析图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三公经费支出分析图</c:f>
              <c:strCache>
                <c:ptCount val="1"/>
                <c:pt idx="0">
                  <c:v>三公经费支出分析图</c:v>
                </c:pt>
              </c:strCache>
            </c:strRef>
          </c:tx>
          <c:spPr>
            <a:ln w="19050">
              <a:solidFill>
                <a:schemeClr val="lt1"/>
              </a:solidFill>
            </a:ln>
          </c:spPr>
          <c:explosion val="0"/>
          <c:dPt>
            <c:idx val="0"/>
            <c:bubble3D val="0"/>
            <c:spPr>
              <a:ln w="19050">
                <a:solidFill>
                  <a:schemeClr val="lt1"/>
                </a:solidFill>
              </a:ln>
            </c:spPr>
          </c:dPt>
          <c:dPt>
            <c:idx val="1"/>
            <c:bubble3D val="0"/>
            <c:spPr>
              <a:ln w="19050">
                <a:solidFill>
                  <a:schemeClr val="lt1"/>
                </a:solidFill>
              </a:ln>
            </c:spPr>
          </c:dPt>
          <c:dLbls>
            <c:dLbl>
              <c:idx val="0"/>
              <c:layout/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1"/>
            <c:showVal val="1"/>
            <c:showCatName val="1"/>
            <c:showSerName val="1"/>
            <c:showPercent val="1"/>
            <c:showBubbleSize val="1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{"公务用车购置及运行维护费","公务接待费"}</c:f>
              <c:strCache>
                <c:ptCount val="2"/>
                <c:pt idx="0">
                  <c:v>公务用车购置及运行维护费</c:v>
                </c:pt>
                <c:pt idx="1">
                  <c:v>公务接待费</c:v>
                </c:pt>
              </c:strCache>
            </c:strRef>
          </c:cat>
          <c:val>
            <c:numRef>
              <c:f>{5.8,0.24}</c:f>
              <c:numCache>
                <c:formatCode>General</c:formatCode>
                <c:ptCount val="2"/>
                <c:pt idx="0">
                  <c:v>5.8</c:v>
                </c:pt>
                <c:pt idx="1">
                  <c:v>0.24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be324dcb-37c9-4983-b7da-41a18a8ad56f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eyJoZGlkIjoiZTNiZTMwZmE3MGI4NGYxNjM2N2E1Y2U4OTUxMzIxNjIiLCJ1c2VySWQiOiIzMjI5MDE0MzAifQ==</vt:lpwstr>
  </property>
  <property fmtid="{D5CDD505-2E9C-101B-9397-08002B2CF9AE}" pid="3" name="KSOProductBuildVer">
    <vt:lpwstr>2052-12.1.0.19770</vt:lpwstr>
  </property>
  <property fmtid="{D5CDD505-2E9C-101B-9397-08002B2CF9AE}" pid="4" name="ICV">
    <vt:lpwstr>35C7556FB57A4C84B31656C1C25BA349_13</vt:lpwstr>
  </property>
</Properties>
</file>

<file path=customXml/itemProps1.xml><?xml version="1.0" encoding="utf-8"?>
<ds:datastoreItem xmlns:ds="http://schemas.openxmlformats.org/officeDocument/2006/customXml" ds:itemID="{22add0f1-9a30-4493-a333-9c09c0548a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18</Pages>
  <Words>862</Words>
  <Characters>1148</Characters>
  <Lines>1</Lines>
  <Paragraphs>1</Paragraphs>
  <TotalTime>1</TotalTime>
  <ScaleCrop>false</ScaleCrop>
  <LinksUpToDate>false</LinksUpToDate>
  <CharactersWithSpaces>1171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2025-02-06T02:26:00Z</dcterms:created>
  <dc:creator>apple</dc:creator>
  <cp:lastModifiedBy>奕夕^_^</cp:lastModifiedBy>
  <dcterms:modified xsi:type="dcterms:W3CDTF">2025-10-13T03:22:35Z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eyJoZGlkIjoiNTU1MWNhN2ZmY2ZhZmY3ODhlYTg0MWU5OGMyY2QwZmUiLCJ1c2VySWQiOiI0MzQ2NTM0NzEifQ==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35C7556FB57A4C84B31656C1C25BA349_13</vt:lpwstr>
  </property>
</Properties>
</file>