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A7387">
      <w:pPr>
        <w:pStyle w:val="7"/>
        <w:rPr>
          <w:rFonts w:hint="eastAsia" w:ascii="Times New Roman" w:hAnsi="Times New Roman" w:eastAsia="方正小标宋简体" w:cs="Times New Roman"/>
          <w:color w:val="auto"/>
          <w:kern w:val="2"/>
          <w:sz w:val="72"/>
          <w:szCs w:val="72"/>
          <w:highlight w:val="none"/>
          <w:lang w:val="en-US" w:eastAsia="zh-CN" w:bidi="ar-SA"/>
        </w:rPr>
      </w:pPr>
      <w:bookmarkStart w:id="0" w:name="_Toc15306267"/>
      <w:bookmarkStart w:id="1" w:name="_Toc15378441"/>
      <w:bookmarkStart w:id="2" w:name="_Toc15396475"/>
      <w:bookmarkStart w:id="3" w:name="_Toc15377193"/>
      <w:bookmarkStart w:id="4" w:name="_Toc15377425"/>
      <w:bookmarkStart w:id="5" w:name="_Toc15396597"/>
    </w:p>
    <w:p w14:paraId="0D0EF02E">
      <w:pPr>
        <w:pStyle w:val="7"/>
        <w:rPr>
          <w:rFonts w:hint="eastAsia" w:ascii="Times New Roman" w:hAnsi="Times New Roman" w:eastAsia="方正小标宋简体" w:cs="Times New Roman"/>
          <w:color w:val="auto"/>
          <w:kern w:val="2"/>
          <w:sz w:val="72"/>
          <w:szCs w:val="72"/>
          <w:highlight w:val="none"/>
          <w:lang w:val="en-US" w:eastAsia="zh-CN" w:bidi="ar-SA"/>
        </w:rPr>
      </w:pPr>
    </w:p>
    <w:p w14:paraId="67DD2475">
      <w:pPr>
        <w:pStyle w:val="7"/>
        <w:rPr>
          <w:rFonts w:hint="eastAsia" w:ascii="Times New Roman" w:hAnsi="Times New Roman" w:eastAsia="方正小标宋简体" w:cs="Times New Roman"/>
          <w:color w:val="auto"/>
          <w:kern w:val="2"/>
          <w:sz w:val="72"/>
          <w:szCs w:val="72"/>
          <w:highlight w:val="none"/>
          <w:lang w:val="en-US" w:eastAsia="zh-CN" w:bidi="ar-SA"/>
        </w:rPr>
      </w:pPr>
    </w:p>
    <w:p w14:paraId="3CBFCA59">
      <w:pPr>
        <w:pStyle w:val="7"/>
        <w:jc w:val="center"/>
        <w:rPr>
          <w:rFonts w:hint="eastAsia" w:ascii="方正小标宋简体" w:hAnsi="宋体"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2024</w:t>
      </w:r>
      <w:r>
        <w:rPr>
          <w:rFonts w:hint="eastAsia" w:ascii="方正小标宋简体" w:hAnsi="宋体" w:eastAsia="方正小标宋简体" w:cs="Times New Roman"/>
          <w:color w:val="auto"/>
          <w:kern w:val="2"/>
          <w:sz w:val="44"/>
          <w:szCs w:val="44"/>
          <w:highlight w:val="none"/>
          <w:lang w:val="en-US" w:eastAsia="zh-CN" w:bidi="ar-SA"/>
        </w:rPr>
        <w:t>年度四川省阿坝州松潘县发展和改革局部门决算</w:t>
      </w:r>
    </w:p>
    <w:p w14:paraId="327F8A66">
      <w:pPr>
        <w:pStyle w:val="7"/>
        <w:jc w:val="center"/>
        <w:rPr>
          <w:rFonts w:hint="default" w:ascii="Times New Roman" w:hAnsi="Times New Roman" w:eastAsia="方正小标宋简体" w:cs="Times New Roman"/>
          <w:color w:val="auto"/>
          <w:kern w:val="2"/>
          <w:sz w:val="44"/>
          <w:szCs w:val="44"/>
          <w:highlight w:val="none"/>
          <w:lang w:val="en-US" w:eastAsia="zh-CN" w:bidi="ar-SA"/>
        </w:rPr>
      </w:pPr>
    </w:p>
    <w:p w14:paraId="6445CD7D">
      <w:pPr>
        <w:pStyle w:val="21"/>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bookmarkEnd w:id="0"/>
    <w:bookmarkEnd w:id="1"/>
    <w:bookmarkEnd w:id="2"/>
    <w:bookmarkEnd w:id="3"/>
    <w:bookmarkEnd w:id="4"/>
    <w:bookmarkEnd w:id="5"/>
    <w:p w14:paraId="15AA810F">
      <w:pPr>
        <w:widowControl/>
        <w:jc w:val="both"/>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4E960C87">
      <w:pPr>
        <w:widowControl/>
        <w:jc w:val="center"/>
        <w:rPr>
          <w:rFonts w:ascii="Times New Roman" w:hAnsi="Times New Roman" w:eastAsia="黑体" w:cstheme="minorBidi"/>
          <w:color w:val="auto"/>
          <w:sz w:val="28"/>
          <w:szCs w:val="28"/>
          <w:highlight w:val="none"/>
        </w:rPr>
      </w:pPr>
    </w:p>
    <w:p w14:paraId="29E30BE9">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16 </w:t>
      </w:r>
      <w:r>
        <w:rPr>
          <w:rFonts w:hint="eastAsia" w:ascii="Times New Roman" w:hAnsi="Times New Roman" w:eastAsia="仿宋_GB2312" w:cs="仿宋_GB2312"/>
          <w:color w:val="auto"/>
          <w:sz w:val="32"/>
          <w:szCs w:val="32"/>
          <w:highlight w:val="none"/>
        </w:rPr>
        <w:t>日</w:t>
      </w:r>
    </w:p>
    <w:p w14:paraId="3CFA0251">
      <w:pPr>
        <w:rPr>
          <w:rFonts w:ascii="Times New Roman" w:hAnsi="Times New Roman"/>
          <w:color w:val="auto"/>
          <w:highlight w:val="none"/>
        </w:rPr>
      </w:pPr>
    </w:p>
    <w:p w14:paraId="41ADB00E">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665EC25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14:paraId="6B59C6A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14:paraId="22726CEB">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2024年度</w:t>
      </w:r>
      <w:r>
        <w:rPr>
          <w:rFonts w:hint="eastAsia" w:ascii="Times New Roman" w:hAnsi="Times New Roman" w:eastAsia="黑体" w:cs="黑体"/>
          <w:color w:val="auto"/>
          <w:sz w:val="32"/>
          <w:szCs w:val="32"/>
          <w:highlight w:val="none"/>
        </w:rPr>
        <w:t>部门决算情况说明</w:t>
      </w:r>
    </w:p>
    <w:p w14:paraId="7D77D2F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14:paraId="3DF49A5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14:paraId="64A0C88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14:paraId="22F0E5B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14:paraId="6452DAE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14:paraId="021DC89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14:paraId="60DBCA1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14:paraId="506189D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14:paraId="72A34E7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14:paraId="76402F9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14:paraId="73E3D7F1">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5156340C">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441206BC">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299B19A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7A73B06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7F674E1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333B26A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41E6FFB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4925A89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75367AA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2BBD3B3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7FC745C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08BCE96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6B5BF5A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64628A1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6D2D90C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179FB79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5AFA2FAF">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96599"/>
      <w:bookmarkStart w:id="7" w:name="_Toc15377196"/>
      <w:r>
        <w:rPr>
          <w:rFonts w:hint="eastAsia" w:ascii="Times New Roman" w:hAnsi="Times New Roman" w:eastAsia="仿宋_GB2312" w:cs="仿宋_GB2312"/>
          <w:b/>
          <w:color w:val="auto"/>
          <w:sz w:val="32"/>
          <w:szCs w:val="32"/>
          <w:highlight w:val="none"/>
        </w:rPr>
        <w:br w:type="page"/>
      </w:r>
    </w:p>
    <w:p w14:paraId="014FF3B3">
      <w:pPr>
        <w:pStyle w:val="4"/>
        <w:jc w:val="center"/>
        <w:rPr>
          <w:rStyle w:val="3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6"/>
      <w:bookmarkEnd w:id="7"/>
    </w:p>
    <w:p w14:paraId="76A72B77">
      <w:pPr>
        <w:widowControl/>
        <w:jc w:val="left"/>
        <w:rPr>
          <w:rFonts w:ascii="Times New Roman" w:hAnsi="Times New Roman" w:eastAsia="黑体"/>
          <w:color w:val="auto"/>
          <w:sz w:val="32"/>
          <w:szCs w:val="32"/>
          <w:highlight w:val="none"/>
        </w:rPr>
      </w:pPr>
    </w:p>
    <w:p w14:paraId="2CEF0F38">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1462076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（一）履行政治领导责任，做好理论武装和思想政治工作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负责学习、宣传、贯彻执行党的理论和路线方针政策，贯彻落实党中央、省委、州委、县委的决策部署，发挥好把方向、管大局、保落实的重要作用。</w:t>
      </w:r>
    </w:p>
    <w:p w14:paraId="7EB667C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（二）讨论和决定本单位下列重大问题。党的路线方针政策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国家法律法规和上级党组织重要会议、重要文件、重大决策部署的贯彻落实事项。需要向上级党组织请示报告的重要事项。内部机构设置、职责等事项。重大决策、重要人事任免、重大项目安排、大额资金使用等事项。基层党组织和党员队伍建设方面的重要事项。意识形态工作、思想政治工作和精神文明建设方面的重要事项。党风廉政建设和反腐败工作方面的重要事项。其他应当由党组讨论和决定的重大问题。 </w:t>
      </w:r>
    </w:p>
    <w:p w14:paraId="36A670F0">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（三）贯彻党管干部原则，加强干部队伍建设，完善干部培养选拔机制，加强干部教育管理监督。贯彻党管人才原则，加强人才队伍建设。加强对本单位工会、共青团、妇联等群团工作的领导。 </w:t>
      </w:r>
    </w:p>
    <w:p w14:paraId="311FB329">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（四）履行</w:t>
      </w:r>
      <w:r>
        <w:rPr>
          <w:rFonts w:hint="eastAsia" w:ascii="仿宋_GB2312" w:hAnsi="仿宋_GB2312" w:eastAsia="仿宋_GB2312" w:cs="仿宋_GB2312"/>
          <w:sz w:val="32"/>
          <w:szCs w:val="32"/>
          <w:lang w:eastAsia="zh-CN"/>
        </w:rPr>
        <w:t>党要管党、全面从严治党主体责任</w:t>
      </w:r>
      <w:r>
        <w:rPr>
          <w:rFonts w:hint="eastAsia" w:ascii="仿宋_GB2312" w:hAnsi="仿宋_GB2312" w:eastAsia="仿宋_GB2312" w:cs="仿宋_GB2312"/>
          <w:sz w:val="32"/>
          <w:szCs w:val="32"/>
        </w:rPr>
        <w:t>，加强对本单位党的建设的领导，落实党建工作责任制。认真履行党风廉政建设</w:t>
      </w:r>
      <w:r>
        <w:rPr>
          <w:rFonts w:hint="eastAsia" w:ascii="仿宋_GB2312" w:hAnsi="仿宋_GB2312" w:eastAsia="仿宋_GB2312" w:cs="仿宋_GB2312"/>
          <w:sz w:val="32"/>
          <w:szCs w:val="32"/>
          <w:lang w:eastAsia="zh-CN"/>
        </w:rPr>
        <w:t>主体责任</w:t>
      </w:r>
      <w:r>
        <w:rPr>
          <w:rFonts w:hint="eastAsia" w:ascii="仿宋_GB2312" w:hAnsi="仿宋_GB2312" w:eastAsia="仿宋_GB2312" w:cs="仿宋_GB2312"/>
          <w:sz w:val="32"/>
          <w:szCs w:val="32"/>
        </w:rPr>
        <w:t>，支持纪检监察机构履行监督责任。第五条 县发改局贯彻落实党中央关于发展和改革工作的</w:t>
      </w:r>
      <w:r>
        <w:rPr>
          <w:rFonts w:hint="eastAsia" w:ascii="仿宋_GB2312" w:hAnsi="仿宋_GB2312" w:eastAsia="仿宋_GB2312" w:cs="仿宋_GB2312"/>
          <w:sz w:val="32"/>
          <w:szCs w:val="32"/>
          <w:lang w:eastAsia="zh-CN"/>
        </w:rPr>
        <w:t>方针政策</w:t>
      </w:r>
      <w:r>
        <w:rPr>
          <w:rFonts w:hint="eastAsia" w:ascii="仿宋_GB2312" w:hAnsi="仿宋_GB2312" w:eastAsia="仿宋_GB2312" w:cs="仿宋_GB2312"/>
          <w:sz w:val="32"/>
          <w:szCs w:val="32"/>
        </w:rPr>
        <w:t>和省委、州委、县委的决策部署，在履行职责过程中坚持和加强党对发展和改革工作的集中统一领导。主要职责是： （一）贯彻实施国家有关国民经济和社会发展、</w:t>
      </w:r>
      <w:r>
        <w:rPr>
          <w:rFonts w:hint="eastAsia" w:ascii="仿宋_GB2312" w:hAnsi="仿宋_GB2312" w:eastAsia="仿宋_GB2312" w:cs="仿宋_GB2312"/>
          <w:sz w:val="32"/>
          <w:szCs w:val="32"/>
          <w:lang w:eastAsia="zh-CN"/>
        </w:rPr>
        <w:t>经济体制改</w:t>
      </w:r>
      <w:r>
        <w:rPr>
          <w:rFonts w:hint="eastAsia" w:ascii="仿宋_GB2312" w:hAnsi="仿宋_GB2312" w:eastAsia="仿宋_GB2312" w:cs="仿宋_GB2312"/>
          <w:sz w:val="32"/>
          <w:szCs w:val="32"/>
        </w:rPr>
        <w:t>革的方针、政策和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。拟订全县有关国民经济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、经济体制改革的地方性规章草案，负责本系统、本部门依法行政工作，落实行政执法责任制。 </w:t>
      </w:r>
    </w:p>
    <w:p w14:paraId="0B21F52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拟订并组织实施全县国民经济和社会发展战略、中长期规划和年度计划，统筹协调全县经济社会发展，研究分析宏观经济形势，提出全县经济社会发展、经济结构优化、价格总水平调控目标和政策建议。受县政府委托向县人大提交国民经济和社会发展计划报告。 </w:t>
      </w:r>
    </w:p>
    <w:p w14:paraId="103BCA59">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负责监测宏观经济和社会发展态势，承担预测预警和信息引导的责任，研究宏观调控重大问题并提出政策建议，搞好总量平衡，综合协调经济社会发展中的重大问题。负责县级开发区的指导、协调和宏观管理。 </w:t>
      </w:r>
    </w:p>
    <w:p w14:paraId="2D3551A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（四）负责汇总分析全县财政、金融等方面情况；提出多渠道融资的政策建议；综合协调财政、金融、价格和产业政策等经济杠杆以及县上直接掌握的经济手段的使用并</w:t>
      </w:r>
      <w:r>
        <w:rPr>
          <w:rFonts w:hint="eastAsia" w:ascii="仿宋_GB2312" w:hAnsi="仿宋_GB2312" w:eastAsia="仿宋_GB2312" w:cs="仿宋_GB2312"/>
          <w:sz w:val="32"/>
          <w:szCs w:val="32"/>
          <w:lang w:val="en-US" w:eastAsia="zh-CN"/>
        </w:rPr>
        <w:t>通</w:t>
      </w:r>
      <w:r>
        <w:rPr>
          <w:rFonts w:hint="eastAsia" w:ascii="仿宋_GB2312" w:hAnsi="仿宋_GB2312" w:eastAsia="仿宋_GB2312" w:cs="仿宋_GB2312"/>
          <w:sz w:val="32"/>
          <w:szCs w:val="32"/>
        </w:rPr>
        <w:t>过法规和政策协调、信息指导，保证全县国民经济计划和发展规划的实施。（五）承担指导推进和综合协调全县经济体制改革的责任，研究经济体制改革和对外开放的重大问题，组织拟订综合性经济体制改革方案，协调有关专项经济体制改革方案，指导和推进总体经济体制改革以及综合配套改革与体制创新，组织、指导和协调综合配套改革试点和重大专项经济体制改革试点。</w:t>
      </w:r>
    </w:p>
    <w:p w14:paraId="209FC8A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（六）贯彻执行国家价格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规章和政策规定，草拟相关的地方性规章、政策并组织实施；负责全县价格总水平的宏观调控和综合平衡；研究提出控制物价总水平的相关措施；参与制定调控价格总水平相关的决策方案，为县委和县政府决策服务；负责监测、分析、预报全县市场价格动态和变化趋势，并提出政策建议；按照价格管理权限，研究制定县管价格、收费目录和管理办</w:t>
      </w:r>
      <w:r>
        <w:rPr>
          <w:rFonts w:hint="eastAsia" w:ascii="仿宋_GB2312" w:hAnsi="仿宋_GB2312" w:eastAsia="仿宋_GB2312" w:cs="仿宋_GB2312"/>
          <w:sz w:val="32"/>
          <w:szCs w:val="32"/>
          <w:lang w:eastAsia="zh-CN"/>
        </w:rPr>
        <w:t>法</w:t>
      </w:r>
      <w:r>
        <w:rPr>
          <w:rFonts w:hint="eastAsia" w:ascii="仿宋_GB2312" w:hAnsi="仿宋_GB2312" w:eastAsia="仿宋_GB2312" w:cs="仿宋_GB2312"/>
          <w:sz w:val="32"/>
          <w:szCs w:val="32"/>
        </w:rPr>
        <w:t>，制定并公布政府定价和政府指导价；审定、调整列入管理的商品价格和服务价格；贯彻执行国家行政事业性收费项目和标准，会同财政部门审定、调整列管的收费项目和收费标准；组织实施行政事业性收费、经营性收费年度审验工作；对放开的商品价格和服务价格实施指导，合理安排各种差价和比价关系。引导和规范经营者自主定价行为，指导行业价格自律，当市场商品价格和服务价格出现异常波动时提出干预措施，待批准后组</w:t>
      </w:r>
      <w:r>
        <w:rPr>
          <w:rFonts w:hint="eastAsia" w:ascii="仿宋_GB2312" w:hAnsi="仿宋_GB2312" w:eastAsia="仿宋_GB2312" w:cs="仿宋_GB2312"/>
          <w:sz w:val="32"/>
          <w:szCs w:val="32"/>
          <w:lang w:eastAsia="zh-CN"/>
        </w:rPr>
        <w:t>织实</w:t>
      </w:r>
      <w:r>
        <w:rPr>
          <w:rFonts w:hint="eastAsia" w:ascii="仿宋_GB2312" w:hAnsi="仿宋_GB2312" w:eastAsia="仿宋_GB2312" w:cs="仿宋_GB2312"/>
          <w:sz w:val="32"/>
          <w:szCs w:val="32"/>
        </w:rPr>
        <w:t xml:space="preserve"> 施；负责全县境内的景区门票价格调整方案；指导涉旅购物市场价格行为；指导宾馆（酒店）以及各类娱乐场所的价格行为；负责价格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和价格（收费）标准的公示；负责价格</w:t>
      </w:r>
      <w:r>
        <w:rPr>
          <w:rFonts w:hint="eastAsia" w:ascii="仿宋_GB2312" w:hAnsi="仿宋_GB2312" w:eastAsia="仿宋_GB2312" w:cs="仿宋_GB2312"/>
          <w:sz w:val="32"/>
          <w:szCs w:val="32"/>
          <w:lang w:eastAsia="zh-CN"/>
        </w:rPr>
        <w:t>法治宣传教育</w:t>
      </w:r>
      <w:r>
        <w:rPr>
          <w:rFonts w:hint="eastAsia" w:ascii="仿宋_GB2312" w:hAnsi="仿宋_GB2312" w:eastAsia="仿宋_GB2312" w:cs="仿宋_GB2312"/>
          <w:sz w:val="32"/>
          <w:szCs w:val="32"/>
        </w:rPr>
        <w:t>工作；承办或实施列入听证目</w:t>
      </w:r>
      <w:r>
        <w:rPr>
          <w:rFonts w:hint="eastAsia" w:ascii="仿宋_GB2312" w:hAnsi="仿宋_GB2312" w:eastAsia="仿宋_GB2312" w:cs="仿宋_GB2312"/>
          <w:sz w:val="32"/>
          <w:szCs w:val="32"/>
          <w:lang w:eastAsia="zh-CN"/>
        </w:rPr>
        <w:t>录的</w:t>
      </w:r>
      <w:r>
        <w:rPr>
          <w:rFonts w:hint="eastAsia" w:ascii="仿宋_GB2312" w:hAnsi="仿宋_GB2312" w:eastAsia="仿宋_GB2312" w:cs="仿宋_GB2312"/>
          <w:sz w:val="32"/>
          <w:szCs w:val="32"/>
        </w:rPr>
        <w:t>商品价格和服务价格的听证工作；负责仲裁相关价格和收费的纠纷或争议；负责全县工业品、农副产品、公用事业成本监审和流通费用的调查分析。</w:t>
      </w:r>
    </w:p>
    <w:p w14:paraId="14606DE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（七）负责重要商品总量平衡和宏观调控。研究分析县内外市场和对外贸易运行情况，编制重要农产品、工业品和原材料进出口总量计划并监督执行。贯彻执行国家粮食流通和储备粮管理的方针、政策和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，拟定全县粮食流通和县级储备粮管理的有关法规草案、规章制度和有关政策，并组织执行；承担</w:t>
      </w:r>
      <w:r>
        <w:rPr>
          <w:rFonts w:hint="eastAsia" w:ascii="仿宋_GB2312" w:hAnsi="仿宋_GB2312" w:eastAsia="仿宋_GB2312" w:cs="仿宋_GB2312"/>
          <w:sz w:val="32"/>
          <w:szCs w:val="32"/>
          <w:lang w:eastAsia="zh-CN"/>
        </w:rPr>
        <w:t>组织实施</w:t>
      </w:r>
      <w:r>
        <w:rPr>
          <w:rFonts w:hint="eastAsia" w:ascii="仿宋_GB2312" w:hAnsi="仿宋_GB2312" w:eastAsia="仿宋_GB2312" w:cs="仿宋_GB2312"/>
          <w:sz w:val="32"/>
          <w:szCs w:val="32"/>
        </w:rPr>
        <w:t xml:space="preserve">重要物资和应急储备物资收储、轮换和日常管理等职责，负责粮食行政管理和粮食执法工作。承担粮食预警监测和应急责任，负责全县粮食宏观调控具体工作，组织指导全县粮食系统统计工作；负责州、县级储备粮管理，指导全县粮食储备体系建设。监督检查县级储备粮库存数量、质量和安全，研究提出县级储备粮的收购、轮换、抛售计划，并组织实施。负责全县粮食收购、储存环节和政策性用粮质量安全，负责库存原粮卫生监督管理，指导粮食行业安全生产和抢险救灾，指导全县农村科学储粮工作；制定粮食流通产业发展规划，提出促进粮食流通产业发展的 政策性建议并督促落实。指导全县粮食流通市场的行业管理、会同有关部门搞好县级粮食批发市场体系建设，加强粮油市场的监管；指导并推动行业的技术改造、新技术推广运用、安全生产工作；承担行业统计工作。 </w:t>
      </w:r>
    </w:p>
    <w:p w14:paraId="4F63D4C0">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负责全县投资宏观管理和协调推进重大项目建设。拟订全社会固定资产投资总规模和投资结构，编制年度投资计划；研究提出有关重大投资政策，规划重大项目和生产力布局；安排财政性建设资金，指导和监督政策性贷款的使用方向；申报限额以上和审批权限以内的基本建设项目；按照基本建设程序，负责全县基本建设项目立项、可行性研究报告和国家出资的工业（含内贸）、农业、水利、交通、信息产业等行业和产业项目的初步设计审查、开工报告审批工作；引导民间资金用于固定资产投资的方向；研究提出全县利用外资的发展战略、总量平衡和结构优化的目标和政策措施；提出拟订全县工商领域外的外商投资产业指导目录的意见；审批权限以内国外贷款、</w:t>
      </w:r>
      <w:r>
        <w:rPr>
          <w:rFonts w:hint="eastAsia" w:ascii="仿宋_GB2312" w:hAnsi="仿宋_GB2312" w:eastAsia="仿宋_GB2312" w:cs="仿宋_GB2312"/>
          <w:sz w:val="32"/>
          <w:szCs w:val="32"/>
          <w:lang w:eastAsia="zh-CN"/>
        </w:rPr>
        <w:t>外商投资</w:t>
      </w:r>
      <w:r>
        <w:rPr>
          <w:rFonts w:hint="eastAsia" w:ascii="仿宋_GB2312" w:hAnsi="仿宋_GB2312" w:eastAsia="仿宋_GB2312" w:cs="仿宋_GB2312"/>
          <w:sz w:val="32"/>
          <w:szCs w:val="32"/>
        </w:rPr>
        <w:t xml:space="preserve">和境外投资项目；申报和审核利用外资、境外投资的重大项目；负责编制全县重点建设项目和年度投资计划。 </w:t>
      </w:r>
    </w:p>
    <w:p w14:paraId="5784FF3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（九）推进经济结构战略性调整。组织拟订全县综合性产业政策，负责协调</w:t>
      </w:r>
      <w:r>
        <w:rPr>
          <w:rFonts w:hint="eastAsia" w:ascii="仿宋_GB2312" w:hAnsi="仿宋_GB2312" w:eastAsia="仿宋_GB2312" w:cs="仿宋_GB2312"/>
          <w:sz w:val="32"/>
          <w:szCs w:val="32"/>
          <w:lang w:eastAsia="zh-CN"/>
        </w:rPr>
        <w:t>第一，</w:t>
      </w:r>
      <w:r>
        <w:rPr>
          <w:rFonts w:hint="eastAsia" w:ascii="仿宋_GB2312" w:hAnsi="仿宋_GB2312" w:eastAsia="仿宋_GB2312" w:cs="仿宋_GB2312"/>
          <w:sz w:val="32"/>
          <w:szCs w:val="32"/>
        </w:rPr>
        <w:t xml:space="preserve">二、三产业发展的重大问题，衔接平衡相关发展规划和重大政策，协调农业和农村经济社会发展的重大问题，衔接农村专项规划和政策。拟订重大产业发展规划，引导全县重大生产力合理布局，协调推进全县重大技术装备推广应用和重大产业基地建设，会同有关部门拟订服务业、现代物流业发展战略、规划和重大政策。组织拟订高技术产业发展、产业技术进步的战略、规划和重大政策，指导全县自主创新体系建设发展。 </w:t>
      </w:r>
    </w:p>
    <w:p w14:paraId="7925BE0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促进城乡区域协调发展。组织编制全县主体功能区规划并协调规划实施和进行监测评估，组织拟订区域协调发展战略、规划和重大政策，研究提出城镇化发展战略和统筹城乡发展的重大政策，负责地区经济协作的统筹协调。 </w:t>
      </w:r>
    </w:p>
    <w:p w14:paraId="1F81162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（十一）负责全县社会发展与国民经济发展的政策衔接，组织拟订社会发展战略、总体规划和年度计划，参与拟订</w:t>
      </w:r>
      <w:r>
        <w:rPr>
          <w:rFonts w:hint="eastAsia" w:ascii="仿宋_GB2312" w:hAnsi="仿宋_GB2312" w:eastAsia="仿宋_GB2312" w:cs="仿宋_GB2312"/>
          <w:sz w:val="32"/>
          <w:szCs w:val="32"/>
          <w:lang w:eastAsia="zh-CN"/>
        </w:rPr>
        <w:t>人口和计划生育</w:t>
      </w:r>
      <w:r>
        <w:rPr>
          <w:rFonts w:hint="eastAsia" w:ascii="仿宋_GB2312" w:hAnsi="仿宋_GB2312" w:eastAsia="仿宋_GB2312" w:cs="仿宋_GB2312"/>
          <w:sz w:val="32"/>
          <w:szCs w:val="32"/>
        </w:rPr>
        <w:t xml:space="preserve">、科学技术、教育、文化、卫生、民政等发展政策，推进 社会事业建设。研究提出促进就业、调整收入分配、完善社会保障与经济协调发展的政策建议，协调社会事业发展和政策中的重大问题及政策。 </w:t>
      </w:r>
    </w:p>
    <w:p w14:paraId="30D4FD87">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推进可持续发展，负责全县节能减排的综合协调工作，组织拟订并协调实施全州发展循环经济、能源资源节约和综合利用规划及政策措施，参与编制生态建设、环境保护规划，协调生态建设、能源资源节约和综合利用的重大问题。 </w:t>
      </w:r>
    </w:p>
    <w:p w14:paraId="2424DBB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（十三）指导、协调并综合管理全县招标投标工作，对国家和县重大建设项目建设过程中的工程招标投标活动</w:t>
      </w:r>
      <w:r>
        <w:rPr>
          <w:rFonts w:hint="eastAsia" w:ascii="仿宋_GB2312" w:hAnsi="仿宋_GB2312" w:eastAsia="仿宋_GB2312" w:cs="仿宋_GB2312"/>
          <w:sz w:val="32"/>
          <w:szCs w:val="32"/>
          <w:lang w:val="en-US" w:eastAsia="zh-CN"/>
        </w:rPr>
        <w:t>实</w:t>
      </w:r>
      <w:r>
        <w:rPr>
          <w:rFonts w:hint="eastAsia" w:ascii="仿宋_GB2312" w:hAnsi="仿宋_GB2312" w:eastAsia="仿宋_GB2312" w:cs="仿宋_GB2312"/>
          <w:sz w:val="32"/>
          <w:szCs w:val="32"/>
        </w:rPr>
        <w:t>施监督检查。</w:t>
      </w:r>
    </w:p>
    <w:p w14:paraId="39B4845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四）负责铁路、机场等综合交通的规划和发展协调；参与协调高速公路项目建设中涉及的重大问题，组织协调和处理全县铁路建设项目前期工作、征地拆迁、建设过程中涉及的重大问题，协同做好全县铁路建设规划及年度计划编制的相关工作。 </w:t>
      </w:r>
    </w:p>
    <w:p w14:paraId="496AE60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（十五）负责组织编制全县国民经济动员与装备动员规划、计划，研究国民经济动员与装备动员和国民经济、国防建设的关系，协调相关重大问题，组织实施国民经济动员与装备动员有关工作。</w:t>
      </w:r>
    </w:p>
    <w:p w14:paraId="5F9A500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（十六）承担县实施西部大开发领导小组、县重点项目领导小组的具体工作。 </w:t>
      </w:r>
    </w:p>
    <w:p w14:paraId="772BC37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（十七）承担县政府公布的有关行政审批事项。 </w:t>
      </w:r>
    </w:p>
    <w:p w14:paraId="615519B6">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（十八）完成县委、县政府交办的其他任务。 </w:t>
      </w:r>
    </w:p>
    <w:p w14:paraId="620807C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（十九）有关职责分工。1.与县住房和城乡建设局在基本建设项目调概、初步设计审查和开工审批方面的职责分工。根据《中华人民共和国建筑法》等</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及有关规定，由国家出资的工业（含内贸）、水利、交通、铁道、民航、信息产业等行业和产业项目的初步设计、开工报告分别由经信、水务、交通运输等相关部门初审后报发改局审查、审批。各类房屋建筑及其附属设施的建造，与各类房屋建筑及其附属设施的建造配套的线路、管道、设备的安装项目，以及市政工程项目的初步设计审查、项目开工及开工后的质量监督、进度，项目建设施工中的有关组织协调工作由县住建局负责。其中，政府性投资项目的</w:t>
      </w:r>
      <w:r>
        <w:rPr>
          <w:rFonts w:hint="eastAsia" w:ascii="仿宋_GB2312" w:hAnsi="仿宋_GB2312" w:eastAsia="仿宋_GB2312" w:cs="仿宋_GB2312"/>
          <w:sz w:val="32"/>
          <w:szCs w:val="32"/>
          <w:lang w:eastAsia="zh-CN"/>
        </w:rPr>
        <w:t>调研</w:t>
      </w:r>
      <w:r>
        <w:rPr>
          <w:rFonts w:hint="eastAsia" w:ascii="仿宋_GB2312" w:hAnsi="仿宋_GB2312" w:eastAsia="仿宋_GB2312" w:cs="仿宋_GB2312"/>
          <w:sz w:val="32"/>
          <w:szCs w:val="32"/>
        </w:rPr>
        <w:t xml:space="preserve">以县发改局为主，县住建局参加。2.与县经济商务和信息化局（简称县经信局）有关职责分工。重要商品进出口管理：县发改局负责编制重要工业品、原材料和重要农产品的进出口总量计划；县经信局负责在县发改局确定的总量计划内组织实施。粮食、棉花、煤炭由县发改局会同县经信局在进出口总量计划内进行分配并协调相关政策。外商投资管理：县发改局按规定权限负责对外商投资项目进行核准，县经信局按规定权限负责对外商投资企业设立及合同、章程等进行核准。境外投资管理：县发改局按照规定权限负责对境外投资项目进行核准，县经信局按照规定权限负责对国内企业在境外设立非金融企业进行核准。并购安全审查：县发改局和县经信局按照各自职责，分别配合上级职能部门做好外国投资者并购县内企业安全审查的相关工作。 </w:t>
      </w:r>
    </w:p>
    <w:p w14:paraId="7797ED83">
      <w:pPr>
        <w:numPr>
          <w:ilvl w:val="0"/>
          <w:numId w:val="0"/>
        </w:numPr>
        <w:rPr>
          <w:rFonts w:hint="eastAsia"/>
          <w:lang w:eastAsia="zh-CN"/>
        </w:rPr>
      </w:pPr>
      <w:r>
        <w:rPr>
          <w:rFonts w:hint="eastAsia" w:ascii="仿宋_GB2312" w:hAnsi="仿宋_GB2312" w:eastAsia="仿宋_GB2312" w:cs="仿宋_GB2312"/>
          <w:sz w:val="32"/>
          <w:szCs w:val="32"/>
        </w:rPr>
        <w:t>第六条 县发改局设下列内设机构：（一）办公室。组织协调机关日常政务，负责机关目标管理、电子政务、公文运转、会议组织、政务信息、财务、资产管理、后勤服务、机要、保密、信访、安全保卫、社会治安综合治理、精神文明建设等工作；负责机关规章制度的制订和组织实施；组织办理议案、提案和建议；负责会议组织及会议决定事项的督办。负责本局机关的机构编制和干部、劳动、人事管理；负责本局档 案管理和离退休人员的管理、服务工作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 监督、行政复议、行政应诉、行政调解和规范性文件审核和备案工作；负责本部门普法工作的宣传、指导和监督。负责指导和协调招标投标工作，组织拟订招标投标配套规定和实施意见；按规定核准项目招标事项；协助省、州发展改革委负责中央投资项目招标代理机构的转报及管理；负责省、州发改委审批项目招标投标核准意见的转报工作。综合管理招标投标活动。负责重大建设项目招标文件的审查和备案，监督招标投标活动，受理相关投诉，调查违规行为；统筹监督国家投资建设项目招标投标合同的执行情况并组织后评估工作；负责协调招标投标平台的建设和管理，管理综合性评标专家库；组织协调招标投标信用体系建设，建立公共资源交易中心招标投标活动和其他招标投标领域相关中介咨询机构的协调管理机制。负责对国家、省、州安排资金项目的审批程序、建设资金使用、工程招标投标、开工建设条件、建设进度、工程质量、投资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 xml:space="preserve">和监 </w:t>
      </w:r>
      <w:r>
        <w:rPr>
          <w:rFonts w:hint="eastAsia" w:ascii="仿宋_GB2312" w:hAnsi="仿宋_GB2312" w:eastAsia="仿宋_GB2312" w:cs="仿宋_GB2312"/>
          <w:sz w:val="32"/>
          <w:szCs w:val="32"/>
          <w:lang w:eastAsia="zh-CN"/>
        </w:rPr>
        <w:t>督检查</w:t>
      </w:r>
      <w:r>
        <w:rPr>
          <w:rFonts w:hint="eastAsia" w:ascii="仿宋_GB2312" w:hAnsi="仿宋_GB2312" w:eastAsia="仿宋_GB2312" w:cs="仿宋_GB2312"/>
          <w:sz w:val="32"/>
          <w:szCs w:val="32"/>
        </w:rPr>
        <w:t>，及时提出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贯彻和组织实施上级有关纪检监察工作方面的决议、决定和指示；负责处理纪检监察工作的日常事务；负责处理控告和举报；处理与部门工作相关的重大疑难问题及突发性事件；负责处理系统内的违法违纪案件。负责拟订行政许可事项审查（审核）的政策、规定、标准、规程细则；负责县发展和改革局（县粮食和物资储备中心、县价格认证和监测中心）机关行政许可职责，依法审批保留权限以内的行政许可事项；负责审批权限以内的非国家投资项目立项（核准、备案）。负责全县社会信用体系建设指导、协调和综合管理；负责信用信息平台的业务管理。（三）国民经济综合协调股（挂经济动员办公室牌子）。起草有关国民经济和社会发展、经济体制改革的重大政策和地方性法规、规章草案；组织研究经济社会发展、改革开放的重大问题；研究提出全县经济和社会发展战略、规划及生产力布局的建议；提出全县经济和社会中长期发展、总量平衡和结构调整的目标和政策；提出推进新型城镇化的发展战略和重大政策，提出城乡融合发展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县级开发区（含保税区）进行指导、协调和宏观管理。负责半年和年度国民经济和社会发展计划执行情况报告的起草工作；参与有关股室研究制定发展计划和规划。研究提出经济体制改革重大问题，指导推进和综合协调经济</w:t>
      </w:r>
      <w:r>
        <w:rPr>
          <w:rFonts w:hint="eastAsia" w:ascii="仿宋_GB2312" w:hAnsi="仿宋_GB2312" w:eastAsia="仿宋_GB2312" w:cs="仿宋_GB2312"/>
          <w:sz w:val="32"/>
          <w:szCs w:val="32"/>
          <w:lang w:val="en-US" w:eastAsia="zh-CN"/>
        </w:rPr>
        <w:t>体</w:t>
      </w:r>
      <w:r>
        <w:rPr>
          <w:rFonts w:hint="eastAsia" w:ascii="仿宋_GB2312" w:hAnsi="仿宋_GB2312" w:eastAsia="仿宋_GB2312" w:cs="仿宋_GB2312"/>
          <w:sz w:val="32"/>
          <w:szCs w:val="32"/>
        </w:rPr>
        <w:t>制改革；组织拟订综合性经济体制改革方案，参与研究和衔接有关方面拟订的专项经济体制改革方案，协调推进专项经济体制改革；指导经济体制改革试点和改革试验区工作；协调解决经济体制改革进程中的重大问题。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审查等工作；汇总并发布县重大项目进展情况；指导重大项目储备、建设、管理工作；承办县重大建设项目推进领导小组的具体工作。研究提出全县实施西部大开发战略、发展规划和有关政策建议；编制我县实施西部大开发战略的规划，组织协调全县实施西部大开发战略的有关重大问题；承办县实施西部大开发领导小组及其办公室的日常工作。协助做好对国家、省、州安排资金项目以及固定资产投资项目的审批程序、建设资金使用、工程招标投标、开工建设条件、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中长期规划和年度计划；研究制定加强政府投资项目管理的政策措施；提出投融资体制改革的建议；审核、转报和安排国家和县财政性资金的建设项目。研究提出全县民族地区（涉藏地区）经济社会发展战略和政策，协调发展中的重大问题；汇总编制涉藏地区经济和社会发展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财政性资金重大项目，监督检查投资计划执行和项目实施情况；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w:t>
      </w:r>
      <w:r>
        <w:rPr>
          <w:rFonts w:hint="eastAsia" w:ascii="仿宋_GB2312" w:hAnsi="仿宋_GB2312" w:eastAsia="仿宋_GB2312" w:cs="仿宋_GB2312"/>
          <w:sz w:val="32"/>
          <w:szCs w:val="32"/>
        </w:rPr>
        <w:t>展规划、计划的衔接平衡；研究分析全县产业发展的情况，组织拟订综合性产业政策，组织协调专项产业政策的制定，监督产业政策的落实；研究提出全县服务业发展战略和重大政策，协调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协调重大技术装备推广应用和重大产业基地建设；统筹协调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的政策、措施；审核转报工业建设项目；协调相关产业发展和生产力布局。负责组织协调推进长江经济带生态环境保护专项行动，生态 环境问题整改；负责协调推动长江综合立体交通走廊、岸线整治修复等重大项目实施。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题，审核和转报能源建设项目。研究提出优化能源结构、能源节约综合利用和发展循环经济（开发新能源）的政策措施；组织对煤、电、油、气资源勘探调查和合理、有序开发利用；实施能源可持续发展战略的，推进可再生能源和新能源的开发利用；参与编制环境保护规划，协调环保产业发展有关工作；组织实施固定资产投资项目（企业技术改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 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 xml:space="preserve"> 报以工代赈项目的年度计划；监督检查以工代赈项目的实施情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w:t>
      </w:r>
    </w:p>
    <w:p w14:paraId="7117B368">
      <w:pPr>
        <w:pStyle w:val="5"/>
        <w:rPr>
          <w:rStyle w:val="31"/>
          <w:rFonts w:ascii="Times New Roman" w:hAnsi="Times New Roman"/>
          <w:b w:val="0"/>
          <w:bCs w:val="0"/>
          <w:color w:val="auto"/>
          <w:highlight w:val="none"/>
        </w:rPr>
      </w:pPr>
      <w:bookmarkStart w:id="8" w:name="_Toc15377200"/>
      <w:bookmarkStart w:id="9" w:name="_Toc15396601"/>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8"/>
      <w:bookmarkEnd w:id="9"/>
    </w:p>
    <w:p w14:paraId="29FC087C">
      <w:pPr>
        <w:ind w:firstLine="800" w:firstLineChars="250"/>
        <w:rPr>
          <w:rFonts w:ascii="仿宋" w:hAnsi="仿宋" w:eastAsia="仿宋"/>
          <w:color w:val="auto"/>
          <w:sz w:val="32"/>
          <w:szCs w:val="32"/>
          <w:highlight w:val="none"/>
        </w:rPr>
      </w:pPr>
      <w:r>
        <w:rPr>
          <w:rFonts w:hint="eastAsia" w:ascii="仿宋" w:hAnsi="仿宋" w:eastAsia="仿宋"/>
          <w:color w:val="auto"/>
          <w:sz w:val="32"/>
          <w:szCs w:val="32"/>
          <w:highlight w:val="none"/>
          <w:lang w:val="en-US" w:eastAsia="zh-CN"/>
        </w:rPr>
        <w:t>松潘县发展和改革局</w:t>
      </w:r>
      <w:r>
        <w:rPr>
          <w:rFonts w:hint="eastAsia" w:ascii="仿宋" w:hAnsi="仿宋" w:eastAsia="仿宋"/>
          <w:color w:val="auto"/>
          <w:sz w:val="32"/>
          <w:szCs w:val="32"/>
          <w:highlight w:val="none"/>
        </w:rPr>
        <w:t>下属二级</w:t>
      </w:r>
      <w:r>
        <w:rPr>
          <w:rFonts w:hint="eastAsia" w:ascii="仿宋" w:hAnsi="仿宋" w:eastAsia="仿宋"/>
          <w:color w:val="auto"/>
          <w:sz w:val="32"/>
          <w:szCs w:val="32"/>
          <w:highlight w:val="none"/>
          <w:lang w:eastAsia="zh-CN"/>
        </w:rPr>
        <w:t>预算</w:t>
      </w:r>
      <w:r>
        <w:rPr>
          <w:rFonts w:hint="eastAsia" w:ascii="仿宋" w:hAnsi="仿宋" w:eastAsia="仿宋"/>
          <w:color w:val="auto"/>
          <w:sz w:val="32"/>
          <w:szCs w:val="32"/>
          <w:highlight w:val="none"/>
        </w:rPr>
        <w:t>单位</w:t>
      </w:r>
      <w:r>
        <w:rPr>
          <w:rFonts w:hint="eastAsia" w:ascii="仿宋" w:hAnsi="仿宋" w:eastAsia="仿宋"/>
          <w:color w:val="auto"/>
          <w:sz w:val="32"/>
          <w:szCs w:val="32"/>
          <w:highlight w:val="none"/>
          <w:lang w:val="en-US" w:eastAsia="zh-CN"/>
        </w:rPr>
        <w:t>1</w:t>
      </w:r>
      <w:r>
        <w:rPr>
          <w:rFonts w:hint="eastAsia" w:ascii="仿宋" w:hAnsi="仿宋" w:eastAsia="仿宋"/>
          <w:color w:val="auto"/>
          <w:sz w:val="32"/>
          <w:szCs w:val="32"/>
          <w:highlight w:val="none"/>
        </w:rPr>
        <w:t>个，参照公务员法管理的事业单位</w:t>
      </w:r>
      <w:r>
        <w:rPr>
          <w:rFonts w:hint="eastAsia" w:ascii="仿宋" w:hAnsi="仿宋" w:eastAsia="仿宋"/>
          <w:bCs/>
          <w:color w:val="auto"/>
          <w:sz w:val="32"/>
          <w:szCs w:val="32"/>
          <w:highlight w:val="none"/>
          <w:lang w:val="en-US" w:eastAsia="zh-CN"/>
        </w:rPr>
        <w:t>1</w:t>
      </w:r>
      <w:r>
        <w:rPr>
          <w:rFonts w:hint="eastAsia" w:ascii="仿宋" w:hAnsi="仿宋" w:eastAsia="仿宋"/>
          <w:color w:val="auto"/>
          <w:sz w:val="32"/>
          <w:szCs w:val="32"/>
          <w:highlight w:val="none"/>
        </w:rPr>
        <w:t>个。</w:t>
      </w:r>
    </w:p>
    <w:p w14:paraId="0625C280">
      <w:pPr>
        <w:pStyle w:val="7"/>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纳入</w:t>
      </w:r>
      <w:r>
        <w:rPr>
          <w:sz w:val="32"/>
          <w:szCs w:val="32"/>
        </w:rPr>
        <w:t>松潘县发展和改革局</w:t>
      </w:r>
      <w:r>
        <w:rPr>
          <w:rFonts w:hint="eastAsia" w:ascii="Times New Roman" w:hAnsi="Times New Roman" w:eastAsia="仿宋_GB2312" w:cs="仿宋_GB2312"/>
          <w:color w:val="auto"/>
          <w:sz w:val="32"/>
          <w:szCs w:val="32"/>
          <w:highlight w:val="none"/>
          <w:lang w:eastAsia="zh-CN"/>
        </w:rPr>
        <w:t>2024年度</w:t>
      </w:r>
      <w:r>
        <w:rPr>
          <w:rFonts w:hint="eastAsia" w:ascii="Times New Roman" w:hAnsi="Times New Roman" w:eastAsia="仿宋_GB2312" w:cs="仿宋_GB2312"/>
          <w:color w:val="auto"/>
          <w:sz w:val="32"/>
          <w:szCs w:val="32"/>
          <w:highlight w:val="none"/>
        </w:rPr>
        <w:t>部门决算编制范围的二级预算单位包括：</w:t>
      </w:r>
    </w:p>
    <w:p w14:paraId="07A4E7CB">
      <w:pPr>
        <w:pStyle w:val="7"/>
        <w:adjustRightInd w:val="0"/>
        <w:snapToGrid w:val="0"/>
        <w:spacing w:before="93" w:line="600" w:lineRule="exact"/>
        <w:ind w:firstLine="1120" w:firstLineChars="350"/>
        <w:rPr>
          <w:rFonts w:ascii="仿宋" w:hAnsi="仿宋" w:eastAsia="仿宋"/>
          <w:color w:val="auto"/>
          <w:sz w:val="32"/>
          <w:szCs w:val="32"/>
          <w:highlight w:val="none"/>
        </w:rPr>
      </w:pPr>
      <w:bookmarkStart w:id="10" w:name="_Toc15306276"/>
      <w:bookmarkStart w:id="11" w:name="_Toc15378449"/>
      <w:bookmarkStart w:id="12" w:name="_Toc15377202"/>
      <w:bookmarkStart w:id="13" w:name="_Toc15377433"/>
      <w:r>
        <w:rPr>
          <w:rFonts w:hint="eastAsia" w:ascii="仿宋" w:hAnsi="仿宋" w:eastAsia="仿宋"/>
          <w:color w:val="auto"/>
          <w:sz w:val="32"/>
          <w:szCs w:val="32"/>
          <w:highlight w:val="none"/>
          <w:lang w:val="en-US" w:eastAsia="zh-CN"/>
        </w:rPr>
        <w:t>1.松潘县人民政府项目管理中心</w:t>
      </w:r>
    </w:p>
    <w:bookmarkEnd w:id="10"/>
    <w:bookmarkEnd w:id="11"/>
    <w:bookmarkEnd w:id="12"/>
    <w:bookmarkEnd w:id="13"/>
    <w:p w14:paraId="3F510326">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76FFC343">
      <w:pPr>
        <w:pStyle w:val="4"/>
        <w:jc w:val="center"/>
        <w:rPr>
          <w:rFonts w:hint="eastAsia" w:ascii="Times New Roman" w:hAnsi="Times New Roman" w:eastAsia="方正小标宋简体" w:cs="方正小标宋简体"/>
          <w:b w:val="0"/>
          <w:color w:val="auto"/>
          <w:highlight w:val="none"/>
        </w:rPr>
      </w:pPr>
      <w:bookmarkStart w:id="14" w:name="_Toc15377204"/>
      <w:bookmarkStart w:id="15"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2024年度</w:t>
      </w:r>
      <w:r>
        <w:rPr>
          <w:rFonts w:hint="eastAsia" w:ascii="Times New Roman" w:hAnsi="Times New Roman" w:eastAsia="方正小标宋简体" w:cs="方正小标宋简体"/>
          <w:b w:val="0"/>
          <w:color w:val="auto"/>
          <w:highlight w:val="none"/>
        </w:rPr>
        <w:t>部门决算情况说明</w:t>
      </w:r>
      <w:bookmarkEnd w:id="14"/>
      <w:bookmarkEnd w:id="15"/>
    </w:p>
    <w:p w14:paraId="78E93D7D">
      <w:pPr>
        <w:rPr>
          <w:rFonts w:ascii="Times New Roman" w:hAnsi="Times New Roman"/>
          <w:color w:val="auto"/>
          <w:highlight w:val="none"/>
        </w:rPr>
      </w:pPr>
    </w:p>
    <w:p w14:paraId="070A1503">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6" w:name="_Toc15396603"/>
      <w:bookmarkStart w:id="17"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16"/>
      <w:bookmarkEnd w:id="17"/>
    </w:p>
    <w:p w14:paraId="551B376E">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eastAsia="zh-CN"/>
        </w:rPr>
        <w:t>2024年度收入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6800.32</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ascii="Times New Roman" w:hAnsi="Times New Roman" w:eastAsia="仿宋_GB2312" w:cs="仿宋_GB2312"/>
          <w:color w:val="auto"/>
          <w:sz w:val="32"/>
          <w:szCs w:val="32"/>
          <w:highlight w:val="none"/>
          <w:lang w:val="en-US" w:eastAsia="zh-CN"/>
        </w:rPr>
        <w:t>3</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5480.71</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415.33</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项目增加。</w:t>
      </w:r>
    </w:p>
    <w:p w14:paraId="5DAFBC58">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8" w:name="_Toc15377206"/>
      <w:bookmarkStart w:id="19" w:name="_Toc15396604"/>
      <w:r>
        <w:rPr>
          <w:rFonts w:hint="eastAsia" w:ascii="Times New Roman" w:hAnsi="Times New Roman" w:eastAsia="黑体"/>
          <w:color w:val="auto"/>
          <w:sz w:val="32"/>
          <w:szCs w:val="32"/>
          <w:highlight w:val="none"/>
          <w:lang w:eastAsia="zh-CN"/>
        </w:rPr>
        <w:t>二、收入决算情况说明</w:t>
      </w:r>
      <w:bookmarkEnd w:id="18"/>
      <w:bookmarkEnd w:id="19"/>
    </w:p>
    <w:p w14:paraId="4E0EAF9F">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2024年度本年收入合计</w:t>
      </w:r>
      <w:r>
        <w:rPr>
          <w:rFonts w:hint="eastAsia" w:ascii="仿宋_GB2312" w:hAnsi="仿宋_GB2312" w:eastAsia="仿宋_GB2312" w:cs="仿宋_GB2312"/>
          <w:sz w:val="32"/>
          <w:szCs w:val="32"/>
        </w:rPr>
        <w:t>6800.32万元，其中：一般公共预算财政拨款收入6780.32</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99.7</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20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0.29</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r>
        <w:rPr>
          <w:rFonts w:hint="eastAsia" w:eastAsia="仿宋_GB2312" w:cs="仿宋_GB2312"/>
          <w:b/>
          <w:bCs/>
          <w:color w:val="auto"/>
          <w:sz w:val="32"/>
          <w:szCs w:val="32"/>
          <w:highlight w:val="none"/>
          <w:lang w:eastAsia="zh-CN"/>
        </w:rPr>
        <w:t>）</w:t>
      </w:r>
    </w:p>
    <w:p w14:paraId="05E4C2E3">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20" w:name="_Toc15377207"/>
      <w:bookmarkStart w:id="21"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20"/>
      <w:bookmarkEnd w:id="21"/>
    </w:p>
    <w:p w14:paraId="62B17503">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2024年度本年支出合计</w:t>
      </w:r>
      <w:r>
        <w:rPr>
          <w:rFonts w:hint="eastAsia" w:ascii="仿宋_GB2312" w:hAnsi="仿宋_GB2312" w:eastAsia="仿宋_GB2312" w:cs="仿宋_GB2312"/>
          <w:sz w:val="32"/>
          <w:szCs w:val="32"/>
        </w:rPr>
        <w:t>6790.32</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541.52</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7.97</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6248.8</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92.02</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461472AA">
      <w:pPr>
        <w:spacing w:line="600" w:lineRule="exact"/>
        <w:ind w:firstLine="640" w:firstLineChars="200"/>
        <w:outlineLvl w:val="1"/>
        <w:rPr>
          <w:rStyle w:val="31"/>
          <w:rFonts w:ascii="Times New Roman" w:hAnsi="Times New Roman" w:eastAsia="黑体"/>
          <w:b w:val="0"/>
          <w:color w:val="auto"/>
          <w:highlight w:val="none"/>
        </w:rPr>
      </w:pPr>
      <w:bookmarkStart w:id="22" w:name="_Toc15377208"/>
      <w:bookmarkStart w:id="23" w:name="_Toc15396606"/>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22"/>
      <w:bookmarkEnd w:id="23"/>
    </w:p>
    <w:p w14:paraId="59E15D7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2024年度财政拨款收入、支出总计均为</w:t>
      </w:r>
      <w:r>
        <w:rPr>
          <w:rFonts w:hint="eastAsia" w:ascii="仿宋_GB2312" w:hAnsi="仿宋_GB2312" w:eastAsia="仿宋_GB2312" w:cs="仿宋_GB2312"/>
          <w:sz w:val="32"/>
          <w:szCs w:val="32"/>
        </w:rPr>
        <w:t>6780.32</w:t>
      </w:r>
      <w:r>
        <w:rPr>
          <w:rFonts w:hint="eastAsia" w:ascii="Times New Roman" w:hAnsi="Times New Roman" w:eastAsia="仿宋_GB2312" w:cs="仿宋_GB2312"/>
          <w:color w:val="auto"/>
          <w:kern w:val="2"/>
          <w:sz w:val="32"/>
          <w:szCs w:val="32"/>
          <w:highlight w:val="none"/>
          <w:lang w:val="en-US" w:eastAsia="zh-CN" w:bidi="ar-SA"/>
        </w:rPr>
        <w:t>万元。与2023年度相比，财政拨款收入总计、支出总计各增加</w:t>
      </w:r>
      <w:r>
        <w:rPr>
          <w:rFonts w:hint="eastAsia" w:eastAsia="仿宋_GB2312" w:cs="仿宋_GB2312"/>
          <w:color w:val="auto"/>
          <w:kern w:val="2"/>
          <w:sz w:val="32"/>
          <w:szCs w:val="32"/>
          <w:highlight w:val="none"/>
          <w:lang w:val="en-US" w:eastAsia="zh-CN" w:bidi="ar-SA"/>
        </w:rPr>
        <w:t>5460.71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413.81</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olor w:val="auto"/>
          <w:sz w:val="32"/>
          <w:szCs w:val="32"/>
          <w:highlight w:val="none"/>
        </w:rPr>
        <w:t>主要变动原因是</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增加。</w:t>
      </w:r>
    </w:p>
    <w:p w14:paraId="5A0E04A6">
      <w:pPr>
        <w:spacing w:line="600" w:lineRule="exact"/>
        <w:ind w:firstLine="640" w:firstLineChars="200"/>
        <w:outlineLvl w:val="1"/>
        <w:rPr>
          <w:rStyle w:val="31"/>
          <w:rFonts w:ascii="Times New Roman" w:hAnsi="Times New Roman" w:eastAsia="黑体"/>
          <w:b w:val="0"/>
          <w:color w:val="auto"/>
          <w:highlight w:val="none"/>
        </w:rPr>
      </w:pPr>
      <w:bookmarkStart w:id="24" w:name="_Toc15377209"/>
      <w:bookmarkStart w:id="25"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24"/>
      <w:bookmarkEnd w:id="25"/>
    </w:p>
    <w:p w14:paraId="49DFF6D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6"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6"/>
    </w:p>
    <w:p w14:paraId="7ED5BD61">
      <w:pPr>
        <w:spacing w:line="600" w:lineRule="exact"/>
        <w:ind w:firstLine="640" w:firstLineChars="200"/>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kern w:val="2"/>
          <w:sz w:val="32"/>
          <w:szCs w:val="32"/>
          <w:highlight w:val="none"/>
          <w:lang w:val="en-US" w:eastAsia="zh-CN" w:bidi="ar-SA"/>
        </w:rPr>
        <w:t>2024年度一般公共预算财政拨款支出</w:t>
      </w:r>
      <w:r>
        <w:rPr>
          <w:rFonts w:hint="eastAsia" w:ascii="仿宋_GB2312" w:hAnsi="仿宋_GB2312" w:eastAsia="仿宋_GB2312" w:cs="仿宋_GB2312"/>
          <w:sz w:val="32"/>
          <w:szCs w:val="32"/>
        </w:rPr>
        <w:t>6780.32</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99.85</w:t>
      </w:r>
      <w:r>
        <w:rPr>
          <w:rFonts w:hint="eastAsia" w:ascii="仿宋_GB2312" w:hAnsi="仿宋_GB2312" w:eastAsia="仿宋_GB2312" w:cs="仿宋_GB2312"/>
          <w:color w:val="auto"/>
          <w:kern w:val="2"/>
          <w:sz w:val="32"/>
          <w:szCs w:val="32"/>
          <w:highlight w:val="none"/>
          <w:lang w:val="en-US" w:eastAsia="zh-CN" w:bidi="ar-SA"/>
        </w:rPr>
        <w:t>%。与2023年度相比，一般公共预算财政拨款支出增加5460.71万元，增长413.81%。主要变动原因是</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增加</w:t>
      </w:r>
      <w:bookmarkStart w:id="27" w:name="_Toc15377211"/>
      <w:r>
        <w:rPr>
          <w:rFonts w:hint="eastAsia" w:ascii="仿宋_GB2312" w:hAnsi="仿宋_GB2312" w:eastAsia="仿宋_GB2312" w:cs="仿宋_GB2312"/>
          <w:sz w:val="32"/>
          <w:szCs w:val="32"/>
          <w:lang w:val="en-US" w:eastAsia="zh-CN"/>
        </w:rPr>
        <w:t>。</w:t>
      </w:r>
    </w:p>
    <w:p w14:paraId="5250B7F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（二）一般公共预算财政拨款支出决算结构情况</w:t>
      </w:r>
      <w:bookmarkEnd w:id="27"/>
    </w:p>
    <w:p w14:paraId="64FC85D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2024年度一般公共预算财政拨款支出</w:t>
      </w:r>
      <w:r>
        <w:rPr>
          <w:rFonts w:hint="eastAsia" w:ascii="仿宋_GB2312" w:hAnsi="仿宋_GB2312" w:eastAsia="仿宋_GB2312" w:cs="仿宋_GB2312"/>
          <w:sz w:val="32"/>
          <w:szCs w:val="32"/>
        </w:rPr>
        <w:t>6780.32</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504.19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7.44</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311.13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6.04</w:t>
      </w:r>
      <w:r>
        <w:rPr>
          <w:rFonts w:hint="eastAsia" w:ascii="Times New Roman" w:hAnsi="Times New Roman" w:eastAsia="仿宋_GB2312" w:cs="仿宋_GB2312"/>
          <w:color w:val="auto"/>
          <w:kern w:val="2"/>
          <w:sz w:val="32"/>
          <w:szCs w:val="32"/>
          <w:highlight w:val="none"/>
          <w:lang w:val="en-US" w:eastAsia="zh-CN" w:bidi="ar-SA"/>
        </w:rPr>
        <w:t>%；科学技术支出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万元；社会保障和就业</w:t>
      </w:r>
      <w:r>
        <w:rPr>
          <w:rFonts w:hint="eastAsia" w:eastAsia="仿宋_GB2312" w:cs="仿宋_GB2312"/>
          <w:color w:val="auto"/>
          <w:kern w:val="2"/>
          <w:sz w:val="32"/>
          <w:szCs w:val="32"/>
          <w:highlight w:val="none"/>
          <w:lang w:val="en-US" w:eastAsia="zh-CN" w:bidi="ar-SA"/>
        </w:rPr>
        <w:t>支出72.27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1.07</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29.58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0.44</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37.3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0.55</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olor w:val="auto"/>
          <w:sz w:val="32"/>
          <w:szCs w:val="32"/>
          <w:highlight w:val="none"/>
          <w:lang w:val="en-US" w:eastAsia="zh-CN"/>
        </w:rPr>
        <w:t>农林水支出1507.85万元，占22.24%；交通运输支出98万元，占1.45%；</w:t>
      </w:r>
      <w:r>
        <w:rPr>
          <w:rFonts w:hint="eastAsia" w:ascii="仿宋" w:hAnsi="仿宋" w:eastAsia="仿宋"/>
          <w:color w:val="auto"/>
          <w:sz w:val="32"/>
          <w:szCs w:val="32"/>
          <w:highlight w:val="none"/>
        </w:rPr>
        <w:t>自然资源海洋气象等支出</w:t>
      </w:r>
      <w:r>
        <w:rPr>
          <w:rFonts w:hint="eastAsia" w:ascii="仿宋" w:hAnsi="仿宋" w:eastAsia="仿宋"/>
          <w:color w:val="auto"/>
          <w:sz w:val="32"/>
          <w:szCs w:val="32"/>
          <w:highlight w:val="none"/>
          <w:lang w:val="en-US" w:eastAsia="zh-CN"/>
        </w:rPr>
        <w:t>4130.00万元，占60.91%。</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5E60CBE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8"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8"/>
    </w:p>
    <w:p w14:paraId="541194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9" w:name="_Toc15378460"/>
      <w:bookmarkStart w:id="30" w:name="_Toc15377213"/>
      <w:bookmarkStart w:id="31" w:name="_Toc15377444"/>
      <w:r>
        <w:rPr>
          <w:rFonts w:hint="eastAsia" w:ascii="Times New Roman" w:hAnsi="Times New Roman" w:eastAsia="仿宋_GB2312" w:cs="仿宋_GB2312"/>
          <w:color w:val="auto"/>
          <w:kern w:val="2"/>
          <w:sz w:val="32"/>
          <w:szCs w:val="32"/>
          <w:highlight w:val="none"/>
          <w:lang w:val="en-US" w:eastAsia="zh-CN" w:bidi="ar-SA"/>
        </w:rPr>
        <w:t>2024年度一般公共预算财政拨款支出决算数为</w:t>
      </w:r>
      <w:r>
        <w:rPr>
          <w:rFonts w:hint="eastAsia" w:ascii="仿宋_GB2312" w:hAnsi="仿宋_GB2312" w:eastAsia="仿宋_GB2312" w:cs="仿宋_GB2312"/>
          <w:sz w:val="32"/>
          <w:szCs w:val="32"/>
        </w:rPr>
        <w:t>6780.32</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9"/>
      <w:bookmarkEnd w:id="30"/>
      <w:bookmarkEnd w:id="31"/>
    </w:p>
    <w:p w14:paraId="0E20D244">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一般公共服务（类）</w:t>
      </w:r>
      <w:r>
        <w:rPr>
          <w:rFonts w:hint="eastAsia" w:eastAsia="仿宋_GB2312" w:cs="仿宋_GB2312"/>
          <w:color w:val="auto"/>
          <w:kern w:val="2"/>
          <w:sz w:val="32"/>
          <w:szCs w:val="32"/>
          <w:highlight w:val="none"/>
          <w:lang w:val="en-US" w:eastAsia="zh-CN" w:bidi="ar-SA"/>
        </w:rPr>
        <w:t>201</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04</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594.19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55B35099">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2.教育（类）</w:t>
      </w:r>
      <w:r>
        <w:rPr>
          <w:rFonts w:hint="eastAsia" w:eastAsia="仿宋_GB2312" w:cs="仿宋_GB2312"/>
          <w:color w:val="auto"/>
          <w:kern w:val="2"/>
          <w:sz w:val="32"/>
          <w:szCs w:val="32"/>
          <w:highlight w:val="none"/>
          <w:lang w:val="en-US" w:eastAsia="zh-CN" w:bidi="ar-SA"/>
        </w:rPr>
        <w:t>205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08</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 xml:space="preserve"> 支出决算为</w:t>
      </w:r>
      <w:r>
        <w:rPr>
          <w:rFonts w:hint="eastAsia" w:eastAsia="仿宋_GB2312" w:cs="仿宋_GB2312"/>
          <w:color w:val="auto"/>
          <w:kern w:val="2"/>
          <w:sz w:val="32"/>
          <w:szCs w:val="32"/>
          <w:highlight w:val="none"/>
          <w:lang w:val="en-US" w:eastAsia="zh-CN" w:bidi="ar-SA"/>
        </w:rPr>
        <w:t>311.13</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7EA094B1">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.社会保障和就业（类）</w:t>
      </w:r>
      <w:r>
        <w:rPr>
          <w:rFonts w:hint="eastAsia" w:eastAsia="仿宋_GB2312" w:cs="仿宋_GB2312"/>
          <w:color w:val="auto"/>
          <w:kern w:val="2"/>
          <w:sz w:val="32"/>
          <w:szCs w:val="32"/>
          <w:highlight w:val="none"/>
          <w:lang w:val="en-US" w:eastAsia="zh-CN" w:bidi="ar-SA"/>
        </w:rPr>
        <w:t>208</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72.27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35F74FEA">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.卫生健康（类）</w:t>
      </w:r>
      <w:r>
        <w:rPr>
          <w:rFonts w:hint="eastAsia" w:eastAsia="仿宋_GB2312" w:cs="仿宋_GB2312"/>
          <w:color w:val="auto"/>
          <w:kern w:val="2"/>
          <w:sz w:val="32"/>
          <w:szCs w:val="32"/>
          <w:highlight w:val="none"/>
          <w:lang w:val="en-US" w:eastAsia="zh-CN" w:bidi="ar-SA"/>
        </w:rPr>
        <w:t>210</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11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29.58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1735646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5.水利</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213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920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0EBD7870">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6.巩固拓展脱贫攻坚成果衔接乡村振兴</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213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587.85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4B9975DE">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7.铁路运输</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214</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98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3D75F8F0">
      <w:pPr>
        <w:pStyle w:val="2"/>
        <w:ind w:left="0" w:leftChars="0" w:firstLine="640" w:firstLineChars="20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auto"/>
          <w:kern w:val="2"/>
          <w:sz w:val="32"/>
          <w:szCs w:val="32"/>
          <w:highlight w:val="none"/>
          <w:lang w:val="en-US" w:eastAsia="zh-CN" w:bidi="ar-SA"/>
        </w:rPr>
        <w:t>8.自然资源事务（类）220（款）01（项）：支出决算为4130万元，完成预算100%，决算数等于预算数。</w:t>
      </w:r>
    </w:p>
    <w:p w14:paraId="263EADC0">
      <w:pPr>
        <w:pStyle w:val="2"/>
        <w:ind w:left="0" w:leftChars="0" w:firstLine="640" w:firstLineChars="20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lang w:val="en-US" w:eastAsia="zh-CN"/>
        </w:rPr>
        <w:t xml:space="preserve"> </w:t>
      </w:r>
      <w:r>
        <w:rPr>
          <w:rFonts w:hint="eastAsia" w:hAnsi="仿宋_GB2312" w:eastAsia="仿宋_GB2312" w:cs="仿宋_GB2312"/>
          <w:sz w:val="32"/>
          <w:szCs w:val="32"/>
          <w:lang w:val="en-US" w:eastAsia="zh-CN"/>
        </w:rPr>
        <w:t>9.住房保障</w:t>
      </w:r>
      <w:r>
        <w:rPr>
          <w:rFonts w:hint="eastAsia" w:ascii="仿宋_GB2312" w:hAnsi="仿宋_GB2312" w:eastAsia="仿宋_GB2312" w:cs="仿宋_GB2312"/>
          <w:color w:val="auto"/>
          <w:kern w:val="2"/>
          <w:sz w:val="32"/>
          <w:szCs w:val="32"/>
          <w:highlight w:val="none"/>
          <w:lang w:val="en-US" w:eastAsia="zh-CN" w:bidi="ar-SA"/>
        </w:rPr>
        <w:t>（类）22</w:t>
      </w:r>
      <w:r>
        <w:rPr>
          <w:rFonts w:hint="eastAsia" w:hAnsi="仿宋_GB2312" w:eastAsia="仿宋_GB2312" w:cs="仿宋_GB2312"/>
          <w:color w:val="auto"/>
          <w:kern w:val="2"/>
          <w:sz w:val="32"/>
          <w:szCs w:val="32"/>
          <w:highlight w:val="none"/>
          <w:lang w:val="en-US" w:eastAsia="zh-CN" w:bidi="ar-SA"/>
        </w:rPr>
        <w:t>1</w:t>
      </w:r>
      <w:r>
        <w:rPr>
          <w:rFonts w:hint="eastAsia" w:ascii="仿宋_GB2312" w:hAnsi="仿宋_GB2312" w:eastAsia="仿宋_GB2312" w:cs="仿宋_GB2312"/>
          <w:color w:val="auto"/>
          <w:kern w:val="2"/>
          <w:sz w:val="32"/>
          <w:szCs w:val="32"/>
          <w:highlight w:val="none"/>
          <w:lang w:val="en-US" w:eastAsia="zh-CN" w:bidi="ar-SA"/>
        </w:rPr>
        <w:t>（款）0</w:t>
      </w:r>
      <w:r>
        <w:rPr>
          <w:rFonts w:hint="eastAsia" w:hAnsi="仿宋_GB2312" w:eastAsia="仿宋_GB2312" w:cs="仿宋_GB2312"/>
          <w:color w:val="auto"/>
          <w:kern w:val="2"/>
          <w:sz w:val="32"/>
          <w:szCs w:val="32"/>
          <w:highlight w:val="none"/>
          <w:lang w:val="en-US" w:eastAsia="zh-CN" w:bidi="ar-SA"/>
        </w:rPr>
        <w:t>2</w:t>
      </w:r>
      <w:r>
        <w:rPr>
          <w:rFonts w:hint="eastAsia" w:ascii="仿宋_GB2312" w:hAnsi="仿宋_GB2312" w:eastAsia="仿宋_GB2312" w:cs="仿宋_GB2312"/>
          <w:color w:val="auto"/>
          <w:kern w:val="2"/>
          <w:sz w:val="32"/>
          <w:szCs w:val="32"/>
          <w:highlight w:val="none"/>
          <w:lang w:val="en-US" w:eastAsia="zh-CN" w:bidi="ar-SA"/>
        </w:rPr>
        <w:t>（项）：支出决算为</w:t>
      </w:r>
      <w:r>
        <w:rPr>
          <w:rFonts w:hint="eastAsia" w:hAnsi="仿宋_GB2312" w:eastAsia="仿宋_GB2312" w:cs="仿宋_GB2312"/>
          <w:color w:val="auto"/>
          <w:kern w:val="2"/>
          <w:sz w:val="32"/>
          <w:szCs w:val="32"/>
          <w:highlight w:val="none"/>
          <w:lang w:val="en-US" w:eastAsia="zh-CN" w:bidi="ar-SA"/>
        </w:rPr>
        <w:t>37.3</w:t>
      </w:r>
      <w:r>
        <w:rPr>
          <w:rFonts w:hint="eastAsia" w:ascii="仿宋_GB2312" w:hAnsi="仿宋_GB2312" w:eastAsia="仿宋_GB2312" w:cs="仿宋_GB2312"/>
          <w:color w:val="auto"/>
          <w:kern w:val="2"/>
          <w:sz w:val="32"/>
          <w:szCs w:val="32"/>
          <w:highlight w:val="none"/>
          <w:lang w:val="en-US" w:eastAsia="zh-CN" w:bidi="ar-SA"/>
        </w:rPr>
        <w:t>万元，完成预算100%，决算数等于预算数。</w:t>
      </w:r>
    </w:p>
    <w:p w14:paraId="2FA72D72">
      <w:pPr>
        <w:pStyle w:val="2"/>
        <w:ind w:left="0" w:leftChars="0"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w:t>
      </w:r>
      <w:r>
        <w:rPr>
          <w:rFonts w:hint="eastAsia" w:asci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asci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和全年预算数</w:t>
      </w:r>
      <w:r>
        <w:rPr>
          <w:rFonts w:hint="eastAsia" w:asci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asci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比较，与预算数持平可以不写原因）</w:t>
      </w:r>
    </w:p>
    <w:p w14:paraId="029BE968">
      <w:pPr>
        <w:tabs>
          <w:tab w:val="right" w:pos="8306"/>
        </w:tabs>
        <w:spacing w:line="600" w:lineRule="exact"/>
        <w:ind w:firstLine="640"/>
        <w:outlineLvl w:val="1"/>
        <w:rPr>
          <w:rStyle w:val="31"/>
          <w:rFonts w:ascii="Times New Roman" w:hAnsi="Times New Roman"/>
          <w:color w:val="auto"/>
          <w:highlight w:val="none"/>
        </w:rPr>
      </w:pPr>
      <w:bookmarkStart w:id="32" w:name="_Toc15396608"/>
      <w:bookmarkStart w:id="33"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32"/>
      <w:bookmarkEnd w:id="33"/>
      <w:r>
        <w:rPr>
          <w:rStyle w:val="31"/>
          <w:rFonts w:ascii="Times New Roman" w:hAnsi="Times New Roman" w:eastAsia="黑体"/>
          <w:b w:val="0"/>
          <w:color w:val="auto"/>
          <w:highlight w:val="none"/>
        </w:rPr>
        <w:tab/>
      </w:r>
    </w:p>
    <w:p w14:paraId="69919B2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2024年度一般公共预算财政拨款基本支出</w:t>
      </w:r>
      <w:r>
        <w:rPr>
          <w:rFonts w:hint="eastAsia" w:ascii="仿宋_GB2312" w:hAnsi="仿宋_GB2312" w:eastAsia="仿宋_GB2312" w:cs="仿宋_GB2312"/>
          <w:sz w:val="32"/>
          <w:szCs w:val="32"/>
        </w:rPr>
        <w:t>531.5</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14:paraId="01C5532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485.87</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45.64</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7A7622F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30D0CDBA">
      <w:pPr>
        <w:spacing w:line="600" w:lineRule="exact"/>
        <w:ind w:firstLine="640"/>
        <w:outlineLvl w:val="1"/>
        <w:rPr>
          <w:rStyle w:val="31"/>
          <w:rFonts w:ascii="Times New Roman" w:hAnsi="Times New Roman" w:eastAsia="黑体"/>
          <w:b w:val="0"/>
          <w:color w:val="auto"/>
          <w:highlight w:val="none"/>
        </w:rPr>
      </w:pPr>
      <w:bookmarkStart w:id="34" w:name="_Toc15377215"/>
      <w:bookmarkStart w:id="35" w:name="_Toc15396609"/>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34"/>
      <w:bookmarkEnd w:id="35"/>
    </w:p>
    <w:p w14:paraId="1F7DDE7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6"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6"/>
    </w:p>
    <w:p w14:paraId="02A455F3">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2024年度“三公”经费财政拨款支出决算为</w:t>
      </w:r>
      <w:r>
        <w:rPr>
          <w:rFonts w:hint="eastAsia" w:ascii="仿宋_GB2312" w:hAnsi="仿宋_GB2312" w:eastAsia="仿宋_GB2312" w:cs="仿宋_GB2312"/>
          <w:sz w:val="32"/>
          <w:szCs w:val="32"/>
        </w:rPr>
        <w:t>4.3</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与上年度持平，</w:t>
      </w:r>
      <w:r>
        <w:rPr>
          <w:rFonts w:hint="eastAsia" w:ascii="仿宋" w:hAnsi="仿宋" w:eastAsia="仿宋"/>
          <w:color w:val="auto"/>
          <w:sz w:val="32"/>
          <w:szCs w:val="32"/>
          <w:highlight w:val="none"/>
        </w:rPr>
        <w:t>决算数与预算数持平。</w:t>
      </w:r>
    </w:p>
    <w:p w14:paraId="4055802F">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w:t>
      </w:r>
    </w:p>
    <w:p w14:paraId="0AA29F74">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7"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7"/>
    </w:p>
    <w:p w14:paraId="2A56CFEB">
      <w:pPr>
        <w:spacing w:line="600" w:lineRule="exact"/>
        <w:ind w:firstLine="640"/>
        <w:rPr>
          <w:rFonts w:hint="eastAsia" w:ascii="仿宋" w:hAnsi="仿宋" w:eastAsia="仿宋"/>
          <w:color w:val="auto"/>
          <w:sz w:val="32"/>
          <w:szCs w:val="32"/>
          <w:highlight w:val="none"/>
        </w:rPr>
      </w:pPr>
      <w:r>
        <w:rPr>
          <w:rFonts w:hint="eastAsia" w:ascii="仿宋_GB2312" w:hAnsi="仿宋_GB2312" w:eastAsia="仿宋_GB2312" w:cs="仿宋_GB2312"/>
          <w:color w:val="auto"/>
          <w:kern w:val="2"/>
          <w:sz w:val="32"/>
          <w:szCs w:val="32"/>
          <w:highlight w:val="none"/>
          <w:lang w:val="en-US" w:eastAsia="zh-CN" w:bidi="ar-SA"/>
        </w:rPr>
        <w:t>2024</w:t>
      </w:r>
      <w:r>
        <w:rPr>
          <w:rFonts w:hint="eastAsia" w:ascii="仿宋" w:hAnsi="仿宋" w:eastAsia="仿宋"/>
          <w:color w:val="auto"/>
          <w:sz w:val="32"/>
          <w:szCs w:val="32"/>
          <w:highlight w:val="none"/>
        </w:rPr>
        <w:t>年</w:t>
      </w:r>
      <w:r>
        <w:rPr>
          <w:rFonts w:hint="eastAsia" w:ascii="仿宋" w:hAnsi="仿宋" w:eastAsia="仿宋"/>
          <w:color w:val="auto"/>
          <w:sz w:val="32"/>
          <w:szCs w:val="32"/>
          <w:highlight w:val="none"/>
          <w:lang w:eastAsia="zh-CN"/>
        </w:rPr>
        <w:t>度</w:t>
      </w:r>
      <w:r>
        <w:rPr>
          <w:rFonts w:hint="eastAsia" w:ascii="仿宋" w:hAnsi="仿宋" w:eastAsia="仿宋"/>
          <w:color w:val="auto"/>
          <w:sz w:val="32"/>
          <w:szCs w:val="32"/>
          <w:highlight w:val="none"/>
        </w:rPr>
        <w:t>“三公”经费财政拨款支出决算中，因公出国（境）费支出决算</w:t>
      </w:r>
      <w:r>
        <w:rPr>
          <w:rFonts w:hint="eastAsia" w:ascii="仿宋" w:hAnsi="仿宋" w:eastAsia="仿宋"/>
          <w:color w:val="auto"/>
          <w:sz w:val="32"/>
          <w:szCs w:val="32"/>
          <w:highlight w:val="none"/>
          <w:lang w:val="en-US" w:eastAsia="zh-CN"/>
        </w:rPr>
        <w:t>0.00万</w:t>
      </w:r>
      <w:r>
        <w:rPr>
          <w:rFonts w:hint="eastAsia" w:ascii="仿宋" w:hAnsi="仿宋" w:eastAsia="仿宋"/>
          <w:color w:val="auto"/>
          <w:sz w:val="32"/>
          <w:szCs w:val="32"/>
          <w:highlight w:val="none"/>
        </w:rPr>
        <w:t>元，占</w:t>
      </w:r>
      <w:r>
        <w:rPr>
          <w:rFonts w:hint="eastAsia" w:ascii="仿宋" w:hAnsi="仿宋" w:eastAsia="仿宋"/>
          <w:color w:val="auto"/>
          <w:sz w:val="32"/>
          <w:szCs w:val="32"/>
          <w:highlight w:val="none"/>
          <w:lang w:val="en-US" w:eastAsia="zh-CN"/>
        </w:rPr>
        <w:t>0.00</w:t>
      </w:r>
      <w:r>
        <w:rPr>
          <w:rFonts w:ascii="仿宋" w:hAnsi="仿宋" w:eastAsia="仿宋"/>
          <w:color w:val="auto"/>
          <w:sz w:val="32"/>
          <w:szCs w:val="32"/>
          <w:highlight w:val="none"/>
        </w:rPr>
        <w:t>%</w:t>
      </w:r>
      <w:r>
        <w:rPr>
          <w:rFonts w:hint="eastAsia" w:ascii="仿宋" w:hAnsi="仿宋" w:eastAsia="仿宋"/>
          <w:color w:val="auto"/>
          <w:sz w:val="32"/>
          <w:szCs w:val="32"/>
          <w:highlight w:val="none"/>
        </w:rPr>
        <w:t>；公务用车购置及运行维护费支出决算</w:t>
      </w:r>
      <w:r>
        <w:rPr>
          <w:rFonts w:hint="eastAsia" w:ascii="仿宋_GB2312" w:hAnsi="仿宋_GB2312" w:eastAsia="仿宋_GB2312" w:cs="仿宋_GB2312"/>
          <w:sz w:val="32"/>
          <w:szCs w:val="32"/>
          <w:shd w:val="clear" w:color="auto" w:fill="FFFFFF"/>
          <w:lang w:val="en-US" w:eastAsia="zh-CN"/>
        </w:rPr>
        <w:t>4.3万</w:t>
      </w:r>
      <w:r>
        <w:rPr>
          <w:rFonts w:hint="eastAsia" w:ascii="仿宋" w:hAnsi="仿宋" w:eastAsia="仿宋"/>
          <w:color w:val="auto"/>
          <w:sz w:val="32"/>
          <w:szCs w:val="32"/>
          <w:highlight w:val="none"/>
        </w:rPr>
        <w:t>元，占</w:t>
      </w:r>
      <w:r>
        <w:rPr>
          <w:rFonts w:hint="eastAsia" w:ascii="仿宋" w:hAnsi="仿宋" w:eastAsia="仿宋"/>
          <w:color w:val="auto"/>
          <w:sz w:val="32"/>
          <w:szCs w:val="32"/>
          <w:highlight w:val="none"/>
          <w:lang w:val="en-US" w:eastAsia="zh-CN"/>
        </w:rPr>
        <w:t>100</w:t>
      </w:r>
      <w:r>
        <w:rPr>
          <w:rFonts w:ascii="仿宋" w:hAnsi="仿宋" w:eastAsia="仿宋"/>
          <w:color w:val="auto"/>
          <w:sz w:val="32"/>
          <w:szCs w:val="32"/>
          <w:highlight w:val="none"/>
        </w:rPr>
        <w:t>%</w:t>
      </w:r>
      <w:r>
        <w:rPr>
          <w:rFonts w:hint="eastAsia" w:ascii="仿宋" w:hAnsi="仿宋" w:eastAsia="仿宋"/>
          <w:color w:val="auto"/>
          <w:sz w:val="32"/>
          <w:szCs w:val="32"/>
          <w:highlight w:val="none"/>
        </w:rPr>
        <w:t>；公务接待费支出决算</w:t>
      </w:r>
      <w:r>
        <w:rPr>
          <w:rFonts w:hint="eastAsia" w:ascii="仿宋" w:hAnsi="仿宋" w:eastAsia="仿宋"/>
          <w:color w:val="auto"/>
          <w:sz w:val="32"/>
          <w:szCs w:val="32"/>
          <w:highlight w:val="none"/>
          <w:lang w:val="en-US" w:eastAsia="zh-CN"/>
        </w:rPr>
        <w:t>0.00万</w:t>
      </w:r>
      <w:r>
        <w:rPr>
          <w:rFonts w:hint="eastAsia" w:ascii="仿宋" w:hAnsi="仿宋" w:eastAsia="仿宋"/>
          <w:color w:val="auto"/>
          <w:sz w:val="32"/>
          <w:szCs w:val="32"/>
          <w:highlight w:val="none"/>
        </w:rPr>
        <w:t>元，占</w:t>
      </w:r>
      <w:r>
        <w:rPr>
          <w:rFonts w:hint="eastAsia" w:ascii="仿宋" w:hAnsi="仿宋" w:eastAsia="仿宋"/>
          <w:color w:val="auto"/>
          <w:sz w:val="32"/>
          <w:szCs w:val="32"/>
          <w:highlight w:val="none"/>
          <w:lang w:val="en-US" w:eastAsia="zh-CN"/>
        </w:rPr>
        <w:t>0.00</w:t>
      </w:r>
      <w:r>
        <w:rPr>
          <w:rFonts w:ascii="仿宋" w:hAnsi="仿宋" w:eastAsia="仿宋"/>
          <w:color w:val="auto"/>
          <w:sz w:val="32"/>
          <w:szCs w:val="32"/>
          <w:highlight w:val="none"/>
        </w:rPr>
        <w:t>%</w:t>
      </w:r>
      <w:r>
        <w:rPr>
          <w:rFonts w:hint="eastAsia" w:ascii="仿宋" w:hAnsi="仿宋" w:eastAsia="仿宋"/>
          <w:color w:val="auto"/>
          <w:sz w:val="32"/>
          <w:szCs w:val="32"/>
          <w:highlight w:val="none"/>
        </w:rPr>
        <w:t>。具体情况如下：</w:t>
      </w:r>
    </w:p>
    <w:p w14:paraId="5B3D9886">
      <w:pPr>
        <w:numPr>
          <w:ilvl w:val="0"/>
          <w:numId w:val="3"/>
        </w:numPr>
        <w:spacing w:line="600" w:lineRule="exact"/>
        <w:ind w:firstLine="640"/>
        <w:rPr>
          <w:rFonts w:hint="eastAsia"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p>
    <w:p w14:paraId="524DB08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4.3万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eastAsia="仿宋_GB2312" w:cs="仿宋_GB2312"/>
          <w:color w:val="auto"/>
          <w:kern w:val="2"/>
          <w:sz w:val="32"/>
          <w:szCs w:val="32"/>
          <w:highlight w:val="none"/>
          <w:lang w:val="en-US" w:eastAsia="zh-CN" w:bidi="ar-SA"/>
        </w:rPr>
        <w:t>与</w:t>
      </w:r>
      <w:r>
        <w:rPr>
          <w:rFonts w:hint="eastAsia" w:ascii="Times New Roman" w:hAnsi="Times New Roman" w:eastAsia="仿宋_GB2312" w:cs="仿宋_GB2312"/>
          <w:color w:val="auto"/>
          <w:kern w:val="2"/>
          <w:sz w:val="32"/>
          <w:szCs w:val="32"/>
          <w:highlight w:val="none"/>
          <w:lang w:val="en-US" w:eastAsia="zh-CN" w:bidi="ar-SA"/>
        </w:rPr>
        <w:t>2023年度</w:t>
      </w:r>
      <w:r>
        <w:rPr>
          <w:rFonts w:hint="eastAsia" w:eastAsia="仿宋_GB2312" w:cs="仿宋_GB2312"/>
          <w:color w:val="auto"/>
          <w:kern w:val="2"/>
          <w:sz w:val="32"/>
          <w:szCs w:val="32"/>
          <w:highlight w:val="none"/>
          <w:lang w:val="en-US" w:eastAsia="zh-CN" w:bidi="ar-SA"/>
        </w:rPr>
        <w:t>持平</w:t>
      </w:r>
      <w:r>
        <w:rPr>
          <w:rFonts w:hint="eastAsia" w:ascii="Times New Roman" w:hAnsi="Times New Roman" w:eastAsia="仿宋_GB2312" w:cs="仿宋_GB2312"/>
          <w:color w:val="auto"/>
          <w:kern w:val="2"/>
          <w:sz w:val="32"/>
          <w:szCs w:val="32"/>
          <w:highlight w:val="none"/>
          <w:lang w:val="en-US" w:eastAsia="zh-CN" w:bidi="ar-SA"/>
        </w:rPr>
        <w:t>。</w:t>
      </w:r>
    </w:p>
    <w:p w14:paraId="32808E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辆。截至2024年12月31日，单位共有公务用车</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辆、越野车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14:paraId="68D08107">
      <w:pPr>
        <w:spacing w:line="600" w:lineRule="exact"/>
        <w:ind w:firstLine="640"/>
        <w:rPr>
          <w:rFonts w:ascii="仿宋_GB2312" w:eastAsia="仿宋_GB2312"/>
          <w:color w:val="auto"/>
          <w:sz w:val="32"/>
          <w:szCs w:val="32"/>
          <w:highlight w:val="none"/>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4.3</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ascii="仿宋_GB2312" w:eastAsia="仿宋_GB2312"/>
          <w:color w:val="auto"/>
          <w:sz w:val="32"/>
          <w:szCs w:val="32"/>
          <w:highlight w:val="none"/>
        </w:rPr>
        <w:t>主要用于</w:t>
      </w:r>
      <w:r>
        <w:rPr>
          <w:rFonts w:hint="eastAsia" w:ascii="仿宋_GB2312" w:eastAsia="仿宋_GB2312"/>
          <w:color w:val="auto"/>
          <w:sz w:val="32"/>
          <w:szCs w:val="32"/>
          <w:highlight w:val="none"/>
          <w:lang w:val="en-US" w:eastAsia="zh-CN"/>
        </w:rPr>
        <w:t>全县</w:t>
      </w:r>
      <w:r>
        <w:rPr>
          <w:rFonts w:hint="eastAsia" w:ascii="仿宋_GB2312" w:hAnsi="仿宋_GB2312" w:eastAsia="仿宋_GB2312" w:cs="仿宋_GB2312"/>
          <w:sz w:val="32"/>
          <w:szCs w:val="32"/>
        </w:rPr>
        <w:t>项目的初步设计审查、项目开工及开工后的质量监督、进度</w:t>
      </w:r>
      <w:r>
        <w:rPr>
          <w:rFonts w:hint="eastAsia" w:ascii="仿宋_GB2312" w:eastAsia="仿宋_GB2312"/>
          <w:color w:val="auto"/>
          <w:sz w:val="32"/>
          <w:szCs w:val="32"/>
          <w:highlight w:val="none"/>
          <w:lang w:val="en-US" w:eastAsia="zh-CN"/>
        </w:rPr>
        <w:t>，项目对接</w:t>
      </w:r>
      <w:r>
        <w:rPr>
          <w:rFonts w:hint="eastAsia" w:ascii="仿宋_GB2312" w:eastAsia="仿宋_GB2312"/>
          <w:color w:val="auto"/>
          <w:sz w:val="32"/>
          <w:szCs w:val="32"/>
          <w:highlight w:val="none"/>
        </w:rPr>
        <w:t>等所需的公务用车燃料费、维修费、过路过桥费、保险费等支出。</w:t>
      </w:r>
    </w:p>
    <w:p w14:paraId="3422A352">
      <w:pPr>
        <w:spacing w:line="600" w:lineRule="exact"/>
        <w:ind w:firstLine="640"/>
        <w:rPr>
          <w:rFonts w:ascii="仿宋_GB2312" w:eastAsia="仿宋_GB2312"/>
          <w:color w:val="auto"/>
          <w:sz w:val="32"/>
          <w:szCs w:val="32"/>
          <w:highlight w:val="none"/>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仿宋_GB2312" w:eastAsia="仿宋_GB2312"/>
          <w:color w:val="auto"/>
          <w:sz w:val="32"/>
          <w:szCs w:val="32"/>
          <w:highlight w:val="none"/>
        </w:rPr>
        <w:t>公务接待费支出决算</w:t>
      </w:r>
      <w:r>
        <w:rPr>
          <w:rFonts w:hint="eastAsia" w:ascii="仿宋_GB2312" w:eastAsia="仿宋_GB2312"/>
          <w:color w:val="auto"/>
          <w:sz w:val="32"/>
          <w:szCs w:val="32"/>
          <w:highlight w:val="none"/>
          <w:lang w:val="en-US" w:eastAsia="zh-CN"/>
        </w:rPr>
        <w:t>与2023年持平</w:t>
      </w:r>
      <w:r>
        <w:rPr>
          <w:rFonts w:hint="eastAsia" w:ascii="仿宋_GB2312" w:eastAsia="仿宋_GB2312"/>
          <w:color w:val="auto"/>
          <w:sz w:val="32"/>
          <w:szCs w:val="32"/>
          <w:highlight w:val="none"/>
        </w:rPr>
        <w:t>。其中：</w:t>
      </w:r>
    </w:p>
    <w:p w14:paraId="2B371D9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w:t>
      </w:r>
    </w:p>
    <w:p w14:paraId="09774EA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Times New Roman" w:hAnsi="Times New Roman" w:eastAsia="仿宋_GB2312" w:cs="仿宋_GB2312"/>
          <w:color w:val="auto"/>
          <w:kern w:val="2"/>
          <w:sz w:val="32"/>
          <w:szCs w:val="32"/>
          <w:highlight w:val="none"/>
          <w:lang w:val="en-US" w:eastAsia="zh-CN" w:bidi="ar-SA"/>
        </w:rPr>
        <w:t>。</w:t>
      </w:r>
      <w:bookmarkStart w:id="38" w:name="_Toc15396610"/>
      <w:bookmarkStart w:id="39" w:name="_Toc15377218"/>
    </w:p>
    <w:p w14:paraId="771647E3">
      <w:pPr>
        <w:spacing w:line="600" w:lineRule="exact"/>
        <w:ind w:firstLine="640"/>
        <w:outlineLvl w:val="1"/>
        <w:rPr>
          <w:rStyle w:val="3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38"/>
      <w:bookmarkEnd w:id="39"/>
    </w:p>
    <w:p w14:paraId="761DAD8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2C3A164">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40" w:name="_Toc15396611"/>
      <w:bookmarkStart w:id="41" w:name="_Toc15377219"/>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40"/>
      <w:bookmarkEnd w:id="41"/>
    </w:p>
    <w:p w14:paraId="379B6AF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135165D8">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42" w:name="_Toc15377221"/>
      <w:bookmarkStart w:id="43" w:name="_Toc15396612"/>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42"/>
      <w:bookmarkEnd w:id="43"/>
    </w:p>
    <w:p w14:paraId="447ADBE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22"/>
      <w:r>
        <w:rPr>
          <w:rFonts w:hint="eastAsia" w:ascii="Times New Roman" w:hAnsi="Times New Roman" w:eastAsia="楷体_GB2312" w:cs="楷体_GB2312"/>
          <w:b/>
          <w:color w:val="auto"/>
          <w:sz w:val="32"/>
          <w:szCs w:val="32"/>
          <w:highlight w:val="none"/>
        </w:rPr>
        <w:t>（一）机关运行经费支出情况</w:t>
      </w:r>
      <w:bookmarkEnd w:id="44"/>
    </w:p>
    <w:p w14:paraId="12CA1B09">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松潘县发展和改革局</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lang w:val="en-US" w:eastAsia="zh-CN"/>
        </w:rPr>
        <w:t>531.51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元，比2023年度</w:t>
      </w:r>
      <w:r>
        <w:rPr>
          <w:rFonts w:hint="eastAsia" w:eastAsia="仿宋_GB2312" w:cs="仿宋_GB2312"/>
          <w:color w:val="auto"/>
          <w:kern w:val="2"/>
          <w:sz w:val="32"/>
          <w:szCs w:val="32"/>
          <w:highlight w:val="none"/>
          <w:lang w:val="en-US" w:eastAsia="zh-CN" w:bidi="ar-SA"/>
        </w:rPr>
        <w:t>增加27.42</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增加5.44</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主要原因是</w:t>
      </w:r>
      <w:r>
        <w:rPr>
          <w:rFonts w:hint="eastAsia" w:ascii="仿宋_GB2312" w:eastAsia="仿宋_GB2312"/>
          <w:color w:val="auto"/>
          <w:sz w:val="32"/>
          <w:szCs w:val="32"/>
          <w:highlight w:val="none"/>
          <w:lang w:val="en-US" w:eastAsia="zh-CN"/>
        </w:rPr>
        <w:t>五险及工资增加</w:t>
      </w:r>
      <w:r>
        <w:rPr>
          <w:rFonts w:hint="eastAsia" w:ascii="仿宋_GB2312" w:eastAsia="仿宋_GB2312"/>
          <w:color w:val="auto"/>
          <w:sz w:val="32"/>
          <w:szCs w:val="32"/>
          <w:highlight w:val="none"/>
          <w:lang w:eastAsia="zh-CN"/>
        </w:rPr>
        <w:t>。</w:t>
      </w:r>
    </w:p>
    <w:p w14:paraId="3E8F4C8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5" w:name="_Toc15377223"/>
      <w:r>
        <w:rPr>
          <w:rFonts w:hint="eastAsia" w:ascii="Times New Roman" w:hAnsi="Times New Roman" w:eastAsia="楷体_GB2312" w:cs="楷体_GB2312"/>
          <w:b/>
          <w:color w:val="auto"/>
          <w:sz w:val="32"/>
          <w:szCs w:val="32"/>
          <w:highlight w:val="none"/>
        </w:rPr>
        <w:t>（二）政府采购支出情况</w:t>
      </w:r>
      <w:bookmarkEnd w:id="45"/>
    </w:p>
    <w:p w14:paraId="3438F81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sz w:val="32"/>
          <w:szCs w:val="32"/>
        </w:rPr>
        <w:t>松潘县发展和改革局</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万元。授予中小企业合同金额</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64.9</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w:t>
      </w:r>
    </w:p>
    <w:p w14:paraId="66E79FF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24"/>
      <w:r>
        <w:rPr>
          <w:rFonts w:hint="eastAsia" w:ascii="Times New Roman" w:hAnsi="Times New Roman" w:eastAsia="楷体_GB2312" w:cs="楷体_GB2312"/>
          <w:b/>
          <w:color w:val="auto"/>
          <w:sz w:val="32"/>
          <w:szCs w:val="32"/>
          <w:highlight w:val="none"/>
        </w:rPr>
        <w:t>（三）国有资产占有使用情况</w:t>
      </w:r>
      <w:bookmarkEnd w:id="46"/>
    </w:p>
    <w:p w14:paraId="2A57019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截至2024年12月31日，</w:t>
      </w:r>
      <w:r>
        <w:rPr>
          <w:rFonts w:hint="eastAsia" w:ascii="仿宋_GB2312" w:hAnsi="仿宋_GB2312" w:eastAsia="仿宋_GB2312" w:cs="仿宋_GB2312"/>
          <w:sz w:val="32"/>
          <w:szCs w:val="32"/>
        </w:rPr>
        <w:t>松潘县发展和改革局</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仿宋_GB2312" w:hAnsi="仿宋_GB2312" w:eastAsia="仿宋_GB2312" w:cs="仿宋_GB2312"/>
          <w:color w:val="auto"/>
          <w:kern w:val="2"/>
          <w:sz w:val="32"/>
          <w:szCs w:val="32"/>
          <w:highlight w:val="none"/>
          <w:lang w:val="en-US" w:eastAsia="zh-CN" w:bidi="ar-SA"/>
        </w:rPr>
        <w:t>辆，其中：主要负责人用车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1</w:t>
      </w:r>
      <w:r>
        <w:rPr>
          <w:rFonts w:hint="eastAsia" w:ascii="仿宋_GB2312" w:hAnsi="仿宋_GB2312"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1</w:t>
      </w:r>
      <w:r>
        <w:rPr>
          <w:rFonts w:hint="eastAsia" w:ascii="仿宋_GB2312" w:hAnsi="仿宋_GB2312" w:eastAsia="仿宋_GB2312" w:cs="仿宋_GB2312"/>
          <w:color w:val="auto"/>
          <w:kern w:val="2"/>
          <w:sz w:val="32"/>
          <w:szCs w:val="32"/>
          <w:highlight w:val="none"/>
          <w:lang w:val="en-US" w:eastAsia="zh-CN" w:bidi="ar-SA"/>
        </w:rPr>
        <w:t>辆。单价100万元（含）以上设备（不含车辆）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台（套）</w:t>
      </w:r>
      <w:r>
        <w:rPr>
          <w:rFonts w:hint="eastAsia" w:ascii="Times New Roman" w:hAnsi="Times New Roman" w:eastAsia="仿宋_GB2312" w:cs="仿宋_GB2312"/>
          <w:color w:val="auto"/>
          <w:kern w:val="2"/>
          <w:sz w:val="32"/>
          <w:szCs w:val="32"/>
          <w:highlight w:val="none"/>
          <w:lang w:val="en-US" w:eastAsia="zh-CN" w:bidi="ar-SA"/>
        </w:rPr>
        <w:t>。</w:t>
      </w:r>
    </w:p>
    <w:p w14:paraId="383254E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35CE5F3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松潘县发展和改革局</w:t>
      </w:r>
      <w:r>
        <w:rPr>
          <w:rFonts w:hint="eastAsia" w:ascii="Times New Roman" w:hAnsi="Times New Roman" w:eastAsia="仿宋_GB2312" w:cs="仿宋_GB2312"/>
          <w:color w:val="auto"/>
          <w:kern w:val="2"/>
          <w:sz w:val="32"/>
          <w:szCs w:val="32"/>
          <w:highlight w:val="none"/>
          <w:lang w:val="en-US" w:eastAsia="zh-CN" w:bidi="ar-SA"/>
        </w:rPr>
        <w:t>在2024年度预算编制阶段，组织对</w:t>
      </w:r>
      <w:r>
        <w:rPr>
          <w:rFonts w:hint="eastAsia" w:ascii="仿宋_GB2312" w:hAnsi="仿宋_GB2312" w:eastAsia="仿宋_GB2312" w:cs="仿宋_GB2312"/>
          <w:sz w:val="32"/>
          <w:szCs w:val="32"/>
        </w:rPr>
        <w:t>旧堡子水电站退出补偿款</w:t>
      </w:r>
      <w:r>
        <w:rPr>
          <w:rFonts w:hint="eastAsia" w:ascii="Times New Roman" w:hAnsi="Times New Roman" w:eastAsia="仿宋_GB2312" w:cs="仿宋_GB2312"/>
          <w:color w:val="auto"/>
          <w:kern w:val="2"/>
          <w:sz w:val="32"/>
          <w:szCs w:val="32"/>
          <w:highlight w:val="none"/>
          <w:lang w:val="en-US" w:eastAsia="zh-CN" w:bidi="ar-SA"/>
        </w:rPr>
        <w:t>等</w:t>
      </w:r>
      <w:r>
        <w:rPr>
          <w:rFonts w:hint="eastAsia" w:eastAsia="仿宋_GB2312" w:cs="仿宋_GB2312"/>
          <w:color w:val="auto"/>
          <w:kern w:val="2"/>
          <w:sz w:val="32"/>
          <w:szCs w:val="32"/>
          <w:highlight w:val="none"/>
          <w:lang w:val="en-US" w:eastAsia="zh-CN" w:bidi="ar-SA"/>
        </w:rPr>
        <w:t>14</w:t>
      </w:r>
      <w:r>
        <w:rPr>
          <w:rFonts w:hint="eastAsia" w:ascii="Times New Roman" w:hAnsi="Times New Roman" w:eastAsia="仿宋_GB2312" w:cs="仿宋_GB2312"/>
          <w:color w:val="auto"/>
          <w:kern w:val="2"/>
          <w:sz w:val="32"/>
          <w:szCs w:val="32"/>
          <w:highlight w:val="none"/>
          <w:lang w:val="en-US" w:eastAsia="zh-CN" w:bidi="ar-SA"/>
        </w:rPr>
        <w:t>个项目开展了预算事前绩效评估，对</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个项目编制了绩效目标</w:t>
      </w:r>
      <w:r>
        <w:rPr>
          <w:rFonts w:hint="eastAsia" w:eastAsia="仿宋_GB2312" w:cs="仿宋_GB2312"/>
          <w:color w:val="auto"/>
          <w:kern w:val="2"/>
          <w:sz w:val="32"/>
          <w:szCs w:val="32"/>
          <w:highlight w:val="none"/>
          <w:lang w:val="en-US" w:eastAsia="zh-CN" w:bidi="ar-SA"/>
        </w:rPr>
        <w:t>，在</w:t>
      </w:r>
      <w:r>
        <w:rPr>
          <w:rFonts w:hint="eastAsia" w:ascii="Times New Roman" w:hAnsi="Times New Roman" w:eastAsia="仿宋_GB2312" w:cs="仿宋_GB2312"/>
          <w:color w:val="auto"/>
          <w:kern w:val="2"/>
          <w:sz w:val="32"/>
          <w:szCs w:val="32"/>
          <w:highlight w:val="none"/>
          <w:lang w:val="en-US" w:eastAsia="zh-CN" w:bidi="ar-SA"/>
        </w:rPr>
        <w:t>预算执行过程中，选取</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个项目开展绩效监控。</w:t>
      </w:r>
    </w:p>
    <w:p w14:paraId="77C0D370">
      <w:pPr>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组织对2024年度一般公共预算、政府性基金预算、国有资本经营预算、社会保险基金预算以及资本资产、债券资金等全面开展绩效自评，形成</w:t>
      </w:r>
      <w:r>
        <w:rPr>
          <w:rFonts w:hint="eastAsia" w:eastAsia="仿宋_GB2312" w:cs="仿宋_GB2312"/>
          <w:color w:val="auto"/>
          <w:kern w:val="2"/>
          <w:sz w:val="32"/>
          <w:szCs w:val="32"/>
          <w:highlight w:val="none"/>
          <w:lang w:val="en-US" w:eastAsia="zh-CN" w:bidi="ar-SA"/>
        </w:rPr>
        <w:t>松潘县发展和改革局</w:t>
      </w:r>
      <w:r>
        <w:rPr>
          <w:rFonts w:hint="eastAsia" w:ascii="Times New Roman" w:hAnsi="Times New Roman" w:eastAsia="仿宋_GB2312" w:cs="仿宋_GB2312"/>
          <w:color w:val="auto"/>
          <w:kern w:val="2"/>
          <w:sz w:val="32"/>
          <w:szCs w:val="32"/>
          <w:highlight w:val="none"/>
          <w:lang w:val="en-US" w:eastAsia="zh-CN" w:bidi="ar-SA"/>
        </w:rPr>
        <w:t>部门整体（含部门预算项目）绩效自评报告、</w:t>
      </w:r>
      <w:r>
        <w:rPr>
          <w:rFonts w:hint="eastAsia" w:ascii="仿宋_GB2312" w:hAnsi="仿宋_GB2312" w:eastAsia="仿宋_GB2312" w:cs="仿宋_GB2312"/>
          <w:sz w:val="32"/>
          <w:szCs w:val="32"/>
        </w:rPr>
        <w:t>旧堡子水电站退出补偿款</w:t>
      </w:r>
      <w:r>
        <w:rPr>
          <w:rFonts w:hint="eastAsia" w:ascii="Times New Roman" w:hAnsi="Times New Roman" w:eastAsia="仿宋_GB2312" w:cs="仿宋_GB2312"/>
          <w:color w:val="auto"/>
          <w:kern w:val="2"/>
          <w:sz w:val="32"/>
          <w:szCs w:val="32"/>
          <w:highlight w:val="none"/>
          <w:lang w:val="en-US" w:eastAsia="zh-CN" w:bidi="ar-SA"/>
        </w:rPr>
        <w:t>等专项预算项目绩效自评报告，其中，</w:t>
      </w:r>
      <w:r>
        <w:rPr>
          <w:rFonts w:hint="eastAsia" w:eastAsia="仿宋_GB2312" w:cs="仿宋_GB2312"/>
          <w:color w:val="auto"/>
          <w:kern w:val="2"/>
          <w:sz w:val="32"/>
          <w:szCs w:val="32"/>
          <w:highlight w:val="none"/>
          <w:lang w:val="en-US" w:eastAsia="zh-CN" w:bidi="ar-SA"/>
        </w:rPr>
        <w:t>松潘县发展和改革局</w:t>
      </w:r>
      <w:r>
        <w:rPr>
          <w:rFonts w:hint="eastAsia" w:ascii="Times New Roman" w:hAnsi="Times New Roman" w:eastAsia="仿宋_GB2312" w:cs="仿宋_GB2312"/>
          <w:color w:val="auto"/>
          <w:kern w:val="2"/>
          <w:sz w:val="32"/>
          <w:szCs w:val="32"/>
          <w:highlight w:val="none"/>
          <w:lang w:val="en-US" w:eastAsia="zh-CN" w:bidi="ar-SA"/>
        </w:rPr>
        <w:t>部门整体（含部门预算项目）绩效自评得分为</w:t>
      </w:r>
      <w:r>
        <w:rPr>
          <w:rFonts w:hint="eastAsia" w:eastAsia="仿宋_GB2312" w:cs="仿宋_GB2312"/>
          <w:color w:val="auto"/>
          <w:kern w:val="2"/>
          <w:sz w:val="32"/>
          <w:szCs w:val="32"/>
          <w:highlight w:val="none"/>
          <w:lang w:val="en-US" w:eastAsia="zh-CN" w:bidi="ar-SA"/>
        </w:rPr>
        <w:t>89</w:t>
      </w:r>
      <w:r>
        <w:rPr>
          <w:rFonts w:hint="eastAsia" w:ascii="Times New Roman" w:hAnsi="Times New Roman" w:eastAsia="仿宋_GB2312" w:cs="仿宋_GB2312"/>
          <w:color w:val="auto"/>
          <w:kern w:val="2"/>
          <w:sz w:val="32"/>
          <w:szCs w:val="32"/>
          <w:highlight w:val="none"/>
          <w:lang w:val="en-US" w:eastAsia="zh-CN" w:bidi="ar-SA"/>
        </w:rPr>
        <w:t>分，绩效自评综述</w:t>
      </w:r>
      <w:r>
        <w:rPr>
          <w:rFonts w:hint="eastAsia" w:eastAsia="仿宋_GB2312" w:cs="仿宋_GB2312"/>
          <w:color w:val="auto"/>
          <w:kern w:val="2"/>
          <w:sz w:val="32"/>
          <w:szCs w:val="32"/>
          <w:highlight w:val="none"/>
          <w:lang w:val="en-US" w:eastAsia="zh-CN" w:bidi="ar-SA"/>
        </w:rPr>
        <w:t>：2024</w:t>
      </w:r>
      <w:r>
        <w:rPr>
          <w:rFonts w:hint="eastAsia" w:ascii="仿宋" w:hAnsi="仿宋" w:eastAsia="仿宋" w:cs="仿宋"/>
          <w:color w:val="000000"/>
          <w:sz w:val="32"/>
          <w:szCs w:val="32"/>
        </w:rPr>
        <w:t>年我部门预算执行整体情况正常，按照各项工作有序开展的进度，财政资金收支情况同时也按进度执行</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旧堡子水电站退出补偿款</w:t>
      </w:r>
      <w:r>
        <w:rPr>
          <w:rFonts w:hint="eastAsia" w:ascii="Times New Roman" w:hAnsi="Times New Roman" w:eastAsia="仿宋_GB2312" w:cs="仿宋_GB2312"/>
          <w:color w:val="auto"/>
          <w:kern w:val="2"/>
          <w:sz w:val="32"/>
          <w:szCs w:val="32"/>
          <w:highlight w:val="none"/>
          <w:lang w:val="en-US" w:eastAsia="zh-CN" w:bidi="ar-SA"/>
        </w:rPr>
        <w:t>专项预算项目绩效自评得分为</w:t>
      </w:r>
      <w:r>
        <w:rPr>
          <w:rFonts w:hint="eastAsia" w:eastAsia="仿宋_GB2312" w:cs="仿宋_GB2312"/>
          <w:color w:val="auto"/>
          <w:kern w:val="2"/>
          <w:sz w:val="32"/>
          <w:szCs w:val="32"/>
          <w:highlight w:val="none"/>
          <w:lang w:val="en-US" w:eastAsia="zh-CN" w:bidi="ar-SA"/>
        </w:rPr>
        <w:t>89</w:t>
      </w:r>
      <w:r>
        <w:rPr>
          <w:rFonts w:hint="eastAsia" w:ascii="Times New Roman" w:hAnsi="Times New Roman" w:eastAsia="仿宋_GB2312" w:cs="仿宋_GB2312"/>
          <w:color w:val="auto"/>
          <w:kern w:val="2"/>
          <w:sz w:val="32"/>
          <w:szCs w:val="32"/>
          <w:highlight w:val="none"/>
          <w:lang w:val="en-US" w:eastAsia="zh-CN" w:bidi="ar-SA"/>
        </w:rPr>
        <w:t>分，绩效自评综述</w:t>
      </w:r>
      <w:r>
        <w:rPr>
          <w:rFonts w:hint="eastAsia" w:ascii="仿宋_GB2312" w:hAnsi="仿宋_GB2312" w:eastAsia="仿宋_GB2312" w:cs="仿宋_GB2312"/>
          <w:b w:val="0"/>
          <w:bCs w:val="0"/>
          <w:kern w:val="0"/>
          <w:position w:val="0"/>
          <w:sz w:val="32"/>
          <w:szCs w:val="32"/>
          <w:highlight w:val="none"/>
          <w:lang w:val="zh-CN" w:eastAsia="zh-CN" w:bidi="ar-SA"/>
        </w:rPr>
        <w:t>项目工程与计划申报和实际施工工程情况相符，切实有效</w:t>
      </w:r>
      <w:r>
        <w:rPr>
          <w:rFonts w:hint="eastAsia" w:ascii="Times New Roman" w:hAnsi="Times New Roman" w:eastAsia="仿宋_GB2312" w:cs="仿宋_GB2312"/>
          <w:color w:val="auto"/>
          <w:kern w:val="2"/>
          <w:sz w:val="32"/>
          <w:szCs w:val="32"/>
          <w:highlight w:val="none"/>
          <w:lang w:val="en-US" w:eastAsia="zh-CN" w:bidi="ar-SA"/>
        </w:rPr>
        <w:t>。绩效自评报告详见附件。</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如不涉及，可根据实际修改表述。）</w:t>
      </w:r>
    </w:p>
    <w:p w14:paraId="2D67C10B">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1F650F83">
      <w:pPr>
        <w:pStyle w:val="2"/>
        <w:rPr>
          <w:rFonts w:hint="eastAsia" w:ascii="Times New Roman" w:hAnsi="Times New Roman" w:eastAsia="仿宋_GB2312" w:cs="仿宋_GB2312"/>
          <w:color w:val="auto"/>
          <w:kern w:val="2"/>
          <w:sz w:val="32"/>
          <w:szCs w:val="32"/>
          <w:highlight w:val="none"/>
          <w:lang w:val="en-US" w:eastAsia="zh-CN" w:bidi="ar-SA"/>
        </w:rPr>
      </w:pPr>
    </w:p>
    <w:p w14:paraId="328D157B">
      <w:pPr>
        <w:rPr>
          <w:rFonts w:hint="eastAsia" w:ascii="Times New Roman" w:hAnsi="Times New Roman" w:eastAsia="仿宋_GB2312" w:cs="仿宋_GB2312"/>
          <w:color w:val="auto"/>
          <w:kern w:val="2"/>
          <w:sz w:val="32"/>
          <w:szCs w:val="32"/>
          <w:highlight w:val="none"/>
          <w:lang w:val="en-US" w:eastAsia="zh-CN" w:bidi="ar-SA"/>
        </w:rPr>
      </w:pPr>
    </w:p>
    <w:p w14:paraId="78CB8818">
      <w:pPr>
        <w:pStyle w:val="2"/>
        <w:rPr>
          <w:rFonts w:hint="eastAsia" w:ascii="Times New Roman" w:hAnsi="Times New Roman" w:eastAsia="仿宋_GB2312" w:cs="仿宋_GB2312"/>
          <w:color w:val="auto"/>
          <w:kern w:val="2"/>
          <w:sz w:val="32"/>
          <w:szCs w:val="32"/>
          <w:highlight w:val="none"/>
          <w:lang w:val="en-US" w:eastAsia="zh-CN" w:bidi="ar-SA"/>
        </w:rPr>
      </w:pPr>
    </w:p>
    <w:p w14:paraId="63FE0504">
      <w:pPr>
        <w:rPr>
          <w:rFonts w:hint="eastAsia" w:ascii="Times New Roman" w:hAnsi="Times New Roman" w:eastAsia="仿宋_GB2312" w:cs="仿宋_GB2312"/>
          <w:color w:val="auto"/>
          <w:kern w:val="2"/>
          <w:sz w:val="32"/>
          <w:szCs w:val="32"/>
          <w:highlight w:val="none"/>
          <w:lang w:val="en-US" w:eastAsia="zh-CN" w:bidi="ar-SA"/>
        </w:rPr>
      </w:pPr>
    </w:p>
    <w:p w14:paraId="387281B3">
      <w:pPr>
        <w:pStyle w:val="2"/>
        <w:rPr>
          <w:rFonts w:hint="eastAsia" w:ascii="Times New Roman" w:hAnsi="Times New Roman" w:eastAsia="仿宋_GB2312" w:cs="仿宋_GB2312"/>
          <w:color w:val="auto"/>
          <w:kern w:val="2"/>
          <w:sz w:val="32"/>
          <w:szCs w:val="32"/>
          <w:highlight w:val="none"/>
          <w:lang w:val="en-US" w:eastAsia="zh-CN" w:bidi="ar-SA"/>
        </w:rPr>
      </w:pPr>
    </w:p>
    <w:p w14:paraId="1BC44810">
      <w:pPr>
        <w:rPr>
          <w:rFonts w:hint="eastAsia" w:ascii="Times New Roman" w:hAnsi="Times New Roman" w:eastAsia="仿宋_GB2312" w:cs="仿宋_GB2312"/>
          <w:color w:val="auto"/>
          <w:kern w:val="2"/>
          <w:sz w:val="32"/>
          <w:szCs w:val="32"/>
          <w:highlight w:val="none"/>
          <w:lang w:val="en-US" w:eastAsia="zh-CN" w:bidi="ar-SA"/>
        </w:rPr>
      </w:pPr>
    </w:p>
    <w:p w14:paraId="20784A95">
      <w:pPr>
        <w:pStyle w:val="2"/>
        <w:rPr>
          <w:rFonts w:hint="eastAsia" w:ascii="Times New Roman" w:hAnsi="Times New Roman" w:eastAsia="仿宋_GB2312" w:cs="仿宋_GB2312"/>
          <w:color w:val="auto"/>
          <w:kern w:val="2"/>
          <w:sz w:val="32"/>
          <w:szCs w:val="32"/>
          <w:highlight w:val="none"/>
          <w:lang w:val="en-US" w:eastAsia="zh-CN" w:bidi="ar-SA"/>
        </w:rPr>
      </w:pPr>
    </w:p>
    <w:p w14:paraId="7E2A7C31">
      <w:pPr>
        <w:rPr>
          <w:rFonts w:hint="eastAsia" w:ascii="Times New Roman" w:hAnsi="Times New Roman" w:eastAsia="仿宋_GB2312" w:cs="仿宋_GB2312"/>
          <w:color w:val="auto"/>
          <w:kern w:val="2"/>
          <w:sz w:val="32"/>
          <w:szCs w:val="32"/>
          <w:highlight w:val="none"/>
          <w:lang w:val="en-US" w:eastAsia="zh-CN" w:bidi="ar-SA"/>
        </w:rPr>
      </w:pPr>
    </w:p>
    <w:p w14:paraId="1ADA85DD">
      <w:pPr>
        <w:pStyle w:val="2"/>
        <w:rPr>
          <w:rFonts w:hint="eastAsia" w:ascii="Times New Roman" w:hAnsi="Times New Roman" w:eastAsia="仿宋_GB2312" w:cs="仿宋_GB2312"/>
          <w:color w:val="auto"/>
          <w:kern w:val="2"/>
          <w:sz w:val="32"/>
          <w:szCs w:val="32"/>
          <w:highlight w:val="none"/>
          <w:lang w:val="en-US" w:eastAsia="zh-CN" w:bidi="ar-SA"/>
        </w:rPr>
      </w:pPr>
    </w:p>
    <w:p w14:paraId="71E283A7">
      <w:pPr>
        <w:rPr>
          <w:rFonts w:hint="eastAsia" w:ascii="Times New Roman" w:hAnsi="Times New Roman" w:eastAsia="仿宋_GB2312" w:cs="仿宋_GB2312"/>
          <w:color w:val="auto"/>
          <w:kern w:val="2"/>
          <w:sz w:val="32"/>
          <w:szCs w:val="32"/>
          <w:highlight w:val="none"/>
          <w:lang w:val="en-US" w:eastAsia="zh-CN" w:bidi="ar-SA"/>
        </w:rPr>
      </w:pPr>
    </w:p>
    <w:p w14:paraId="73A97F67">
      <w:pPr>
        <w:pStyle w:val="2"/>
        <w:rPr>
          <w:rFonts w:hint="eastAsia" w:ascii="Times New Roman" w:hAnsi="Times New Roman" w:eastAsia="仿宋_GB2312" w:cs="仿宋_GB2312"/>
          <w:color w:val="auto"/>
          <w:kern w:val="2"/>
          <w:sz w:val="32"/>
          <w:szCs w:val="32"/>
          <w:highlight w:val="none"/>
          <w:lang w:val="en-US" w:eastAsia="zh-CN" w:bidi="ar-SA"/>
        </w:rPr>
      </w:pPr>
    </w:p>
    <w:p w14:paraId="7698B66C">
      <w:pPr>
        <w:rPr>
          <w:rFonts w:hint="eastAsia" w:ascii="Times New Roman" w:hAnsi="Times New Roman" w:eastAsia="仿宋_GB2312" w:cs="仿宋_GB2312"/>
          <w:color w:val="auto"/>
          <w:kern w:val="2"/>
          <w:sz w:val="32"/>
          <w:szCs w:val="32"/>
          <w:highlight w:val="none"/>
          <w:lang w:val="en-US" w:eastAsia="zh-CN" w:bidi="ar-SA"/>
        </w:rPr>
      </w:pPr>
    </w:p>
    <w:p w14:paraId="620B396B">
      <w:pPr>
        <w:pStyle w:val="2"/>
        <w:rPr>
          <w:rFonts w:hint="eastAsia" w:ascii="Times New Roman" w:hAnsi="Times New Roman" w:eastAsia="仿宋_GB2312" w:cs="仿宋_GB2312"/>
          <w:color w:val="auto"/>
          <w:kern w:val="2"/>
          <w:sz w:val="32"/>
          <w:szCs w:val="32"/>
          <w:highlight w:val="none"/>
          <w:lang w:val="en-US" w:eastAsia="zh-CN" w:bidi="ar-SA"/>
        </w:rPr>
      </w:pPr>
    </w:p>
    <w:p w14:paraId="259B0A16">
      <w:pPr>
        <w:rPr>
          <w:rFonts w:hint="eastAsia" w:ascii="Times New Roman" w:hAnsi="Times New Roman" w:eastAsia="仿宋_GB2312" w:cs="仿宋_GB2312"/>
          <w:color w:val="auto"/>
          <w:kern w:val="2"/>
          <w:sz w:val="32"/>
          <w:szCs w:val="32"/>
          <w:highlight w:val="none"/>
          <w:lang w:val="en-US" w:eastAsia="zh-CN" w:bidi="ar-SA"/>
        </w:rPr>
      </w:pPr>
    </w:p>
    <w:p w14:paraId="2702ED26">
      <w:pPr>
        <w:pStyle w:val="2"/>
        <w:rPr>
          <w:rFonts w:hint="eastAsia"/>
          <w:lang w:val="en-US" w:eastAsia="zh-CN"/>
        </w:rPr>
      </w:pPr>
    </w:p>
    <w:p w14:paraId="7522F144">
      <w:pPr>
        <w:rPr>
          <w:rFonts w:hint="eastAsia"/>
          <w:lang w:val="en-US" w:eastAsia="zh-CN"/>
        </w:rPr>
      </w:pPr>
    </w:p>
    <w:p w14:paraId="1ADEEE43">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7" w:name="_Toc15396613"/>
      <w:bookmarkStart w:id="48"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7"/>
      <w:bookmarkEnd w:id="48"/>
    </w:p>
    <w:p w14:paraId="478131E6">
      <w:pPr>
        <w:spacing w:line="600" w:lineRule="exact"/>
        <w:jc w:val="left"/>
        <w:rPr>
          <w:rFonts w:ascii="Times New Roman" w:hAnsi="Times New Roman"/>
          <w:b/>
          <w:color w:val="auto"/>
          <w:sz w:val="44"/>
          <w:szCs w:val="44"/>
          <w:highlight w:val="none"/>
        </w:rPr>
      </w:pPr>
    </w:p>
    <w:p w14:paraId="3A5018D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3537F72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39C0A4D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4ABC195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744F22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730CDCA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797B197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16E5C80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7186AD9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05AD9B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1C74AEC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7CD4DAE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1848385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01C77F3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292D774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4092055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2785C9A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3FC3B88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0A01DF2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62F19B0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0840780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51FE171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43B5DBC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2BB274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3260D52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65FC68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37C442B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7878128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4</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299C1DA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2B2ED83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68B2479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54A0653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718CD3F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F40FE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32.……</w:t>
      </w:r>
    </w:p>
    <w:p w14:paraId="7DFCA9FD">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373FC857">
      <w:pPr>
        <w:numPr>
          <w:ilvl w:val="0"/>
          <w:numId w:val="4"/>
        </w:numPr>
        <w:spacing w:line="600" w:lineRule="exact"/>
        <w:jc w:val="center"/>
        <w:rPr>
          <w:rFonts w:hint="eastAsia" w:ascii="Times New Roman" w:hAnsi="Times New Roman" w:eastAsia="黑体"/>
          <w:color w:val="auto"/>
          <w:sz w:val="44"/>
          <w:szCs w:val="44"/>
          <w:highlight w:val="none"/>
        </w:rPr>
      </w:pPr>
      <w:bookmarkStart w:id="49"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50" w:name="_Toc15396614"/>
    </w:p>
    <w:p w14:paraId="1E2538A2">
      <w:pPr>
        <w:numPr>
          <w:ilvl w:val="0"/>
          <w:numId w:val="4"/>
        </w:numPr>
        <w:spacing w:line="600" w:lineRule="exact"/>
        <w:jc w:val="cente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 xml:space="preserve"> 附件</w:t>
      </w:r>
      <w:bookmarkEnd w:id="50"/>
    </w:p>
    <w:p w14:paraId="01067205">
      <w:pPr>
        <w:pStyle w:val="2"/>
        <w:rPr>
          <w:rFonts w:hint="eastAsia" w:ascii="Times New Roman" w:hAnsi="Times New Roman" w:eastAsia="黑体"/>
          <w:color w:val="auto"/>
          <w:sz w:val="44"/>
          <w:szCs w:val="44"/>
          <w:highlight w:val="none"/>
        </w:rPr>
      </w:pPr>
    </w:p>
    <w:p w14:paraId="1BFD37CC">
      <w:pPr>
        <w:rPr>
          <w:rFonts w:hint="eastAsia"/>
        </w:rPr>
      </w:pPr>
    </w:p>
    <w:p w14:paraId="3E67AC76">
      <w:pPr>
        <w:spacing w:line="600" w:lineRule="exact"/>
        <w:jc w:val="center"/>
        <w:outlineLvl w:val="0"/>
        <w:rPr>
          <w:rFonts w:hint="eastAsia" w:ascii="黑体" w:hAnsi="黑体" w:eastAsia="黑体"/>
          <w:color w:val="FF0000"/>
          <w:sz w:val="44"/>
          <w:szCs w:val="44"/>
          <w:highlight w:val="none"/>
        </w:rPr>
      </w:pPr>
      <w:r>
        <w:rPr>
          <w:rFonts w:hint="eastAsia" w:hAnsi="Times New Roman" w:cs="Times New Roman"/>
          <w:sz w:val="32"/>
          <w:szCs w:val="32"/>
          <w:highlight w:val="none"/>
          <w:lang w:val="en-US" w:eastAsia="zh-CN"/>
        </w:rPr>
        <w:t>部门预算项目支出绩效自评表（202</w:t>
      </w:r>
      <w:r>
        <w:rPr>
          <w:rFonts w:hint="eastAsia" w:cs="Times New Roman"/>
          <w:sz w:val="32"/>
          <w:szCs w:val="32"/>
          <w:highlight w:val="none"/>
          <w:lang w:val="en-US" w:eastAsia="zh-CN"/>
        </w:rPr>
        <w:t>4</w:t>
      </w:r>
      <w:r>
        <w:rPr>
          <w:rFonts w:hint="eastAsia" w:hAnsi="Times New Roman" w:cs="Times New Roman"/>
          <w:sz w:val="32"/>
          <w:szCs w:val="32"/>
          <w:highlight w:val="none"/>
          <w:lang w:val="en-US" w:eastAsia="zh-CN"/>
        </w:rPr>
        <w:t>年度）</w:t>
      </w:r>
    </w:p>
    <w:p w14:paraId="097A3501">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hAnsi="Times New Roman" w:cs="Times New Roman"/>
          <w:sz w:val="32"/>
          <w:szCs w:val="32"/>
          <w:highlight w:val="none"/>
          <w:lang w:val="en-US" w:eastAsia="zh-CN"/>
        </w:rPr>
      </w:pPr>
    </w:p>
    <w:p w14:paraId="7B9E3546">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Calibri" w:eastAsia="仿宋_GB2312" w:cs="仿宋"/>
          <w:color w:val="auto"/>
          <w:sz w:val="32"/>
          <w:szCs w:val="32"/>
          <w:highlight w:val="none"/>
          <w:lang w:val="zh-CN" w:eastAsia="zh-CN" w:bidi="ar-SA"/>
        </w:rPr>
      </w:pPr>
      <w:r>
        <w:rPr>
          <w:rFonts w:hint="eastAsia" w:ascii="仿宋_GB2312" w:hAnsi="Calibri" w:eastAsia="仿宋_GB2312" w:cs="仿宋"/>
          <w:color w:val="auto"/>
          <w:sz w:val="32"/>
          <w:szCs w:val="32"/>
          <w:highlight w:val="none"/>
          <w:lang w:val="en-US" w:eastAsia="zh-CN" w:bidi="ar-SA"/>
        </w:rPr>
        <w:t>（备注：按照绩效自评工作安排，各单位可在预算管理一体化系统—综合报表查询—预算绩效报表模块中下载本单位“部门预算项目支出绩效自评表</w:t>
      </w:r>
      <w:bookmarkStart w:id="65" w:name="_GoBack"/>
      <w:r>
        <w:rPr>
          <w:rFonts w:hint="eastAsia" w:ascii="仿宋_GB2312" w:hAnsi="Calibri" w:eastAsia="仿宋_GB2312" w:cs="仿宋"/>
          <w:color w:val="auto"/>
          <w:sz w:val="32"/>
          <w:szCs w:val="32"/>
          <w:highlight w:val="none"/>
          <w:lang w:val="en-US" w:eastAsia="zh-CN" w:bidi="ar-SA"/>
        </w:rPr>
        <w:t>（</w:t>
      </w:r>
      <w:bookmarkEnd w:id="65"/>
      <w:r>
        <w:rPr>
          <w:rFonts w:hint="eastAsia" w:ascii="仿宋_GB2312" w:hAnsi="Calibri" w:eastAsia="仿宋_GB2312" w:cs="仿宋"/>
          <w:color w:val="auto"/>
          <w:sz w:val="32"/>
          <w:szCs w:val="32"/>
          <w:highlight w:val="none"/>
          <w:lang w:val="en-US" w:eastAsia="zh-CN" w:bidi="ar-SA"/>
        </w:rPr>
        <w:t>202</w:t>
      </w:r>
      <w:r>
        <w:rPr>
          <w:rFonts w:hint="eastAsia" w:hAnsi="Calibri" w:eastAsia="仿宋_GB2312" w:cs="仿宋"/>
          <w:color w:val="auto"/>
          <w:sz w:val="32"/>
          <w:szCs w:val="32"/>
          <w:highlight w:val="none"/>
          <w:lang w:val="en-US" w:eastAsia="zh-CN" w:bidi="ar-SA"/>
        </w:rPr>
        <w:t>4</w:t>
      </w:r>
      <w:r>
        <w:rPr>
          <w:rFonts w:hint="eastAsia" w:ascii="仿宋_GB2312" w:hAnsi="Calibri" w:eastAsia="仿宋_GB2312" w:cs="仿宋"/>
          <w:color w:val="auto"/>
          <w:sz w:val="32"/>
          <w:szCs w:val="32"/>
          <w:highlight w:val="none"/>
          <w:lang w:val="en-US" w:eastAsia="zh-CN" w:bidi="ar-SA"/>
        </w:rPr>
        <w:t>年度）”，该表格应作为附件予以公开。）</w:t>
      </w:r>
    </w:p>
    <w:p w14:paraId="2E4EB8C7">
      <w:pPr>
        <w:pStyle w:val="2"/>
        <w:numPr>
          <w:ilvl w:val="0"/>
          <w:numId w:val="0"/>
        </w:numPr>
        <w:rPr>
          <w:rFonts w:hint="eastAsia"/>
          <w:lang w:eastAsia="zh-CN"/>
        </w:rPr>
      </w:pPr>
    </w:p>
    <w:p w14:paraId="3002C41F">
      <w:pPr>
        <w:rPr>
          <w:rFonts w:hint="eastAsia"/>
          <w:lang w:eastAsia="zh-CN"/>
        </w:rPr>
      </w:pPr>
    </w:p>
    <w:p w14:paraId="09877709">
      <w:pPr>
        <w:pStyle w:val="2"/>
        <w:rPr>
          <w:rFonts w:hint="eastAsia"/>
          <w:lang w:eastAsia="zh-CN"/>
        </w:rPr>
      </w:pPr>
    </w:p>
    <w:p w14:paraId="0C7B77D1">
      <w:pPr>
        <w:rPr>
          <w:rFonts w:hint="eastAsia"/>
          <w:lang w:eastAsia="zh-CN"/>
        </w:rPr>
      </w:pPr>
    </w:p>
    <w:p w14:paraId="2E168D40">
      <w:pPr>
        <w:pStyle w:val="2"/>
        <w:rPr>
          <w:rFonts w:hint="eastAsia"/>
          <w:lang w:eastAsia="zh-CN"/>
        </w:rPr>
      </w:pPr>
    </w:p>
    <w:p w14:paraId="07435739">
      <w:pPr>
        <w:rPr>
          <w:rFonts w:hint="eastAsia"/>
          <w:lang w:eastAsia="zh-CN"/>
        </w:rPr>
      </w:pPr>
    </w:p>
    <w:p w14:paraId="47077A05">
      <w:pPr>
        <w:pStyle w:val="2"/>
        <w:rPr>
          <w:rFonts w:hint="eastAsia"/>
          <w:lang w:eastAsia="zh-CN"/>
        </w:rPr>
      </w:pPr>
    </w:p>
    <w:p w14:paraId="02E91714">
      <w:pPr>
        <w:rPr>
          <w:rFonts w:hint="eastAsia"/>
          <w:lang w:eastAsia="zh-CN"/>
        </w:rPr>
      </w:pPr>
    </w:p>
    <w:p w14:paraId="403297C5">
      <w:pPr>
        <w:pStyle w:val="2"/>
        <w:rPr>
          <w:rFonts w:hint="eastAsia"/>
          <w:lang w:eastAsia="zh-CN"/>
        </w:rPr>
      </w:pPr>
    </w:p>
    <w:p w14:paraId="612BB840">
      <w:pPr>
        <w:rPr>
          <w:rFonts w:hint="eastAsia"/>
          <w:lang w:eastAsia="zh-CN"/>
        </w:rPr>
      </w:pPr>
    </w:p>
    <w:p w14:paraId="2776A60D">
      <w:pPr>
        <w:pStyle w:val="2"/>
        <w:rPr>
          <w:rFonts w:hint="eastAsia"/>
          <w:lang w:eastAsia="zh-CN"/>
        </w:rPr>
      </w:pPr>
    </w:p>
    <w:p w14:paraId="1EED3B99">
      <w:pPr>
        <w:rPr>
          <w:rFonts w:hint="eastAsia"/>
          <w:lang w:eastAsia="zh-CN"/>
        </w:rPr>
      </w:pPr>
    </w:p>
    <w:p w14:paraId="257FDF46">
      <w:pPr>
        <w:pStyle w:val="2"/>
        <w:rPr>
          <w:rFonts w:hint="eastAsia"/>
          <w:lang w:eastAsia="zh-CN"/>
        </w:rPr>
      </w:pPr>
    </w:p>
    <w:p w14:paraId="71B14835">
      <w:pPr>
        <w:rPr>
          <w:rFonts w:hint="eastAsia"/>
          <w:lang w:eastAsia="zh-CN"/>
        </w:rPr>
      </w:pPr>
    </w:p>
    <w:p w14:paraId="68577726">
      <w:pPr>
        <w:pStyle w:val="2"/>
        <w:rPr>
          <w:rFonts w:hint="eastAsia"/>
          <w:lang w:eastAsia="zh-CN"/>
        </w:rPr>
      </w:pPr>
    </w:p>
    <w:p w14:paraId="37E88943">
      <w:pPr>
        <w:rPr>
          <w:rFonts w:hint="eastAsia"/>
          <w:lang w:eastAsia="zh-CN"/>
        </w:rPr>
      </w:pPr>
    </w:p>
    <w:p w14:paraId="503270B2">
      <w:pPr>
        <w:pStyle w:val="2"/>
        <w:rPr>
          <w:rFonts w:hint="eastAsia"/>
          <w:lang w:eastAsia="zh-CN"/>
        </w:rPr>
      </w:pPr>
    </w:p>
    <w:p w14:paraId="3B56B864">
      <w:pPr>
        <w:rPr>
          <w:rFonts w:hint="eastAsia"/>
          <w:lang w:eastAsia="zh-CN"/>
        </w:rPr>
      </w:pPr>
    </w:p>
    <w:p w14:paraId="1A0462BF">
      <w:pPr>
        <w:pStyle w:val="2"/>
        <w:rPr>
          <w:rFonts w:hint="eastAsia"/>
          <w:lang w:eastAsia="zh-CN"/>
        </w:rPr>
      </w:pPr>
    </w:p>
    <w:p w14:paraId="54751FDF">
      <w:pPr>
        <w:rPr>
          <w:rFonts w:hint="eastAsia"/>
          <w:lang w:eastAsia="zh-CN"/>
        </w:rPr>
      </w:pPr>
    </w:p>
    <w:p w14:paraId="3A1DF477">
      <w:pPr>
        <w:pStyle w:val="2"/>
        <w:rPr>
          <w:rFonts w:hint="eastAsia"/>
          <w:lang w:eastAsia="zh-CN"/>
        </w:rPr>
      </w:pPr>
    </w:p>
    <w:p w14:paraId="476D556A">
      <w:pPr>
        <w:rPr>
          <w:rFonts w:hint="eastAsia"/>
          <w:lang w:eastAsia="zh-CN"/>
        </w:rPr>
      </w:pPr>
    </w:p>
    <w:p w14:paraId="005F65C8">
      <w:pPr>
        <w:widowControl/>
        <w:jc w:val="center"/>
        <w:rPr>
          <w:rFonts w:hint="eastAsia" w:ascii="Times New Roman" w:hAnsi="Times New Roman" w:eastAsia="仿宋"/>
          <w:b w:val="0"/>
          <w:color w:val="auto"/>
          <w:highlight w:val="none"/>
        </w:rPr>
      </w:pPr>
      <w:bookmarkStart w:id="51" w:name="_Toc15396618"/>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49"/>
      <w:bookmarkEnd w:id="51"/>
      <w:bookmarkStart w:id="52" w:name="_Toc15396619"/>
    </w:p>
    <w:p w14:paraId="44B0DBFC">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64ABA03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2"/>
    </w:p>
    <w:p w14:paraId="45761B1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0"/>
      <w:r>
        <w:rPr>
          <w:rFonts w:hint="eastAsia" w:ascii="Times New Roman" w:hAnsi="Times New Roman" w:eastAsia="仿宋_GB2312" w:cs="仿宋_GB2312"/>
          <w:color w:val="auto"/>
          <w:sz w:val="32"/>
          <w:szCs w:val="32"/>
          <w:highlight w:val="none"/>
        </w:rPr>
        <w:t>二、收入决算表</w:t>
      </w:r>
      <w:bookmarkEnd w:id="53"/>
    </w:p>
    <w:p w14:paraId="7ADD0C9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1"/>
      <w:r>
        <w:rPr>
          <w:rFonts w:hint="eastAsia" w:ascii="Times New Roman" w:hAnsi="Times New Roman" w:eastAsia="仿宋_GB2312" w:cs="仿宋_GB2312"/>
          <w:color w:val="auto"/>
          <w:sz w:val="32"/>
          <w:szCs w:val="32"/>
          <w:highlight w:val="none"/>
        </w:rPr>
        <w:t>三、支出决算表</w:t>
      </w:r>
      <w:bookmarkEnd w:id="54"/>
    </w:p>
    <w:p w14:paraId="4B0A390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2"/>
      <w:r>
        <w:rPr>
          <w:rFonts w:hint="eastAsia" w:ascii="Times New Roman" w:hAnsi="Times New Roman" w:eastAsia="仿宋_GB2312" w:cs="仿宋_GB2312"/>
          <w:color w:val="auto"/>
          <w:sz w:val="32"/>
          <w:szCs w:val="32"/>
          <w:highlight w:val="none"/>
        </w:rPr>
        <w:t>四、财政拨款收入支出决算总表</w:t>
      </w:r>
      <w:bookmarkEnd w:id="55"/>
    </w:p>
    <w:p w14:paraId="6A830AF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3"/>
      <w:r>
        <w:rPr>
          <w:rFonts w:hint="eastAsia" w:ascii="Times New Roman" w:hAnsi="Times New Roman" w:eastAsia="仿宋_GB2312" w:cs="仿宋_GB2312"/>
          <w:color w:val="auto"/>
          <w:sz w:val="32"/>
          <w:szCs w:val="32"/>
          <w:highlight w:val="none"/>
        </w:rPr>
        <w:t>五、财政拨款支出决算明细表</w:t>
      </w:r>
      <w:bookmarkEnd w:id="56"/>
      <w:bookmarkStart w:id="57" w:name="_Toc15396624"/>
    </w:p>
    <w:p w14:paraId="622ED9D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7"/>
    </w:p>
    <w:p w14:paraId="73C7903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5"/>
      <w:r>
        <w:rPr>
          <w:rFonts w:hint="eastAsia" w:ascii="Times New Roman" w:hAnsi="Times New Roman" w:eastAsia="仿宋_GB2312" w:cs="仿宋_GB2312"/>
          <w:color w:val="auto"/>
          <w:sz w:val="32"/>
          <w:szCs w:val="32"/>
          <w:highlight w:val="none"/>
        </w:rPr>
        <w:t>七、一般公共预算财政拨款支出决算明细表</w:t>
      </w:r>
      <w:bookmarkEnd w:id="58"/>
    </w:p>
    <w:p w14:paraId="46C79D2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6"/>
      <w:r>
        <w:rPr>
          <w:rFonts w:hint="eastAsia" w:ascii="Times New Roman" w:hAnsi="Times New Roman" w:eastAsia="仿宋_GB2312" w:cs="仿宋_GB2312"/>
          <w:color w:val="auto"/>
          <w:sz w:val="32"/>
          <w:szCs w:val="32"/>
          <w:highlight w:val="none"/>
        </w:rPr>
        <w:t>八、一般公共预算财政拨款基本支出决算表</w:t>
      </w:r>
      <w:bookmarkEnd w:id="59"/>
    </w:p>
    <w:p w14:paraId="29DF1DC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7"/>
      <w:r>
        <w:rPr>
          <w:rFonts w:hint="eastAsia" w:ascii="Times New Roman" w:hAnsi="Times New Roman" w:eastAsia="仿宋_GB2312" w:cs="仿宋_GB2312"/>
          <w:color w:val="auto"/>
          <w:sz w:val="32"/>
          <w:szCs w:val="32"/>
          <w:highlight w:val="none"/>
        </w:rPr>
        <w:t>九、一般公共预算财政拨款项目支出决算表</w:t>
      </w:r>
      <w:bookmarkEnd w:id="60"/>
    </w:p>
    <w:p w14:paraId="1524A2F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8"/>
      <w:r>
        <w:rPr>
          <w:rFonts w:hint="eastAsia" w:ascii="Times New Roman" w:hAnsi="Times New Roman" w:eastAsia="仿宋_GB2312" w:cs="仿宋_GB2312"/>
          <w:color w:val="auto"/>
          <w:sz w:val="32"/>
          <w:szCs w:val="32"/>
          <w:highlight w:val="none"/>
        </w:rPr>
        <w:t>十、</w:t>
      </w:r>
      <w:bookmarkEnd w:id="61"/>
      <w:r>
        <w:rPr>
          <w:rFonts w:hint="eastAsia" w:ascii="Times New Roman" w:hAnsi="Times New Roman" w:eastAsia="仿宋_GB2312" w:cs="仿宋_GB2312"/>
          <w:color w:val="auto"/>
          <w:sz w:val="32"/>
          <w:szCs w:val="32"/>
          <w:highlight w:val="none"/>
        </w:rPr>
        <w:t>政府性基金预算财政拨款收入支出决算表</w:t>
      </w:r>
    </w:p>
    <w:p w14:paraId="31C9DC1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2" w:name="_Toc15396629"/>
      <w:r>
        <w:rPr>
          <w:rFonts w:hint="eastAsia" w:ascii="Times New Roman" w:hAnsi="Times New Roman" w:eastAsia="仿宋_GB2312" w:cs="仿宋_GB2312"/>
          <w:color w:val="auto"/>
          <w:sz w:val="32"/>
          <w:szCs w:val="32"/>
          <w:highlight w:val="none"/>
        </w:rPr>
        <w:t>十一、</w:t>
      </w:r>
      <w:bookmarkEnd w:id="62"/>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02A6AB9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30"/>
      <w:r>
        <w:rPr>
          <w:rFonts w:hint="eastAsia" w:ascii="Times New Roman" w:hAnsi="Times New Roman" w:eastAsia="仿宋_GB2312" w:cs="仿宋_GB2312"/>
          <w:color w:val="auto"/>
          <w:sz w:val="32"/>
          <w:szCs w:val="32"/>
          <w:highlight w:val="none"/>
        </w:rPr>
        <w:t>十二、</w:t>
      </w:r>
      <w:bookmarkEnd w:id="63"/>
      <w:r>
        <w:rPr>
          <w:rFonts w:hint="eastAsia" w:ascii="Times New Roman" w:hAnsi="Times New Roman" w:eastAsia="仿宋_GB2312" w:cs="仿宋_GB2312"/>
          <w:color w:val="auto"/>
          <w:sz w:val="32"/>
          <w:szCs w:val="32"/>
          <w:highlight w:val="none"/>
          <w:lang w:eastAsia="zh-CN"/>
        </w:rPr>
        <w:t>国有资本经营预算财政拨款支出决算表</w:t>
      </w:r>
    </w:p>
    <w:p w14:paraId="37A2569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4" w:name="_Toc15396631"/>
      <w:r>
        <w:rPr>
          <w:rFonts w:hint="eastAsia" w:ascii="Times New Roman" w:hAnsi="Times New Roman" w:eastAsia="仿宋_GB2312" w:cs="仿宋_GB2312"/>
          <w:color w:val="auto"/>
          <w:sz w:val="32"/>
          <w:szCs w:val="32"/>
          <w:highlight w:val="none"/>
        </w:rPr>
        <w:t>十三、</w:t>
      </w:r>
      <w:bookmarkEnd w:id="64"/>
      <w:r>
        <w:rPr>
          <w:rFonts w:hint="eastAsia" w:ascii="Times New Roman" w:hAnsi="Times New Roman" w:eastAsia="仿宋_GB2312" w:cs="仿宋_GB2312"/>
          <w:color w:val="auto"/>
          <w:sz w:val="32"/>
          <w:szCs w:val="32"/>
          <w:highlight w:val="none"/>
          <w:lang w:eastAsia="zh-CN"/>
        </w:rPr>
        <w:t>财政拨款“三公”经费支出决算表</w:t>
      </w:r>
    </w:p>
    <w:p w14:paraId="5B733399">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9F6C9C-008B-4798-851B-7B7C9E3DB1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6BA6EA1-85CE-45AF-B7E4-21E515FE1282}"/>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148C588D-BE97-48F7-AC1F-14C3DF149DB7}"/>
  </w:font>
  <w:font w:name="仿宋">
    <w:panose1 w:val="02010609060101010101"/>
    <w:charset w:val="86"/>
    <w:family w:val="modern"/>
    <w:pitch w:val="default"/>
    <w:sig w:usb0="800002BF" w:usb1="38CF7CFA" w:usb2="00000016" w:usb3="00000000" w:csb0="00040001" w:csb1="00000000"/>
    <w:embedRegular r:id="rId4" w:fontKey="{06C5A5EB-F980-4C09-A00C-930230BDDC11}"/>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0010101010101"/>
    <w:charset w:val="86"/>
    <w:family w:val="script"/>
    <w:pitch w:val="default"/>
    <w:sig w:usb0="00000001" w:usb1="080E0000" w:usb2="00000000" w:usb3="00000000" w:csb0="00040000" w:csb1="00000000"/>
    <w:embedRegular r:id="rId5" w:fontKey="{6833548A-8F43-464F-B5A5-510B3DE33178}"/>
  </w:font>
  <w:font w:name="楷体_GB2312">
    <w:panose1 w:val="02010609030101010101"/>
    <w:charset w:val="86"/>
    <w:family w:val="auto"/>
    <w:pitch w:val="default"/>
    <w:sig w:usb0="00000001" w:usb1="080E0000" w:usb2="00000000" w:usb3="00000000" w:csb0="00040000" w:csb1="00000000"/>
    <w:embedRegular r:id="rId6" w:fontKey="{24F4A1E9-1EB6-462E-B3FF-7C77AAC3945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94A7E">
    <w:pPr>
      <w:pStyle w:val="10"/>
      <w:jc w:val="center"/>
    </w:pPr>
  </w:p>
  <w:p w14:paraId="29A5435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D2F5F">
    <w:pPr>
      <w:pStyle w:val="10"/>
      <w:jc w:val="center"/>
    </w:pPr>
  </w:p>
  <w:p w14:paraId="6DC9BC6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99DA">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643AE">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4E179E"/>
    <w:multiLevelType w:val="singleLevel"/>
    <w:tmpl w:val="9A4E179E"/>
    <w:lvl w:ilvl="0" w:tentative="0">
      <w:start w:val="1"/>
      <w:numFmt w:val="decimal"/>
      <w:lvlText w:val="%1."/>
      <w:lvlJc w:val="left"/>
      <w:pPr>
        <w:tabs>
          <w:tab w:val="left" w:pos="312"/>
        </w:tabs>
      </w:pPr>
    </w:lvl>
  </w:abstractNum>
  <w:abstractNum w:abstractNumId="1">
    <w:nsid w:val="E4D0333B"/>
    <w:multiLevelType w:val="singleLevel"/>
    <w:tmpl w:val="E4D0333B"/>
    <w:lvl w:ilvl="0" w:tentative="0">
      <w:start w:val="1"/>
      <w:numFmt w:val="chineseCounting"/>
      <w:suff w:val="nothing"/>
      <w:lvlText w:val="%1、"/>
      <w:lvlJc w:val="left"/>
      <w:rPr>
        <w:rFonts w:hint="eastAsia"/>
      </w:rPr>
    </w:lvl>
  </w:abstractNum>
  <w:abstractNum w:abstractNumId="2">
    <w:nsid w:val="E9BB8D80"/>
    <w:multiLevelType w:val="singleLevel"/>
    <w:tmpl w:val="E9BB8D80"/>
    <w:lvl w:ilvl="0" w:tentative="0">
      <w:start w:val="1"/>
      <w:numFmt w:val="decimal"/>
      <w:lvlText w:val="%1."/>
      <w:lvlJc w:val="left"/>
      <w:pPr>
        <w:tabs>
          <w:tab w:val="left" w:pos="312"/>
        </w:tabs>
      </w:pPr>
    </w:lvl>
  </w:abstractNum>
  <w:abstractNum w:abstractNumId="3">
    <w:nsid w:val="702C8263"/>
    <w:multiLevelType w:val="singleLevel"/>
    <w:tmpl w:val="702C8263"/>
    <w:lvl w:ilvl="0" w:tentative="0">
      <w:start w:val="4"/>
      <w:numFmt w:val="chineseCounting"/>
      <w:suff w:val="space"/>
      <w:lvlText w:val="第%1部分"/>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7996F6E"/>
    <w:rsid w:val="07DFD8BA"/>
    <w:rsid w:val="0964405F"/>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584257A"/>
    <w:rsid w:val="165E0673"/>
    <w:rsid w:val="16B831D5"/>
    <w:rsid w:val="16BB723D"/>
    <w:rsid w:val="17E50567"/>
    <w:rsid w:val="186504BB"/>
    <w:rsid w:val="19A445FC"/>
    <w:rsid w:val="1BE8440E"/>
    <w:rsid w:val="1D155CEE"/>
    <w:rsid w:val="1D1638FE"/>
    <w:rsid w:val="1E312DEB"/>
    <w:rsid w:val="1E740ACF"/>
    <w:rsid w:val="1FF35744"/>
    <w:rsid w:val="1FF6BC77"/>
    <w:rsid w:val="2186353C"/>
    <w:rsid w:val="23860B96"/>
    <w:rsid w:val="23D81E02"/>
    <w:rsid w:val="240371BF"/>
    <w:rsid w:val="244F3473"/>
    <w:rsid w:val="248F6BD1"/>
    <w:rsid w:val="24C97D99"/>
    <w:rsid w:val="25A718F0"/>
    <w:rsid w:val="25BB59F6"/>
    <w:rsid w:val="260F557C"/>
    <w:rsid w:val="26970054"/>
    <w:rsid w:val="281408E2"/>
    <w:rsid w:val="28854BC0"/>
    <w:rsid w:val="29FD04D3"/>
    <w:rsid w:val="2AB75886"/>
    <w:rsid w:val="2BFF7BC6"/>
    <w:rsid w:val="2C8A61B5"/>
    <w:rsid w:val="2DF04E50"/>
    <w:rsid w:val="2E586DFA"/>
    <w:rsid w:val="2E5E7D17"/>
    <w:rsid w:val="2F040D46"/>
    <w:rsid w:val="2F6B035B"/>
    <w:rsid w:val="2FAE5751"/>
    <w:rsid w:val="2FB1A395"/>
    <w:rsid w:val="2FD9A7D8"/>
    <w:rsid w:val="2FDBF714"/>
    <w:rsid w:val="30AB6865"/>
    <w:rsid w:val="319F7F4E"/>
    <w:rsid w:val="326A0F5D"/>
    <w:rsid w:val="32BD1EF1"/>
    <w:rsid w:val="3304709D"/>
    <w:rsid w:val="33A773CB"/>
    <w:rsid w:val="349D6851"/>
    <w:rsid w:val="36AA5135"/>
    <w:rsid w:val="36AB328C"/>
    <w:rsid w:val="36BE0DA7"/>
    <w:rsid w:val="370A0934"/>
    <w:rsid w:val="376B6AA6"/>
    <w:rsid w:val="376D39B2"/>
    <w:rsid w:val="37E16F03"/>
    <w:rsid w:val="37F53A3B"/>
    <w:rsid w:val="389B6C89"/>
    <w:rsid w:val="38D469F0"/>
    <w:rsid w:val="39627CCD"/>
    <w:rsid w:val="397BAF1F"/>
    <w:rsid w:val="39E30ACA"/>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1F94D80"/>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37E6D0A"/>
    <w:rsid w:val="53F74C96"/>
    <w:rsid w:val="54843939"/>
    <w:rsid w:val="55170BA8"/>
    <w:rsid w:val="553218C9"/>
    <w:rsid w:val="567E1AA5"/>
    <w:rsid w:val="56E47B74"/>
    <w:rsid w:val="57175D52"/>
    <w:rsid w:val="57BD3DD4"/>
    <w:rsid w:val="58AE1877"/>
    <w:rsid w:val="5AF92295"/>
    <w:rsid w:val="5B250254"/>
    <w:rsid w:val="5BDD79E6"/>
    <w:rsid w:val="5BF561CA"/>
    <w:rsid w:val="5BFF5DFC"/>
    <w:rsid w:val="5C5B1215"/>
    <w:rsid w:val="5CD71FC4"/>
    <w:rsid w:val="5D1F11B5"/>
    <w:rsid w:val="5D695134"/>
    <w:rsid w:val="5DAE1B18"/>
    <w:rsid w:val="5DC60467"/>
    <w:rsid w:val="5DE7D9E5"/>
    <w:rsid w:val="5ECEC941"/>
    <w:rsid w:val="5FBF9FF3"/>
    <w:rsid w:val="5FCD4E2C"/>
    <w:rsid w:val="5FEF394A"/>
    <w:rsid w:val="5FF67715"/>
    <w:rsid w:val="62BF3928"/>
    <w:rsid w:val="63B3701E"/>
    <w:rsid w:val="63E0179C"/>
    <w:rsid w:val="647F5392"/>
    <w:rsid w:val="65E66580"/>
    <w:rsid w:val="664B1D71"/>
    <w:rsid w:val="664B4E8E"/>
    <w:rsid w:val="67277B67"/>
    <w:rsid w:val="67AA3209"/>
    <w:rsid w:val="698D0931"/>
    <w:rsid w:val="6A7FE5F3"/>
    <w:rsid w:val="6B053271"/>
    <w:rsid w:val="6BDD78B3"/>
    <w:rsid w:val="6C4A05C8"/>
    <w:rsid w:val="6C8742B8"/>
    <w:rsid w:val="6DBF5E93"/>
    <w:rsid w:val="6DEB00EB"/>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AF78D7"/>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7"/>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3"/>
    <w:semiHidden/>
    <w:unhideWhenUsed/>
    <w:qFormat/>
    <w:uiPriority w:val="99"/>
    <w:rPr>
      <w:sz w:val="18"/>
      <w:szCs w:val="18"/>
    </w:rPr>
  </w:style>
  <w:style w:type="paragraph" w:styleId="10">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Normal (Web)"/>
    <w:basedOn w:val="1"/>
    <w:next w:val="1"/>
    <w:qFormat/>
    <w:uiPriority w:val="0"/>
    <w:pPr>
      <w:spacing w:before="100" w:beforeAutospacing="1" w:after="100" w:afterAutospacing="1"/>
      <w:ind w:left="0" w:right="0"/>
      <w:jc w:val="left"/>
    </w:pPr>
    <w:rPr>
      <w:kern w:val="0"/>
      <w:sz w:val="24"/>
      <w:lang w:val="en-US" w:eastAsia="zh-CN" w:bidi="ar"/>
    </w:r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Char"/>
    <w:link w:val="11"/>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Char"/>
    <w:link w:val="10"/>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Char"/>
    <w:link w:val="7"/>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8"/>
    <w:link w:val="4"/>
    <w:qFormat/>
    <w:uiPriority w:val="9"/>
    <w:rPr>
      <w:rFonts w:ascii="Times New Roman" w:hAnsi="Times New Roman"/>
      <w:b/>
      <w:bCs/>
      <w:kern w:val="44"/>
      <w:sz w:val="44"/>
      <w:szCs w:val="44"/>
    </w:rPr>
  </w:style>
  <w:style w:type="character" w:customStyle="1" w:styleId="31">
    <w:name w:val="标题 2 Char"/>
    <w:basedOn w:val="18"/>
    <w:link w:val="5"/>
    <w:qFormat/>
    <w:uiPriority w:val="9"/>
    <w:rPr>
      <w:rFonts w:asciiTheme="majorHAnsi" w:hAnsiTheme="majorHAnsi" w:eastAsiaTheme="majorEastAsia" w:cstheme="majorBidi"/>
      <w:b/>
      <w:bCs/>
      <w:kern w:val="2"/>
      <w:sz w:val="32"/>
      <w:szCs w:val="32"/>
    </w:rPr>
  </w:style>
  <w:style w:type="paragraph" w:customStyle="1" w:styleId="32">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8"/>
    <w:link w:val="9"/>
    <w:semiHidden/>
    <w:qFormat/>
    <w:uiPriority w:val="99"/>
    <w:rPr>
      <w:rFonts w:ascii="Times New Roman" w:hAnsi="Times New Roman"/>
      <w:kern w:val="2"/>
      <w:sz w:val="18"/>
      <w:szCs w:val="18"/>
    </w:rPr>
  </w:style>
  <w:style w:type="character" w:customStyle="1" w:styleId="34">
    <w:name w:val="标题 3 Char"/>
    <w:basedOn w:val="18"/>
    <w:link w:val="6"/>
    <w:qFormat/>
    <w:uiPriority w:val="9"/>
    <w:rPr>
      <w:rFonts w:ascii="Times New Roman" w:hAnsi="Times New Roman"/>
      <w:b/>
      <w:bCs/>
      <w:kern w:val="2"/>
      <w:sz w:val="32"/>
      <w:szCs w:val="32"/>
    </w:rPr>
  </w:style>
  <w:style w:type="paragraph" w:customStyle="1" w:styleId="35">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30</Pages>
  <Words>13278</Words>
  <Characters>13810</Characters>
  <Lines>61</Lines>
  <Paragraphs>17</Paragraphs>
  <TotalTime>0</TotalTime>
  <ScaleCrop>false</ScaleCrop>
  <LinksUpToDate>false</LinksUpToDate>
  <CharactersWithSpaces>13872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奕夕^_^</cp:lastModifiedBy>
  <cp:lastPrinted>2025-08-06T17:34:00Z</cp:lastPrinted>
  <dcterms:modified xsi:type="dcterms:W3CDTF">2025-10-16T01:18:31Z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04787F2533EB45DC91BCDE4AB213247F</vt:lpwstr>
  </property>
  <property fmtid="{D5CDD505-2E9C-101B-9397-08002B2CF9AE}" pid="4" name="KSOTemplateDocerSaveRecord">
    <vt:lpwstr>eyJoZGlkIjoiNTU1MWNhN2ZmY2ZhZmY3ODhlYTg0MWU5OGMyY2QwZmUiLCJ1c2VySWQiOiI0MzQ2NTM0NzEifQ==</vt:lpwstr>
  </property>
</Properties>
</file>