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sz w:val="72"/>
          <w:szCs w:val="72"/>
        </w:rPr>
        <w:t>202</w:t>
      </w:r>
      <w:r>
        <w:rPr>
          <w:rFonts w:hint="default" w:ascii="黑体" w:hAnsi="黑体" w:eastAsia="黑体"/>
          <w:sz w:val="72"/>
          <w:szCs w:val="72"/>
          <w:lang w:val="en-US"/>
        </w:rPr>
        <w:t>2</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lang w:val="en-US" w:eastAsia="zh-CN"/>
        </w:rPr>
      </w:pPr>
      <w:bookmarkStart w:id="6" w:name="_Toc15377426"/>
      <w:bookmarkStart w:id="7" w:name="_Toc15378442"/>
      <w:bookmarkStart w:id="8" w:name="_Toc15396476"/>
      <w:bookmarkStart w:id="9" w:name="_Toc15377194"/>
      <w:bookmarkStart w:id="10" w:name="_Toc15396598"/>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lang w:eastAsia="zh-CN"/>
        </w:rPr>
        <w:t>团委</w:t>
      </w: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eastAsia="zh-CN"/>
        </w:rPr>
        <w:t>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6"/>
        <w:tabs>
          <w:tab w:val="center" w:pos="4212"/>
          <w:tab w:val="left" w:pos="6547"/>
        </w:tabs>
        <w:jc w:val="left"/>
        <w:rPr>
          <w:rFonts w:hint="eastAsia" w:hAnsiTheme="minorHAnsi" w:eastAsiaTheme="minorHAnsi"/>
          <w:b w:val="0"/>
          <w:bCs w:val="0"/>
          <w:sz w:val="24"/>
          <w:szCs w:val="24"/>
          <w:lang w:eastAsia="zh-CN"/>
        </w:rPr>
      </w:pPr>
      <w:r>
        <w:rPr>
          <w:rFonts w:hint="eastAsia" w:hAnsiTheme="minorHAnsi"/>
          <w:b w:val="0"/>
          <w:bCs w:val="0"/>
          <w:sz w:val="24"/>
          <w:szCs w:val="24"/>
          <w:lang w:eastAsia="zh-CN"/>
        </w:rPr>
        <w:tab/>
      </w: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5</w:t>
      </w:r>
      <w:r>
        <w:rPr>
          <w:rFonts w:hint="eastAsia" w:hAnsiTheme="minorHAnsi"/>
          <w:b w:val="0"/>
          <w:bCs w:val="0"/>
          <w:sz w:val="24"/>
          <w:szCs w:val="24"/>
        </w:rPr>
        <w:t>日</w:t>
      </w:r>
      <w:r>
        <w:rPr>
          <w:rFonts w:hint="eastAsia" w:hAnsiTheme="minorHAnsi"/>
          <w:b w:val="0"/>
          <w:bCs w:val="0"/>
          <w:sz w:val="24"/>
          <w:szCs w:val="24"/>
          <w:lang w:eastAsia="zh-CN"/>
        </w:rPr>
        <w:tab/>
      </w:r>
    </w:p>
    <w:p>
      <w:pPr>
        <w:pStyle w:val="16"/>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rPr>
          <w:b/>
        </w:rPr>
        <w:t>错误！未定义书签。</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Cs/>
          <w:color w:val="000000"/>
        </w:rPr>
        <w:t>（二）202</w:t>
      </w:r>
      <w:r>
        <w:rPr>
          <w:rFonts w:hint="eastAsia" w:ascii="仿宋" w:hAnsi="仿宋" w:eastAsia="仿宋"/>
          <w:bCs/>
          <w:color w:val="000000"/>
          <w:lang w:val="en-US" w:eastAsia="zh-CN"/>
        </w:rPr>
        <w:t>1</w:t>
      </w:r>
      <w:r>
        <w:rPr>
          <w:rFonts w:ascii="仿宋" w:hAnsi="仿宋" w:eastAsia="仿宋"/>
          <w:bCs/>
          <w:color w:val="000000"/>
        </w:rPr>
        <w:t>年重点工作完成情况。</w:t>
      </w:r>
      <w:r>
        <w:tab/>
      </w:r>
      <w:r>
        <w:fldChar w:fldCharType="begin"/>
      </w:r>
      <w:r>
        <w:instrText xml:space="preserve"> PAGEREF _Toc79163854 \h </w:instrText>
      </w:r>
      <w:r>
        <w:fldChar w:fldCharType="separate"/>
      </w:r>
      <w:r>
        <w:t>5</w:t>
      </w:r>
      <w:r>
        <w:fldChar w:fldCharType="end"/>
      </w:r>
    </w:p>
    <w:p>
      <w:pPr>
        <w:pStyle w:val="19"/>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8</w:t>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fldChar w:fldCharType="begin"/>
      </w:r>
      <w:r>
        <w:instrText xml:space="preserve"> PAGEREF _Toc79163859 \h </w:instrText>
      </w:r>
      <w:r>
        <w:fldChar w:fldCharType="separate"/>
      </w:r>
      <w:r>
        <w:t>8</w:t>
      </w:r>
      <w:r>
        <w:fldChar w:fldCharType="end"/>
      </w:r>
    </w:p>
    <w:p>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10</w:t>
      </w:r>
      <w:r>
        <w:fldChar w:fldCharType="end"/>
      </w:r>
    </w:p>
    <w:p>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11</w:t>
      </w:r>
      <w:r>
        <w:fldChar w:fldCharType="end"/>
      </w:r>
    </w:p>
    <w:p>
      <w:pPr>
        <w:pStyle w:val="19"/>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12</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12</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13</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13</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13</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14</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15</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15</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16</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16</w:t>
      </w:r>
      <w:r>
        <w:fldChar w:fldCharType="end"/>
      </w:r>
    </w:p>
    <w:p>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16</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16</w:t>
      </w:r>
      <w:r>
        <w:fldChar w:fldCharType="end"/>
      </w:r>
    </w:p>
    <w:p>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16</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16</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17</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17</w:t>
      </w:r>
      <w:r>
        <w:fldChar w:fldCharType="end"/>
      </w:r>
    </w:p>
    <w:p>
      <w:pPr>
        <w:pStyle w:val="11"/>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17</w:t>
      </w:r>
      <w:r>
        <w:fldChar w:fldCharType="end"/>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19</w:t>
      </w:r>
      <w:r>
        <w:fldChar w:fldCharType="end"/>
      </w:r>
    </w:p>
    <w:p>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24</w:t>
      </w:r>
    </w:p>
    <w:p>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24</w:t>
      </w:r>
    </w:p>
    <w:p>
      <w:pPr>
        <w:pStyle w:val="16"/>
        <w:tabs>
          <w:tab w:val="right" w:leader="dot" w:pos="8296"/>
        </w:tabs>
        <w:rPr>
          <w:rFonts w:hint="eastAsia"/>
          <w:lang w:val="en-US" w:eastAsia="zh-CN"/>
        </w:rPr>
      </w:pPr>
      <w:r>
        <w:rPr>
          <w:rFonts w:hint="eastAsia" w:ascii="方正小标宋简体" w:hAnsi="黑体" w:eastAsia="方正小标宋简体" w:cs="黑体"/>
          <w:lang w:eastAsia="zh-CN"/>
        </w:rPr>
        <w:t>共青团松潘县委</w:t>
      </w:r>
      <w:r>
        <w:rPr>
          <w:rFonts w:ascii="方正小标宋简体" w:hAnsi="黑体" w:eastAsia="方正小标宋简体" w:cs="黑体"/>
        </w:rPr>
        <w:t>202</w:t>
      </w:r>
      <w:r>
        <w:rPr>
          <w:rFonts w:hint="eastAsia" w:ascii="方正小标宋简体" w:hAnsi="黑体" w:eastAsia="方正小标宋简体" w:cs="黑体"/>
          <w:lang w:val="en-US" w:eastAsia="zh-CN"/>
        </w:rPr>
        <w:t>1</w:t>
      </w:r>
      <w:r>
        <w:rPr>
          <w:rFonts w:ascii="方正小标宋简体" w:hAnsi="黑体" w:eastAsia="方正小标宋简体" w:cs="黑体"/>
        </w:rPr>
        <w:t>年部门整体支出绩效评价报告</w:t>
      </w:r>
      <w:r>
        <w:tab/>
      </w:r>
      <w:r>
        <w:rPr>
          <w:rFonts w:hint="eastAsia"/>
          <w:lang w:val="en-US" w:eastAsia="zh-CN"/>
        </w:rPr>
        <w:t>24</w:t>
      </w:r>
    </w:p>
    <w:p>
      <w:pPr>
        <w:pStyle w:val="16"/>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22</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27</w:t>
      </w:r>
      <w:r>
        <w:fldChar w:fldCharType="end"/>
      </w:r>
    </w:p>
    <w:p>
      <w:pPr>
        <w:pStyle w:val="19"/>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27</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 w:hAnsi="仿宋" w:eastAsia="仿宋"/>
          <w:bCs/>
          <w:color w:val="000000"/>
          <w:sz w:val="32"/>
          <w:szCs w:val="32"/>
        </w:rPr>
      </w:pPr>
      <w:bookmarkStart w:id="16" w:name="_Toc79163852"/>
      <w:bookmarkStart w:id="17" w:name="_Toc15396600"/>
      <w:bookmarkStart w:id="18" w:name="_Toc79163602"/>
      <w:bookmarkStart w:id="19" w:name="_Toc15377197"/>
      <w:r>
        <w:rPr>
          <w:rFonts w:hint="eastAsia" w:ascii="黑体" w:hAnsi="黑体" w:eastAsia="黑体"/>
          <w:b w:val="0"/>
          <w:color w:val="000000"/>
          <w:lang w:eastAsia="zh-CN"/>
        </w:rPr>
        <w:t>一、</w:t>
      </w:r>
      <w:r>
        <w:rPr>
          <w:rFonts w:hint="eastAsia" w:ascii="黑体" w:hAnsi="黑体" w:eastAsia="黑体"/>
          <w:b w:val="0"/>
          <w:color w:val="000000"/>
        </w:rPr>
        <w:t>基</w:t>
      </w:r>
      <w:r>
        <w:rPr>
          <w:rStyle w:val="27"/>
          <w:rFonts w:hint="eastAsia" w:ascii="黑体" w:hAnsi="黑体" w:eastAsia="黑体"/>
          <w:b w:val="0"/>
          <w:bCs w:val="0"/>
        </w:rPr>
        <w:t>本职能及主要工作</w:t>
      </w:r>
      <w:bookmarkEnd w:id="16"/>
      <w:bookmarkEnd w:id="17"/>
      <w:bookmarkEnd w:id="18"/>
      <w:bookmarkEnd w:id="19"/>
      <w:bookmarkStart w:id="20" w:name="_Toc15377199"/>
      <w:bookmarkStart w:id="21" w:name="_Toc79163604"/>
      <w:bookmarkStart w:id="22" w:name="_Toc79163854"/>
      <w:bookmarkStart w:id="23" w:name="_Toc15378446"/>
    </w:p>
    <w:p>
      <w:pPr>
        <w:pStyle w:val="4"/>
        <w:pageBreakBefore w:val="0"/>
        <w:widowControl w:val="0"/>
        <w:numPr>
          <w:ilvl w:val="0"/>
          <w:numId w:val="0"/>
        </w:numPr>
        <w:kinsoku/>
        <w:wordWrap/>
        <w:overflowPunct/>
        <w:topLinePunct w:val="0"/>
        <w:autoSpaceDE/>
        <w:autoSpaceDN/>
        <w:bidi w:val="0"/>
        <w:spacing w:line="578" w:lineRule="exact"/>
        <w:ind w:firstLine="321" w:firstLineChars="100"/>
        <w:textAlignment w:val="auto"/>
        <w:rPr>
          <w:rFonts w:hint="eastAsia" w:ascii="仿宋" w:hAnsi="仿宋" w:eastAsia="仿宋"/>
          <w:bCs/>
          <w:color w:val="000000"/>
          <w:sz w:val="32"/>
          <w:szCs w:val="32"/>
        </w:rPr>
      </w:pPr>
      <w:r>
        <w:rPr>
          <w:rFonts w:hint="eastAsia" w:ascii="仿宋" w:hAnsi="仿宋" w:eastAsia="仿宋"/>
          <w:bCs/>
          <w:color w:val="000000"/>
          <w:sz w:val="32"/>
          <w:szCs w:val="32"/>
        </w:rPr>
        <w:t>（一）主要职能</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default" w:ascii="仿宋_GB2312" w:eastAsia="仿宋_GB2312"/>
          <w:sz w:val="32"/>
          <w:szCs w:val="32"/>
        </w:rPr>
        <w:t>共青团是党领导的</w:t>
      </w:r>
      <w:r>
        <w:rPr>
          <w:rFonts w:hint="eastAsia" w:ascii="仿宋_GB2312" w:eastAsia="仿宋_GB2312"/>
          <w:sz w:val="32"/>
          <w:szCs w:val="32"/>
          <w:lang w:eastAsia="zh-CN"/>
        </w:rPr>
        <w:t>先进青年的群团组织</w:t>
      </w:r>
      <w:r>
        <w:rPr>
          <w:rFonts w:hint="default" w:ascii="仿宋_GB2312" w:eastAsia="仿宋_GB2312"/>
          <w:sz w:val="32"/>
          <w:szCs w:val="32"/>
        </w:rPr>
        <w:t>，是党联系青年的桥梁和纽带，</w:t>
      </w:r>
      <w:r>
        <w:rPr>
          <w:rFonts w:hint="eastAsia" w:ascii="仿宋_GB2312" w:eastAsia="仿宋_GB2312"/>
          <w:sz w:val="32"/>
          <w:szCs w:val="32"/>
          <w:lang w:eastAsia="zh-CN"/>
        </w:rPr>
        <w:t>是党的助手和后备军。</w:t>
      </w:r>
      <w:r>
        <w:rPr>
          <w:rFonts w:hint="eastAsia" w:ascii="仿宋_GB2312" w:eastAsia="仿宋_GB2312"/>
          <w:sz w:val="32"/>
          <w:szCs w:val="32"/>
        </w:rPr>
        <w:t>团县委是县委领导下的负责全县青少年工作的群众团体，其主要</w:t>
      </w:r>
      <w:r>
        <w:rPr>
          <w:rFonts w:hint="eastAsia" w:ascii="仿宋_GB2312" w:eastAsia="仿宋_GB2312"/>
          <w:sz w:val="32"/>
          <w:szCs w:val="32"/>
          <w:lang w:eastAsia="zh-CN"/>
        </w:rPr>
        <w:t>职责</w:t>
      </w:r>
      <w:r>
        <w:rPr>
          <w:rFonts w:hint="eastAsia" w:ascii="仿宋_GB2312" w:eastAsia="仿宋_GB2312"/>
          <w:sz w:val="32"/>
          <w:szCs w:val="32"/>
        </w:rPr>
        <w:t>是：</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贯彻执行党和国家有关方针、政策、</w:t>
      </w:r>
      <w:r>
        <w:rPr>
          <w:rFonts w:hint="eastAsia" w:ascii="仿宋_GB2312" w:eastAsia="仿宋_GB2312"/>
          <w:sz w:val="32"/>
          <w:szCs w:val="32"/>
          <w:lang w:eastAsia="zh-CN"/>
        </w:rPr>
        <w:t>法律法规</w:t>
      </w:r>
      <w:r>
        <w:rPr>
          <w:rFonts w:hint="eastAsia" w:ascii="仿宋_GB2312" w:eastAsia="仿宋_GB2312"/>
          <w:sz w:val="32"/>
          <w:szCs w:val="32"/>
        </w:rPr>
        <w:t>；</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贯彻执行县委和上级团委的工作部署，制定并推动实施我县共青团发展战略、长远发展规划和改革的总体规划及配套措施，指导各级团组织开展工作；</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帮助团员青年学习文化知识，对团员青年进行共产主义理想信念教育，向党组织推荐优秀团员入党，为党和政府推荐各类优秀青年人才；</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组织团员、青少年开展有益身心健康的文化娱乐和服务于社会的志愿者活动，指导和帮助各级团组织建立青少年活动阵地和青少年服务机构；</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向党和政府反映团员青少年的意见和要求，协同有关部门宣传青年工作法规，组织团员青少年开展社会监督，同各种危害青少年的现象作斗争，维护青少年的合法权益；</w:t>
      </w:r>
    </w:p>
    <w:p>
      <w:pPr>
        <w:pageBreakBefore w:val="0"/>
        <w:widowControl w:val="0"/>
        <w:kinsoku/>
        <w:wordWrap/>
        <w:overflowPunct/>
        <w:topLinePunct w:val="0"/>
        <w:autoSpaceDE/>
        <w:autoSpaceDN/>
        <w:bidi w:val="0"/>
        <w:spacing w:line="578" w:lineRule="exact"/>
        <w:ind w:firstLine="627" w:firstLineChars="196"/>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受县委委托领导全县少先队工作；</w:t>
      </w:r>
    </w:p>
    <w:p>
      <w:pPr>
        <w:pStyle w:val="7"/>
        <w:pageBreakBefore w:val="0"/>
        <w:widowControl w:val="0"/>
        <w:kinsoku/>
        <w:wordWrap/>
        <w:overflowPunct/>
        <w:topLinePunct w:val="0"/>
        <w:autoSpaceDE/>
        <w:autoSpaceDN/>
        <w:bidi w:val="0"/>
        <w:adjustRightInd w:val="0"/>
        <w:snapToGrid w:val="0"/>
        <w:spacing w:before="93" w:line="578" w:lineRule="exact"/>
        <w:ind w:firstLine="672" w:firstLineChars="210"/>
        <w:textAlignment w:val="auto"/>
        <w:outlineLvl w:val="2"/>
        <w:rPr>
          <w:rFonts w:hint="eastAsia" w:ascii="仿宋_GB2312" w:eastAsia="仿宋_GB2312"/>
          <w:sz w:val="32"/>
          <w:szCs w:val="32"/>
        </w:rPr>
      </w:pPr>
      <w:r>
        <w:rPr>
          <w:rFonts w:hint="eastAsia"/>
          <w:sz w:val="32"/>
          <w:szCs w:val="32"/>
          <w:lang w:val="en-US" w:eastAsia="zh-CN"/>
        </w:rPr>
        <w:t>7.</w:t>
      </w:r>
      <w:r>
        <w:rPr>
          <w:rFonts w:hint="eastAsia" w:ascii="仿宋_GB2312" w:eastAsia="仿宋_GB2312"/>
          <w:sz w:val="32"/>
          <w:szCs w:val="32"/>
        </w:rPr>
        <w:t>完成县委、县政府和上级团委交办</w:t>
      </w:r>
      <w:r>
        <w:rPr>
          <w:rFonts w:hint="eastAsia"/>
          <w:sz w:val="32"/>
          <w:szCs w:val="32"/>
          <w:lang w:eastAsia="zh-CN"/>
        </w:rPr>
        <w:t>的其他</w:t>
      </w:r>
      <w:r>
        <w:rPr>
          <w:rFonts w:hint="eastAsia" w:ascii="仿宋_GB2312" w:eastAsia="仿宋_GB2312"/>
          <w:sz w:val="32"/>
          <w:szCs w:val="32"/>
        </w:rPr>
        <w:t>任务。</w:t>
      </w:r>
    </w:p>
    <w:p>
      <w:pPr>
        <w:pStyle w:val="7"/>
        <w:pageBreakBefore w:val="0"/>
        <w:widowControl w:val="0"/>
        <w:kinsoku/>
        <w:wordWrap/>
        <w:overflowPunct/>
        <w:topLinePunct w:val="0"/>
        <w:autoSpaceDE/>
        <w:autoSpaceDN/>
        <w:bidi w:val="0"/>
        <w:adjustRightInd w:val="0"/>
        <w:snapToGrid w:val="0"/>
        <w:spacing w:before="93" w:line="578" w:lineRule="exact"/>
        <w:ind w:firstLine="675" w:firstLineChars="210"/>
        <w:textAlignment w:val="auto"/>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（二）202</w:t>
      </w:r>
      <w:r>
        <w:rPr>
          <w:rFonts w:hint="eastAsia" w:ascii="楷体_GB2312" w:hAnsi="楷体_GB2312" w:eastAsia="楷体_GB2312" w:cs="楷体_GB2312"/>
          <w:b/>
          <w:bCs w:val="0"/>
          <w:color w:val="000000"/>
          <w:sz w:val="32"/>
          <w:szCs w:val="32"/>
          <w:lang w:val="en-US" w:eastAsia="zh-CN"/>
        </w:rPr>
        <w:t>2</w:t>
      </w:r>
      <w:r>
        <w:rPr>
          <w:rFonts w:hint="eastAsia" w:ascii="楷体_GB2312" w:hAnsi="楷体_GB2312" w:eastAsia="楷体_GB2312" w:cs="楷体_GB2312"/>
          <w:b/>
          <w:bCs w:val="0"/>
          <w:color w:val="000000"/>
          <w:sz w:val="32"/>
          <w:szCs w:val="32"/>
        </w:rPr>
        <w:t>年重点工作完成情况。</w:t>
      </w:r>
      <w:bookmarkEnd w:id="20"/>
      <w:bookmarkEnd w:id="21"/>
      <w:bookmarkEnd w:id="22"/>
      <w:bookmarkEnd w:id="23"/>
    </w:p>
    <w:p>
      <w:pPr>
        <w:pStyle w:val="9"/>
        <w:spacing w:after="0" w:line="576" w:lineRule="exact"/>
        <w:ind w:left="0" w:leftChars="0" w:firstLine="640"/>
        <w:rPr>
          <w:rFonts w:ascii="Times New Roman" w:hAnsi="Times New Roman" w:eastAsia="仿宋_GB2312" w:cs="Times New Roman"/>
          <w:sz w:val="32"/>
          <w:szCs w:val="32"/>
        </w:rPr>
      </w:pPr>
      <w:bookmarkStart w:id="24" w:name="_Toc15377200"/>
      <w:bookmarkStart w:id="25" w:name="_Toc79163605"/>
      <w:bookmarkStart w:id="26" w:name="_Toc15396601"/>
      <w:bookmarkStart w:id="27" w:name="_Toc79163855"/>
      <w:r>
        <w:rPr>
          <w:rFonts w:ascii="Times New Roman" w:hAnsi="Times New Roman" w:eastAsia="仿宋_GB2312" w:cs="Times New Roman"/>
          <w:sz w:val="32"/>
          <w:szCs w:val="32"/>
        </w:rPr>
        <w:t>2022年，共青团松潘县委员会在中共松潘县委的坚强领导和团州委的指导下，坚决拥护“两个确立”、坚定践行“两个维护”，紧扣县委中心工作，充分发挥党的助手作用，凝聚青年、服务大局、从严治团，较好地完成了各项工作任务。</w:t>
      </w:r>
    </w:p>
    <w:p>
      <w:pPr>
        <w:numPr>
          <w:ilvl w:val="0"/>
          <w:numId w:val="1"/>
        </w:numPr>
        <w:adjustRightInd w:val="0"/>
        <w:snapToGrid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坚持真学实做，青少年思政工作引领有“深度”</w:t>
      </w:r>
    </w:p>
    <w:p>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始终牢记“为党育人，为国育才”的责任使命，坚持以习近平新时代中国特色社会主义思想为引领，助力青少年成长成才。</w:t>
      </w:r>
    </w:p>
    <w:p>
      <w:pPr>
        <w:adjustRightInd w:val="0"/>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第一，深入实施党史学习教育。</w:t>
      </w:r>
      <w:r>
        <w:rPr>
          <w:rFonts w:ascii="Times New Roman" w:hAnsi="Times New Roman" w:eastAsia="仿宋_GB2312" w:cs="Times New Roman"/>
          <w:sz w:val="32"/>
          <w:szCs w:val="32"/>
        </w:rPr>
        <w:t>深化“</w:t>
      </w:r>
      <w:r>
        <w:rPr>
          <w:rFonts w:hint="eastAsia" w:eastAsia="仿宋_GB2312" w:cs="Times New Roman"/>
          <w:sz w:val="32"/>
          <w:szCs w:val="32"/>
          <w:lang w:eastAsia="zh-CN"/>
        </w:rPr>
        <w:t>不忘初心、牢记使</w:t>
      </w:r>
      <w:r>
        <w:rPr>
          <w:rFonts w:ascii="Times New Roman" w:hAnsi="Times New Roman" w:eastAsia="仿宋_GB2312" w:cs="Times New Roman"/>
          <w:sz w:val="32"/>
          <w:szCs w:val="32"/>
        </w:rPr>
        <w:t>命”主题教育成果，注重学用结合，学以致用，突出“线上+线下”学习方式，在青少年中开展</w:t>
      </w:r>
      <w:r>
        <w:rPr>
          <w:rFonts w:hint="eastAsia" w:eastAsia="仿宋_GB2312" w:cs="Times New Roman"/>
          <w:sz w:val="32"/>
          <w:szCs w:val="32"/>
          <w:lang w:eastAsia="zh-CN"/>
        </w:rPr>
        <w:t>“学党史、强信念、跟党走”主题学习教育</w:t>
      </w:r>
      <w:r>
        <w:rPr>
          <w:rFonts w:ascii="Times New Roman" w:hAnsi="Times New Roman" w:eastAsia="仿宋_GB2312" w:cs="Times New Roman"/>
          <w:sz w:val="32"/>
          <w:szCs w:val="32"/>
        </w:rPr>
        <w:t>，结合青年讲师团和新媒体宣传，坚持党史学习教育融入日常，开展校园巡回宣讲6余场次，集中宣讲</w:t>
      </w:r>
      <w:r>
        <w:rPr>
          <w:rFonts w:hint="eastAsia" w:eastAsia="仿宋_GB2312" w:cs="Times New Roman"/>
          <w:sz w:val="32"/>
          <w:szCs w:val="32"/>
          <w:lang w:eastAsia="zh-CN"/>
        </w:rPr>
        <w:t>15次</w:t>
      </w:r>
      <w:r>
        <w:rPr>
          <w:rFonts w:ascii="Times New Roman" w:hAnsi="Times New Roman" w:eastAsia="仿宋_GB2312" w:cs="Times New Roman"/>
          <w:sz w:val="32"/>
          <w:szCs w:val="32"/>
        </w:rPr>
        <w:t>，覆盖青少年5000余人次。</w:t>
      </w:r>
    </w:p>
    <w:p>
      <w:pPr>
        <w:adjustRightInd w:val="0"/>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第二，常态化开展主题团、队课学习教育。</w:t>
      </w:r>
      <w:r>
        <w:rPr>
          <w:rFonts w:ascii="Times New Roman" w:hAnsi="Times New Roman" w:eastAsia="仿宋_GB2312" w:cs="Times New Roman"/>
          <w:sz w:val="32"/>
          <w:szCs w:val="32"/>
        </w:rPr>
        <w:t>充分发挥学校教育主阵地作用，组织全县7000余名团员、少先队员常态化开展“青年大学习”“红领巾学党史”线上教学活动；探索推出“实景讲堂”+“现场教学”模式，先后组织全县1000余名中小学校师生，参观、瞻仰红军长征纪念碑碑园、毛儿盖会议会址、沙窝会议会址、塔坪山战斗遗址及灾后重建展览馆，积极开展“缅怀革命先烈·践初心”教育主题活动。</w:t>
      </w:r>
    </w:p>
    <w:p>
      <w:pPr>
        <w:adjustRightInd w:val="0"/>
        <w:snapToGrid w:val="0"/>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第三，助推党、团、队育人链条有效衔接。</w:t>
      </w:r>
      <w:r>
        <w:rPr>
          <w:rFonts w:ascii="Times New Roman" w:hAnsi="Times New Roman" w:eastAsia="仿宋_GB2312" w:cs="Times New Roman"/>
          <w:sz w:val="32"/>
          <w:szCs w:val="32"/>
        </w:rPr>
        <w:t>立足为党育人和为国育才的工作宗旨，广泛开展精品</w:t>
      </w:r>
      <w:r>
        <w:rPr>
          <w:rFonts w:hint="eastAsia" w:eastAsia="仿宋_GB2312" w:cs="Times New Roman"/>
          <w:sz w:val="32"/>
          <w:szCs w:val="32"/>
          <w:lang w:eastAsia="zh-CN"/>
        </w:rPr>
        <w:t>主题教育</w:t>
      </w:r>
      <w:r>
        <w:rPr>
          <w:rFonts w:ascii="Times New Roman" w:hAnsi="Times New Roman" w:eastAsia="仿宋_GB2312" w:cs="Times New Roman"/>
          <w:sz w:val="32"/>
          <w:szCs w:val="32"/>
        </w:rPr>
        <w:t>，强化教育实效。注重“实践研学”线下育人途径，充分利用红军长征纪念碑碑园、毛儿盖会议遗址等红色文化资源，开展以“喜迎二十大、永远跟党走、奋进新征程”为主题的社会实践夏令营、青年运动史教育等大型系列活动3次，累计覆盖全县基层团干、优秀基层团员、学校团员、少先队员400余人次。</w:t>
      </w:r>
    </w:p>
    <w:p>
      <w:pPr>
        <w:adjustRightInd w:val="0"/>
        <w:snapToGrid w:val="0"/>
        <w:spacing w:line="576" w:lineRule="exact"/>
        <w:ind w:left="420" w:left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（二）坚持聚焦聚力，助力青年发展有“温度”</w:t>
      </w:r>
    </w:p>
    <w:p>
      <w:pPr>
        <w:pStyle w:val="2"/>
        <w:spacing w:line="576" w:lineRule="exact"/>
        <w:rPr>
          <w:rFonts w:eastAsia="仿宋_GB2312" w:cs="Times New Roman"/>
          <w:szCs w:val="32"/>
        </w:rPr>
      </w:pPr>
      <w:r>
        <w:rPr>
          <w:rFonts w:eastAsia="仿宋_GB2312" w:cs="Times New Roman"/>
          <w:szCs w:val="32"/>
        </w:rPr>
        <w:t>始终坚持“关心青年，聚力青年，服务青年”的工作导向，筹措各类资源、倾斜工作重点至青年，助力青年发展。</w:t>
      </w:r>
    </w:p>
    <w:p>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第一，精准服务青年求学需求。</w:t>
      </w:r>
      <w:r>
        <w:rPr>
          <w:rFonts w:ascii="Times New Roman" w:hAnsi="Times New Roman" w:eastAsia="仿宋_GB2312" w:cs="Times New Roman"/>
          <w:sz w:val="32"/>
          <w:szCs w:val="32"/>
        </w:rPr>
        <w:t>实施开展“希望工程 1+1幻方助学金”“‘我要上大学’‘四川银行业慈善基金’四川烟草诚至诚”“中国茅台 希望工程”“浙江温州求是助学金”等公益助学项目，服务青少年学生共199人，资助金额共32.9万元。</w:t>
      </w:r>
    </w:p>
    <w:p>
      <w:pPr>
        <w:pStyle w:val="2"/>
        <w:spacing w:line="576" w:lineRule="exact"/>
        <w:ind w:firstLine="643"/>
        <w:rPr>
          <w:rFonts w:eastAsia="仿宋_GB2312" w:cs="Times New Roman"/>
          <w:b/>
          <w:bCs/>
          <w:szCs w:val="32"/>
        </w:rPr>
      </w:pPr>
      <w:r>
        <w:rPr>
          <w:rFonts w:eastAsia="仿宋_GB2312" w:cs="Times New Roman"/>
          <w:b/>
          <w:bCs/>
          <w:szCs w:val="32"/>
        </w:rPr>
        <w:t>第二，组织开展“青廉护航”系列工程。</w:t>
      </w:r>
      <w:r>
        <w:rPr>
          <w:rFonts w:eastAsia="仿宋_GB2312" w:cs="Times New Roman"/>
          <w:szCs w:val="32"/>
        </w:rPr>
        <w:t>按照全面开展、上下联动、务求实效的工作要求，在全县团系统中围绕年轻干部如何增强理想信念、严守规矩底线、提高政治站位和政治觉悟等扎实开展“青廉说”宣讲会、“话廉洁”座谈会、“廉洁”故事分享会、读书会、“青廉三句半”“青年交友联谊”等各项主题教育活动共26场次，累计覆盖全县团系统青年干部、西部计划志愿者、基层团干部等青年干部700余人次。</w:t>
      </w:r>
    </w:p>
    <w:p>
      <w:pPr>
        <w:pStyle w:val="2"/>
        <w:spacing w:line="576" w:lineRule="exact"/>
        <w:ind w:firstLine="643"/>
        <w:rPr>
          <w:rFonts w:eastAsia="仿宋_GB2312" w:cs="Times New Roman"/>
        </w:rPr>
      </w:pPr>
      <w:r>
        <w:rPr>
          <w:rFonts w:eastAsia="仿宋_GB2312" w:cs="Times New Roman"/>
          <w:b/>
          <w:bCs/>
          <w:szCs w:val="32"/>
        </w:rPr>
        <w:t>第三，从严落实中长期青年发展规划2022年重点工作。</w:t>
      </w:r>
      <w:r>
        <w:rPr>
          <w:rFonts w:eastAsia="仿宋_GB2312" w:cs="Times New Roman"/>
          <w:szCs w:val="32"/>
        </w:rPr>
        <w:t>召开青年工作联席会议第四次全体会议暨工作推进会，通过了《松潘县贯彻落实〈四川省中长期青年发展规划（2017—2025年）〉2022年重点工作清单》《</w:t>
      </w:r>
      <w:r>
        <w:rPr>
          <w:rFonts w:eastAsia="仿宋_GB2312" w:cs="Times New Roman"/>
          <w:szCs w:val="32"/>
          <w:lang w:val="zh-TW"/>
        </w:rPr>
        <w:t>松潘县贯彻落实〈四川省中长期青年发展规划（</w:t>
      </w:r>
      <w:r>
        <w:rPr>
          <w:rFonts w:eastAsia="仿宋_GB2312" w:cs="Times New Roman"/>
          <w:szCs w:val="32"/>
        </w:rPr>
        <w:t>2017—2025年</w:t>
      </w:r>
      <w:r>
        <w:rPr>
          <w:rFonts w:eastAsia="仿宋_GB2312" w:cs="Times New Roman"/>
          <w:szCs w:val="32"/>
          <w:lang w:val="zh-TW"/>
        </w:rPr>
        <w:t>）〉工作联席会议年度述职制度</w:t>
      </w:r>
      <w:r>
        <w:rPr>
          <w:rFonts w:eastAsia="仿宋_GB2312" w:cs="Times New Roman"/>
          <w:szCs w:val="32"/>
        </w:rPr>
        <w:t>》等四项制度，从青年思想道德、青年健康、青年创业等12个方面124个子项开展青年工作，为下一步我县推动青年工作有序推进提供遵循和支撑。</w:t>
      </w:r>
    </w:p>
    <w:p>
      <w:pPr>
        <w:adjustRightInd w:val="0"/>
        <w:snapToGrid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w:t>
      </w:r>
      <w:r>
        <w:rPr>
          <w:rFonts w:hint="eastAsia" w:eastAsia="楷体_GB2312" w:cs="Times New Roman"/>
          <w:b/>
          <w:bCs/>
          <w:sz w:val="32"/>
          <w:szCs w:val="32"/>
          <w:lang w:eastAsia="zh-CN"/>
        </w:rPr>
        <w:t>坚持守正创新</w:t>
      </w:r>
      <w:r>
        <w:rPr>
          <w:rFonts w:ascii="Times New Roman" w:hAnsi="Times New Roman" w:eastAsia="楷体_GB2312" w:cs="Times New Roman"/>
          <w:b/>
          <w:bCs/>
          <w:sz w:val="32"/>
          <w:szCs w:val="32"/>
        </w:rPr>
        <w:t>，基层团组织工作建设有“力度”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始终坚持“用力在基层、落实靠基层”的工作导向，树立“大抓基层、抓大基层”的理念，全面筑牢团的基层基础。</w:t>
      </w:r>
    </w:p>
    <w:p>
      <w:pPr>
        <w:spacing w:line="576"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第一，聚焦学校领域巩固基层基础。</w:t>
      </w:r>
      <w:r>
        <w:rPr>
          <w:rFonts w:ascii="Times New Roman" w:hAnsi="Times New Roman" w:eastAsia="仿宋_GB2312" w:cs="Times New Roman"/>
          <w:sz w:val="32"/>
          <w:szCs w:val="32"/>
        </w:rPr>
        <w:t>严格落实团员发展规划和发展细则，控制数量、提高质量，严格入团政治标准，抓好中学团员发展工作，2022年上半年新发展团员120余名；进一步规范做好团籍管理、团费收缴、组织关系转接等基础性工作，切实做好“团队衔接”，积极履行“全团带队”职责，严格落实推优入团工作程序，重点抓好少先队员团前教育和仪式教育。</w:t>
      </w:r>
    </w:p>
    <w:p>
      <w:pPr>
        <w:pStyle w:val="2"/>
        <w:spacing w:line="576" w:lineRule="exact"/>
        <w:ind w:firstLine="643"/>
        <w:rPr>
          <w:rFonts w:eastAsia="仿宋_GB2312" w:cs="Times New Roman"/>
          <w:szCs w:val="32"/>
        </w:rPr>
      </w:pPr>
      <w:r>
        <w:rPr>
          <w:rFonts w:eastAsia="仿宋_GB2312" w:cs="Times New Roman"/>
          <w:b/>
          <w:bCs/>
          <w:szCs w:val="32"/>
        </w:rPr>
        <w:t>第二，加强团干部能力作风建设。</w:t>
      </w:r>
      <w:r>
        <w:rPr>
          <w:rFonts w:eastAsia="仿宋_GB2312" w:cs="Times New Roman"/>
          <w:szCs w:val="32"/>
        </w:rPr>
        <w:t>在全县各级团组织开展四比四抓四促进专项行动。围绕比思想找差距，促进政治素养大提升；比情怀抓服务，促进工作水平大提升；比担当抓实干，促进工作作风大提升；比修为抓示范，促进队伍形象大提升，从7月起至10月，通过开展1次大学习、1次大讨论、1次“大反思”等，促进全县各级团组织干部作风能力提升，目前针对团组织细化措施工作清单12条，团干部自查问题工作清单60余条。并逐项整改，显著提升各基层团干部政治素养、工作水平、队伍形象。</w:t>
      </w:r>
    </w:p>
    <w:p>
      <w:pPr>
        <w:pStyle w:val="7"/>
        <w:spacing w:line="576" w:lineRule="exact"/>
        <w:ind w:firstLine="643" w:firstLineChars="200"/>
        <w:rPr>
          <w:rFonts w:ascii="Times New Roman" w:hAnsi="Times New Roman" w:eastAsia="仿宋_GB2312" w:cs="Times New Roman"/>
          <w:sz w:val="32"/>
          <w:szCs w:val="32"/>
          <w:u w:val="single"/>
          <w:lang w:val="en-US" w:bidi="ar-SA"/>
        </w:rPr>
      </w:pPr>
      <w:r>
        <w:rPr>
          <w:rFonts w:ascii="Times New Roman" w:hAnsi="Times New Roman" w:eastAsia="仿宋_GB2312" w:cs="Times New Roman"/>
          <w:b/>
          <w:bCs/>
          <w:sz w:val="32"/>
          <w:szCs w:val="32"/>
          <w:lang w:val="en-US" w:bidi="ar-SA"/>
        </w:rPr>
        <w:t>第三，开展县域共青团基层组织改革相关工作。</w:t>
      </w:r>
      <w:r>
        <w:rPr>
          <w:rFonts w:ascii="Times New Roman" w:hAnsi="Times New Roman" w:eastAsia="仿宋_GB2312" w:cs="Times New Roman"/>
          <w:sz w:val="32"/>
          <w:szCs w:val="32"/>
          <w:lang w:val="en-US" w:bidi="ar-SA"/>
        </w:rPr>
        <w:t>按照团中央、团省委县域共青团基层组织改革试点安排部署会议精神，深入进安镇、川主寺镇、青云镇等13个乡镇及辖区内中小学校，开展县域共青团基层组织改革前期摸底工作，收集困难问题24条，拟定措施20条，优化基层团组织各类台账4本，做到了底数清、情况明、措施实。下一步待省、州具体方案下发后</w:t>
      </w:r>
      <w:r>
        <w:rPr>
          <w:rFonts w:hint="eastAsia" w:ascii="Times New Roman" w:cs="Times New Roman"/>
          <w:sz w:val="32"/>
          <w:szCs w:val="32"/>
          <w:lang w:val="en-US" w:eastAsia="zh-CN" w:bidi="ar-SA"/>
        </w:rPr>
        <w:t>赓即</w:t>
      </w:r>
      <w:r>
        <w:rPr>
          <w:rFonts w:ascii="Times New Roman" w:hAnsi="Times New Roman" w:eastAsia="仿宋_GB2312" w:cs="Times New Roman"/>
          <w:sz w:val="32"/>
          <w:szCs w:val="32"/>
          <w:lang w:val="en-US" w:bidi="ar-SA"/>
        </w:rPr>
        <w:t>拟订《松潘县共青团基层组织改革工作方案》。</w:t>
      </w:r>
    </w:p>
    <w:p>
      <w:pPr>
        <w:adjustRightInd w:val="0"/>
        <w:snapToGrid w:val="0"/>
        <w:spacing w:line="576"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（四）坚持用心用情，青年志愿服务工作有“广度”</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始终弘扬“奉献、友爱、互助、进步”的志愿精神，持续擦亮志愿服务“青”字招牌项目，引导团员青年积极投身于美丽新松潘建设。</w:t>
      </w:r>
    </w:p>
    <w:p>
      <w:pPr>
        <w:pStyle w:val="2"/>
        <w:spacing w:line="576" w:lineRule="exact"/>
        <w:ind w:firstLine="643"/>
        <w:rPr>
          <w:rFonts w:eastAsia="仿宋_GB2312" w:cs="Times New Roman"/>
          <w:color w:val="000000"/>
          <w:spacing w:val="8"/>
          <w:szCs w:val="32"/>
          <w:shd w:val="clear" w:color="auto" w:fill="FFFFFF"/>
        </w:rPr>
      </w:pPr>
      <w:r>
        <w:rPr>
          <w:rFonts w:eastAsia="仿宋_GB2312" w:cs="Times New Roman"/>
          <w:b/>
          <w:bCs/>
          <w:szCs w:val="32"/>
        </w:rPr>
        <w:t>一是，深入推进“青春志愿”服务品牌。</w:t>
      </w:r>
      <w:r>
        <w:rPr>
          <w:rFonts w:eastAsia="仿宋_GB2312" w:cs="Times New Roman"/>
          <w:szCs w:val="32"/>
        </w:rPr>
        <w:t>依托直属团组织和基层团支部，发动200余名青年志愿者协助开展全员核酸检测工作，累计服务时长超过800小时。静态管理期间，累计发动600余名青年志愿者参加物资配送、封控管控、酒店消杀等工作中，总计志愿服务时长超过6000小时。围绕黄河流域生态保护、</w:t>
      </w:r>
      <w:r>
        <w:rPr>
          <w:rFonts w:eastAsia="仿宋_GB2312" w:cs="Times New Roman"/>
          <w:color w:val="000000"/>
          <w:spacing w:val="8"/>
          <w:szCs w:val="32"/>
          <w:shd w:val="clear" w:color="auto" w:fill="FFFFFF"/>
        </w:rPr>
        <w:t>地质灾害防范，森林草原防灭火等、</w:t>
      </w:r>
      <w:r>
        <w:rPr>
          <w:rFonts w:eastAsia="仿宋_GB2312" w:cs="Times New Roman"/>
          <w:szCs w:val="32"/>
        </w:rPr>
        <w:t>开展“争当河小</w:t>
      </w:r>
      <w:r>
        <w:rPr>
          <w:rFonts w:eastAsia="仿宋_GB2312" w:cs="Times New Roman"/>
          <w:color w:val="000000"/>
          <w:spacing w:val="8"/>
          <w:szCs w:val="32"/>
          <w:shd w:val="clear" w:color="auto" w:fill="FFFFFF"/>
        </w:rPr>
        <w:t>青”“共护母亲河”等主题活动50余次，充分发挥青年志愿服务力量。</w:t>
      </w:r>
    </w:p>
    <w:p>
      <w:pPr>
        <w:pStyle w:val="2"/>
        <w:spacing w:line="576" w:lineRule="exact"/>
        <w:ind w:firstLine="643"/>
        <w:rPr>
          <w:rFonts w:eastAsia="仿宋_GB2312" w:cs="Times New Roman"/>
          <w:szCs w:val="32"/>
        </w:rPr>
      </w:pPr>
      <w:r>
        <w:rPr>
          <w:rFonts w:eastAsia="仿宋_GB2312" w:cs="Times New Roman"/>
          <w:b/>
          <w:bCs/>
          <w:szCs w:val="32"/>
        </w:rPr>
        <w:t>二是，助力推广松潘城市名片。</w:t>
      </w:r>
      <w:r>
        <w:rPr>
          <w:rFonts w:eastAsia="仿宋_GB2312" w:cs="Times New Roman"/>
          <w:color w:val="000000"/>
          <w:spacing w:val="8"/>
          <w:szCs w:val="32"/>
          <w:shd w:val="clear" w:color="auto" w:fill="FFFFFF"/>
        </w:rPr>
        <w:t>组建青年志愿服务队，参与我县新时代文明实践中心建设工作，累计组织200余名志愿者参与到天府旅游名县和国家全域旅游示范区创建等重大工作中。</w:t>
      </w:r>
    </w:p>
    <w:p>
      <w:pPr>
        <w:pStyle w:val="2"/>
        <w:spacing w:line="576" w:lineRule="exact"/>
        <w:ind w:firstLine="643"/>
        <w:rPr>
          <w:rFonts w:eastAsia="仿宋_GB2312" w:cs="Times New Roman"/>
          <w:b/>
          <w:bCs/>
          <w:szCs w:val="32"/>
        </w:rPr>
      </w:pPr>
      <w:r>
        <w:rPr>
          <w:rFonts w:eastAsia="仿宋_GB2312" w:cs="Times New Roman"/>
          <w:b/>
          <w:bCs/>
          <w:szCs w:val="32"/>
        </w:rPr>
        <w:t>三是，深化拓展大学生社会实践活动。</w:t>
      </w:r>
      <w:r>
        <w:rPr>
          <w:rFonts w:eastAsia="仿宋_GB2312" w:cs="Times New Roman"/>
          <w:color w:val="000000"/>
          <w:spacing w:val="8"/>
          <w:szCs w:val="32"/>
          <w:shd w:val="clear" w:color="auto" w:fill="FFFFFF"/>
        </w:rPr>
        <w:t>深入落实“逐梦计划”和“返家乡社会实践”活动，搭建社会实践直通车通道机制，实现部门和青年双向选择、互联互动。目前，已安置青年就业见习15人。积极对接清华大学建筑学院、人文学院，探索建立松潘县社会实践基地，借智借力搭建平台。</w:t>
      </w:r>
    </w:p>
    <w:p>
      <w:pPr>
        <w:pStyle w:val="4"/>
        <w:ind w:firstLine="640" w:firstLineChars="200"/>
        <w:rPr>
          <w:rStyle w:val="27"/>
          <w:b w:val="0"/>
          <w:bCs w:val="0"/>
        </w:rPr>
      </w:pPr>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4"/>
      <w:bookmarkEnd w:id="25"/>
      <w:bookmarkEnd w:id="26"/>
      <w:bookmarkEnd w:id="27"/>
    </w:p>
    <w:p>
      <w:pPr>
        <w:pStyle w:val="8"/>
        <w:numPr>
          <w:ilvl w:val="0"/>
          <w:numId w:val="0"/>
        </w:numPr>
        <w:spacing w:line="576" w:lineRule="exact"/>
        <w:ind w:firstLine="640" w:firstLineChars="200"/>
        <w:jc w:val="left"/>
        <w:rPr>
          <w:rFonts w:hint="eastAsia" w:ascii="仿宋_GB2312" w:hAnsi="仿宋_GB2312" w:eastAsia="仿宋_GB2312" w:cs="仿宋_GB2312"/>
          <w:color w:val="000000"/>
          <w:kern w:val="0"/>
          <w:sz w:val="32"/>
          <w:szCs w:val="32"/>
        </w:rPr>
      </w:pPr>
      <w:bookmarkStart w:id="28" w:name="_Toc79163859"/>
      <w:bookmarkStart w:id="29" w:name="_Toc15396602"/>
      <w:bookmarkStart w:id="30" w:name="_Toc15377204"/>
      <w:bookmarkStart w:id="31" w:name="_Toc79163609"/>
      <w:r>
        <w:rPr>
          <w:rFonts w:hint="eastAsia" w:ascii="仿宋_GB2312" w:hAnsi="仿宋_GB2312" w:eastAsia="仿宋_GB2312" w:cs="仿宋_GB2312"/>
          <w:color w:val="000000"/>
          <w:kern w:val="0"/>
          <w:sz w:val="32"/>
          <w:szCs w:val="32"/>
          <w:lang w:eastAsia="zh-CN"/>
        </w:rPr>
        <w:t>松潘县团委</w:t>
      </w:r>
      <w:r>
        <w:rPr>
          <w:rFonts w:hint="eastAsia" w:ascii="仿宋_GB2312" w:hAnsi="仿宋_GB2312" w:eastAsia="仿宋_GB2312" w:cs="仿宋_GB2312"/>
          <w:color w:val="000000"/>
          <w:kern w:val="0"/>
          <w:sz w:val="32"/>
          <w:szCs w:val="32"/>
        </w:rPr>
        <w:t>总编制</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名，其中：行政编制</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名</w:t>
      </w:r>
      <w:r>
        <w:rPr>
          <w:rFonts w:hint="eastAsia"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工勤编制</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名。在职人员总数</w:t>
      </w:r>
      <w:r>
        <w:rPr>
          <w:rFonts w:hint="default"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人，其中：行政人员</w:t>
      </w:r>
      <w:r>
        <w:rPr>
          <w:rFonts w:hint="default"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人，工勤</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人。</w:t>
      </w:r>
    </w:p>
    <w:p>
      <w:pPr>
        <w:pStyle w:val="8"/>
        <w:numPr>
          <w:ilvl w:val="0"/>
          <w:numId w:val="0"/>
        </w:numPr>
        <w:spacing w:line="576" w:lineRule="exact"/>
        <w:ind w:firstLine="640" w:firstLineChars="200"/>
        <w:jc w:val="left"/>
        <w:rPr>
          <w:rFonts w:hint="eastAsia" w:ascii="仿宋_GB2312" w:hAnsi="仿宋_GB2312" w:eastAsia="仿宋_GB2312" w:cs="仿宋_GB2312"/>
          <w:color w:val="000000"/>
          <w:kern w:val="0"/>
          <w:sz w:val="32"/>
          <w:szCs w:val="32"/>
        </w:rPr>
      </w:pPr>
    </w:p>
    <w:p>
      <w:pPr>
        <w:pStyle w:val="8"/>
        <w:numPr>
          <w:ilvl w:val="0"/>
          <w:numId w:val="0"/>
        </w:numPr>
        <w:spacing w:line="576" w:lineRule="exact"/>
        <w:ind w:firstLine="640" w:firstLineChars="200"/>
        <w:jc w:val="left"/>
        <w:rPr>
          <w:rFonts w:hint="eastAsia" w:ascii="仿宋_GB2312" w:hAnsi="仿宋_GB2312" w:eastAsia="仿宋_GB2312" w:cs="仿宋_GB2312"/>
          <w:color w:val="000000"/>
          <w:kern w:val="0"/>
          <w:sz w:val="32"/>
          <w:szCs w:val="32"/>
        </w:rPr>
      </w:pPr>
    </w:p>
    <w:p>
      <w:pPr>
        <w:pStyle w:val="8"/>
        <w:numPr>
          <w:ilvl w:val="0"/>
          <w:numId w:val="0"/>
        </w:numPr>
        <w:spacing w:line="576" w:lineRule="exact"/>
        <w:ind w:firstLine="640" w:firstLineChars="200"/>
        <w:jc w:val="left"/>
        <w:rPr>
          <w:rFonts w:hint="eastAsia" w:ascii="仿宋_GB2312" w:hAnsi="仿宋_GB2312" w:eastAsia="仿宋_GB2312" w:cs="仿宋_GB2312"/>
          <w:color w:val="000000"/>
          <w:kern w:val="0"/>
          <w:sz w:val="32"/>
          <w:szCs w:val="32"/>
        </w:rPr>
      </w:pPr>
    </w:p>
    <w:p>
      <w:pPr>
        <w:pStyle w:val="8"/>
        <w:numPr>
          <w:ilvl w:val="0"/>
          <w:numId w:val="0"/>
        </w:numPr>
        <w:spacing w:line="576" w:lineRule="exact"/>
        <w:ind w:firstLine="640" w:firstLineChars="200"/>
        <w:jc w:val="left"/>
        <w:rPr>
          <w:rFonts w:hint="eastAsia" w:ascii="仿宋_GB2312" w:hAnsi="仿宋_GB2312" w:eastAsia="仿宋_GB2312" w:cs="仿宋_GB2312"/>
          <w:color w:val="000000"/>
          <w:kern w:val="0"/>
          <w:sz w:val="32"/>
          <w:szCs w:val="32"/>
        </w:rPr>
      </w:pPr>
    </w:p>
    <w:p>
      <w:pPr>
        <w:pStyle w:val="9"/>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2"/>
        <w:rPr>
          <w:rFonts w:hint="eastAsia" w:ascii="仿宋_GB2312" w:hAnsi="仿宋_GB2312" w:eastAsia="仿宋_GB2312" w:cs="仿宋_GB2312"/>
          <w:color w:val="000000"/>
          <w:kern w:val="0"/>
          <w:sz w:val="32"/>
          <w:szCs w:val="32"/>
        </w:rPr>
      </w:pPr>
    </w:p>
    <w:p>
      <w:pPr>
        <w:pStyle w:val="3"/>
        <w:ind w:right="440"/>
        <w:jc w:val="right"/>
        <w:rPr>
          <w:rStyle w:val="26"/>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w:t>
      </w:r>
      <w:r>
        <w:rPr>
          <w:rStyle w:val="26"/>
          <w:rFonts w:hint="default" w:ascii="黑体" w:hAnsi="黑体" w:eastAsia="黑体"/>
          <w:b w:val="0"/>
          <w:bCs w:val="0"/>
          <w:lang w:val="en-US"/>
        </w:rPr>
        <w:t>2</w:t>
      </w:r>
      <w:r>
        <w:rPr>
          <w:rStyle w:val="26"/>
          <w:rFonts w:hint="eastAsia" w:ascii="黑体" w:hAnsi="黑体" w:eastAsia="黑体"/>
          <w:b w:val="0"/>
          <w:bCs w:val="0"/>
        </w:rPr>
        <w:t>年度部门决算情况说明</w:t>
      </w:r>
      <w:bookmarkEnd w:id="28"/>
      <w:bookmarkEnd w:id="29"/>
      <w:bookmarkEnd w:id="30"/>
      <w:bookmarkEnd w:id="31"/>
    </w:p>
    <w:p/>
    <w:p>
      <w:pPr>
        <w:pStyle w:val="37"/>
        <w:numPr>
          <w:ilvl w:val="0"/>
          <w:numId w:val="2"/>
        </w:numPr>
        <w:spacing w:line="600" w:lineRule="exact"/>
        <w:ind w:left="1560" w:leftChars="0" w:firstLineChars="0"/>
        <w:outlineLvl w:val="1"/>
        <w:rPr>
          <w:rStyle w:val="27"/>
          <w:rFonts w:ascii="黑体" w:hAnsi="黑体" w:eastAsia="黑体"/>
          <w:b w:val="0"/>
        </w:rPr>
      </w:pPr>
      <w:bookmarkStart w:id="32" w:name="_Toc79163610"/>
      <w:bookmarkStart w:id="33" w:name="_Toc15377205"/>
      <w:bookmarkStart w:id="34" w:name="_Toc15396603"/>
      <w:bookmarkStart w:id="35" w:name="_Toc791638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default" w:ascii="仿宋" w:hAnsi="仿宋" w:eastAsia="仿宋"/>
          <w:color w:val="000000"/>
          <w:sz w:val="32"/>
          <w:szCs w:val="32"/>
          <w:lang w:val="en-US"/>
        </w:rPr>
        <w:t>2</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default" w:ascii="仿宋" w:hAnsi="仿宋" w:eastAsia="仿宋"/>
          <w:color w:val="000000"/>
          <w:sz w:val="32"/>
          <w:szCs w:val="32"/>
          <w:lang w:val="en-US" w:eastAsia="zh-CN"/>
        </w:rPr>
        <w:t>194.48</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default" w:ascii="仿宋" w:hAnsi="仿宋" w:eastAsia="仿宋"/>
          <w:color w:val="000000"/>
          <w:sz w:val="32"/>
          <w:szCs w:val="32"/>
          <w:lang w:val="en-US" w:eastAsia="zh-CN"/>
        </w:rPr>
        <w:t>194.48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default" w:ascii="仿宋" w:hAnsi="仿宋" w:eastAsia="仿宋"/>
          <w:color w:val="000000"/>
          <w:sz w:val="32"/>
          <w:szCs w:val="32"/>
          <w:lang w:val="en-US" w:eastAsia="zh-CN"/>
        </w:rPr>
        <w:t>1</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62.24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0.47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增加了志愿者工资经费。</w:t>
      </w:r>
    </w:p>
    <w:p>
      <w:pPr>
        <w:spacing w:line="600" w:lineRule="exact"/>
        <w:ind w:firstLine="640" w:firstLineChars="200"/>
        <w:rPr>
          <w:rFonts w:hint="eastAsia" w:ascii="仿宋" w:hAnsi="仿宋" w:eastAsia="仿宋"/>
          <w:color w:val="000000"/>
          <w:sz w:val="32"/>
          <w:szCs w:val="32"/>
        </w:rPr>
      </w:pPr>
    </w:p>
    <w:p>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636270</wp:posOffset>
            </wp:positionH>
            <wp:positionV relativeFrom="paragraph">
              <wp:posOffset>9525</wp:posOffset>
            </wp:positionV>
            <wp:extent cx="3935095" cy="2071370"/>
            <wp:effectExtent l="4445" t="4445" r="22860" b="1968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960" w:firstLineChars="3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37"/>
        <w:numPr>
          <w:ilvl w:val="0"/>
          <w:numId w:val="0"/>
        </w:numPr>
        <w:spacing w:line="600" w:lineRule="exact"/>
        <w:ind w:firstLine="640" w:firstLineChars="200"/>
        <w:outlineLvl w:val="1"/>
        <w:rPr>
          <w:rStyle w:val="27"/>
          <w:rFonts w:ascii="黑体" w:hAnsi="黑体" w:eastAsia="黑体"/>
          <w:b w:val="0"/>
        </w:rPr>
      </w:pPr>
      <w:bookmarkStart w:id="36" w:name="_Toc15396604"/>
      <w:bookmarkStart w:id="37" w:name="_Toc79163611"/>
      <w:bookmarkStart w:id="38" w:name="_Toc15377206"/>
      <w:bookmarkStart w:id="39" w:name="_Toc79163861"/>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194.48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194.48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1470" w:firstLineChars="7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593090</wp:posOffset>
            </wp:positionH>
            <wp:positionV relativeFrom="paragraph">
              <wp:posOffset>-8013065</wp:posOffset>
            </wp:positionV>
            <wp:extent cx="4593590" cy="1660525"/>
            <wp:effectExtent l="4445" t="5080" r="12065" b="10795"/>
            <wp:wrapTopAndBottom/>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lang w:val="en-US"/>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37"/>
        <w:numPr>
          <w:ilvl w:val="0"/>
          <w:numId w:val="2"/>
        </w:numPr>
        <w:spacing w:line="600" w:lineRule="exact"/>
        <w:ind w:left="1560" w:leftChars="0" w:firstLineChars="0"/>
        <w:outlineLvl w:val="1"/>
        <w:rPr>
          <w:rStyle w:val="27"/>
          <w:rFonts w:ascii="黑体" w:hAnsi="黑体" w:eastAsia="黑体"/>
          <w:b w:val="0"/>
        </w:rPr>
      </w:pPr>
      <w:bookmarkStart w:id="40" w:name="_Toc15396605"/>
      <w:bookmarkStart w:id="41" w:name="_Toc79163862"/>
      <w:bookmarkStart w:id="42" w:name="_Toc79163612"/>
      <w:bookmarkStart w:id="43"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40"/>
      <w:bookmarkEnd w:id="41"/>
      <w:bookmarkEnd w:id="42"/>
      <w:bookmarkEnd w:id="43"/>
    </w:p>
    <w:p>
      <w:pPr>
        <w:spacing w:line="600" w:lineRule="exact"/>
        <w:ind w:firstLine="420" w:firstLineChars="200"/>
        <w:rPr>
          <w:rFonts w:hint="eastAsia" w:ascii="仿宋_GB2312" w:eastAsia="仿宋_GB2312"/>
          <w:sz w:val="32"/>
          <w:szCs w:val="32"/>
        </w:rPr>
      </w:pPr>
      <w:r>
        <w:drawing>
          <wp:anchor distT="0" distB="0" distL="114300" distR="114300" simplePos="0" relativeHeight="251663360" behindDoc="0" locked="0" layoutInCell="1" allowOverlap="1">
            <wp:simplePos x="0" y="0"/>
            <wp:positionH relativeFrom="column">
              <wp:posOffset>238760</wp:posOffset>
            </wp:positionH>
            <wp:positionV relativeFrom="paragraph">
              <wp:posOffset>1654810</wp:posOffset>
            </wp:positionV>
            <wp:extent cx="4240530" cy="2052955"/>
            <wp:effectExtent l="4445" t="4445" r="22225" b="19050"/>
            <wp:wrapTopAndBottom/>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年本年支出合计</w:t>
      </w:r>
      <w:r>
        <w:rPr>
          <w:rFonts w:hint="eastAsia" w:ascii="仿宋_GB2312" w:eastAsia="仿宋_GB2312"/>
          <w:sz w:val="32"/>
          <w:szCs w:val="32"/>
          <w:lang w:val="en-US" w:eastAsia="zh-CN"/>
        </w:rPr>
        <w:t>194.48</w:t>
      </w:r>
      <w:r>
        <w:rPr>
          <w:rFonts w:hint="eastAsia" w:ascii="仿宋_GB2312" w:eastAsia="仿宋_GB2312"/>
          <w:sz w:val="32"/>
          <w:szCs w:val="32"/>
        </w:rPr>
        <w:t>万元，其中：基本支出</w:t>
      </w:r>
      <w:r>
        <w:rPr>
          <w:rFonts w:hint="eastAsia" w:ascii="仿宋_GB2312" w:eastAsia="仿宋_GB2312"/>
          <w:sz w:val="32"/>
          <w:szCs w:val="32"/>
          <w:lang w:val="en-US" w:eastAsia="zh-CN"/>
        </w:rPr>
        <w:t>101.3</w:t>
      </w:r>
      <w:r>
        <w:rPr>
          <w:rFonts w:hint="eastAsia" w:ascii="仿宋_GB2312" w:eastAsia="仿宋_GB2312"/>
          <w:sz w:val="32"/>
          <w:szCs w:val="32"/>
        </w:rPr>
        <w:t>万元，占</w:t>
      </w:r>
      <w:r>
        <w:rPr>
          <w:rFonts w:hint="eastAsia" w:ascii="仿宋_GB2312" w:eastAsia="仿宋_GB2312"/>
          <w:sz w:val="32"/>
          <w:szCs w:val="32"/>
          <w:lang w:val="en-US" w:eastAsia="zh-CN"/>
        </w:rPr>
        <w:t>52</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93.18</w:t>
      </w:r>
      <w:r>
        <w:rPr>
          <w:rFonts w:hint="eastAsia" w:ascii="仿宋_GB2312" w:eastAsia="仿宋_GB2312"/>
          <w:sz w:val="32"/>
          <w:szCs w:val="32"/>
        </w:rPr>
        <w:t>万元，占</w:t>
      </w:r>
      <w:r>
        <w:rPr>
          <w:rFonts w:hint="eastAsia" w:ascii="仿宋_GB2312" w:eastAsia="仿宋_GB2312"/>
          <w:sz w:val="32"/>
          <w:szCs w:val="32"/>
          <w:lang w:val="en-US" w:eastAsia="zh-CN"/>
        </w:rPr>
        <w:t>48</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pPr>
    </w:p>
    <w:p>
      <w:pPr>
        <w:spacing w:line="600" w:lineRule="exact"/>
        <w:ind w:firstLine="1600" w:firstLineChars="5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outlineLvl w:val="1"/>
        <w:rPr>
          <w:rStyle w:val="27"/>
          <w:rFonts w:ascii="黑体" w:hAnsi="黑体" w:eastAsia="黑体"/>
          <w:b w:val="0"/>
        </w:rPr>
      </w:pPr>
      <w:bookmarkStart w:id="44" w:name="_Toc79163613"/>
      <w:bookmarkStart w:id="45" w:name="_Toc79163863"/>
      <w:bookmarkStart w:id="46" w:name="_Toc15396606"/>
      <w:bookmarkStart w:id="47"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4"/>
      <w:bookmarkEnd w:id="45"/>
      <w:bookmarkEnd w:id="46"/>
      <w:bookmarkEnd w:id="47"/>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637540</wp:posOffset>
            </wp:positionH>
            <wp:positionV relativeFrom="paragraph">
              <wp:posOffset>1214755</wp:posOffset>
            </wp:positionV>
            <wp:extent cx="4240530" cy="1567180"/>
            <wp:effectExtent l="4445" t="4445" r="22225" b="9525"/>
            <wp:wrapTopAndBottom/>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194.48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62.24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0.47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增加了志愿者工资经费。</w:t>
      </w:r>
    </w:p>
    <w:p>
      <w:pPr>
        <w:spacing w:line="600" w:lineRule="exact"/>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27"/>
          <w:rFonts w:hint="eastAsia" w:ascii="黑体" w:hAnsi="黑体" w:eastAsia="黑体"/>
          <w:b w:val="0"/>
        </w:rPr>
      </w:pPr>
      <w:bookmarkStart w:id="48" w:name="_Toc15377209"/>
      <w:bookmarkStart w:id="49" w:name="_Toc15396607"/>
      <w:bookmarkStart w:id="50" w:name="_Toc79163614"/>
      <w:bookmarkStart w:id="51" w:name="_Toc79163864"/>
      <w:r>
        <w:rPr>
          <w:rStyle w:val="27"/>
          <w:rFonts w:hint="eastAsia" w:ascii="黑体" w:hAnsi="黑体" w:eastAsia="黑体"/>
          <w:b w:val="0"/>
        </w:rPr>
        <w:t>五、一般公共预算财政拨款支出决算情况说明</w:t>
      </w:r>
      <w:bookmarkEnd w:id="48"/>
      <w:bookmarkEnd w:id="49"/>
      <w:bookmarkEnd w:id="50"/>
      <w:bookmarkEnd w:id="51"/>
    </w:p>
    <w:p>
      <w:pPr>
        <w:spacing w:line="600" w:lineRule="exact"/>
        <w:ind w:firstLine="643" w:firstLineChars="200"/>
        <w:outlineLvl w:val="2"/>
        <w:rPr>
          <w:rFonts w:ascii="仿宋" w:hAnsi="仿宋" w:eastAsia="仿宋"/>
          <w:b/>
          <w:color w:val="000000"/>
          <w:sz w:val="32"/>
          <w:szCs w:val="32"/>
        </w:rPr>
      </w:pPr>
      <w:bookmarkStart w:id="52" w:name="_Toc79163865"/>
      <w:bookmarkStart w:id="53" w:name="_Toc7916361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一般公共预算财政拨款收入</w:t>
      </w:r>
      <w:r>
        <w:rPr>
          <w:rFonts w:hint="eastAsia" w:ascii="仿宋" w:hAnsi="仿宋" w:eastAsia="仿宋"/>
          <w:color w:val="000000"/>
          <w:sz w:val="32"/>
          <w:szCs w:val="32"/>
          <w:lang w:val="en-US" w:eastAsia="zh-CN"/>
        </w:rPr>
        <w:t>194.48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62.24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0.47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增加了志愿者工资经费。</w:t>
      </w:r>
    </w:p>
    <w:p>
      <w:pPr>
        <w:pStyle w:val="2"/>
        <w:rPr>
          <w:rFonts w:hint="eastAsia" w:ascii="仿宋" w:hAnsi="仿宋" w:eastAsia="仿宋"/>
          <w:color w:val="000000"/>
          <w:sz w:val="32"/>
          <w:szCs w:val="32"/>
          <w:lang w:eastAsia="zh-CN"/>
        </w:rPr>
      </w:pPr>
      <w:r>
        <w:drawing>
          <wp:anchor distT="0" distB="0" distL="114300" distR="114300" simplePos="0" relativeHeight="251662336" behindDoc="0" locked="0" layoutInCell="1" allowOverlap="1">
            <wp:simplePos x="0" y="0"/>
            <wp:positionH relativeFrom="column">
              <wp:posOffset>414655</wp:posOffset>
            </wp:positionH>
            <wp:positionV relativeFrom="paragraph">
              <wp:posOffset>313055</wp:posOffset>
            </wp:positionV>
            <wp:extent cx="4240530" cy="2052955"/>
            <wp:effectExtent l="4445" t="4445" r="22225" b="19050"/>
            <wp:wrapTopAndBottom/>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hint="eastAsia" w:ascii="仿宋" w:hAnsi="仿宋" w:eastAsia="仿宋"/>
          <w:color w:val="000000"/>
          <w:sz w:val="32"/>
          <w:szCs w:val="32"/>
        </w:rPr>
      </w:pPr>
      <w:bookmarkStart w:id="55" w:name="_Toc79163616"/>
      <w:bookmarkStart w:id="56" w:name="_Toc79163866"/>
      <w:bookmarkStart w:id="57" w:name="_Toc15377211"/>
      <w:r>
        <w:rPr>
          <w:rFonts w:hint="eastAsia" w:ascii="仿宋" w:hAnsi="仿宋" w:eastAsia="仿宋"/>
          <w:color w:val="000000"/>
          <w:sz w:val="32"/>
          <w:szCs w:val="32"/>
        </w:rPr>
        <w:t>（二）一般公共预算财政拨款支出决算结构情况</w:t>
      </w:r>
      <w:bookmarkEnd w:id="55"/>
      <w:bookmarkEnd w:id="56"/>
      <w:bookmarkEnd w:id="57"/>
    </w:p>
    <w:p>
      <w:pPr>
        <w:spacing w:line="600" w:lineRule="exact"/>
        <w:ind w:firstLine="640"/>
        <w:rPr>
          <w:rFonts w:ascii="仿宋" w:hAnsi="仿宋" w:eastAsia="仿宋"/>
          <w:b/>
          <w:color w:val="000000"/>
          <w:sz w:val="32"/>
          <w:szCs w:val="32"/>
        </w:rPr>
      </w:pPr>
      <w:r>
        <w:drawing>
          <wp:anchor distT="0" distB="0" distL="114300" distR="114300" simplePos="0" relativeHeight="251659264" behindDoc="0" locked="0" layoutInCell="1" allowOverlap="1">
            <wp:simplePos x="0" y="0"/>
            <wp:positionH relativeFrom="column">
              <wp:posOffset>-548640</wp:posOffset>
            </wp:positionH>
            <wp:positionV relativeFrom="paragraph">
              <wp:posOffset>2237740</wp:posOffset>
            </wp:positionV>
            <wp:extent cx="6673850" cy="2028190"/>
            <wp:effectExtent l="4445" t="4445" r="8255" b="5715"/>
            <wp:wrapTopAndBottom/>
            <wp:docPr id="105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194.48</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171.66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3.66万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b/>
          <w:bCs/>
          <w:color w:val="000000"/>
          <w:sz w:val="32"/>
          <w:szCs w:val="32"/>
        </w:rPr>
        <w:t>住房保障</w:t>
      </w:r>
      <w:r>
        <w:rPr>
          <w:rFonts w:hint="eastAsia" w:ascii="仿宋" w:hAnsi="仿宋" w:eastAsia="仿宋"/>
          <w:b/>
          <w:bCs/>
          <w:color w:val="000000"/>
          <w:sz w:val="32"/>
          <w:szCs w:val="32"/>
          <w:lang w:eastAsia="zh-CN"/>
        </w:rPr>
        <w:t>（类）</w:t>
      </w:r>
      <w:r>
        <w:rPr>
          <w:rFonts w:hint="eastAsia" w:ascii="仿宋" w:hAnsi="仿宋" w:eastAsia="仿宋"/>
          <w:b/>
          <w:bCs/>
          <w:color w:val="000000"/>
          <w:sz w:val="32"/>
          <w:szCs w:val="32"/>
        </w:rPr>
        <w:t>支出</w:t>
      </w:r>
      <w:r>
        <w:rPr>
          <w:rFonts w:hint="eastAsia" w:ascii="仿宋" w:hAnsi="仿宋" w:eastAsia="仿宋"/>
          <w:color w:val="000000"/>
          <w:sz w:val="32"/>
          <w:szCs w:val="32"/>
          <w:lang w:val="en-US" w:eastAsia="zh-CN"/>
        </w:rPr>
        <w:t>4.86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58" w:name="_Toc79163867"/>
      <w:bookmarkStart w:id="59" w:name="_Toc15377212"/>
      <w:bookmarkStart w:id="60" w:name="_Toc79163617"/>
      <w:r>
        <w:rPr>
          <w:rFonts w:hint="eastAsia" w:ascii="仿宋" w:hAnsi="仿宋" w:eastAsia="仿宋"/>
          <w:b/>
          <w:color w:val="000000"/>
          <w:sz w:val="32"/>
          <w:szCs w:val="32"/>
        </w:rPr>
        <w:t>（三）一般公共预算财政拨款支出决算具体情况</w:t>
      </w:r>
      <w:bookmarkEnd w:id="58"/>
      <w:bookmarkEnd w:id="59"/>
      <w:bookmarkEnd w:id="60"/>
    </w:p>
    <w:p>
      <w:pPr>
        <w:spacing w:line="600" w:lineRule="exact"/>
        <w:ind w:firstLine="643" w:firstLineChars="200"/>
        <w:rPr>
          <w:rFonts w:ascii="仿宋_GB2312" w:eastAsia="仿宋_GB2312"/>
          <w:b/>
          <w:bCs/>
          <w:sz w:val="32"/>
          <w:szCs w:val="32"/>
        </w:rPr>
      </w:pPr>
      <w:bookmarkStart w:id="61" w:name="_Toc15378460"/>
      <w:bookmarkStart w:id="62" w:name="_Toc15377213"/>
      <w:bookmarkStart w:id="63" w:name="_Toc15377444"/>
      <w:r>
        <w:rPr>
          <w:rFonts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194.48万元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pPr>
        <w:spacing w:line="600" w:lineRule="exact"/>
        <w:ind w:firstLine="643" w:firstLineChars="200"/>
        <w:rPr>
          <w:rFonts w:ascii="仿宋" w:hAnsi="仿宋" w:eastAsia="仿宋"/>
          <w:b/>
          <w:color w:val="000000"/>
          <w:sz w:val="32"/>
          <w:szCs w:val="32"/>
        </w:rPr>
      </w:pPr>
      <w:r>
        <w:rPr>
          <w:rStyle w:val="24"/>
          <w:rFonts w:ascii="仿宋" w:hAnsi="仿宋" w:eastAsia="仿宋"/>
          <w:bCs/>
          <w:color w:val="000000"/>
          <w:sz w:val="32"/>
          <w:szCs w:val="32"/>
        </w:rPr>
        <w:t>1.</w:t>
      </w:r>
      <w:r>
        <w:rPr>
          <w:rStyle w:val="24"/>
          <w:rFonts w:hint="eastAsia" w:ascii="仿宋" w:hAnsi="仿宋" w:eastAsia="仿宋"/>
          <w:bCs/>
          <w:color w:val="000000"/>
          <w:sz w:val="32"/>
          <w:szCs w:val="32"/>
        </w:rPr>
        <w:t>一般公共服务</w:t>
      </w:r>
      <w:r>
        <w:rPr>
          <w:rStyle w:val="24"/>
          <w:rFonts w:hint="eastAsia" w:ascii="仿宋" w:hAnsi="仿宋" w:eastAsia="仿宋"/>
          <w:bCs/>
          <w:color w:val="000000"/>
          <w:sz w:val="32"/>
          <w:szCs w:val="32"/>
          <w:lang w:eastAsia="zh-CN"/>
        </w:rPr>
        <w:t>类：</w:t>
      </w:r>
      <w:r>
        <w:rPr>
          <w:rStyle w:val="24"/>
          <w:rFonts w:hint="default" w:ascii="仿宋" w:hAnsi="仿宋" w:eastAsia="仿宋"/>
          <w:b w:val="0"/>
          <w:bCs/>
          <w:color w:val="000000"/>
          <w:sz w:val="32"/>
          <w:szCs w:val="32"/>
          <w:lang w:val="en-US"/>
        </w:rPr>
        <w:t>2012901</w:t>
      </w:r>
      <w:r>
        <w:rPr>
          <w:rStyle w:val="24"/>
          <w:rFonts w:hint="eastAsia" w:ascii="仿宋" w:hAnsi="仿宋" w:eastAsia="仿宋"/>
          <w:b w:val="0"/>
          <w:bCs/>
          <w:color w:val="000000"/>
          <w:sz w:val="32"/>
          <w:szCs w:val="32"/>
          <w:lang w:val="en-US" w:eastAsia="zh-CN"/>
        </w:rPr>
        <w:t>行政运行</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78.48</w:t>
      </w:r>
      <w:r>
        <w:rPr>
          <w:rStyle w:val="24"/>
          <w:rFonts w:hint="eastAsia" w:ascii="仿宋" w:hAnsi="仿宋" w:eastAsia="仿宋"/>
          <w:b w:val="0"/>
          <w:bCs/>
          <w:color w:val="000000"/>
          <w:sz w:val="32"/>
          <w:szCs w:val="32"/>
        </w:rPr>
        <w:t>万元，完成预算</w:t>
      </w:r>
      <w:r>
        <w:rPr>
          <w:rStyle w:val="24"/>
          <w:rFonts w:hint="default" w:ascii="仿宋" w:hAnsi="仿宋" w:eastAsia="仿宋"/>
          <w:b w:val="0"/>
          <w:bCs/>
          <w:color w:val="000000"/>
          <w:sz w:val="32"/>
          <w:szCs w:val="32"/>
          <w:lang w:val="en-US"/>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Style w:val="24"/>
          <w:rFonts w:hint="eastAsia" w:ascii="仿宋" w:hAnsi="仿宋" w:eastAsia="仿宋"/>
          <w:b w:val="0"/>
          <w:bCs/>
          <w:color w:val="000000"/>
          <w:sz w:val="32"/>
          <w:szCs w:val="32"/>
          <w:lang w:val="en-US" w:eastAsia="zh-CN"/>
        </w:rPr>
        <w:t>2012902一般行政管理事务支出决算为35万元，完成预算100%，2012999其他群众团体事务支出58.18万元，完成预算100%，</w:t>
      </w:r>
      <w:r>
        <w:rPr>
          <w:rStyle w:val="24"/>
          <w:rFonts w:hint="eastAsia" w:ascii="仿宋" w:hAnsi="仿宋" w:eastAsia="仿宋"/>
          <w:b w:val="0"/>
          <w:bCs/>
          <w:color w:val="000000"/>
          <w:sz w:val="32"/>
          <w:szCs w:val="32"/>
        </w:rPr>
        <w:t>决算数等于预算数。</w:t>
      </w:r>
    </w:p>
    <w:p>
      <w:pPr>
        <w:spacing w:line="600" w:lineRule="exact"/>
        <w:ind w:firstLine="643" w:firstLineChars="200"/>
        <w:rPr>
          <w:rFonts w:hint="eastAsia" w:ascii="仿宋" w:hAnsi="仿宋" w:eastAsia="仿宋"/>
          <w:b/>
          <w:color w:val="000000"/>
          <w:sz w:val="32"/>
          <w:szCs w:val="32"/>
          <w:lang w:eastAsia="zh-CN"/>
        </w:rPr>
      </w:pPr>
      <w:r>
        <w:rPr>
          <w:rStyle w:val="24"/>
          <w:rFonts w:hint="default" w:ascii="仿宋" w:hAnsi="仿宋" w:eastAsia="仿宋"/>
          <w:bCs/>
          <w:color w:val="000000"/>
          <w:sz w:val="32"/>
          <w:szCs w:val="32"/>
          <w:lang w:val="en-US"/>
        </w:rPr>
        <w:t>2</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Style w:val="24"/>
          <w:rFonts w:hint="default" w:ascii="仿宋" w:hAnsi="仿宋" w:eastAsia="仿宋"/>
          <w:bCs/>
          <w:color w:val="000000"/>
          <w:sz w:val="32"/>
          <w:szCs w:val="32"/>
          <w:lang w:val="en-US"/>
        </w:rPr>
        <w:t>2080505</w:t>
      </w:r>
      <w:r>
        <w:rPr>
          <w:rStyle w:val="24"/>
          <w:rFonts w:hint="eastAsia" w:ascii="仿宋" w:hAnsi="仿宋" w:eastAsia="仿宋"/>
          <w:bCs/>
          <w:color w:val="000000"/>
          <w:sz w:val="32"/>
          <w:szCs w:val="32"/>
          <w:lang w:val="en-US" w:eastAsia="zh-CN"/>
        </w:rPr>
        <w:t>机关事业单位</w:t>
      </w:r>
      <w:r>
        <w:rPr>
          <w:rStyle w:val="24"/>
          <w:rFonts w:hint="eastAsia" w:ascii="仿宋" w:hAnsi="仿宋" w:eastAsia="仿宋"/>
          <w:bCs/>
          <w:color w:val="000000"/>
          <w:sz w:val="32"/>
          <w:szCs w:val="32"/>
          <w:lang w:eastAsia="zh-CN"/>
        </w:rPr>
        <w:t>养老保险</w:t>
      </w:r>
      <w:r>
        <w:rPr>
          <w:rStyle w:val="24"/>
          <w:rFonts w:hint="eastAsia" w:ascii="仿宋" w:hAnsi="仿宋" w:eastAsia="仿宋"/>
          <w:b w:val="0"/>
          <w:bCs/>
          <w:color w:val="000000"/>
          <w:sz w:val="32"/>
          <w:szCs w:val="32"/>
        </w:rPr>
        <w:t>支出决算为</w:t>
      </w:r>
      <w:r>
        <w:rPr>
          <w:rStyle w:val="24"/>
          <w:rFonts w:hint="eastAsia" w:ascii="仿宋" w:hAnsi="仿宋" w:eastAsia="仿宋"/>
          <w:b w:val="0"/>
          <w:bCs/>
          <w:color w:val="000000"/>
          <w:sz w:val="32"/>
          <w:szCs w:val="32"/>
          <w:lang w:val="en-US" w:eastAsia="zh-CN"/>
        </w:rPr>
        <w:t>6.85</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Style w:val="24"/>
          <w:rFonts w:hint="eastAsia" w:ascii="仿宋" w:hAnsi="仿宋" w:eastAsia="仿宋"/>
          <w:b w:val="0"/>
          <w:bCs/>
          <w:color w:val="000000"/>
          <w:sz w:val="32"/>
          <w:szCs w:val="32"/>
          <w:lang w:val="en-US" w:eastAsia="zh-CN"/>
        </w:rPr>
        <w:t>2080506机关事业单位职业年金支出决算为7.45万元，完成预算100%，</w:t>
      </w:r>
      <w:r>
        <w:rPr>
          <w:rStyle w:val="24"/>
          <w:rFonts w:hint="eastAsia" w:ascii="仿宋" w:hAnsi="仿宋" w:eastAsia="仿宋"/>
          <w:b w:val="0"/>
          <w:bCs/>
          <w:color w:val="000000"/>
          <w:sz w:val="32"/>
          <w:szCs w:val="32"/>
        </w:rPr>
        <w:t>决算数等于预算</w:t>
      </w:r>
      <w:r>
        <w:rPr>
          <w:rStyle w:val="24"/>
          <w:rFonts w:hint="eastAsia" w:ascii="仿宋" w:hAnsi="仿宋" w:eastAsia="仿宋"/>
          <w:b w:val="0"/>
          <w:bCs/>
          <w:color w:val="000000"/>
          <w:sz w:val="32"/>
          <w:szCs w:val="32"/>
          <w:lang w:eastAsia="zh-CN"/>
        </w:rPr>
        <w:t>数。</w:t>
      </w:r>
    </w:p>
    <w:p>
      <w:pPr>
        <w:spacing w:line="600" w:lineRule="exact"/>
        <w:ind w:firstLine="643" w:firstLineChars="200"/>
        <w:rPr>
          <w:rStyle w:val="24"/>
          <w:rFonts w:hint="eastAsia" w:ascii="仿宋" w:hAnsi="仿宋" w:eastAsia="仿宋"/>
          <w:b w:val="0"/>
          <w:bCs/>
          <w:color w:val="000000"/>
          <w:sz w:val="32"/>
          <w:szCs w:val="32"/>
        </w:rPr>
      </w:pPr>
      <w:r>
        <w:rPr>
          <w:rFonts w:hint="eastAsia" w:ascii="仿宋" w:hAnsi="仿宋" w:eastAsia="仿宋"/>
          <w:b/>
          <w:bCs/>
          <w:color w:val="000000" w:themeColor="text1"/>
          <w:sz w:val="32"/>
          <w:szCs w:val="32"/>
          <w:lang w:val="en-US" w:eastAsia="zh-CN"/>
          <w14:textFill>
            <w14:solidFill>
              <w14:schemeClr w14:val="tx1"/>
            </w14:solidFill>
          </w14:textFill>
        </w:rPr>
        <w:t>3.</w:t>
      </w:r>
      <w:r>
        <w:rPr>
          <w:rFonts w:hint="eastAsia" w:ascii="仿宋" w:hAnsi="仿宋" w:eastAsia="仿宋"/>
          <w:b/>
          <w:bCs/>
          <w:color w:val="000000" w:themeColor="text1"/>
          <w:sz w:val="32"/>
          <w:szCs w:val="32"/>
          <w14:textFill>
            <w14:solidFill>
              <w14:schemeClr w14:val="tx1"/>
            </w14:solidFill>
          </w14:textFill>
        </w:rPr>
        <w:t>卫生健康</w:t>
      </w:r>
      <w:r>
        <w:rPr>
          <w:rStyle w:val="24"/>
          <w:rFonts w:hint="eastAsia" w:ascii="仿宋" w:hAnsi="仿宋" w:eastAsia="仿宋"/>
          <w:bCs/>
          <w:color w:val="000000"/>
          <w:sz w:val="32"/>
          <w:szCs w:val="32"/>
          <w:lang w:eastAsia="zh-CN"/>
        </w:rPr>
        <w:t>类：</w:t>
      </w:r>
      <w:r>
        <w:rPr>
          <w:rStyle w:val="24"/>
          <w:rFonts w:hint="eastAsia" w:ascii="仿宋" w:hAnsi="仿宋" w:eastAsia="仿宋" w:cs="Times New Roman"/>
          <w:b w:val="0"/>
          <w:bCs/>
          <w:color w:val="000000"/>
          <w:sz w:val="32"/>
          <w:szCs w:val="32"/>
          <w:lang w:val="en-US" w:eastAsia="zh-CN"/>
        </w:rPr>
        <w:t>2101101行政单位医疗</w:t>
      </w:r>
      <w:r>
        <w:rPr>
          <w:rStyle w:val="24"/>
          <w:rFonts w:hint="eastAsia" w:ascii="仿宋" w:hAnsi="仿宋" w:eastAsia="仿宋"/>
          <w:b w:val="0"/>
          <w:bCs/>
          <w:color w:val="000000"/>
          <w:sz w:val="32"/>
          <w:szCs w:val="32"/>
        </w:rPr>
        <w:t>支出决算</w:t>
      </w:r>
      <w:r>
        <w:rPr>
          <w:rStyle w:val="24"/>
          <w:rFonts w:hint="eastAsia" w:ascii="仿宋" w:hAnsi="仿宋" w:eastAsia="仿宋"/>
          <w:b w:val="0"/>
          <w:bCs/>
          <w:color w:val="000000"/>
          <w:sz w:val="32"/>
          <w:szCs w:val="32"/>
          <w:lang w:eastAsia="zh-CN"/>
        </w:rPr>
        <w:t>数</w:t>
      </w:r>
      <w:r>
        <w:rPr>
          <w:rStyle w:val="24"/>
          <w:rFonts w:hint="eastAsia" w:ascii="仿宋" w:hAnsi="仿宋" w:eastAsia="仿宋"/>
          <w:b w:val="0"/>
          <w:bCs/>
          <w:color w:val="000000"/>
          <w:sz w:val="32"/>
          <w:szCs w:val="32"/>
        </w:rPr>
        <w:t>为</w:t>
      </w:r>
      <w:r>
        <w:rPr>
          <w:rStyle w:val="24"/>
          <w:rFonts w:hint="eastAsia" w:ascii="仿宋" w:hAnsi="仿宋" w:eastAsia="仿宋"/>
          <w:b w:val="0"/>
          <w:bCs/>
          <w:color w:val="000000"/>
          <w:sz w:val="32"/>
          <w:szCs w:val="32"/>
          <w:lang w:val="en-US" w:eastAsia="zh-CN"/>
        </w:rPr>
        <w:t>3.66</w:t>
      </w:r>
      <w:r>
        <w:rPr>
          <w:rStyle w:val="24"/>
          <w:rFonts w:hint="eastAsia" w:ascii="仿宋" w:hAnsi="仿宋" w:eastAsia="仿宋"/>
          <w:b w:val="0"/>
          <w:bCs/>
          <w:color w:val="000000"/>
          <w:sz w:val="32"/>
          <w:szCs w:val="32"/>
        </w:rPr>
        <w:t>万元，完成预算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Fonts w:ascii="仿宋" w:hAnsi="仿宋" w:eastAsia="仿宋"/>
          <w:b/>
          <w:color w:val="000000"/>
          <w:sz w:val="32"/>
          <w:szCs w:val="32"/>
        </w:rPr>
      </w:pPr>
      <w:r>
        <w:rPr>
          <w:rFonts w:hint="eastAsia" w:ascii="仿宋" w:hAnsi="仿宋" w:eastAsia="仿宋" w:cs="Times New Roman"/>
          <w:b/>
          <w:bCs/>
          <w:color w:val="000000" w:themeColor="text1"/>
          <w:sz w:val="32"/>
          <w:szCs w:val="32"/>
          <w:lang w:val="en-US" w:eastAsia="zh-CN"/>
          <w14:textFill>
            <w14:solidFill>
              <w14:schemeClr w14:val="tx1"/>
            </w14:solidFill>
          </w14:textFill>
        </w:rPr>
        <w:t>4.住房保障类：</w:t>
      </w:r>
      <w:r>
        <w:rPr>
          <w:rStyle w:val="24"/>
          <w:rFonts w:hint="eastAsia" w:ascii="仿宋" w:hAnsi="仿宋" w:eastAsia="仿宋" w:cs="Times New Roman"/>
          <w:b w:val="0"/>
          <w:bCs/>
          <w:color w:val="000000"/>
          <w:sz w:val="32"/>
          <w:szCs w:val="32"/>
          <w:lang w:val="en-US" w:eastAsia="zh-CN"/>
        </w:rPr>
        <w:t>2210201住房公积金支出决算数为4.86万元，完成预算100%，</w:t>
      </w:r>
      <w:r>
        <w:rPr>
          <w:rStyle w:val="24"/>
          <w:rFonts w:hint="eastAsia" w:ascii="仿宋" w:hAnsi="仿宋" w:eastAsia="仿宋"/>
          <w:b w:val="0"/>
          <w:bCs/>
          <w:color w:val="000000"/>
          <w:sz w:val="32"/>
          <w:szCs w:val="32"/>
        </w:rPr>
        <w:t>决算数等于预算数</w:t>
      </w:r>
      <w:r>
        <w:rPr>
          <w:rStyle w:val="24"/>
          <w:rFonts w:hint="eastAsia" w:ascii="仿宋" w:hAnsi="仿宋" w:eastAsia="仿宋" w:cs="Times New Roman"/>
          <w:b w:val="0"/>
          <w:bCs/>
          <w:color w:val="000000"/>
          <w:sz w:val="32"/>
          <w:szCs w:val="32"/>
          <w:lang w:val="en-US" w:eastAsia="zh-CN"/>
        </w:rPr>
        <w:t>。</w:t>
      </w:r>
    </w:p>
    <w:p>
      <w:pPr>
        <w:tabs>
          <w:tab w:val="right" w:pos="8306"/>
        </w:tabs>
        <w:spacing w:line="600" w:lineRule="exact"/>
        <w:ind w:firstLine="640"/>
        <w:outlineLvl w:val="1"/>
        <w:rPr>
          <w:rStyle w:val="27"/>
        </w:rPr>
      </w:pPr>
      <w:bookmarkStart w:id="64" w:name="_Toc15377214"/>
      <w:bookmarkStart w:id="65" w:name="_Toc79163618"/>
      <w:bookmarkStart w:id="66" w:name="_Toc79163868"/>
      <w:bookmarkStart w:id="6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4"/>
      <w:bookmarkEnd w:id="65"/>
      <w:bookmarkEnd w:id="66"/>
      <w:bookmarkEnd w:id="67"/>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101.31</w:t>
      </w:r>
      <w:r>
        <w:rPr>
          <w:rFonts w:hint="eastAsia" w:ascii="仿宋" w:hAns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96.92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4.39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68" w:name="_Toc79163869"/>
      <w:bookmarkStart w:id="69" w:name="_Toc15396609"/>
      <w:bookmarkStart w:id="70" w:name="_Toc15377215"/>
      <w:bookmarkStart w:id="71" w:name="_Toc7916361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ascii="仿宋" w:hAnsi="仿宋" w:eastAsia="仿宋"/>
          <w:b/>
          <w:color w:val="000000"/>
          <w:sz w:val="32"/>
          <w:szCs w:val="32"/>
        </w:rPr>
      </w:pPr>
      <w:bookmarkStart w:id="72" w:name="_Toc15377216"/>
      <w:bookmarkStart w:id="73" w:name="_Toc79163870"/>
      <w:bookmarkStart w:id="74" w:name="_Toc79163620"/>
      <w:r>
        <w:rPr>
          <w:rFonts w:hint="eastAsia" w:ascii="仿宋" w:hAnsi="仿宋" w:eastAsia="仿宋"/>
          <w:b/>
          <w:color w:val="000000"/>
          <w:sz w:val="32"/>
          <w:szCs w:val="32"/>
        </w:rPr>
        <w:t>（一）“三公”经费财政拨款支出决算总体情况说明</w:t>
      </w:r>
      <w:bookmarkEnd w:id="72"/>
      <w:bookmarkEnd w:id="73"/>
      <w:bookmarkEnd w:id="7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5" w:name="_Toc79163871"/>
      <w:bookmarkStart w:id="76" w:name="_Toc79163621"/>
      <w:bookmarkStart w:id="77" w:name="_Toc15377217"/>
      <w:r>
        <w:rPr>
          <w:rFonts w:hint="eastAsia" w:ascii="仿宋" w:hAnsi="仿宋" w:eastAsia="仿宋"/>
          <w:b/>
          <w:color w:val="000000"/>
          <w:sz w:val="32"/>
          <w:szCs w:val="32"/>
        </w:rPr>
        <w:t>（二）“三公”经费财政拨款支出决算具体情况说明</w:t>
      </w:r>
      <w:bookmarkEnd w:id="75"/>
      <w:bookmarkEnd w:id="76"/>
      <w:bookmarkEnd w:id="77"/>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p>
    <w:p>
      <w:pPr>
        <w:numPr>
          <w:ilvl w:val="0"/>
          <w:numId w:val="3"/>
        </w:numPr>
        <w:spacing w:line="600" w:lineRule="exact"/>
        <w:ind w:firstLine="640"/>
        <w:rPr>
          <w:rStyle w:val="24"/>
          <w:rFonts w:hint="eastAsia" w:ascii="仿宋" w:hAnsi="仿宋" w:eastAsia="仿宋"/>
          <w:b w:val="0"/>
          <w:bCs/>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lang w:eastAsia="zh-CN"/>
        </w:rPr>
        <w:t>，</w:t>
      </w:r>
      <w:r>
        <w:rPr>
          <w:rFonts w:hint="eastAsia" w:ascii="仿宋" w:hAnsi="仿宋" w:eastAsia="仿宋"/>
          <w:b/>
          <w:color w:val="000000"/>
          <w:sz w:val="32"/>
          <w:szCs w:val="32"/>
          <w:lang w:val="en-US" w:eastAsia="zh-CN"/>
        </w:rPr>
        <w:t>无</w:t>
      </w:r>
      <w:r>
        <w:rPr>
          <w:rFonts w:hint="eastAsia" w:ascii="仿宋" w:hAnsi="仿宋" w:eastAsia="仿宋"/>
          <w:b/>
          <w:color w:val="000000"/>
          <w:sz w:val="32"/>
          <w:szCs w:val="32"/>
        </w:rPr>
        <w:t>国内公务接待支出</w:t>
      </w:r>
      <w:r>
        <w:rPr>
          <w:rFonts w:hint="eastAsia" w:ascii="仿宋_GB2312" w:eastAsia="仿宋_GB2312"/>
          <w:color w:val="000000"/>
          <w:sz w:val="32"/>
          <w:szCs w:val="32"/>
          <w:lang w:eastAsia="zh-CN"/>
        </w:rPr>
        <w:t>，</w:t>
      </w:r>
      <w:r>
        <w:rPr>
          <w:rFonts w:hint="eastAsia" w:ascii="仿宋" w:hAnsi="仿宋" w:eastAsia="仿宋"/>
          <w:b/>
          <w:color w:val="000000"/>
          <w:sz w:val="32"/>
          <w:szCs w:val="32"/>
          <w:lang w:eastAsia="zh-CN"/>
        </w:rPr>
        <w:t>无</w:t>
      </w:r>
      <w:r>
        <w:rPr>
          <w:rFonts w:hint="eastAsia" w:ascii="仿宋" w:hAnsi="仿宋" w:eastAsia="仿宋"/>
          <w:b/>
          <w:color w:val="000000"/>
          <w:sz w:val="32"/>
          <w:szCs w:val="32"/>
        </w:rPr>
        <w:t>外事接待支出</w:t>
      </w:r>
      <w:r>
        <w:rPr>
          <w:rFonts w:hint="eastAsia" w:ascii="仿宋_GB2312" w:eastAsia="仿宋_GB2312"/>
          <w:color w:val="000000"/>
          <w:sz w:val="32"/>
          <w:szCs w:val="32"/>
          <w:lang w:eastAsia="zh-CN"/>
        </w:rPr>
        <w:t>。</w:t>
      </w:r>
    </w:p>
    <w:p>
      <w:pPr>
        <w:spacing w:line="600" w:lineRule="exact"/>
        <w:ind w:firstLine="640"/>
        <w:outlineLvl w:val="1"/>
        <w:rPr>
          <w:rStyle w:val="27"/>
          <w:rFonts w:ascii="黑体" w:hAnsi="黑体" w:eastAsia="黑体"/>
        </w:rPr>
      </w:pPr>
      <w:bookmarkStart w:id="78" w:name="_Toc79163872"/>
      <w:bookmarkStart w:id="79" w:name="_Toc15396610"/>
      <w:bookmarkStart w:id="80" w:name="_Toc79163622"/>
      <w:bookmarkStart w:id="81"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4"/>
        </w:numPr>
        <w:spacing w:line="600" w:lineRule="exact"/>
        <w:ind w:firstLine="640"/>
        <w:outlineLvl w:val="1"/>
        <w:rPr>
          <w:rStyle w:val="27"/>
          <w:rFonts w:ascii="黑体" w:hAnsi="黑体" w:eastAsia="黑体"/>
          <w:b w:val="0"/>
        </w:rPr>
      </w:pPr>
      <w:bookmarkStart w:id="82" w:name="_Toc79163623"/>
      <w:bookmarkStart w:id="83" w:name="_Toc79163873"/>
      <w:bookmarkStart w:id="84" w:name="_Toc15377219"/>
      <w:bookmarkStart w:id="85" w:name="_Toc15396611"/>
      <w:r>
        <w:rPr>
          <w:rStyle w:val="27"/>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7"/>
          <w:rFonts w:ascii="黑体" w:hAnsi="黑体" w:eastAsia="黑体"/>
        </w:rPr>
      </w:pPr>
      <w:bookmarkStart w:id="86" w:name="_Toc15377221"/>
      <w:bookmarkStart w:id="87" w:name="_Toc79163874"/>
      <w:bookmarkStart w:id="88" w:name="_Toc79163624"/>
      <w:bookmarkStart w:id="89"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6"/>
      <w:bookmarkEnd w:id="87"/>
      <w:bookmarkEnd w:id="88"/>
      <w:bookmarkEnd w:id="89"/>
    </w:p>
    <w:p>
      <w:pPr>
        <w:spacing w:line="600" w:lineRule="exact"/>
        <w:ind w:firstLine="643" w:firstLineChars="200"/>
        <w:outlineLvl w:val="2"/>
        <w:rPr>
          <w:rFonts w:ascii="仿宋" w:hAnsi="仿宋" w:eastAsia="仿宋"/>
          <w:color w:val="000000"/>
          <w:sz w:val="32"/>
          <w:szCs w:val="32"/>
        </w:rPr>
      </w:pPr>
      <w:bookmarkStart w:id="90" w:name="_Toc79163625"/>
      <w:bookmarkStart w:id="91" w:name="_Toc15377222"/>
      <w:bookmarkStart w:id="92" w:name="_Toc79163875"/>
      <w:r>
        <w:rPr>
          <w:rFonts w:hint="eastAsia" w:ascii="仿宋" w:hAnsi="仿宋" w:eastAsia="仿宋"/>
          <w:b/>
          <w:color w:val="000000"/>
          <w:sz w:val="32"/>
          <w:szCs w:val="32"/>
        </w:rPr>
        <w:t>（一）机关运行经费支出情况</w:t>
      </w:r>
      <w:bookmarkEnd w:id="90"/>
      <w:bookmarkEnd w:id="91"/>
      <w:bookmarkEnd w:id="92"/>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团县委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4.39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年增减少</w:t>
      </w:r>
      <w:r>
        <w:rPr>
          <w:rFonts w:hint="eastAsia" w:ascii="仿宋_GB2312" w:eastAsia="仿宋_GB2312"/>
          <w:color w:val="000000"/>
          <w:sz w:val="32"/>
          <w:szCs w:val="32"/>
          <w:lang w:val="en-US" w:eastAsia="zh-CN"/>
        </w:rPr>
        <w:t>5.21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54</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年决算数持平）。主要原因是</w:t>
      </w:r>
      <w:r>
        <w:rPr>
          <w:rFonts w:hint="eastAsia" w:ascii="仿宋_GB2312" w:eastAsia="仿宋_GB2312"/>
          <w:color w:val="000000"/>
          <w:sz w:val="32"/>
          <w:szCs w:val="32"/>
          <w:lang w:eastAsia="zh-CN"/>
        </w:rPr>
        <w:t>办公费减少。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3" w:name="_Toc79163626"/>
      <w:bookmarkStart w:id="94" w:name="_Toc79163876"/>
      <w:bookmarkStart w:id="95" w:name="_Toc15377223"/>
      <w:r>
        <w:rPr>
          <w:rFonts w:hint="eastAsia" w:ascii="仿宋" w:hAnsi="仿宋" w:eastAsia="仿宋"/>
          <w:b/>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团县委无</w:t>
      </w:r>
      <w:r>
        <w:rPr>
          <w:rFonts w:hint="eastAsia" w:ascii="仿宋_GB2312" w:eastAsia="仿宋_GB2312"/>
          <w:color w:val="000000"/>
          <w:sz w:val="32"/>
          <w:szCs w:val="32"/>
        </w:rPr>
        <w:t>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6" w:name="_Toc79163877"/>
      <w:bookmarkStart w:id="97" w:name="_Toc79163627"/>
      <w:bookmarkStart w:id="98" w:name="_Toc15377224"/>
      <w:r>
        <w:rPr>
          <w:rFonts w:hint="eastAsia" w:ascii="仿宋" w:hAns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团县委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79163628"/>
      <w:bookmarkStart w:id="100" w:name="_Toc79163878"/>
      <w:r>
        <w:rPr>
          <w:rFonts w:hint="eastAsia" w:ascii="仿宋" w:hAnsi="仿宋" w:eastAsia="仿宋"/>
          <w:b/>
          <w:color w:val="000000"/>
          <w:sz w:val="32"/>
          <w:szCs w:val="32"/>
        </w:rPr>
        <w:t>（四）预算绩效管理情况。</w:t>
      </w:r>
      <w:bookmarkEnd w:id="99"/>
      <w:bookmarkEnd w:id="10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组织项目（项目名称）开展预算事前绩效评估，对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年我单位在</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的领导下、</w:t>
      </w:r>
      <w:r>
        <w:rPr>
          <w:rFonts w:hint="eastAsia" w:ascii="仿宋_GB2312" w:hAnsi="仿宋_GB2312" w:eastAsia="仿宋_GB2312" w:cs="仿宋_GB2312"/>
          <w:sz w:val="32"/>
          <w:szCs w:val="32"/>
          <w:lang w:eastAsia="zh-CN"/>
        </w:rPr>
        <w:t>团州委</w:t>
      </w:r>
      <w:r>
        <w:rPr>
          <w:rFonts w:hint="eastAsia" w:ascii="仿宋_GB2312" w:hAnsi="仿宋_GB2312" w:eastAsia="仿宋_GB2312" w:cs="仿宋_GB2312"/>
          <w:sz w:val="32"/>
          <w:szCs w:val="32"/>
        </w:rPr>
        <w:t>的指导下，紧紧围绕县委、县政府中心工作和构建和谐社会的总体目标，按照为</w:t>
      </w:r>
      <w:r>
        <w:rPr>
          <w:rFonts w:hint="eastAsia" w:ascii="仿宋_GB2312" w:hAnsi="仿宋_GB2312" w:eastAsia="仿宋_GB2312" w:cs="仿宋_GB2312"/>
          <w:sz w:val="32"/>
          <w:szCs w:val="32"/>
          <w:lang w:eastAsia="zh-CN"/>
        </w:rPr>
        <w:t>团员、青年</w:t>
      </w:r>
      <w:r>
        <w:rPr>
          <w:rFonts w:hint="eastAsia" w:ascii="仿宋_GB2312" w:hAnsi="仿宋_GB2312" w:eastAsia="仿宋_GB2312" w:cs="仿宋_GB2312"/>
          <w:sz w:val="32"/>
          <w:szCs w:val="32"/>
        </w:rPr>
        <w:t>服务的要求，促进</w:t>
      </w:r>
      <w:r>
        <w:rPr>
          <w:rFonts w:hint="eastAsia" w:ascii="仿宋_GB2312" w:hAnsi="仿宋_GB2312" w:eastAsia="仿宋_GB2312" w:cs="仿宋_GB2312"/>
          <w:sz w:val="32"/>
          <w:szCs w:val="32"/>
          <w:lang w:eastAsia="zh-CN"/>
        </w:rPr>
        <w:t>团的事业</w:t>
      </w:r>
      <w:r>
        <w:rPr>
          <w:rFonts w:hint="eastAsia" w:ascii="仿宋_GB2312" w:hAnsi="仿宋_GB2312" w:eastAsia="仿宋_GB2312" w:cs="仿宋_GB2312"/>
          <w:sz w:val="32"/>
          <w:szCs w:val="32"/>
        </w:rPr>
        <w:t>发展，切实改进工作作风，做到观念上有新转变，思想上有新飞跃，思路上有新调整，工作上有新突破，提升干部形象上有新发展，更好地为我县经济发展和社会和谐稳定提供优质、高效、便捷的服务。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本部门无专项预算项目，因此未组织开展项目支出绩效评价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本部门未组织开展项目支出绩效评价。</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480" w:lineRule="exact"/>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w:t>
      </w:r>
    </w:p>
    <w:p>
      <w:pPr>
        <w:spacing w:line="48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展自评，《</w:t>
      </w:r>
      <w:r>
        <w:rPr>
          <w:rFonts w:hint="eastAsia" w:ascii="仿宋_GB2312" w:hAnsi="仿宋_GB2312" w:eastAsia="仿宋_GB2312" w:cs="仿宋_GB2312"/>
          <w:sz w:val="32"/>
          <w:szCs w:val="32"/>
          <w:lang w:eastAsia="zh-CN"/>
        </w:rPr>
        <w:t>共青团松潘县委员会</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自行组织项目绩效评价。（非涉密部门均需公开部门整体支出评价报告，部门自行组织的绩效评价情况根据部门实际公开，若未组织项目绩效评价，则只需说明部门整体支出绩效评价情况）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101" w:name="_Toc79163629"/>
      <w:bookmarkStart w:id="102" w:name="_Toc15377225"/>
      <w:bookmarkStart w:id="103" w:name="_Toc15396613"/>
      <w:bookmarkStart w:id="104" w:name="_Toc79163879"/>
      <w:r>
        <w:rPr>
          <w:rFonts w:hint="eastAsia" w:ascii="黑体" w:hAnsi="黑体" w:eastAsia="黑体"/>
          <w:color w:val="000000"/>
          <w:sz w:val="44"/>
          <w:szCs w:val="44"/>
        </w:rPr>
        <w:t>名</w:t>
      </w:r>
      <w:r>
        <w:rPr>
          <w:rStyle w:val="26"/>
          <w:rFonts w:hint="eastAsia" w:ascii="黑体" w:hAns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1.</w:t>
      </w:r>
      <w:r>
        <w:rPr>
          <w:rFonts w:hint="eastAsia" w:ascii="仿宋_GB2312" w:eastAsia="仿宋_GB2312"/>
          <w:color w:val="FF0000"/>
          <w:sz w:val="32"/>
          <w:szCs w:val="32"/>
        </w:rPr>
        <w:t>财政拨款收入：指单位从同级财政部门取得的财政预算资金。</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2.</w:t>
      </w:r>
      <w:r>
        <w:rPr>
          <w:rFonts w:hint="eastAsia" w:ascii="仿宋_GB2312" w:eastAsia="仿宋_GB2312"/>
          <w:color w:val="FF0000"/>
          <w:sz w:val="32"/>
          <w:szCs w:val="32"/>
        </w:rPr>
        <w:t>事业收入：指事业单位开展专业业务活动及辅助活动取得的收入。如…（二级预算单位事业收入情况）等。</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3.</w:t>
      </w:r>
      <w:r>
        <w:rPr>
          <w:rFonts w:hint="eastAsia" w:ascii="仿宋_GB2312" w:eastAsia="仿宋_GB2312"/>
          <w:color w:val="FF0000"/>
          <w:sz w:val="32"/>
          <w:szCs w:val="32"/>
        </w:rPr>
        <w:t>经营收入：指事业单位在专业业务活动及其辅助活动之外开展非独立核算经营活动取得的收入。如…（二级预算单位经营收入情况）等。</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4.</w:t>
      </w:r>
      <w:r>
        <w:rPr>
          <w:rFonts w:hint="eastAsia" w:ascii="仿宋_GB2312" w:eastAsia="仿宋_GB2312"/>
          <w:color w:val="FF0000"/>
          <w:sz w:val="32"/>
          <w:szCs w:val="32"/>
        </w:rPr>
        <w:t>其他收入：指单位取得的除上述收入以外的各项收入。主要是…（收入类型）等。</w:t>
      </w:r>
      <w:r>
        <w:rPr>
          <w:rFonts w:ascii="仿宋_GB2312" w:eastAsia="仿宋_GB2312"/>
          <w:color w:val="FF0000"/>
          <w:sz w:val="32"/>
          <w:szCs w:val="32"/>
        </w:rPr>
        <w:t xml:space="preserve"> </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5.</w:t>
      </w:r>
      <w:r>
        <w:rPr>
          <w:rFonts w:hint="eastAsia" w:ascii="仿宋_GB2312" w:eastAsia="仿宋_GB2312"/>
          <w:color w:val="FF0000"/>
          <w:sz w:val="32"/>
          <w:szCs w:val="32"/>
        </w:rPr>
        <w:t>使用非财政拨款结余：指事业单位使用以前年度积累的非财政拨款结余弥补当年收支差额的金额。</w:t>
      </w:r>
      <w:r>
        <w:rPr>
          <w:rFonts w:ascii="仿宋_GB2312" w:eastAsia="仿宋_GB2312"/>
          <w:color w:val="FF0000"/>
          <w:sz w:val="32"/>
          <w:szCs w:val="32"/>
        </w:rPr>
        <w:t xml:space="preserve"> </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6.</w:t>
      </w:r>
      <w:r>
        <w:rPr>
          <w:rFonts w:hint="eastAsia" w:ascii="仿宋_GB2312" w:eastAsia="仿宋_GB2312"/>
          <w:color w:val="FF0000"/>
          <w:sz w:val="32"/>
          <w:szCs w:val="32"/>
        </w:rPr>
        <w:t>年初结转和结余：指以前年度尚未完成、结转到本年按有关规定继续使用的资金。</w:t>
      </w:r>
      <w:r>
        <w:rPr>
          <w:rFonts w:ascii="仿宋_GB2312" w:eastAsia="仿宋_GB2312"/>
          <w:color w:val="FF0000"/>
          <w:sz w:val="32"/>
          <w:szCs w:val="32"/>
        </w:rPr>
        <w:t xml:space="preserve"> </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7.</w:t>
      </w:r>
      <w:r>
        <w:rPr>
          <w:rFonts w:hint="eastAsia" w:ascii="仿宋_GB2312" w:eastAsia="仿宋_GB2312"/>
          <w:color w:val="FF0000"/>
          <w:sz w:val="32"/>
          <w:szCs w:val="32"/>
        </w:rPr>
        <w:t>结余分配：指事业单位按照会计制度规定缴纳的所得税、提取的专用结余以及转入非财政拨款结余的金额等。</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8</w:t>
      </w:r>
      <w:r>
        <w:rPr>
          <w:rFonts w:hint="eastAsia" w:ascii="仿宋_GB2312" w:eastAsia="仿宋_GB2312"/>
          <w:color w:val="FF0000"/>
          <w:sz w:val="32"/>
          <w:szCs w:val="32"/>
        </w:rPr>
        <w:t>、年末结转和结余：指单位按有关规定结转到下年或以后年度继续使用的资金。</w:t>
      </w:r>
    </w:p>
    <w:p>
      <w:pPr>
        <w:ind w:firstLine="640" w:firstLineChars="200"/>
        <w:rPr>
          <w:rFonts w:ascii="仿宋_GB2312" w:eastAsia="仿宋_GB2312"/>
          <w:color w:val="FF0000"/>
          <w:sz w:val="32"/>
          <w:szCs w:val="32"/>
        </w:rPr>
      </w:pPr>
      <w:r>
        <w:rPr>
          <w:rFonts w:ascii="仿宋_GB2312" w:eastAsia="仿宋_GB2312"/>
          <w:color w:val="FF0000"/>
          <w:sz w:val="32"/>
          <w:szCs w:val="32"/>
        </w:rPr>
        <w:t>9.</w:t>
      </w:r>
      <w:r>
        <w:rPr>
          <w:rFonts w:hint="eastAsia" w:ascii="仿宋_GB2312" w:eastAsia="仿宋_GB2312"/>
          <w:color w:val="FF0000"/>
          <w:sz w:val="32"/>
          <w:szCs w:val="32"/>
        </w:rPr>
        <w:t>一般公共服务（类）…（款）…（项）：指……。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10.</w:t>
      </w:r>
      <w:r>
        <w:rPr>
          <w:rFonts w:hint="eastAsia" w:ascii="仿宋_GB2312" w:eastAsia="仿宋_GB2312"/>
          <w:color w:val="FF0000"/>
          <w:sz w:val="32"/>
          <w:szCs w:val="32"/>
        </w:rPr>
        <w:t>外交（类）…（款）…（项）：指……。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11.</w:t>
      </w:r>
      <w:r>
        <w:rPr>
          <w:rFonts w:hint="eastAsia" w:ascii="仿宋_GB2312" w:eastAsia="仿宋_GB2312"/>
          <w:color w:val="FF0000"/>
          <w:sz w:val="32"/>
          <w:szCs w:val="32"/>
        </w:rPr>
        <w:t>公共安全（类）…（款）…（项）：指……。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12.</w:t>
      </w:r>
      <w:r>
        <w:rPr>
          <w:rFonts w:hint="eastAsia" w:ascii="仿宋_GB2312" w:eastAsia="仿宋_GB2312"/>
          <w:color w:val="FF0000"/>
          <w:sz w:val="32"/>
          <w:szCs w:val="32"/>
        </w:rPr>
        <w:t>教育（类）…（款）…（项）：指……。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13.</w:t>
      </w:r>
      <w:r>
        <w:rPr>
          <w:rFonts w:hint="eastAsia" w:ascii="仿宋_GB2312" w:eastAsia="仿宋_GB2312"/>
          <w:color w:val="FF0000"/>
          <w:sz w:val="32"/>
          <w:szCs w:val="32"/>
        </w:rPr>
        <w:t>科学技术（类）…（款）…（项）：指……。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14.</w:t>
      </w:r>
      <w:r>
        <w:rPr>
          <w:rFonts w:hint="eastAsia" w:ascii="仿宋_GB2312" w:eastAsia="仿宋_GB2312"/>
          <w:color w:val="FF0000"/>
          <w:sz w:val="32"/>
          <w:szCs w:val="32"/>
        </w:rPr>
        <w:t>文化体育与传媒（类）…（款）…（项）：指……。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15.</w:t>
      </w:r>
      <w:r>
        <w:rPr>
          <w:rFonts w:hint="eastAsia" w:ascii="仿宋_GB2312" w:eastAsia="仿宋_GB2312"/>
          <w:color w:val="FF0000"/>
          <w:sz w:val="32"/>
          <w:szCs w:val="32"/>
        </w:rPr>
        <w:t>社会保障和就业（类）…（款）…（项）：指……。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16.</w:t>
      </w:r>
      <w:r>
        <w:rPr>
          <w:rFonts w:hint="eastAsia" w:ascii="仿宋_GB2312" w:eastAsia="仿宋_GB2312"/>
          <w:color w:val="FF0000"/>
          <w:sz w:val="32"/>
          <w:szCs w:val="32"/>
        </w:rPr>
        <w:t>医疗卫生与计划生育（类）…（款）…（项）：指……。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17.</w:t>
      </w:r>
      <w:r>
        <w:rPr>
          <w:rFonts w:hint="eastAsia" w:ascii="仿宋_GB2312" w:eastAsia="仿宋_GB2312"/>
          <w:color w:val="FF0000"/>
          <w:sz w:val="32"/>
          <w:szCs w:val="32"/>
        </w:rPr>
        <w:t>节能环保（类）…（款）…（项）：指……。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18.</w:t>
      </w:r>
      <w:r>
        <w:rPr>
          <w:rFonts w:hint="eastAsia" w:ascii="仿宋_GB2312" w:eastAsia="仿宋_GB2312"/>
          <w:color w:val="FF0000"/>
          <w:sz w:val="32"/>
          <w:szCs w:val="32"/>
        </w:rPr>
        <w:t>城乡社区（类）…（款）…（项）：指……。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19.</w:t>
      </w:r>
      <w:r>
        <w:rPr>
          <w:rFonts w:hint="eastAsia" w:ascii="仿宋_GB2312" w:eastAsia="仿宋_GB2312"/>
          <w:color w:val="FF0000"/>
          <w:sz w:val="32"/>
          <w:szCs w:val="32"/>
        </w:rPr>
        <w:t>农林水（类）…（款）…（项）：指……。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20.</w:t>
      </w:r>
      <w:r>
        <w:rPr>
          <w:rFonts w:hint="eastAsia" w:ascii="仿宋_GB2312" w:eastAsia="仿宋_GB2312"/>
          <w:color w:val="FF0000"/>
          <w:sz w:val="32"/>
          <w:szCs w:val="32"/>
        </w:rPr>
        <w:t>交通运输（类）…（款）…（项）：指……。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21.</w:t>
      </w:r>
      <w:r>
        <w:rPr>
          <w:rFonts w:hint="eastAsia" w:ascii="仿宋_GB2312" w:eastAsia="仿宋_GB2312"/>
          <w:color w:val="FF0000"/>
          <w:sz w:val="32"/>
          <w:szCs w:val="32"/>
        </w:rPr>
        <w:t>资源勘探信息等（类）…（款）…（项）：指……。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22.</w:t>
      </w:r>
      <w:r>
        <w:rPr>
          <w:rFonts w:hint="eastAsia" w:ascii="仿宋_GB2312" w:eastAsia="仿宋_GB2312"/>
          <w:color w:val="FF0000"/>
          <w:sz w:val="32"/>
          <w:szCs w:val="32"/>
        </w:rPr>
        <w:t>商业服务业（类）…（款）…（项）：指……。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23.</w:t>
      </w:r>
      <w:r>
        <w:rPr>
          <w:rFonts w:hint="eastAsia" w:ascii="仿宋_GB2312" w:eastAsia="仿宋_GB2312"/>
          <w:color w:val="FF0000"/>
          <w:sz w:val="32"/>
          <w:szCs w:val="32"/>
        </w:rPr>
        <w:t>金融（类）…（款）…（项）：指……。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24.</w:t>
      </w:r>
      <w:r>
        <w:rPr>
          <w:rFonts w:hint="eastAsia" w:ascii="仿宋_GB2312" w:eastAsia="仿宋_GB2312"/>
          <w:color w:val="FF0000"/>
          <w:sz w:val="32"/>
          <w:szCs w:val="32"/>
        </w:rPr>
        <w:t>国土海洋气象等（类）…（款）…（项）：指……。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25.</w:t>
      </w:r>
      <w:r>
        <w:rPr>
          <w:rFonts w:hint="eastAsia" w:ascii="仿宋_GB2312" w:eastAsia="仿宋_GB2312"/>
          <w:color w:val="FF0000"/>
          <w:sz w:val="32"/>
          <w:szCs w:val="32"/>
        </w:rPr>
        <w:t>住房保障（类）…（款）…（项）：指……。</w:t>
      </w:r>
    </w:p>
    <w:p>
      <w:pPr>
        <w:ind w:firstLine="640" w:firstLineChars="200"/>
        <w:rPr>
          <w:rFonts w:ascii="仿宋_GB2312" w:eastAsia="仿宋_GB2312"/>
          <w:color w:val="FF0000"/>
          <w:sz w:val="32"/>
          <w:szCs w:val="32"/>
        </w:rPr>
      </w:pPr>
      <w:r>
        <w:rPr>
          <w:rFonts w:ascii="仿宋_GB2312" w:eastAsia="仿宋_GB2312"/>
          <w:color w:val="FF0000"/>
          <w:sz w:val="32"/>
          <w:szCs w:val="32"/>
        </w:rPr>
        <w:t>26.</w:t>
      </w:r>
      <w:r>
        <w:rPr>
          <w:rFonts w:hint="eastAsia" w:ascii="仿宋_GB2312" w:eastAsia="仿宋_GB2312"/>
          <w:color w:val="FF0000"/>
          <w:sz w:val="32"/>
          <w:szCs w:val="32"/>
        </w:rPr>
        <w:t>粮油物资储备（类）…（款）…（项）：指……。</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t>……</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t>……</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（解释本部门决算报表中全部功能分类科目至项级，请参照《</w:t>
      </w:r>
      <w:r>
        <w:rPr>
          <w:rFonts w:ascii="仿宋" w:hAnsi="仿宋" w:eastAsia="仿宋"/>
          <w:b/>
          <w:color w:val="FF0000"/>
          <w:sz w:val="32"/>
          <w:szCs w:val="32"/>
        </w:rPr>
        <w:t>202</w:t>
      </w:r>
      <w:r>
        <w:rPr>
          <w:rFonts w:hint="eastAsia" w:ascii="仿宋" w:hAnsi="仿宋" w:eastAsia="仿宋"/>
          <w:b/>
          <w:color w:val="FF0000"/>
          <w:sz w:val="32"/>
          <w:szCs w:val="32"/>
          <w:lang w:val="en-US" w:eastAsia="zh-CN"/>
        </w:rPr>
        <w:t>1</w:t>
      </w:r>
      <w:r>
        <w:rPr>
          <w:rFonts w:hint="eastAsia" w:ascii="仿宋" w:hAnsi="仿宋" w:eastAsia="仿宋"/>
          <w:b/>
          <w:color w:val="FF0000"/>
          <w:sz w:val="32"/>
          <w:szCs w:val="32"/>
        </w:rPr>
        <w:t>年政府收支分类科目》增减内容。）</w:t>
      </w:r>
    </w:p>
    <w:p>
      <w:pPr>
        <w:ind w:firstLine="640" w:firstLineChars="200"/>
        <w:rPr>
          <w:rFonts w:ascii="仿宋_GB2312" w:eastAsia="仿宋_GB2312"/>
          <w:color w:val="FF0000"/>
          <w:sz w:val="32"/>
          <w:szCs w:val="32"/>
        </w:rPr>
      </w:pPr>
      <w:r>
        <w:rPr>
          <w:rFonts w:ascii="仿宋_GB2312" w:eastAsia="仿宋_GB2312"/>
          <w:color w:val="FF0000"/>
          <w:sz w:val="32"/>
          <w:szCs w:val="32"/>
        </w:rPr>
        <w:t>27.</w:t>
      </w:r>
      <w:r>
        <w:rPr>
          <w:rFonts w:hint="eastAsia" w:ascii="仿宋_GB2312" w:eastAsia="仿宋_GB2312"/>
          <w:color w:val="FF0000"/>
          <w:sz w:val="32"/>
          <w:szCs w:val="32"/>
        </w:rPr>
        <w:t>基本支出：指为保障机构正常运转、完成日常工作任务而发生的人员支出和公用支出。</w:t>
      </w:r>
    </w:p>
    <w:p>
      <w:pPr>
        <w:ind w:firstLine="640" w:firstLineChars="200"/>
        <w:rPr>
          <w:rFonts w:ascii="仿宋_GB2312" w:eastAsia="仿宋_GB2312"/>
          <w:color w:val="FF0000"/>
          <w:sz w:val="32"/>
          <w:szCs w:val="32"/>
        </w:rPr>
      </w:pPr>
      <w:r>
        <w:rPr>
          <w:rFonts w:ascii="仿宋_GB2312" w:eastAsia="仿宋_GB2312"/>
          <w:color w:val="FF0000"/>
          <w:sz w:val="32"/>
          <w:szCs w:val="32"/>
        </w:rPr>
        <w:t>28.</w:t>
      </w:r>
      <w:r>
        <w:rPr>
          <w:rFonts w:hint="eastAsia" w:ascii="仿宋_GB2312" w:eastAsia="仿宋_GB2312"/>
          <w:color w:val="FF0000"/>
          <w:sz w:val="32"/>
          <w:szCs w:val="32"/>
        </w:rPr>
        <w:t>项目支出：指在基本支出之外为完成特定行政任务和事业发展目标所发生的支出。</w:t>
      </w:r>
      <w:r>
        <w:rPr>
          <w:rFonts w:ascii="仿宋_GB2312" w:eastAsia="仿宋_GB2312"/>
          <w:color w:val="FF0000"/>
          <w:sz w:val="32"/>
          <w:szCs w:val="32"/>
        </w:rPr>
        <w:t xml:space="preserve"> </w:t>
      </w:r>
    </w:p>
    <w:p>
      <w:pPr>
        <w:ind w:firstLine="640" w:firstLineChars="200"/>
        <w:rPr>
          <w:rFonts w:ascii="仿宋_GB2312" w:eastAsia="仿宋_GB2312"/>
          <w:color w:val="FF0000"/>
          <w:sz w:val="32"/>
          <w:szCs w:val="32"/>
        </w:rPr>
      </w:pPr>
      <w:r>
        <w:rPr>
          <w:rFonts w:ascii="仿宋_GB2312" w:eastAsia="仿宋_GB2312"/>
          <w:color w:val="FF0000"/>
          <w:sz w:val="32"/>
          <w:szCs w:val="32"/>
        </w:rPr>
        <w:t>29.</w:t>
      </w:r>
      <w:r>
        <w:rPr>
          <w:rFonts w:hint="eastAsia" w:ascii="仿宋_GB2312" w:eastAsia="仿宋_GB2312"/>
          <w:color w:val="FF0000"/>
          <w:sz w:val="32"/>
          <w:szCs w:val="32"/>
        </w:rPr>
        <w:t>经营支出：指事业单位在专业业务活动及其辅助活动之外开展非独立核算经营活动发生的支出。</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30.</w:t>
      </w:r>
      <w:r>
        <w:rPr>
          <w:rFonts w:hint="eastAsia" w:ascii="仿宋_GB2312" w:eastAsia="仿宋_GB2312"/>
          <w:color w:val="FF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31.</w:t>
      </w:r>
      <w:r>
        <w:rPr>
          <w:rFonts w:hint="eastAsia" w:ascii="仿宋_GB2312" w:eastAsia="仿宋_GB2312"/>
          <w:color w:val="FF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6"/>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32.</w:t>
      </w:r>
      <w:r>
        <w:rPr>
          <w:rFonts w:hint="eastAsia" w:ascii="仿宋_GB2312" w:eastAsia="仿宋_GB2312"/>
          <w:color w:val="FF0000"/>
          <w:sz w:val="32"/>
          <w:szCs w:val="32"/>
        </w:rPr>
        <w:t>……。</w:t>
      </w:r>
    </w:p>
    <w:p>
      <w:pPr>
        <w:pStyle w:val="36"/>
        <w:spacing w:line="560" w:lineRule="exact"/>
        <w:ind w:firstLine="640" w:firstLineChars="200"/>
        <w:rPr>
          <w:rFonts w:ascii="仿宋_GB2312" w:eastAsia="仿宋_GB2312" w:cs="黑体"/>
          <w:color w:val="FF0000"/>
          <w:sz w:val="32"/>
          <w:szCs w:val="32"/>
        </w:rPr>
      </w:pPr>
    </w:p>
    <w:p>
      <w:pPr>
        <w:ind w:firstLine="643" w:firstLineChars="200"/>
        <w:rPr>
          <w:rFonts w:ascii="仿宋" w:hAnsi="仿宋" w:eastAsia="仿宋"/>
          <w:b/>
          <w:color w:val="FF0000"/>
          <w:sz w:val="32"/>
          <w:szCs w:val="32"/>
        </w:rPr>
      </w:pPr>
      <w:r>
        <w:rPr>
          <w:rFonts w:hint="eastAsia" w:ascii="仿宋" w:hAnsi="仿宋" w:eastAsia="仿宋"/>
          <w:b/>
          <w:color w:val="FF0000"/>
          <w:sz w:val="32"/>
          <w:szCs w:val="32"/>
        </w:rPr>
        <w:t>（名词解释部分请根据各部门实际列支情况罗列，并根据本部门职责职能增减名词解释内容。）</w:t>
      </w:r>
    </w:p>
    <w:p>
      <w:pPr>
        <w:spacing w:line="600" w:lineRule="exact"/>
        <w:jc w:val="center"/>
        <w:outlineLvl w:val="0"/>
        <w:rPr>
          <w:rStyle w:val="26"/>
          <w:rFonts w:ascii="黑体" w:hAnsi="黑体" w:eastAsia="黑体"/>
          <w:b w:val="0"/>
        </w:rPr>
      </w:pPr>
      <w:bookmarkStart w:id="105" w:name="_Toc15377226"/>
      <w:r>
        <w:rPr>
          <w:rFonts w:ascii="宋体"/>
          <w:b/>
          <w:color w:val="FF0000"/>
          <w:sz w:val="44"/>
          <w:szCs w:val="44"/>
        </w:rPr>
        <w:br w:type="page"/>
      </w:r>
      <w:bookmarkStart w:id="106" w:name="_Toc79163630"/>
      <w:bookmarkStart w:id="107" w:name="_Toc79163880"/>
      <w:bookmarkStart w:id="108" w:name="_Toc15396614"/>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106"/>
      <w:bookmarkEnd w:id="107"/>
      <w:bookmarkEnd w:id="108"/>
    </w:p>
    <w:p>
      <w:pPr>
        <w:spacing w:line="600" w:lineRule="exact"/>
        <w:jc w:val="left"/>
        <w:outlineLvl w:val="0"/>
        <w:rPr>
          <w:rFonts w:ascii="方正小标宋简体" w:hAnsi="方正小标宋简体" w:eastAsia="方正小标宋简体" w:cs="方正小标宋简体"/>
          <w:sz w:val="32"/>
          <w:szCs w:val="32"/>
        </w:rPr>
      </w:pPr>
      <w:bookmarkStart w:id="109" w:name="_Toc79163881"/>
      <w:bookmarkStart w:id="110" w:name="_Toc79163631"/>
      <w:r>
        <w:rPr>
          <w:rFonts w:hint="eastAsia" w:ascii="黑体" w:hAnsi="黑体" w:eastAsia="黑体" w:cs="黑体"/>
          <w:sz w:val="32"/>
          <w:szCs w:val="32"/>
        </w:rPr>
        <w:t>附件</w:t>
      </w:r>
      <w:r>
        <w:rPr>
          <w:rFonts w:ascii="黑体" w:hAnsi="黑体" w:eastAsia="黑体" w:cs="黑体"/>
          <w:sz w:val="32"/>
          <w:szCs w:val="32"/>
        </w:rPr>
        <w:t>1</w:t>
      </w:r>
      <w:bookmarkEnd w:id="109"/>
      <w:bookmarkEnd w:id="110"/>
    </w:p>
    <w:p>
      <w:pPr>
        <w:spacing w:line="480" w:lineRule="exact"/>
        <w:jc w:val="center"/>
        <w:rPr>
          <w:rFonts w:hint="eastAsia" w:ascii="方正小标宋_GBK" w:hAnsi="方正小标宋_GBK" w:eastAsia="方正小标宋_GBK" w:cs="方正小标宋_GBK"/>
          <w:b w:val="0"/>
          <w:bCs/>
          <w:sz w:val="44"/>
          <w:szCs w:val="44"/>
          <w:lang w:eastAsia="zh-CN"/>
        </w:rPr>
      </w:pPr>
      <w:bookmarkStart w:id="111" w:name="_Toc79163885"/>
      <w:bookmarkStart w:id="112" w:name="_Toc15396618"/>
      <w:bookmarkStart w:id="113" w:name="_Toc79163635"/>
      <w:r>
        <w:rPr>
          <w:rFonts w:hint="eastAsia" w:ascii="方正小标宋_GBK" w:hAnsi="方正小标宋_GBK" w:eastAsia="方正小标宋_GBK" w:cs="方正小标宋_GBK"/>
          <w:b w:val="0"/>
          <w:bCs/>
          <w:sz w:val="44"/>
          <w:szCs w:val="44"/>
          <w:lang w:eastAsia="zh-CN"/>
        </w:rPr>
        <w:t>共青团松潘县委员会</w:t>
      </w:r>
    </w:p>
    <w:p>
      <w:pPr>
        <w:spacing w:line="48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20</w:t>
      </w:r>
      <w:r>
        <w:rPr>
          <w:rFonts w:hint="eastAsia" w:ascii="方正小标宋_GBK" w:hAnsi="方正小标宋_GBK" w:eastAsia="方正小标宋_GBK" w:cs="方正小标宋_GBK"/>
          <w:b w:val="0"/>
          <w:bCs/>
          <w:sz w:val="44"/>
          <w:szCs w:val="44"/>
          <w:lang w:val="en-US" w:eastAsia="zh-CN"/>
        </w:rPr>
        <w:t>2</w:t>
      </w:r>
      <w:r>
        <w:rPr>
          <w:rFonts w:hint="default" w:ascii="方正小标宋_GBK" w:hAnsi="方正小标宋_GBK" w:eastAsia="方正小标宋_GBK" w:cs="方正小标宋_GBK"/>
          <w:b w:val="0"/>
          <w:bCs/>
          <w:sz w:val="44"/>
          <w:szCs w:val="44"/>
          <w:lang w:val="en-US" w:eastAsia="zh-CN"/>
        </w:rPr>
        <w:t>2</w:t>
      </w:r>
      <w:r>
        <w:rPr>
          <w:rFonts w:hint="eastAsia" w:ascii="方正小标宋_GBK" w:hAnsi="方正小标宋_GBK" w:eastAsia="方正小标宋_GBK" w:cs="方正小标宋_GBK"/>
          <w:b w:val="0"/>
          <w:bCs/>
          <w:sz w:val="44"/>
          <w:szCs w:val="44"/>
        </w:rPr>
        <w:t>年部门整体支出绩效报告</w:t>
      </w:r>
    </w:p>
    <w:p>
      <w:pPr>
        <w:widowControl/>
        <w:adjustRightInd w:val="0"/>
        <w:snapToGrid w:val="0"/>
        <w:spacing w:line="480" w:lineRule="exact"/>
        <w:ind w:firstLine="720"/>
        <w:jc w:val="left"/>
        <w:rPr>
          <w:rFonts w:hint="eastAsia" w:ascii="黑体" w:hAnsi="宋体" w:eastAsia="黑体" w:cs="宋体"/>
          <w:color w:val="000000"/>
          <w:kern w:val="0"/>
        </w:rPr>
      </w:pPr>
    </w:p>
    <w:p>
      <w:pPr>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widowControl/>
        <w:adjustRightInd w:val="0"/>
        <w:snapToGrid w:val="0"/>
        <w:spacing w:line="480" w:lineRule="exact"/>
        <w:ind w:firstLine="720"/>
        <w:jc w:val="left"/>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（一）机构职能。</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sz w:val="32"/>
          <w:szCs w:val="32"/>
          <w:lang w:val="en-US" w:eastAsia="zh-CN"/>
        </w:rPr>
        <w:t>.领导全县共青团工作；2.负责县青联和县少先队工作委员会常务性工作； 3.承担县委、县政府和有关方面委托的青少年工作事务，参与民主管理和民主监督。协助、参与、处理社会上与青少年利益相关的工作；4.参与全县性青少年法规制度实施、监督等工作，负责县未成年人保护方面的日常工作； 5. 调查青年思想动态和青年工作情况，研究青年运动、青少年工作理论、青少年事业发展等工作，为县委、县政府决策提供依据； 6.负责全县团的组织建设，协助党组织管理、选拔和培训团的干部，指导县青少年活动营地和县实施希望工程</w:t>
      </w:r>
      <w:bookmarkStart w:id="155" w:name="_GoBack"/>
      <w:bookmarkEnd w:id="155"/>
      <w:r>
        <w:rPr>
          <w:rFonts w:hint="eastAsia" w:ascii="仿宋_GB2312" w:hAnsi="仿宋_GB2312" w:eastAsia="仿宋_GB2312" w:cs="仿宋_GB2312"/>
          <w:sz w:val="32"/>
          <w:szCs w:val="32"/>
          <w:lang w:val="en-US" w:eastAsia="zh-CN"/>
        </w:rPr>
        <w:t>领导小组办公室的工作；7. 负责、指导并组织面向全县青少年的思想理论教育、宣传文化活动，培养、选拔、推荐优秀青年，负责管理、指导团县委系统刊物的编发； 8.负责全县青年统战工作及青少年外事、县内外青少年友好交流工作。</w:t>
      </w:r>
    </w:p>
    <w:p>
      <w:pPr>
        <w:spacing w:line="580" w:lineRule="exact"/>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（二）人员概况。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松潘县团委</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工勤编制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人，工勤</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年部门财政资金收入情况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年本部门财政资金收入</w:t>
      </w:r>
      <w:r>
        <w:rPr>
          <w:rFonts w:hint="eastAsia" w:ascii="仿宋_GB2312" w:hAnsi="仿宋_GB2312" w:eastAsia="仿宋_GB2312" w:cs="仿宋_GB2312"/>
          <w:sz w:val="32"/>
          <w:szCs w:val="32"/>
          <w:lang w:val="en-US" w:eastAsia="zh-CN"/>
        </w:rPr>
        <w:t>222.97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基本支出是用于保障县</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行政机构的正常运转的日常支出，包括基本工资、津贴补贴、基本养老保险、医疗保险等人员经费以及办公费、印刷费、水电费等日常公用经费。20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年基本支出收入数</w:t>
      </w:r>
      <w:r>
        <w:rPr>
          <w:rFonts w:hint="eastAsia" w:ascii="仿宋_GB2312" w:hAnsi="仿宋_GB2312" w:eastAsia="仿宋_GB2312" w:cs="仿宋_GB2312"/>
          <w:sz w:val="32"/>
          <w:szCs w:val="32"/>
          <w:lang w:val="en-US" w:eastAsia="zh-CN"/>
        </w:rPr>
        <w:t>100.84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77.99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7.45</w:t>
      </w:r>
      <w:r>
        <w:rPr>
          <w:rFonts w:hint="eastAsia" w:ascii="仿宋_GB2312" w:hAnsi="仿宋_GB2312" w:eastAsia="仿宋_GB2312" w:cs="仿宋_GB2312"/>
          <w:sz w:val="32"/>
          <w:szCs w:val="32"/>
        </w:rPr>
        <w:t>万元，行政单位医疗</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4.89</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项目支出是用于保障</w:t>
      </w:r>
      <w:r>
        <w:rPr>
          <w:rFonts w:hint="eastAsia" w:ascii="仿宋_GB2312" w:hAnsi="仿宋_GB2312" w:eastAsia="仿宋_GB2312" w:cs="仿宋_GB2312"/>
          <w:sz w:val="32"/>
          <w:szCs w:val="32"/>
          <w:lang w:eastAsia="zh-CN"/>
        </w:rPr>
        <w:t>县团委</w:t>
      </w:r>
      <w:r>
        <w:rPr>
          <w:rFonts w:hint="eastAsia" w:ascii="仿宋_GB2312" w:hAnsi="仿宋_GB2312" w:eastAsia="仿宋_GB2312" w:cs="仿宋_GB2312"/>
          <w:sz w:val="32"/>
          <w:szCs w:val="32"/>
        </w:rPr>
        <w:t>行政机构为完成特定的行政工作任务或事业发展目标，用于专项业务工作的经费支出。20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年项目支出收入数</w:t>
      </w:r>
      <w:r>
        <w:rPr>
          <w:rFonts w:hint="eastAsia" w:ascii="仿宋_GB2312" w:hAnsi="仿宋_GB2312" w:eastAsia="仿宋_GB2312" w:cs="仿宋_GB2312"/>
          <w:sz w:val="32"/>
          <w:szCs w:val="32"/>
          <w:lang w:val="en-US" w:eastAsia="zh-CN"/>
        </w:rPr>
        <w:t>122.12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lang w:val="en-US" w:eastAsia="zh-CN"/>
        </w:rPr>
        <w:t>志愿者工资、社保等</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（二）部门财政资金支出情况。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支出合计</w:t>
      </w:r>
      <w:r>
        <w:rPr>
          <w:rFonts w:hint="eastAsia" w:ascii="仿宋_GB2312" w:hAnsi="仿宋_GB2312" w:eastAsia="仿宋_GB2312" w:cs="仿宋_GB2312"/>
          <w:sz w:val="32"/>
          <w:szCs w:val="32"/>
          <w:lang w:val="en-US" w:eastAsia="zh-CN"/>
        </w:rPr>
        <w:t>203.56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100.64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102.92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2022决算数77.99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7.45</w:t>
      </w:r>
      <w:r>
        <w:rPr>
          <w:rFonts w:hint="eastAsia" w:ascii="仿宋_GB2312" w:hAnsi="仿宋_GB2312" w:eastAsia="仿宋_GB2312" w:cs="仿宋_GB2312"/>
          <w:sz w:val="32"/>
          <w:szCs w:val="32"/>
        </w:rPr>
        <w:t>万元，行政单位医疗</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4.89</w:t>
      </w:r>
      <w:r>
        <w:rPr>
          <w:rFonts w:hint="eastAsia" w:ascii="仿宋_GB2312" w:hAnsi="仿宋_GB2312" w:eastAsia="仿宋_GB2312" w:cs="仿宋_GB2312"/>
          <w:sz w:val="32"/>
          <w:szCs w:val="32"/>
        </w:rPr>
        <w:t>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三、部门财政支出管理情况</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（一）预算编制情况。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1、预算编制质量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按照预算管理有关规定，目前部门预算的编制实行综合预算制度，即全部收入和支出都反映在预算中。本部门预算编制是由部门财务严格按照《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能保证本部门日常业务工作顺利开展的需要，又不浪费资金的前提下，合理编制出本部门的年度预算。</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（二）执行管理情况。</w:t>
      </w:r>
      <w:r>
        <w:rPr>
          <w:rFonts w:hint="eastAsia" w:ascii="仿宋_GB2312" w:hAnsi="仿宋_GB2312" w:eastAsia="仿宋_GB2312" w:cs="仿宋_GB2312"/>
          <w:sz w:val="32"/>
          <w:szCs w:val="32"/>
          <w:lang w:val="zh-CN"/>
        </w:rPr>
        <w:tab/>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年执行管理情况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203.56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100.64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102.92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2022决算数77.79</w:t>
      </w:r>
      <w:r>
        <w:rPr>
          <w:rFonts w:hint="eastAsia" w:ascii="仿宋_GB2312" w:hAnsi="仿宋_GB2312" w:eastAsia="仿宋_GB2312" w:cs="仿宋_GB2312"/>
          <w:sz w:val="32"/>
          <w:szCs w:val="32"/>
        </w:rPr>
        <w:t>万元，机关事业单位基本养老保险缴费支出</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7.45，</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单位医疗</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万元。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本部门一直提倡厉行节约，节能降耗的原则，促进了</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事业行政工作上了一个新台阶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未超出预算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严格执行了中央八项规定。</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（三）综合管理情况。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1.我单位无政府性债务。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2.我单位无非税收收入。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3.政府采购严格按照相关采购规定执行。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4.资产管理严格按照资产管理制度执行，严格执行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和有关规章制度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与行政单位履行职能需要相适应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充分发挥资产使用效益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勤俭节约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从严控制。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我部门财务各项工作自觉配合县财政和上级部门的监督检查，对检查中存在的问题，严肃对待，认真开展整改落实。</w:t>
      </w:r>
    </w:p>
    <w:p>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（四）整体绩效。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年我单位在</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的领导下、</w:t>
      </w:r>
      <w:r>
        <w:rPr>
          <w:rFonts w:hint="eastAsia" w:ascii="仿宋_GB2312" w:hAnsi="仿宋_GB2312" w:eastAsia="仿宋_GB2312" w:cs="仿宋_GB2312"/>
          <w:sz w:val="32"/>
          <w:szCs w:val="32"/>
          <w:lang w:eastAsia="zh-CN"/>
        </w:rPr>
        <w:t>团州委</w:t>
      </w:r>
      <w:r>
        <w:rPr>
          <w:rFonts w:hint="eastAsia" w:ascii="仿宋_GB2312" w:hAnsi="仿宋_GB2312" w:eastAsia="仿宋_GB2312" w:cs="仿宋_GB2312"/>
          <w:sz w:val="32"/>
          <w:szCs w:val="32"/>
        </w:rPr>
        <w:t>的指导下，紧紧围绕县委、县政府中心工作和构建和谐社会的总体目标，按照为</w:t>
      </w:r>
      <w:r>
        <w:rPr>
          <w:rFonts w:hint="eastAsia" w:ascii="仿宋_GB2312" w:hAnsi="仿宋_GB2312" w:eastAsia="仿宋_GB2312" w:cs="仿宋_GB2312"/>
          <w:sz w:val="32"/>
          <w:szCs w:val="32"/>
          <w:lang w:eastAsia="zh-CN"/>
        </w:rPr>
        <w:t>团员、青年</w:t>
      </w:r>
      <w:r>
        <w:rPr>
          <w:rFonts w:hint="eastAsia" w:ascii="仿宋_GB2312" w:hAnsi="仿宋_GB2312" w:eastAsia="仿宋_GB2312" w:cs="仿宋_GB2312"/>
          <w:sz w:val="32"/>
          <w:szCs w:val="32"/>
        </w:rPr>
        <w:t>服务的要求，促进</w:t>
      </w:r>
      <w:r>
        <w:rPr>
          <w:rFonts w:hint="eastAsia" w:ascii="仿宋_GB2312" w:hAnsi="仿宋_GB2312" w:eastAsia="仿宋_GB2312" w:cs="仿宋_GB2312"/>
          <w:sz w:val="32"/>
          <w:szCs w:val="32"/>
          <w:lang w:eastAsia="zh-CN"/>
        </w:rPr>
        <w:t>团的事业</w:t>
      </w:r>
      <w:r>
        <w:rPr>
          <w:rFonts w:hint="eastAsia" w:ascii="仿宋_GB2312" w:hAnsi="仿宋_GB2312" w:eastAsia="仿宋_GB2312" w:cs="仿宋_GB2312"/>
          <w:sz w:val="32"/>
          <w:szCs w:val="32"/>
        </w:rPr>
        <w:t>发展，切实改进工作作风，做到观念上有新转变，思想上有新飞跃，思路上有新调整，工作上有新突破，提升干部形象上有新发展，更好地为我县经济发展和社会和谐稳定提供优质、高效、便捷的服务。</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年我部门预算执行整体情况正常，各项工作按照进度有序</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开展，财政资金收支情况也按照进度执行，有个别项目需要进一步加大支出力度。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（二）存在的问题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由于业务工作的特殊性，资金使用管理的局限性，部分项目资金的未支付。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1、针对部分项目资金未使用的现象，建议能适当合理扩大资金使用范围，提高补贴标准。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2、建议财政部门能组织各单位财务人员进行业务的培训，不断提升各单位财务人员的业务素质和职业道德。</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78" w:lineRule="exact"/>
        <w:textAlignment w:val="auto"/>
        <w:rPr>
          <w:rFonts w:hint="eastAsia" w:ascii="仿宋_GB2312" w:hAnsi="仿宋_GB2312" w:eastAsia="仿宋_GB2312" w:cs="仿宋_GB2312"/>
          <w:color w:val="000000"/>
          <w:kern w:val="0"/>
          <w:sz w:val="32"/>
          <w:szCs w:val="32"/>
          <w:lang w:val="en-US" w:eastAsia="zh-CN" w:bidi="ar-SA"/>
        </w:rPr>
      </w:pPr>
    </w:p>
    <w:p>
      <w:pPr>
        <w:keepNext w:val="0"/>
        <w:keepLines w:val="0"/>
        <w:pageBreakBefore w:val="0"/>
        <w:kinsoku/>
        <w:wordWrap/>
        <w:overflowPunct/>
        <w:topLinePunct w:val="0"/>
        <w:autoSpaceDE/>
        <w:autoSpaceDN/>
        <w:bidi w:val="0"/>
        <w:spacing w:line="578" w:lineRule="exact"/>
        <w:textAlignment w:val="auto"/>
        <w:rPr>
          <w:rFonts w:hint="eastAsia" w:ascii="仿宋_GB2312" w:hAnsi="仿宋_GB2312" w:eastAsia="仿宋_GB2312" w:cs="仿宋_GB2312"/>
          <w:color w:val="000000"/>
          <w:kern w:val="0"/>
          <w:sz w:val="32"/>
          <w:szCs w:val="32"/>
          <w:lang w:val="en-US" w:eastAsia="zh-CN" w:bidi="ar-SA"/>
        </w:rPr>
      </w:pPr>
    </w:p>
    <w:p>
      <w:pPr>
        <w:keepNext w:val="0"/>
        <w:keepLines w:val="0"/>
        <w:pageBreakBefore w:val="0"/>
        <w:kinsoku/>
        <w:wordWrap/>
        <w:overflowPunct/>
        <w:topLinePunct w:val="0"/>
        <w:autoSpaceDE/>
        <w:autoSpaceDN/>
        <w:bidi w:val="0"/>
        <w:spacing w:line="578" w:lineRule="exact"/>
        <w:jc w:val="center"/>
        <w:textAlignment w:val="auto"/>
        <w:outlineLvl w:val="0"/>
        <w:rPr>
          <w:rFonts w:hint="eastAsia" w:ascii="仿宋_GB2312" w:hAnsi="仿宋_GB2312" w:eastAsia="仿宋_GB2312" w:cs="仿宋_GB2312"/>
          <w:color w:val="000000"/>
          <w:kern w:val="0"/>
          <w:sz w:val="32"/>
          <w:szCs w:val="32"/>
          <w:lang w:val="en-US" w:eastAsia="zh-CN" w:bidi="ar-SA"/>
        </w:rPr>
      </w:pPr>
    </w:p>
    <w:p>
      <w:pPr>
        <w:keepNext w:val="0"/>
        <w:keepLines w:val="0"/>
        <w:pageBreakBefore w:val="0"/>
        <w:kinsoku/>
        <w:wordWrap/>
        <w:overflowPunct/>
        <w:topLinePunct w:val="0"/>
        <w:autoSpaceDE/>
        <w:autoSpaceDN/>
        <w:bidi w:val="0"/>
        <w:spacing w:line="578" w:lineRule="exact"/>
        <w:jc w:val="center"/>
        <w:textAlignment w:val="auto"/>
        <w:outlineLvl w:val="0"/>
        <w:rPr>
          <w:rFonts w:hint="eastAsia" w:ascii="仿宋_GB2312" w:hAnsi="仿宋_GB2312" w:eastAsia="仿宋_GB2312" w:cs="仿宋_GB2312"/>
          <w:color w:val="000000"/>
          <w:kern w:val="0"/>
          <w:sz w:val="32"/>
          <w:szCs w:val="32"/>
          <w:lang w:val="en-US" w:eastAsia="zh-CN" w:bidi="ar-SA"/>
        </w:rPr>
      </w:pPr>
    </w:p>
    <w:p>
      <w:pPr>
        <w:keepNext w:val="0"/>
        <w:keepLines w:val="0"/>
        <w:pageBreakBefore w:val="0"/>
        <w:kinsoku/>
        <w:wordWrap/>
        <w:overflowPunct/>
        <w:topLinePunct w:val="0"/>
        <w:autoSpaceDE/>
        <w:autoSpaceDN/>
        <w:bidi w:val="0"/>
        <w:spacing w:line="578" w:lineRule="exact"/>
        <w:jc w:val="both"/>
        <w:textAlignment w:val="auto"/>
        <w:outlineLvl w:val="0"/>
        <w:rPr>
          <w:rFonts w:hint="eastAsia" w:ascii="黑体" w:hAnsi="黑体" w:eastAsia="黑体"/>
          <w:color w:val="000000"/>
          <w:sz w:val="44"/>
          <w:szCs w:val="44"/>
        </w:rPr>
      </w:pPr>
    </w:p>
    <w:p>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05"/>
      <w:bookmarkEnd w:id="111"/>
      <w:bookmarkEnd w:id="112"/>
      <w:bookmarkEnd w:id="113"/>
    </w:p>
    <w:p>
      <w:pPr>
        <w:pStyle w:val="4"/>
        <w:rPr>
          <w:rFonts w:ascii="仿宋" w:hAnsi="仿宋" w:eastAsia="仿宋"/>
          <w:color w:val="000000"/>
        </w:rPr>
      </w:pPr>
      <w:bookmarkStart w:id="114" w:name="_Toc15396619"/>
      <w:bookmarkStart w:id="115" w:name="_Toc79163636"/>
      <w:bookmarkStart w:id="116" w:name="_Toc79163886"/>
      <w:r>
        <w:rPr>
          <w:rFonts w:hint="eastAsia" w:ascii="仿宋" w:hAnsi="仿宋" w:eastAsia="仿宋"/>
          <w:b w:val="0"/>
          <w:color w:val="000000"/>
        </w:rPr>
        <w:t>一、收</w:t>
      </w:r>
      <w:r>
        <w:rPr>
          <w:rStyle w:val="27"/>
          <w:rFonts w:hint="eastAsia" w:ascii="仿宋" w:hAnsi="仿宋" w:eastAsia="仿宋"/>
          <w:b w:val="0"/>
          <w:bCs w:val="0"/>
        </w:rPr>
        <w:t>入支出决算总表</w:t>
      </w:r>
      <w:bookmarkEnd w:id="114"/>
      <w:bookmarkEnd w:id="115"/>
      <w:bookmarkEnd w:id="116"/>
    </w:p>
    <w:p>
      <w:pPr>
        <w:pStyle w:val="4"/>
        <w:rPr>
          <w:rFonts w:ascii="仿宋" w:hAnsi="仿宋" w:eastAsia="仿宋"/>
          <w:color w:val="000000"/>
        </w:rPr>
      </w:pPr>
      <w:bookmarkStart w:id="117" w:name="_Toc79163637"/>
      <w:bookmarkStart w:id="118" w:name="_Toc79163887"/>
      <w:bookmarkStart w:id="119"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117"/>
      <w:bookmarkEnd w:id="118"/>
      <w:bookmarkEnd w:id="119"/>
    </w:p>
    <w:p>
      <w:pPr>
        <w:pStyle w:val="4"/>
        <w:rPr>
          <w:rFonts w:ascii="仿宋" w:hAnsi="仿宋" w:eastAsia="仿宋"/>
          <w:color w:val="000000"/>
        </w:rPr>
      </w:pPr>
      <w:bookmarkStart w:id="120" w:name="_Toc79163638"/>
      <w:bookmarkStart w:id="121" w:name="_Toc79163888"/>
      <w:bookmarkStart w:id="12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20"/>
      <w:bookmarkEnd w:id="121"/>
      <w:bookmarkEnd w:id="122"/>
    </w:p>
    <w:p>
      <w:pPr>
        <w:pStyle w:val="4"/>
        <w:rPr>
          <w:rFonts w:ascii="仿宋" w:hAnsi="仿宋" w:eastAsia="仿宋"/>
          <w:b w:val="0"/>
          <w:color w:val="000000"/>
        </w:rPr>
      </w:pPr>
      <w:bookmarkStart w:id="123" w:name="_Toc79163639"/>
      <w:bookmarkStart w:id="124" w:name="_Toc79163889"/>
      <w:bookmarkStart w:id="125"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23"/>
      <w:bookmarkEnd w:id="124"/>
      <w:bookmarkEnd w:id="125"/>
    </w:p>
    <w:p>
      <w:pPr>
        <w:pStyle w:val="4"/>
        <w:rPr>
          <w:rStyle w:val="27"/>
          <w:rFonts w:ascii="仿宋" w:hAnsi="仿宋" w:eastAsia="仿宋"/>
          <w:b w:val="0"/>
          <w:bCs w:val="0"/>
        </w:rPr>
      </w:pPr>
      <w:bookmarkStart w:id="126" w:name="_Toc15396623"/>
      <w:bookmarkStart w:id="127" w:name="_Toc79163640"/>
      <w:bookmarkStart w:id="128"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26"/>
      <w:bookmarkEnd w:id="127"/>
      <w:bookmarkEnd w:id="128"/>
      <w:bookmarkStart w:id="129" w:name="_Toc15396624"/>
    </w:p>
    <w:p>
      <w:pPr>
        <w:pStyle w:val="4"/>
        <w:rPr>
          <w:rFonts w:ascii="仿宋" w:hAnsi="仿宋" w:eastAsia="仿宋"/>
          <w:color w:val="000000"/>
        </w:rPr>
      </w:pPr>
      <w:bookmarkStart w:id="130" w:name="_Toc79163641"/>
      <w:bookmarkStart w:id="131"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29"/>
      <w:bookmarkEnd w:id="130"/>
      <w:bookmarkEnd w:id="131"/>
    </w:p>
    <w:p>
      <w:pPr>
        <w:pStyle w:val="4"/>
        <w:rPr>
          <w:rFonts w:ascii="仿宋" w:hAnsi="仿宋" w:eastAsia="仿宋"/>
          <w:color w:val="000000"/>
        </w:rPr>
      </w:pPr>
      <w:bookmarkStart w:id="132" w:name="_Toc79163892"/>
      <w:bookmarkStart w:id="133" w:name="_Toc15396625"/>
      <w:bookmarkStart w:id="134"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32"/>
      <w:bookmarkEnd w:id="133"/>
      <w:bookmarkEnd w:id="134"/>
    </w:p>
    <w:p>
      <w:pPr>
        <w:pStyle w:val="4"/>
        <w:rPr>
          <w:rFonts w:ascii="仿宋" w:hAnsi="仿宋" w:eastAsia="仿宋"/>
          <w:color w:val="000000"/>
        </w:rPr>
      </w:pPr>
      <w:bookmarkStart w:id="135" w:name="_Toc15396626"/>
      <w:bookmarkStart w:id="136" w:name="_Toc79163893"/>
      <w:bookmarkStart w:id="137"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35"/>
      <w:bookmarkEnd w:id="136"/>
      <w:bookmarkEnd w:id="137"/>
    </w:p>
    <w:p>
      <w:pPr>
        <w:pStyle w:val="4"/>
        <w:rPr>
          <w:rFonts w:ascii="仿宋" w:hAnsi="仿宋" w:eastAsia="仿宋"/>
          <w:color w:val="000000"/>
        </w:rPr>
      </w:pPr>
      <w:bookmarkStart w:id="138" w:name="_Toc15396627"/>
      <w:bookmarkStart w:id="139" w:name="_Toc79163644"/>
      <w:bookmarkStart w:id="140"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38"/>
      <w:bookmarkEnd w:id="139"/>
      <w:bookmarkEnd w:id="140"/>
    </w:p>
    <w:p>
      <w:pPr>
        <w:pStyle w:val="4"/>
        <w:rPr>
          <w:rFonts w:ascii="仿宋" w:hAnsi="仿宋" w:eastAsia="仿宋"/>
          <w:color w:val="000000"/>
        </w:rPr>
      </w:pPr>
      <w:bookmarkStart w:id="141" w:name="_Toc79163895"/>
      <w:bookmarkStart w:id="142" w:name="_Toc79163645"/>
      <w:bookmarkStart w:id="143"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41"/>
      <w:bookmarkEnd w:id="142"/>
      <w:bookmarkEnd w:id="143"/>
    </w:p>
    <w:p>
      <w:pPr>
        <w:pStyle w:val="4"/>
        <w:rPr>
          <w:rFonts w:ascii="仿宋" w:hAnsi="仿宋" w:eastAsia="仿宋"/>
          <w:color w:val="000000"/>
        </w:rPr>
      </w:pPr>
      <w:bookmarkStart w:id="144" w:name="_Toc79163896"/>
      <w:bookmarkStart w:id="145" w:name="_Toc15396629"/>
      <w:bookmarkStart w:id="146" w:name="_Toc7916364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44"/>
      <w:bookmarkEnd w:id="145"/>
      <w:bookmarkEnd w:id="146"/>
    </w:p>
    <w:p>
      <w:pPr>
        <w:pStyle w:val="4"/>
        <w:rPr>
          <w:rFonts w:ascii="仿宋" w:hAnsi="仿宋" w:eastAsia="仿宋"/>
          <w:color w:val="000000"/>
        </w:rPr>
      </w:pPr>
      <w:bookmarkStart w:id="147" w:name="_Toc79163897"/>
      <w:bookmarkStart w:id="148" w:name="_Toc79163647"/>
      <w:bookmarkStart w:id="149"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47"/>
      <w:bookmarkEnd w:id="148"/>
      <w:bookmarkEnd w:id="149"/>
    </w:p>
    <w:p>
      <w:pPr>
        <w:pStyle w:val="4"/>
        <w:rPr>
          <w:rStyle w:val="27"/>
          <w:rFonts w:ascii="仿宋" w:hAnsi="仿宋" w:eastAsia="仿宋"/>
          <w:b w:val="0"/>
          <w:bCs w:val="0"/>
        </w:rPr>
      </w:pPr>
      <w:bookmarkStart w:id="150" w:name="_Toc15396631"/>
      <w:bookmarkStart w:id="151" w:name="_Toc79163648"/>
      <w:bookmarkStart w:id="152" w:name="_Toc7916389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50"/>
      <w:bookmarkEnd w:id="151"/>
      <w:bookmarkEnd w:id="152"/>
    </w:p>
    <w:p>
      <w:pPr>
        <w:pStyle w:val="4"/>
        <w:rPr>
          <w:rStyle w:val="27"/>
          <w:rFonts w:ascii="仿宋" w:hAnsi="仿宋" w:eastAsia="仿宋"/>
          <w:b w:val="0"/>
          <w:bCs w:val="0"/>
        </w:rPr>
      </w:pPr>
      <w:bookmarkStart w:id="153" w:name="_Toc79163649"/>
      <w:bookmarkStart w:id="154" w:name="_Toc79163899"/>
      <w:r>
        <w:rPr>
          <w:rStyle w:val="27"/>
          <w:rFonts w:hint="eastAsia" w:ascii="仿宋" w:hAns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24</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43EE856"/>
    <w:multiLevelType w:val="singleLevel"/>
    <w:tmpl w:val="D43EE856"/>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5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632BC9D2"/>
    <w:multiLevelType w:val="singleLevel"/>
    <w:tmpl w:val="632BC9D2"/>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4A14A3"/>
    <w:rsid w:val="030542CC"/>
    <w:rsid w:val="0A2032A3"/>
    <w:rsid w:val="10C055FF"/>
    <w:rsid w:val="118107EC"/>
    <w:rsid w:val="16BB723D"/>
    <w:rsid w:val="1866619A"/>
    <w:rsid w:val="1AA16BF7"/>
    <w:rsid w:val="1D155CEE"/>
    <w:rsid w:val="240371BF"/>
    <w:rsid w:val="25054ECA"/>
    <w:rsid w:val="29FD04D3"/>
    <w:rsid w:val="319F7040"/>
    <w:rsid w:val="319F7F4E"/>
    <w:rsid w:val="388930B8"/>
    <w:rsid w:val="4ECE2238"/>
    <w:rsid w:val="5A7E2D7C"/>
    <w:rsid w:val="5E601528"/>
    <w:rsid w:val="646E3773"/>
    <w:rsid w:val="6B91406E"/>
    <w:rsid w:val="6C4A05C8"/>
    <w:rsid w:val="72734D90"/>
    <w:rsid w:val="72E15DD8"/>
    <w:rsid w:val="7E66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next w:val="1"/>
    <w:link w:val="35"/>
    <w:qFormat/>
    <w:uiPriority w:val="99"/>
    <w:pPr>
      <w:spacing w:beforeLines="30"/>
    </w:pPr>
    <w:rPr>
      <w:rFonts w:ascii="仿宋_GB2312" w:eastAsia="仿宋_GB2312"/>
      <w:kern w:val="0"/>
      <w:sz w:val="24"/>
      <w:szCs w:val="20"/>
    </w:rPr>
  </w:style>
  <w:style w:type="paragraph" w:styleId="8">
    <w:name w:val="Body Text Indent"/>
    <w:basedOn w:val="1"/>
    <w:next w:val="9"/>
    <w:qFormat/>
    <w:uiPriority w:val="0"/>
    <w:pPr>
      <w:spacing w:line="540" w:lineRule="exact"/>
      <w:ind w:firstLine="640" w:firstLineChars="200"/>
    </w:pPr>
    <w:rPr>
      <w:rFonts w:ascii="仿宋_GB2312"/>
      <w:kern w:val="0"/>
    </w:rPr>
  </w:style>
  <w:style w:type="paragraph" w:styleId="9">
    <w:name w:val="Body Text First Indent 2"/>
    <w:basedOn w:val="8"/>
    <w:next w:val="1"/>
    <w:qFormat/>
    <w:uiPriority w:val="0"/>
    <w:pPr>
      <w:ind w:firstLine="420" w:firstLineChars="200"/>
    </w:p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Documents\WeChat%20Files\yanzi_224000\FileStorage\File\2023-09\&#36130;&#21153;&#25253;&#21578;&#22270;&#26631;&#25805;&#20316;.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Documents\WeChat%20Files\yanzi_224000\FileStorage\File\2023-09\&#36130;&#21153;&#25253;&#21578;&#22270;&#26631;&#25805;&#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Documents\WeChat%20Files\yanzi_224000\FileStorage\File\2023-09\&#36130;&#21153;&#25253;&#21578;&#22270;&#26631;&#25805;&#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Documents\WeChat%20Files\yanzi_224000\FileStorage\File\2023-09\&#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Documents\WeChat%20Files\yanzi_224000\FileStorage\File\2023-09\&#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Documents\WeChat%20Files\yanzi_224000\FileStorage\File\2023-09\&#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31202290076336"/>
          <c:y val="0.457234825260576"/>
          <c:w val="0.864026717557252"/>
          <c:h val="0.435162477007971"/>
        </c:manualLayout>
      </c:layout>
      <c:barChart>
        <c:barDir val="col"/>
        <c:grouping val="clustered"/>
        <c:varyColors val="0"/>
        <c:ser>
          <c:idx val="0"/>
          <c:order val="0"/>
          <c:tx>
            <c:strRef>
              <c:f>[财务报告图标操作.xls]Sheet1!$B$1</c:f>
              <c:strCache>
                <c:ptCount val="1"/>
                <c:pt idx="0">
                  <c:v>收、支决算总计变动情况图</c:v>
                </c:pt>
              </c:strCache>
            </c:strRef>
          </c:tx>
          <c:spPr>
            <a:solidFill>
              <a:schemeClr val="accent3"/>
            </a:solidFill>
            <a:ln>
              <a:noFill/>
            </a:ln>
            <a:sp3d>
              <a:extrusionClr>
                <a:srgbClr val="FFFFFF"/>
              </a:extrusionClr>
              <a:contourClr>
                <a:srgbClr val="FFFFFF"/>
              </a:contourClr>
            </a:sp3d>
          </c:spPr>
          <c:invertIfNegative val="0"/>
          <c:dPt>
            <c:idx val="0"/>
            <c:invertIfNegative val="0"/>
            <c:bubble3D val="0"/>
            <c:explosion val="0"/>
            <c:spPr>
              <a:solidFill>
                <a:schemeClr val="accent3"/>
              </a:solidFill>
              <a:ln>
                <a:noFill/>
              </a:ln>
              <a:sp3d>
                <a:extrusionClr>
                  <a:srgbClr val="FFFFFF"/>
                </a:extrusionClr>
                <a:contourClr>
                  <a:srgbClr val="FFFFFF"/>
                </a:contourClr>
              </a:sp3d>
            </c:spPr>
          </c:dPt>
          <c:dPt>
            <c:idx val="1"/>
            <c:invertIfNegative val="0"/>
            <c:bubble3D val="0"/>
            <c:explosion val="0"/>
            <c:spPr>
              <a:solidFill>
                <a:schemeClr val="accent1"/>
              </a:solidFill>
              <a:ln>
                <a:noFill/>
              </a:ln>
              <a:sp3d>
                <a:extrusionClr>
                  <a:srgbClr val="FFFFFF"/>
                </a:extrusionClr>
                <a:contourClr>
                  <a:srgbClr val="FFFFFF"/>
                </a:contourClr>
              </a:sp3d>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0"/>
            <c:extLst>
              <c:ext xmlns:c15="http://schemas.microsoft.com/office/drawing/2012/chart" uri="{CE6537A1-D6FC-4f65-9D91-7224C49458BB}">
                <c15:layout/>
                <c15:showLeaderLines val="1"/>
                <c15:leaderLines/>
              </c:ext>
            </c:extLst>
          </c:dLbls>
          <c:cat>
            <c:strRef>
              <c:f>[财务报告图标操作.xls]Sheet1!$A$2:$A$5</c:f>
              <c:strCache>
                <c:ptCount val="2"/>
                <c:pt idx="0">
                  <c:v>2021年</c:v>
                </c:pt>
                <c:pt idx="1">
                  <c:v>2022年</c:v>
                </c:pt>
              </c:strCache>
            </c:strRef>
          </c:cat>
          <c:val>
            <c:numRef>
              <c:f>[财务报告图标操作.xls]Sheet1!$B$2:$B$5</c:f>
              <c:numCache>
                <c:formatCode>General</c:formatCode>
                <c:ptCount val="2"/>
                <c:pt idx="0">
                  <c:v>132.24</c:v>
                </c:pt>
                <c:pt idx="1">
                  <c:v>194.48</c:v>
                </c:pt>
              </c:numCache>
            </c:numRef>
          </c:val>
        </c:ser>
        <c:dLbls>
          <c:showLegendKey val="0"/>
          <c:showVal val="1"/>
          <c:showCatName val="0"/>
          <c:showSerName val="0"/>
          <c:showPercent val="1"/>
          <c:showBubbleSize val="0"/>
        </c:dLbls>
        <c:gapWidth val="150"/>
        <c:overlap val="0"/>
        <c:axId val="342420622"/>
        <c:axId val="495227003"/>
      </c:barChart>
      <c:catAx>
        <c:axId val="34242062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5227003"/>
        <c:crosses val="autoZero"/>
        <c:auto val="1"/>
        <c:lblAlgn val="ctr"/>
        <c:lblOffset val="100"/>
        <c:noMultiLvlLbl val="0"/>
      </c:catAx>
      <c:valAx>
        <c:axId val="49522700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2420622"/>
        <c:crosses val="autoZero"/>
        <c:crossBetween val="between"/>
      </c:valAx>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07729007633588"/>
          <c:y val="0.0115696104897802"/>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[财务报告图标操作.xls]Sheet1!$B$1</c:f>
              <c:strCache>
                <c:ptCount val="1"/>
                <c:pt idx="0">
                  <c:v>收入决算结构图</c:v>
                </c:pt>
              </c:strCache>
            </c:strRef>
          </c:tx>
          <c:spPr/>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[财务报告图标操作.xls]Sheet1!$A$2:$A$5</c:f>
              <c:strCache>
                <c:ptCount val="2"/>
                <c:pt idx="0">
                  <c:v>2021年</c:v>
                </c:pt>
                <c:pt idx="1">
                  <c:v>2022年</c:v>
                </c:pt>
              </c:strCache>
            </c:strRef>
          </c:cat>
          <c:val>
            <c:numRef>
              <c:f>[财务报告图标操作.xls]Sheet1!$B$2:$B$5</c:f>
              <c:numCache>
                <c:formatCode>General</c:formatCode>
                <c:ptCount val="2"/>
                <c:pt idx="0">
                  <c:v>132.24</c:v>
                </c:pt>
                <c:pt idx="1">
                  <c:v>194.48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[财务报告图标操作.xls]Sheet1!$B$1</c:f>
              <c:strCache>
                <c:ptCount val="1"/>
                <c:pt idx="0">
                  <c:v>支出决算结构图</c:v>
                </c:pt>
              </c:strCache>
            </c:strRef>
          </c:tx>
          <c:spPr>
            <a:solidFill>
              <a:srgbClr val="FFFF00"/>
            </a:solidFill>
            <a:ln>
              <a:noFill/>
            </a:ln>
            <a:sp3d>
              <a:extrusionClr>
                <a:srgbClr val="FFFFFF"/>
              </a:extrusionClr>
              <a:contourClr>
                <a:srgbClr val="FFFFFF"/>
              </a:contourClr>
            </a:sp3d>
          </c:spPr>
          <c:explosion val="0"/>
          <c:dPt>
            <c:idx val="0"/>
            <c:bubble3D val="0"/>
            <c:explosion val="0"/>
            <c:spPr>
              <a:solidFill>
                <a:schemeClr val="accent5"/>
              </a:solidFill>
              <a:ln>
                <a:noFill/>
              </a:ln>
              <a:sp3d>
                <a:extrusionClr>
                  <a:srgbClr val="FFFFFF"/>
                </a:extrusionClr>
                <a:contourClr>
                  <a:srgbClr val="FFFFFF"/>
                </a:contourClr>
              </a:sp3d>
            </c:spPr>
          </c:dPt>
          <c:dPt>
            <c:idx val="1"/>
            <c:bubble3D val="0"/>
            <c:explosion val="0"/>
            <c:spPr>
              <a:solidFill>
                <a:schemeClr val="accent6"/>
              </a:solidFill>
              <a:ln>
                <a:noFill/>
              </a:ln>
              <a:sp3d>
                <a:extrusionClr>
                  <a:srgbClr val="FFFFFF"/>
                </a:extrusionClr>
                <a:contourClr>
                  <a:srgbClr val="FFFFFF"/>
                </a:contourClr>
              </a:sp3d>
            </c:spPr>
          </c:dPt>
          <c:dLbls>
            <c:dLbl>
              <c:idx val="1"/>
              <c:layout/>
              <c:numFmt formatCode="General" sourceLinked="1"/>
              <c:spPr>
                <a:solidFill>
                  <a:schemeClr val="accent2">
                    <a:lumMod val="75000"/>
                  </a:schemeClr>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[财务报告图标操作.xls]Sheet1!$A$2:$A$5</c:f>
              <c:strCache>
                <c:ptCount val="2"/>
                <c:pt idx="0">
                  <c:v>项目支出</c:v>
                </c:pt>
                <c:pt idx="1">
                  <c:v>基本支出</c:v>
                </c:pt>
              </c:strCache>
            </c:strRef>
          </c:cat>
          <c:val>
            <c:numRef>
              <c:f>[财务报告图标操作.xls]Sheet1!$B$2:$B$5</c:f>
              <c:numCache>
                <c:formatCode>General</c:formatCode>
                <c:ptCount val="2"/>
                <c:pt idx="0">
                  <c:v>101.3</c:v>
                </c:pt>
                <c:pt idx="1">
                  <c:v>93.18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92632524708"/>
          <c:y val="0.054747912155892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[财务报告图标操作.xls]Sheet1!$B$1</c:f>
              <c:strCache>
                <c:ptCount val="1"/>
                <c:pt idx="0">
                  <c:v>财政拨款收、支决算总计变动情况</c:v>
                </c:pt>
              </c:strCache>
            </c:strRef>
          </c:tx>
          <c:spPr>
            <a:solidFill>
              <a:srgbClr val="FFFF00"/>
            </a:solidFill>
            <a:ln>
              <a:noFill/>
            </a:ln>
            <a:sp3d>
              <a:extrusionClr>
                <a:srgbClr val="FFFFFF"/>
              </a:extrusionClr>
              <a:contourClr>
                <a:srgbClr val="FFFFFF"/>
              </a:contourClr>
            </a:sp3d>
          </c:spPr>
          <c:invertIfNegative val="0"/>
          <c:dPt>
            <c:idx val="0"/>
            <c:invertIfNegative val="0"/>
            <c:bubble3D val="0"/>
            <c:explosion val="0"/>
            <c:spPr>
              <a:solidFill>
                <a:schemeClr val="accent5"/>
              </a:solidFill>
              <a:ln>
                <a:noFill/>
              </a:ln>
              <a:sp3d>
                <a:extrusionClr>
                  <a:srgbClr val="FFFFFF"/>
                </a:extrusionClr>
                <a:contourClr>
                  <a:srgbClr val="FFFFFF"/>
                </a:contourClr>
              </a:sp3d>
            </c:spPr>
          </c:dPt>
          <c:dPt>
            <c:idx val="1"/>
            <c:invertIfNegative val="0"/>
            <c:bubble3D val="0"/>
            <c:explosion val="0"/>
            <c:spPr>
              <a:solidFill>
                <a:schemeClr val="accent6"/>
              </a:solidFill>
              <a:ln>
                <a:noFill/>
              </a:ln>
              <a:sp3d>
                <a:extrusionClr>
                  <a:srgbClr val="FFFFFF"/>
                </a:extrusionClr>
                <a:contourClr>
                  <a:srgbClr val="FFFFFF"/>
                </a:contourClr>
              </a:sp3d>
            </c:spPr>
          </c:dPt>
          <c:dLbls>
            <c:dLbl>
              <c:idx val="1"/>
              <c:layout/>
              <c:numFmt formatCode="General" sourceLinked="1"/>
              <c:spPr>
                <a:solidFill>
                  <a:schemeClr val="accent2">
                    <a:lumMod val="75000"/>
                  </a:schemeClr>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0"/>
            <c:extLst>
              <c:ext xmlns:c15="http://schemas.microsoft.com/office/drawing/2012/chart" uri="{CE6537A1-D6FC-4f65-9D91-7224C49458BB}">
                <c15:layout/>
                <c15:showLeaderLines val="1"/>
                <c15:leaderLines/>
              </c:ext>
            </c:extLst>
          </c:dLbls>
          <c:cat>
            <c:strRef>
              <c:f>[财务报告图标操作.xls]Sheet1!$A$2:$A$5</c:f>
              <c:strCache>
                <c:ptCount val="2"/>
                <c:pt idx="0">
                  <c:v>2021年</c:v>
                </c:pt>
                <c:pt idx="1">
                  <c:v>2022年</c:v>
                </c:pt>
              </c:strCache>
            </c:strRef>
          </c:cat>
          <c:val>
            <c:numRef>
              <c:f>[财务报告图标操作.xls]Sheet1!$B$2:$B$5</c:f>
              <c:numCache>
                <c:formatCode>General</c:formatCode>
                <c:ptCount val="2"/>
                <c:pt idx="0">
                  <c:v>132.24</c:v>
                </c:pt>
                <c:pt idx="1">
                  <c:v>194.48</c:v>
                </c:pt>
              </c:numCache>
            </c:numRef>
          </c:val>
        </c:ser>
        <c:dLbls>
          <c:showLegendKey val="0"/>
          <c:showVal val="1"/>
          <c:showCatName val="0"/>
          <c:showSerName val="0"/>
          <c:showPercent val="1"/>
          <c:showBubbleSize val="0"/>
        </c:dLbls>
        <c:gapWidth val="150"/>
        <c:overlap val="0"/>
        <c:axId val="342420622"/>
        <c:axId val="495227003"/>
      </c:barChart>
      <c:catAx>
        <c:axId val="34242062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5227003"/>
        <c:crosses val="autoZero"/>
        <c:auto val="1"/>
        <c:lblAlgn val="ctr"/>
        <c:lblOffset val="100"/>
        <c:noMultiLvlLbl val="0"/>
      </c:catAx>
      <c:valAx>
        <c:axId val="49522700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2420622"/>
        <c:crosses val="autoZero"/>
        <c:crossBetween val="between"/>
      </c:valAx>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accent2"/>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0479185384846"/>
          <c:y val="0.04763377667800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46061695118299"/>
          <c:y val="0.36699659758738"/>
          <c:w val="0.871967654986523"/>
          <c:h val="0.430095886173832"/>
        </c:manualLayout>
      </c:layout>
      <c:barChart>
        <c:barDir val="col"/>
        <c:grouping val="clustered"/>
        <c:varyColors val="0"/>
        <c:ser>
          <c:idx val="0"/>
          <c:order val="0"/>
          <c:tx>
            <c:strRef>
              <c:f>[财务报告图标操作.xls]Sheet1!$B$1</c:f>
              <c:strCache>
                <c:ptCount val="1"/>
                <c:pt idx="0">
                  <c:v>一般公共预算财政拨款支出决算变动情况</c:v>
                </c:pt>
              </c:strCache>
            </c:strRef>
          </c:tx>
          <c:spPr>
            <a:solidFill>
              <a:srgbClr val="FFFF00"/>
            </a:solidFill>
            <a:ln>
              <a:noFill/>
            </a:ln>
            <a:sp3d>
              <a:extrusionClr>
                <a:srgbClr val="FFFFFF"/>
              </a:extrusionClr>
              <a:contourClr>
                <a:srgbClr val="FFFFFF"/>
              </a:contourClr>
            </a:sp3d>
          </c:spPr>
          <c:invertIfNegative val="0"/>
          <c:dPt>
            <c:idx val="0"/>
            <c:invertIfNegative val="0"/>
            <c:bubble3D val="0"/>
            <c:explosion val="0"/>
            <c:spPr>
              <a:solidFill>
                <a:schemeClr val="accent5"/>
              </a:solidFill>
              <a:ln>
                <a:noFill/>
              </a:ln>
              <a:sp3d>
                <a:extrusionClr>
                  <a:srgbClr val="FFFFFF"/>
                </a:extrusionClr>
                <a:contourClr>
                  <a:srgbClr val="FFFFFF"/>
                </a:contourClr>
              </a:sp3d>
            </c:spPr>
          </c:dPt>
          <c:dPt>
            <c:idx val="1"/>
            <c:invertIfNegative val="0"/>
            <c:bubble3D val="0"/>
            <c:explosion val="0"/>
            <c:spPr>
              <a:solidFill>
                <a:schemeClr val="accent6"/>
              </a:solidFill>
              <a:ln>
                <a:noFill/>
              </a:ln>
              <a:sp3d>
                <a:extrusionClr>
                  <a:srgbClr val="FFFFFF"/>
                </a:extrusionClr>
                <a:contourClr>
                  <a:srgbClr val="FFFFFF"/>
                </a:contourClr>
              </a:sp3d>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0"/>
            <c:extLst>
              <c:ext xmlns:c15="http://schemas.microsoft.com/office/drawing/2012/chart" uri="{CE6537A1-D6FC-4f65-9D91-7224C49458BB}">
                <c15:layout/>
                <c15:showLeaderLines val="1"/>
                <c15:leaderLines/>
              </c:ext>
            </c:extLst>
          </c:dLbls>
          <c:cat>
            <c:strRef>
              <c:f>[财务报告图标操作.xls]Sheet1!$A$2:$A$5</c:f>
              <c:strCache>
                <c:ptCount val="2"/>
                <c:pt idx="0">
                  <c:v>2021年</c:v>
                </c:pt>
                <c:pt idx="1">
                  <c:v>2022年</c:v>
                </c:pt>
              </c:strCache>
            </c:strRef>
          </c:cat>
          <c:val>
            <c:numRef>
              <c:f>[财务报告图标操作.xls]Sheet1!$B$2:$B$5</c:f>
              <c:numCache>
                <c:formatCode>General</c:formatCode>
                <c:ptCount val="2"/>
                <c:pt idx="0">
                  <c:v>132.24</c:v>
                </c:pt>
                <c:pt idx="1">
                  <c:v>194.48</c:v>
                </c:pt>
              </c:numCache>
            </c:numRef>
          </c:val>
        </c:ser>
        <c:dLbls>
          <c:showLegendKey val="0"/>
          <c:showVal val="1"/>
          <c:showCatName val="0"/>
          <c:showSerName val="0"/>
          <c:showPercent val="1"/>
          <c:showBubbleSize val="0"/>
        </c:dLbls>
        <c:gapWidth val="150"/>
        <c:overlap val="0"/>
        <c:axId val="342420622"/>
        <c:axId val="495227003"/>
      </c:barChart>
      <c:catAx>
        <c:axId val="34242062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95227003"/>
        <c:crosses val="autoZero"/>
        <c:auto val="1"/>
        <c:lblAlgn val="ctr"/>
        <c:lblOffset val="100"/>
        <c:noMultiLvlLbl val="0"/>
      </c:catAx>
      <c:valAx>
        <c:axId val="49522700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42420622"/>
        <c:crosses val="autoZero"/>
        <c:crossBetween val="between"/>
      </c:valAx>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[财务报告图标操作.xls]Sheet1!$B$1</c:f>
              <c:strCache>
                <c:ptCount val="1"/>
                <c:pt idx="0">
                  <c:v>一般公共预算财政拨款支出</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dPt>
          <c:dPt>
            <c:idx val="3"/>
            <c:bubble3D val="0"/>
          </c:dPt>
          <c:dLbls>
            <c:dLbl>
              <c:idx val="1"/>
              <c:layout>
                <c:manualLayout>
                  <c:x val="-0.00442572836408076"/>
                  <c:y val="0.0246139733941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
</c:separator>
              <c:extLst>
                <c:ext xmlns:c15="http://schemas.microsoft.com/office/drawing/2012/chart" uri="{CE6537A1-D6FC-4f65-9D91-7224C49458BB}">
                  <c15:layout/>
                </c:ext>
              </c:extLst>
            </c:dLbl>
            <c:dLbl>
              <c:idx val="2"/>
              <c:layout>
                <c:manualLayout>
                  <c:x val="0.00374274772956625"/>
                  <c:y val="0.0332459428098691"/>
                </c:manualLayout>
              </c:layout>
              <c:dLblPos val="bestFit"/>
              <c:showLegendKey val="0"/>
              <c:showVal val="0"/>
              <c:showCatName val="0"/>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[财务报告图标操作.xls]Sheet1!$A$2:$A$5</c:f>
              <c:strCache>
                <c:ptCount val="4"/>
                <c:pt idx="0">
                  <c:v>社会保障和就业（类）支出</c:v>
                </c:pt>
                <c:pt idx="1">
                  <c:v>住房保障支出</c:v>
                </c:pt>
                <c:pt idx="2">
                  <c:v>卫生健康支出</c:v>
                </c:pt>
                <c:pt idx="3">
                  <c:v>一般公务服务支出</c:v>
                </c:pt>
              </c:strCache>
            </c:strRef>
          </c:cat>
          <c:val>
            <c:numRef>
              <c:f>[财务报告图标操作.xls]Sheet1!$B$2:$B$5</c:f>
              <c:numCache>
                <c:formatCode>General</c:formatCode>
                <c:ptCount val="4"/>
                <c:pt idx="0">
                  <c:v>14.3</c:v>
                </c:pt>
                <c:pt idx="1">
                  <c:v>4.86</c:v>
                </c:pt>
                <c:pt idx="2">
                  <c:v>3.66</c:v>
                </c:pt>
                <c:pt idx="3">
                  <c:v>171.66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10698</Words>
  <Characters>11306</Characters>
  <Lines>74</Lines>
  <Paragraphs>21</Paragraphs>
  <TotalTime>38</TotalTime>
  <ScaleCrop>false</ScaleCrop>
  <LinksUpToDate>false</LinksUpToDate>
  <CharactersWithSpaces>11414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2021-07-29T03:56:00Z</cp:lastPrinted>
  <dcterms:modified xsi:type="dcterms:W3CDTF">2023-09-09T02:42:57Z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3F07F43C65184C9D802295C0B9940D5B_13</vt:lpwstr>
  </property>
</Properties>
</file>