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3E5E9">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425"/>
      <w:bookmarkStart w:id="2" w:name="_Toc15396597"/>
      <w:bookmarkStart w:id="3" w:name="_Toc15377193"/>
      <w:bookmarkStart w:id="4" w:name="_Toc15396475"/>
      <w:bookmarkStart w:id="5" w:name="_Toc15306267"/>
    </w:p>
    <w:p w14:paraId="24EAF93F">
      <w:pPr>
        <w:pStyle w:val="6"/>
        <w:rPr>
          <w:rFonts w:hint="eastAsia" w:ascii="Times New Roman" w:hAnsi="Times New Roman" w:eastAsia="方正小标宋简体" w:cs="Times New Roman"/>
          <w:color w:val="auto"/>
          <w:kern w:val="2"/>
          <w:sz w:val="72"/>
          <w:szCs w:val="72"/>
          <w:highlight w:val="none"/>
          <w:lang w:val="en-US" w:eastAsia="zh-CN" w:bidi="ar-SA"/>
        </w:rPr>
      </w:pPr>
    </w:p>
    <w:p w14:paraId="2A91324F">
      <w:pPr>
        <w:pStyle w:val="6"/>
        <w:rPr>
          <w:rFonts w:hint="eastAsia" w:ascii="Times New Roman" w:hAnsi="Times New Roman" w:eastAsia="方正小标宋简体" w:cs="Times New Roman"/>
          <w:color w:val="auto"/>
          <w:kern w:val="2"/>
          <w:sz w:val="72"/>
          <w:szCs w:val="72"/>
          <w:highlight w:val="none"/>
          <w:lang w:val="en-US" w:eastAsia="zh-CN" w:bidi="ar-SA"/>
        </w:rPr>
      </w:pPr>
    </w:p>
    <w:p w14:paraId="0BBF287F">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621FF8FD">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F71B802">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5206AE6D">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023FBCC6">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96476"/>
      <w:bookmarkStart w:id="8" w:name="_Toc15377194"/>
      <w:bookmarkStart w:id="9" w:name="_Toc15378442"/>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松潘县党史和地方志编纂中心单位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0A9B282D">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0786DCE6">
      <w:pPr>
        <w:widowControl/>
        <w:jc w:val="center"/>
        <w:rPr>
          <w:rFonts w:ascii="Times New Roman" w:hAnsi="Times New Roman" w:eastAsia="黑体" w:cstheme="minorBidi"/>
          <w:color w:val="auto"/>
          <w:sz w:val="28"/>
          <w:szCs w:val="28"/>
          <w:highlight w:val="none"/>
        </w:rPr>
      </w:pPr>
    </w:p>
    <w:p w14:paraId="77625FF9">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rPr>
        <w:t>日</w:t>
      </w:r>
    </w:p>
    <w:p w14:paraId="2516950A">
      <w:pPr>
        <w:rPr>
          <w:rFonts w:ascii="Times New Roman" w:hAnsi="Times New Roman"/>
          <w:color w:val="auto"/>
          <w:highlight w:val="none"/>
        </w:rPr>
      </w:pPr>
    </w:p>
    <w:p w14:paraId="7AC12CC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p>
    <w:p w14:paraId="229656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lang w:eastAsia="zh-CN"/>
        </w:rPr>
        <w:t>职责</w:t>
      </w:r>
    </w:p>
    <w:p w14:paraId="0ABE9AC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20D96F8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p>
    <w:p w14:paraId="7DD3691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534EB37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B4956F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3E3E8A2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089F365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220F36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0F20E8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7147292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3F2F45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7CA49A3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03D3387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4434FE9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4C69BC8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5FA05F4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8FC9FB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9BCBA4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4FA7D2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340A285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4F4D810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3A721E0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5551FCB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C59EAB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49DA5F2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2ADFD1D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0645503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1A0A6EC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7B679D9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rPr>
        <w:t>根据实际注明页码</w:t>
      </w:r>
      <w:r>
        <w:rPr>
          <w:rFonts w:hint="eastAsia" w:ascii="Times New Roman" w:hAnsi="Times New Roman" w:eastAsia="仿宋_GB2312" w:cs="仿宋_GB2312"/>
          <w:b/>
          <w:bCs/>
          <w:color w:val="auto"/>
          <w:sz w:val="32"/>
          <w:szCs w:val="32"/>
          <w:highlight w:val="none"/>
          <w:lang w:eastAsia="zh-CN"/>
        </w:rPr>
        <w:t>）</w:t>
      </w:r>
    </w:p>
    <w:p w14:paraId="2172FC6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47798464">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2E890964">
      <w:pPr>
        <w:widowControl/>
        <w:jc w:val="left"/>
        <w:rPr>
          <w:rFonts w:ascii="Times New Roman" w:hAnsi="Times New Roman" w:eastAsia="黑体"/>
          <w:color w:val="auto"/>
          <w:sz w:val="32"/>
          <w:szCs w:val="32"/>
          <w:highlight w:val="none"/>
        </w:rPr>
      </w:pPr>
    </w:p>
    <w:p w14:paraId="706074A9">
      <w:pPr>
        <w:pStyle w:val="4"/>
        <w:rPr>
          <w:rFonts w:hint="eastAsia" w:ascii="Times New Roman" w:hAnsi="Times New Roman" w:eastAsia="黑体"/>
          <w:b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单位职责</w:t>
      </w:r>
    </w:p>
    <w:p w14:paraId="38D225DA">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县史志中心贯彻执行中央关于党史工作的方针政策和省委、州委、县委关于党史工作的决策部署，在履行职责过程中坚持和加强党对党史和地方志工作的集中统一领导。主要职责是：</w:t>
      </w:r>
    </w:p>
    <w:p w14:paraId="3E7FF7DE">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（一）贯彻执行党中央、国务院和省、州、县关于党史和地方志工作的方针、政策和</w:t>
      </w:r>
      <w:r>
        <w:rPr>
          <w:rFonts w:hint="eastAsia" w:ascii="仿宋_GB2312" w:hAnsi="仿宋_GB2312" w:eastAsia="仿宋_GB2312" w:cs="仿宋_GB2312"/>
          <w:sz w:val="32"/>
          <w:szCs w:val="40"/>
          <w:lang w:eastAsia="zh-CN"/>
        </w:rPr>
        <w:t>法律法规</w:t>
      </w:r>
      <w:r>
        <w:rPr>
          <w:rFonts w:hint="eastAsia" w:ascii="仿宋_GB2312" w:hAnsi="仿宋_GB2312" w:eastAsia="仿宋_GB2312" w:cs="仿宋_GB2312"/>
          <w:sz w:val="32"/>
          <w:szCs w:val="40"/>
        </w:rPr>
        <w:t>，组织实施协调监督及指导全县党史和地方志工作。拟定全县党史和地方志工作规划和年度计划并组织实施，承担“存史、资治、教化、育人”的重要公共事务管理职能。</w:t>
      </w:r>
    </w:p>
    <w:p w14:paraId="5FCA491E">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组织开展中国共产党松潘县历史研究，编写年度历史大事记，旧志整理，承担《中国共产党松潘县历史》《中国共产党松潘县执政实录》《松潘县志》《松潘年鉴》等史志图书的组稿、总纂、上报审定和编辑出版工作，指导各</w:t>
      </w:r>
      <w:r>
        <w:rPr>
          <w:rFonts w:hint="eastAsia" w:ascii="仿宋_GB2312" w:hAnsi="仿宋_GB2312" w:eastAsia="仿宋_GB2312" w:cs="仿宋_GB2312"/>
          <w:sz w:val="32"/>
          <w:szCs w:val="40"/>
          <w:lang w:eastAsia="zh-CN"/>
        </w:rPr>
        <w:t>单位</w:t>
      </w:r>
      <w:r>
        <w:rPr>
          <w:rFonts w:hint="eastAsia" w:ascii="仿宋_GB2312" w:hAnsi="仿宋_GB2312" w:eastAsia="仿宋_GB2312" w:cs="仿宋_GB2312"/>
          <w:sz w:val="32"/>
          <w:szCs w:val="40"/>
        </w:rPr>
        <w:t>及各乡镇开展</w:t>
      </w:r>
    </w:p>
    <w:p w14:paraId="6A22320E">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单位</w:t>
      </w:r>
      <w:r>
        <w:rPr>
          <w:rFonts w:hint="eastAsia" w:ascii="仿宋_GB2312" w:hAnsi="仿宋_GB2312" w:eastAsia="仿宋_GB2312" w:cs="仿宋_GB2312"/>
          <w:sz w:val="32"/>
          <w:szCs w:val="40"/>
        </w:rPr>
        <w:t>志和乡镇志、村志、年鉴的编纂工作。</w:t>
      </w:r>
    </w:p>
    <w:p w14:paraId="07D9F6CA">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（三）推动党史成果转化，进行党史、革命史、地情的宣传教育；负责全县党史系统干部培训工作；组织党史工作及口述历史工作经验交流。</w:t>
      </w:r>
    </w:p>
    <w:p w14:paraId="15BA7A71">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（四）负责征集、抢救、整理、编纂全县重要党史资料，搜集、保存、研究地方志文献及其他地情资料；组织开发利用党史、地方志信息资源，推动党史、地方志成果转化。</w:t>
      </w:r>
    </w:p>
    <w:p w14:paraId="4247F7EB">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（五）负责全县重大党史题材的展览宣传，运用党史、地方志资料进行宣传教育，为社会各界提供宣传教育服务。</w:t>
      </w:r>
    </w:p>
    <w:p w14:paraId="47FE14FF">
      <w:pPr>
        <w:rPr>
          <w:rFonts w:hint="eastAsia"/>
          <w:lang w:eastAsia="zh-CN"/>
        </w:rPr>
      </w:pPr>
      <w:r>
        <w:rPr>
          <w:rFonts w:hint="eastAsia" w:ascii="仿宋_GB2312" w:hAnsi="仿宋_GB2312" w:eastAsia="仿宋_GB2312" w:cs="仿宋_GB2312"/>
          <w:sz w:val="32"/>
          <w:szCs w:val="40"/>
        </w:rPr>
        <w:t>（六）完成县委、县政府交办的其他工作。</w:t>
      </w:r>
    </w:p>
    <w:p w14:paraId="365E1AF0">
      <w:pPr>
        <w:rPr>
          <w:rFonts w:hint="eastAsia"/>
          <w:lang w:eastAsia="zh-CN"/>
        </w:rPr>
      </w:pPr>
    </w:p>
    <w:p w14:paraId="065C43E7">
      <w:pPr>
        <w:pStyle w:val="4"/>
        <w:rPr>
          <w:rStyle w:val="29"/>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p>
    <w:p w14:paraId="016AF849">
      <w:pPr>
        <w:ind w:firstLine="800" w:firstLineChars="250"/>
        <w:rPr>
          <w:rFonts w:ascii="仿宋" w:hAnsi="仿宋" w:eastAsia="仿宋"/>
          <w:sz w:val="32"/>
          <w:szCs w:val="32"/>
        </w:rPr>
      </w:pPr>
      <w:bookmarkStart w:id="18" w:name="_Toc15306275"/>
      <w:bookmarkStart w:id="19" w:name="_Toc15377432"/>
      <w:bookmarkStart w:id="20" w:name="_Toc15378448"/>
      <w:bookmarkStart w:id="21" w:name="_Toc15377201"/>
      <w:r>
        <w:rPr>
          <w:sz w:val="32"/>
          <w:szCs w:val="32"/>
        </w:rPr>
        <w:t>松潘县党史和地方志编纂中心</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2800D27F">
      <w:pPr>
        <w:pStyle w:val="6"/>
        <w:adjustRightInd w:val="0"/>
        <w:snapToGrid w:val="0"/>
        <w:spacing w:before="93" w:line="600" w:lineRule="exact"/>
        <w:ind w:firstLine="672" w:firstLineChars="210"/>
        <w:rPr>
          <w:rFonts w:hint="eastAsia" w:ascii="仿宋" w:hAnsi="仿宋" w:eastAsia="宋体"/>
          <w:sz w:val="32"/>
          <w:szCs w:val="32"/>
          <w:lang w:eastAsia="zh-CN"/>
        </w:rPr>
      </w:pPr>
      <w:r>
        <w:rPr>
          <w:rFonts w:hint="eastAsia" w:ascii="仿宋" w:hAnsi="仿宋" w:eastAsia="仿宋"/>
          <w:sz w:val="32"/>
          <w:szCs w:val="32"/>
        </w:rPr>
        <w:t>纳入</w:t>
      </w:r>
      <w:r>
        <w:rPr>
          <w:rFonts w:ascii="Times New Roman" w:eastAsia="宋体"/>
          <w:kern w:val="2"/>
          <w:sz w:val="32"/>
          <w:szCs w:val="32"/>
        </w:rPr>
        <w:t>松潘县党史和地方志编纂中心</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w:t>
      </w:r>
      <w:r>
        <w:rPr>
          <w:rFonts w:hint="eastAsia" w:ascii="仿宋" w:hAnsi="仿宋" w:eastAsia="仿宋"/>
          <w:sz w:val="32"/>
          <w:szCs w:val="32"/>
          <w:lang w:eastAsia="zh-CN"/>
        </w:rPr>
        <w:t>单位</w:t>
      </w:r>
      <w:r>
        <w:rPr>
          <w:rFonts w:hint="eastAsia" w:ascii="仿宋" w:hAnsi="仿宋" w:eastAsia="仿宋"/>
          <w:sz w:val="32"/>
          <w:szCs w:val="32"/>
        </w:rPr>
        <w:t>决算编制范围的二级预算单位包括：</w:t>
      </w:r>
    </w:p>
    <w:bookmarkEnd w:id="18"/>
    <w:bookmarkEnd w:id="19"/>
    <w:bookmarkEnd w:id="20"/>
    <w:bookmarkEnd w:id="21"/>
    <w:p w14:paraId="368C0551">
      <w:pPr>
        <w:pStyle w:val="6"/>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eastAsia="宋体"/>
          <w:kern w:val="2"/>
          <w:sz w:val="32"/>
          <w:szCs w:val="32"/>
          <w:lang w:val="en-US" w:eastAsia="zh-CN"/>
        </w:rPr>
        <w:t>1.</w:t>
      </w:r>
      <w:r>
        <w:rPr>
          <w:rFonts w:ascii="Times New Roman" w:eastAsia="宋体"/>
          <w:kern w:val="2"/>
          <w:sz w:val="32"/>
          <w:szCs w:val="32"/>
        </w:rPr>
        <w:t>松潘县党史和地方志编纂中心</w:t>
      </w:r>
      <w:r>
        <w:rPr>
          <w:rFonts w:hint="eastAsia" w:ascii="Times New Roman" w:eastAsia="宋体"/>
          <w:kern w:val="2"/>
          <w:sz w:val="32"/>
          <w:szCs w:val="32"/>
          <w:lang w:eastAsia="zh-CN"/>
        </w:rPr>
        <w:t>。</w:t>
      </w:r>
      <w:r>
        <w:rPr>
          <w:rFonts w:ascii="Times New Roman" w:hAnsi="Times New Roman" w:eastAsia="仿宋"/>
          <w:color w:val="auto"/>
          <w:sz w:val="32"/>
          <w:szCs w:val="32"/>
          <w:highlight w:val="none"/>
        </w:rPr>
        <w:br w:type="page"/>
      </w:r>
    </w:p>
    <w:p w14:paraId="074BAAB5">
      <w:pPr>
        <w:pStyle w:val="3"/>
        <w:jc w:val="center"/>
        <w:rPr>
          <w:rFonts w:hint="eastAsia" w:ascii="Times New Roman" w:hAnsi="Times New Roman" w:eastAsia="方正小标宋简体" w:cs="方正小标宋简体"/>
          <w:b w:val="0"/>
          <w:color w:val="auto"/>
          <w:highlight w:val="none"/>
        </w:rPr>
      </w:pPr>
      <w:bookmarkStart w:id="22" w:name="_Toc15377204"/>
      <w:bookmarkStart w:id="2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22"/>
      <w:bookmarkEnd w:id="23"/>
    </w:p>
    <w:p w14:paraId="49419897">
      <w:pPr>
        <w:rPr>
          <w:rFonts w:ascii="Times New Roman" w:hAnsi="Times New Roman"/>
          <w:color w:val="auto"/>
          <w:highlight w:val="none"/>
        </w:rPr>
      </w:pPr>
    </w:p>
    <w:p w14:paraId="6A7E8C5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77205"/>
      <w:bookmarkStart w:id="2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4"/>
      <w:bookmarkEnd w:id="25"/>
    </w:p>
    <w:p w14:paraId="3B03926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sz w:val="32"/>
          <w:szCs w:val="32"/>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208.28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总计各增加/减少</w:t>
      </w:r>
      <w:r>
        <w:rPr>
          <w:rFonts w:hint="eastAsia" w:eastAsia="仿宋_GB2312" w:cs="仿宋_GB2312"/>
          <w:color w:val="auto"/>
          <w:sz w:val="32"/>
          <w:szCs w:val="32"/>
          <w:highlight w:val="none"/>
          <w:lang w:val="en-US" w:eastAsia="zh-CN"/>
        </w:rPr>
        <w:t>49.32</w:t>
      </w:r>
      <w:r>
        <w:rPr>
          <w:rFonts w:hint="eastAsia" w:ascii="Times New Roman" w:hAnsi="Times New Roman" w:eastAsia="仿宋_GB2312" w:cs="仿宋_GB2312"/>
          <w:color w:val="auto"/>
          <w:sz w:val="32"/>
          <w:szCs w:val="32"/>
          <w:highlight w:val="none"/>
        </w:rPr>
        <w:t>万元，增长/下降</w:t>
      </w:r>
      <w:r>
        <w:rPr>
          <w:rFonts w:hint="eastAsia" w:eastAsia="仿宋_GB2312" w:cs="仿宋_GB2312"/>
          <w:color w:val="auto"/>
          <w:sz w:val="32"/>
          <w:szCs w:val="32"/>
          <w:highlight w:val="none"/>
          <w:lang w:val="en-US" w:eastAsia="zh-CN"/>
        </w:rPr>
        <w:t>9.83</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sz w:val="32"/>
          <w:szCs w:val="32"/>
          <w:lang w:eastAsia="zh-CN"/>
        </w:rPr>
        <w:t>上年存量资金未纳入决算</w:t>
      </w:r>
      <w:r>
        <w:rPr>
          <w:rFonts w:hint="eastAsia" w:ascii="仿宋" w:hAnsi="仿宋" w:eastAsia="仿宋"/>
          <w:sz w:val="32"/>
          <w:szCs w:val="32"/>
        </w:rPr>
        <w:t>。</w:t>
      </w:r>
    </w:p>
    <w:p w14:paraId="5738A5E0">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698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14:paraId="172079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52C5C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1CDA3F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15377206"/>
      <w:bookmarkStart w:id="27" w:name="_Toc15396604"/>
      <w:r>
        <w:rPr>
          <w:rFonts w:hint="eastAsia" w:ascii="Times New Roman" w:hAnsi="Times New Roman" w:eastAsia="黑体"/>
          <w:color w:val="auto"/>
          <w:sz w:val="32"/>
          <w:szCs w:val="32"/>
          <w:highlight w:val="none"/>
          <w:lang w:eastAsia="zh-CN"/>
        </w:rPr>
        <w:t>二、收入决算情况说明</w:t>
      </w:r>
      <w:bookmarkEnd w:id="26"/>
      <w:bookmarkEnd w:id="27"/>
    </w:p>
    <w:p w14:paraId="333D8FD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208.28万元，其中：一般公共预算财政拨款收入208.28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lang w:eastAsia="zh-CN"/>
        </w:rPr>
        <w:t>涉及的收入）</w:t>
      </w:r>
    </w:p>
    <w:p w14:paraId="2866511D">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584065" cy="2755265"/>
            <wp:effectExtent l="0" t="0" r="6985" b="698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14:paraId="3E383765">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3518816">
      <w:pPr>
        <w:ind w:firstLine="800" w:firstLineChars="250"/>
        <w:rPr>
          <w:rFonts w:hint="eastAsia" w:ascii="Times New Roman" w:hAnsi="Times New Roman" w:eastAsia="仿宋_GB2312" w:cs="仿宋_GB2312"/>
          <w:color w:val="auto"/>
          <w:sz w:val="32"/>
          <w:szCs w:val="32"/>
          <w:highlight w:val="none"/>
          <w:lang w:eastAsia="zh-CN"/>
        </w:rPr>
      </w:pPr>
    </w:p>
    <w:p w14:paraId="6F8E411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8" w:name="_Toc15396605"/>
      <w:bookmarkStart w:id="2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8"/>
      <w:bookmarkEnd w:id="29"/>
    </w:p>
    <w:p w14:paraId="3D0EA58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208.28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126.22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60.6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82.06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39.39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bookmarkStart w:id="74" w:name="_GoBack"/>
      <w:r>
        <w:rPr>
          <w:rFonts w:hint="eastAsia" w:ascii="仿宋_GB2312" w:hAnsi="仿宋_GB2312" w:eastAsia="仿宋_GB2312" w:cs="仿宋_GB2312"/>
          <w:color w:val="auto"/>
          <w:sz w:val="32"/>
          <w:szCs w:val="32"/>
          <w:highlight w:val="none"/>
          <w:lang w:eastAsia="zh-CN"/>
        </w:rPr>
        <w:t>0%</w:t>
      </w:r>
      <w:bookmarkEnd w:id="74"/>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lang w:eastAsia="zh-CN"/>
        </w:rPr>
        <w:t>涉及的支出）</w:t>
      </w:r>
    </w:p>
    <w:p w14:paraId="69C7A9B6">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inline distT="0" distB="0" distL="114300" distR="114300">
            <wp:extent cx="4584065" cy="2755265"/>
            <wp:effectExtent l="0" t="0" r="6985" b="698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2"/>
                    <a:stretch>
                      <a:fillRect/>
                    </a:stretch>
                  </pic:blipFill>
                  <pic:spPr>
                    <a:xfrm>
                      <a:off x="0" y="0"/>
                      <a:ext cx="4584065" cy="2755265"/>
                    </a:xfrm>
                    <a:prstGeom prst="rect">
                      <a:avLst/>
                    </a:prstGeom>
                  </pic:spPr>
                </pic:pic>
              </a:graphicData>
            </a:graphic>
          </wp:inline>
        </w:drawing>
      </w:r>
    </w:p>
    <w:p w14:paraId="6FB808F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53CA953A">
      <w:pPr>
        <w:ind w:firstLine="800" w:firstLineChars="250"/>
        <w:rPr>
          <w:rFonts w:hint="eastAsia" w:ascii="Times New Roman" w:hAnsi="Times New Roman" w:eastAsia="仿宋_GB2312" w:cs="仿宋_GB2312"/>
          <w:color w:val="auto"/>
          <w:sz w:val="32"/>
          <w:szCs w:val="32"/>
          <w:highlight w:val="none"/>
          <w:lang w:eastAsia="zh-CN"/>
        </w:rPr>
      </w:pPr>
    </w:p>
    <w:p w14:paraId="244A1752">
      <w:pPr>
        <w:spacing w:line="600" w:lineRule="exact"/>
        <w:ind w:firstLine="640" w:firstLineChars="200"/>
        <w:outlineLvl w:val="1"/>
        <w:rPr>
          <w:rStyle w:val="29"/>
          <w:rFonts w:ascii="Times New Roman" w:hAnsi="Times New Roman" w:eastAsia="黑体"/>
          <w:b w:val="0"/>
          <w:color w:val="auto"/>
          <w:highlight w:val="none"/>
        </w:rPr>
      </w:pPr>
      <w:bookmarkStart w:id="30" w:name="_Toc15377208"/>
      <w:bookmarkStart w:id="31"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0"/>
      <w:bookmarkEnd w:id="31"/>
    </w:p>
    <w:p w14:paraId="78772709">
      <w:pPr>
        <w:spacing w:line="600" w:lineRule="exact"/>
        <w:ind w:firstLine="640"/>
        <w:rPr>
          <w:rFonts w:hint="eastAsia" w:ascii="仿宋" w:hAnsi="仿宋" w:eastAsia="仿宋"/>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208.28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万元。与2023年度相比，财政拨款收入总计、支出总计各增加/减少</w:t>
      </w:r>
      <w:r>
        <w:rPr>
          <w:rFonts w:hint="eastAsia" w:eastAsia="仿宋_GB2312" w:cs="仿宋_GB2312"/>
          <w:color w:val="auto"/>
          <w:kern w:val="2"/>
          <w:sz w:val="32"/>
          <w:szCs w:val="32"/>
          <w:highlight w:val="none"/>
          <w:lang w:val="en-US" w:eastAsia="zh-CN" w:bidi="ar-SA"/>
        </w:rPr>
        <w:t>49.32</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9.83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sz w:val="32"/>
          <w:szCs w:val="32"/>
          <w:lang w:eastAsia="zh-CN"/>
        </w:rPr>
        <w:t>上年存量资金未纳入决算。</w:t>
      </w:r>
    </w:p>
    <w:p w14:paraId="0AB169F9">
      <w:pPr>
        <w:pStyle w:val="2"/>
        <w:rPr>
          <w:rFonts w:hint="eastAsia"/>
          <w:lang w:eastAsia="zh-CN"/>
        </w:rPr>
      </w:pPr>
      <w:r>
        <w:rPr>
          <w:rFonts w:hint="eastAsia"/>
          <w:lang w:eastAsia="zh-CN"/>
        </w:rPr>
        <w:drawing>
          <wp:inline distT="0" distB="0" distL="114300" distR="114300">
            <wp:extent cx="4584065" cy="2755265"/>
            <wp:effectExtent l="0" t="0" r="6985" b="698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3"/>
                    <a:stretch>
                      <a:fillRect/>
                    </a:stretch>
                  </pic:blipFill>
                  <pic:spPr>
                    <a:xfrm>
                      <a:off x="0" y="0"/>
                      <a:ext cx="4584065" cy="2755265"/>
                    </a:xfrm>
                    <a:prstGeom prst="rect">
                      <a:avLst/>
                    </a:prstGeom>
                  </pic:spPr>
                </pic:pic>
              </a:graphicData>
            </a:graphic>
          </wp:inline>
        </w:drawing>
      </w:r>
    </w:p>
    <w:p w14:paraId="023E25F8">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B2482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E5604D">
      <w:pPr>
        <w:spacing w:line="600" w:lineRule="exact"/>
        <w:ind w:firstLine="640" w:firstLineChars="200"/>
        <w:outlineLvl w:val="1"/>
        <w:rPr>
          <w:rStyle w:val="29"/>
          <w:rFonts w:ascii="Times New Roman" w:hAnsi="Times New Roman" w:eastAsia="黑体"/>
          <w:b w:val="0"/>
          <w:color w:val="auto"/>
          <w:highlight w:val="none"/>
        </w:rPr>
      </w:pPr>
      <w:bookmarkStart w:id="32" w:name="_Toc15377209"/>
      <w:bookmarkStart w:id="3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2"/>
      <w:bookmarkEnd w:id="33"/>
    </w:p>
    <w:p w14:paraId="2F65DFD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4"/>
    </w:p>
    <w:p w14:paraId="44370C57">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208.28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%。与2023年度相比，一般公共预算财政拨款支出增加/减少49.32万元，增长/下降9.38%。主要变动原因是</w:t>
      </w:r>
      <w:r>
        <w:rPr>
          <w:rFonts w:hint="eastAsia" w:ascii="仿宋" w:hAnsi="仿宋" w:eastAsia="仿宋"/>
          <w:sz w:val="32"/>
          <w:szCs w:val="32"/>
          <w:lang w:eastAsia="zh-CN"/>
        </w:rPr>
        <w:t>上年存量资金未纳入决算</w:t>
      </w:r>
      <w:r>
        <w:rPr>
          <w:rFonts w:hint="eastAsia" w:ascii="仿宋" w:hAnsi="仿宋" w:eastAsia="仿宋"/>
          <w:sz w:val="32"/>
          <w:szCs w:val="32"/>
        </w:rPr>
        <w:t>。</w:t>
      </w:r>
    </w:p>
    <w:p w14:paraId="2FFC05BF">
      <w:pPr>
        <w:pStyle w:val="2"/>
        <w:rPr>
          <w:rFonts w:hint="eastAsia" w:eastAsia="仿宋"/>
          <w:lang w:eastAsia="zh-CN"/>
        </w:rPr>
      </w:pPr>
      <w:r>
        <w:rPr>
          <w:rFonts w:hint="eastAsia" w:eastAsia="仿宋"/>
          <w:lang w:eastAsia="zh-CN"/>
        </w:rPr>
        <w:drawing>
          <wp:inline distT="0" distB="0" distL="114300" distR="114300">
            <wp:extent cx="4584065" cy="2755265"/>
            <wp:effectExtent l="0" t="0" r="6985" b="6985"/>
            <wp:docPr id="5" name="图片 5"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6"/>
                    <pic:cNvPicPr>
                      <a:picLocks noChangeAspect="1"/>
                    </pic:cNvPicPr>
                  </pic:nvPicPr>
                  <pic:blipFill>
                    <a:blip r:embed="rId14"/>
                    <a:stretch>
                      <a:fillRect/>
                    </a:stretch>
                  </pic:blipFill>
                  <pic:spPr>
                    <a:xfrm>
                      <a:off x="0" y="0"/>
                      <a:ext cx="4584065" cy="2755265"/>
                    </a:xfrm>
                    <a:prstGeom prst="rect">
                      <a:avLst/>
                    </a:prstGeom>
                  </pic:spPr>
                </pic:pic>
              </a:graphicData>
            </a:graphic>
          </wp:inline>
        </w:drawing>
      </w:r>
    </w:p>
    <w:p w14:paraId="00952E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9AF5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A1367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36FB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5"/>
    </w:p>
    <w:p w14:paraId="21A5A1EF">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eastAsia="zh-CN"/>
        </w:rPr>
        <w:t>208.28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172.74</w:t>
      </w:r>
      <w:r>
        <w:rPr>
          <w:rFonts w:hint="eastAsia" w:ascii="仿宋" w:hAnsi="仿宋" w:eastAsia="仿宋"/>
          <w:sz w:val="32"/>
          <w:szCs w:val="32"/>
        </w:rPr>
        <w:t>万元，占</w:t>
      </w:r>
      <w:r>
        <w:rPr>
          <w:rFonts w:hint="eastAsia" w:ascii="仿宋" w:hAnsi="仿宋" w:eastAsia="仿宋"/>
          <w:sz w:val="32"/>
          <w:szCs w:val="32"/>
          <w:lang w:val="en-US" w:eastAsia="zh-CN"/>
        </w:rPr>
        <w:t>82.94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18.28</w:t>
      </w:r>
      <w:r>
        <w:rPr>
          <w:rFonts w:hint="eastAsia" w:ascii="仿宋" w:hAnsi="仿宋" w:eastAsia="仿宋"/>
          <w:sz w:val="32"/>
          <w:szCs w:val="32"/>
        </w:rPr>
        <w:t>万元，占</w:t>
      </w:r>
      <w:r>
        <w:rPr>
          <w:rFonts w:hint="eastAsia" w:ascii="仿宋" w:hAnsi="仿宋" w:eastAsia="仿宋"/>
          <w:sz w:val="32"/>
          <w:szCs w:val="32"/>
          <w:lang w:val="en-US" w:eastAsia="zh-CN"/>
        </w:rPr>
        <w:t>8.78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7.17</w:t>
      </w:r>
      <w:r>
        <w:rPr>
          <w:rFonts w:hint="eastAsia" w:ascii="仿宋" w:hAnsi="仿宋" w:eastAsia="仿宋"/>
          <w:sz w:val="32"/>
          <w:szCs w:val="32"/>
        </w:rPr>
        <w:t>万元，占</w:t>
      </w:r>
      <w:r>
        <w:rPr>
          <w:rFonts w:hint="eastAsia" w:ascii="仿宋" w:hAnsi="仿宋" w:eastAsia="仿宋"/>
          <w:sz w:val="32"/>
          <w:szCs w:val="32"/>
          <w:lang w:val="en-US" w:eastAsia="zh-CN"/>
        </w:rPr>
        <w:t>3.44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10.08</w:t>
      </w:r>
      <w:r>
        <w:rPr>
          <w:rFonts w:hint="eastAsia" w:ascii="仿宋" w:hAnsi="仿宋" w:eastAsia="仿宋"/>
          <w:sz w:val="32"/>
          <w:szCs w:val="32"/>
        </w:rPr>
        <w:t>万元，占</w:t>
      </w:r>
      <w:r>
        <w:rPr>
          <w:rFonts w:hint="eastAsia" w:ascii="仿宋" w:hAnsi="仿宋" w:eastAsia="仿宋"/>
          <w:sz w:val="32"/>
          <w:szCs w:val="32"/>
          <w:lang w:val="en-US" w:eastAsia="zh-CN"/>
        </w:rPr>
        <w:t>4.84</w:t>
      </w:r>
      <w:r>
        <w:rPr>
          <w:rFonts w:ascii="仿宋" w:hAnsi="仿宋" w:eastAsia="仿宋"/>
          <w:sz w:val="32"/>
          <w:szCs w:val="32"/>
        </w:rPr>
        <w:t>%</w:t>
      </w:r>
      <w:r>
        <w:rPr>
          <w:rFonts w:hint="eastAsia" w:ascii="仿宋" w:hAnsi="仿宋" w:eastAsia="仿宋"/>
          <w:sz w:val="32"/>
          <w:szCs w:val="32"/>
        </w:rPr>
        <w:t>。</w:t>
      </w:r>
    </w:p>
    <w:p w14:paraId="774BC77B">
      <w:pPr>
        <w:spacing w:line="600" w:lineRule="exact"/>
        <w:ind w:firstLine="640"/>
        <w:rPr>
          <w:rFonts w:hint="eastAsia" w:ascii="仿宋" w:hAnsi="仿宋" w:eastAsia="仿宋"/>
          <w:b/>
          <w:sz w:val="32"/>
          <w:szCs w:val="32"/>
        </w:rPr>
      </w:pPr>
      <w:r>
        <w:rPr>
          <w:rFonts w:hint="eastAsia" w:ascii="仿宋" w:hAnsi="仿宋" w:eastAsia="仿宋"/>
          <w:b/>
          <w:sz w:val="32"/>
          <w:szCs w:val="32"/>
        </w:rPr>
        <w:t>（注：数据来源于财决01-1表，仅罗列本</w:t>
      </w:r>
      <w:r>
        <w:rPr>
          <w:rFonts w:hint="eastAsia" w:ascii="仿宋" w:hAnsi="仿宋" w:eastAsia="仿宋"/>
          <w:b/>
          <w:sz w:val="32"/>
          <w:szCs w:val="32"/>
          <w:lang w:eastAsia="zh-CN"/>
        </w:rPr>
        <w:t>单位</w:t>
      </w:r>
      <w:r>
        <w:rPr>
          <w:rFonts w:hint="eastAsia" w:ascii="仿宋" w:hAnsi="仿宋" w:eastAsia="仿宋"/>
          <w:b/>
          <w:sz w:val="32"/>
          <w:szCs w:val="32"/>
        </w:rPr>
        <w:t>涉及的全部功能分类科目，至类级。）</w:t>
      </w:r>
    </w:p>
    <w:p w14:paraId="7BD15E3E">
      <w:pPr>
        <w:pStyle w:val="2"/>
        <w:rPr>
          <w:rFonts w:hint="eastAsia" w:eastAsia="仿宋"/>
          <w:lang w:eastAsia="zh-CN"/>
        </w:rPr>
      </w:pPr>
      <w:r>
        <w:rPr>
          <w:rFonts w:hint="eastAsia" w:eastAsia="仿宋"/>
          <w:lang w:eastAsia="zh-CN"/>
        </w:rPr>
        <w:drawing>
          <wp:inline distT="0" distB="0" distL="114300" distR="114300">
            <wp:extent cx="4584065" cy="2755265"/>
            <wp:effectExtent l="0" t="0" r="6985" b="6985"/>
            <wp:docPr id="6" name="图片 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5"/>
                    <pic:cNvPicPr>
                      <a:picLocks noChangeAspect="1"/>
                    </pic:cNvPicPr>
                  </pic:nvPicPr>
                  <pic:blipFill>
                    <a:blip r:embed="rId15"/>
                    <a:stretch>
                      <a:fillRect/>
                    </a:stretch>
                  </pic:blipFill>
                  <pic:spPr>
                    <a:xfrm>
                      <a:off x="0" y="0"/>
                      <a:ext cx="4584065" cy="2755265"/>
                    </a:xfrm>
                    <a:prstGeom prst="rect">
                      <a:avLst/>
                    </a:prstGeom>
                  </pic:spPr>
                </pic:pic>
              </a:graphicData>
            </a:graphic>
          </wp:inline>
        </w:drawing>
      </w:r>
    </w:p>
    <w:p w14:paraId="1B01E3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CBA58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6FF7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6"/>
    </w:p>
    <w:p w14:paraId="6E618B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7" w:name="_Toc15377444"/>
      <w:bookmarkStart w:id="38" w:name="_Toc15378460"/>
      <w:bookmarkStart w:id="3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208.28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完成预算**%。其中：</w:t>
      </w:r>
      <w:bookmarkEnd w:id="37"/>
      <w:bookmarkEnd w:id="38"/>
      <w:bookmarkEnd w:id="39"/>
    </w:p>
    <w:p w14:paraId="5D35DE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%，决算数小于/等于预算数的主要原因是……</w:t>
      </w:r>
    </w:p>
    <w:p w14:paraId="70D95D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2.教育</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%，决算数小于/等于预算数的主要原因是……</w:t>
      </w:r>
    </w:p>
    <w:p w14:paraId="0DB3BBEB">
      <w:pPr>
        <w:spacing w:line="600" w:lineRule="exact"/>
        <w:ind w:firstLine="640" w:firstLineChars="200"/>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eastAsia="仿宋_GB2312"/>
          <w:sz w:val="32"/>
          <w:szCs w:val="32"/>
        </w:rPr>
        <w:t>科学技术（类）社会科学（款）其他社会科学支出（项）</w:t>
      </w:r>
      <w:r>
        <w:rPr>
          <w:rFonts w:hint="eastAsia" w:ascii="仿宋_GB2312" w:eastAsia="仿宋_GB2312"/>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172.74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2158DE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4.文化旅游体育与传媒</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%，决算数小于/等于预算数的主要原因是……</w:t>
      </w:r>
    </w:p>
    <w:p w14:paraId="4D79D3E1">
      <w:pPr>
        <w:spacing w:line="600" w:lineRule="exact"/>
        <w:ind w:firstLine="640" w:firstLineChars="200"/>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eastAsia="仿宋_GB2312"/>
          <w:sz w:val="32"/>
          <w:szCs w:val="32"/>
        </w:rPr>
        <w:t>社会保障和就业支出（类）行政事业单位养老支出（款）机关事业单位职业年金缴费支出（项）</w:t>
      </w:r>
      <w:r>
        <w:rPr>
          <w:rFonts w:hint="eastAsia" w:ascii="仿宋_GB2312" w:eastAsia="仿宋_GB2312"/>
          <w:sz w:val="32"/>
          <w:szCs w:val="32"/>
          <w:lang w:eastAsia="zh-CN"/>
        </w:rPr>
        <w:t>、</w:t>
      </w:r>
      <w:r>
        <w:rPr>
          <w:rFonts w:hint="eastAsia" w:ascii="仿宋_GB2312" w:eastAsia="仿宋_GB2312"/>
          <w:sz w:val="32"/>
          <w:szCs w:val="32"/>
        </w:rPr>
        <w:t>机关事业单位基本养老保险缴费支出（项）</w:t>
      </w:r>
      <w:r>
        <w:rPr>
          <w:rFonts w:hint="eastAsia" w:ascii="仿宋_GB2312" w:eastAsia="仿宋_GB2312"/>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18.28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860BDC8">
      <w:pPr>
        <w:spacing w:line="600" w:lineRule="exact"/>
        <w:ind w:firstLine="640" w:firstLineChars="200"/>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eastAsia="仿宋_GB2312"/>
          <w:sz w:val="32"/>
          <w:szCs w:val="32"/>
        </w:rPr>
        <w:t>卫生健康支出（类）行政事业单位医疗（款）行政单位医疗（项）</w:t>
      </w:r>
      <w:r>
        <w:rPr>
          <w:rFonts w:hint="eastAsia" w:ascii="仿宋_GB2312" w:eastAsia="仿宋_GB2312"/>
          <w:sz w:val="32"/>
          <w:szCs w:val="32"/>
          <w:lang w:eastAsia="zh-CN"/>
        </w:rPr>
        <w:t>、</w:t>
      </w:r>
      <w:r>
        <w:rPr>
          <w:rFonts w:hint="eastAsia" w:ascii="仿宋_GB2312" w:eastAsia="仿宋_GB2312"/>
          <w:sz w:val="32"/>
          <w:szCs w:val="32"/>
        </w:rPr>
        <w:t>公务员医疗补助（项）</w:t>
      </w:r>
      <w:r>
        <w:rPr>
          <w:rFonts w:hint="eastAsia" w:ascii="仿宋_GB2312" w:eastAsia="仿宋_GB2312"/>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7.17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41CBC2B">
      <w:pPr>
        <w:spacing w:line="600" w:lineRule="exact"/>
        <w:ind w:firstLine="640" w:firstLineChars="200"/>
      </w:pPr>
      <w:r>
        <w:rPr>
          <w:rFonts w:hint="eastAsia" w:eastAsia="仿宋_GB2312" w:cs="仿宋_GB2312"/>
          <w:color w:val="auto"/>
          <w:kern w:val="2"/>
          <w:sz w:val="32"/>
          <w:szCs w:val="32"/>
          <w:highlight w:val="none"/>
          <w:lang w:val="en-US" w:eastAsia="zh-CN" w:bidi="ar-SA"/>
        </w:rPr>
        <w:t>7.</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10.08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33F0A0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0531E3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C07911">
      <w:pPr>
        <w:tabs>
          <w:tab w:val="right" w:pos="8306"/>
        </w:tabs>
        <w:spacing w:line="600" w:lineRule="exact"/>
        <w:ind w:firstLine="640"/>
        <w:outlineLvl w:val="1"/>
        <w:rPr>
          <w:rStyle w:val="29"/>
          <w:rFonts w:ascii="Times New Roman" w:hAnsi="Times New Roman"/>
          <w:color w:val="auto"/>
          <w:highlight w:val="none"/>
        </w:rPr>
      </w:pPr>
      <w:bookmarkStart w:id="40" w:name="_Toc15396608"/>
      <w:bookmarkStart w:id="4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0"/>
      <w:bookmarkEnd w:id="41"/>
      <w:r>
        <w:rPr>
          <w:rStyle w:val="29"/>
          <w:rFonts w:ascii="Times New Roman" w:hAnsi="Times New Roman" w:eastAsia="黑体"/>
          <w:b w:val="0"/>
          <w:color w:val="auto"/>
          <w:highlight w:val="none"/>
        </w:rPr>
        <w:tab/>
      </w:r>
    </w:p>
    <w:p w14:paraId="27A38E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126.22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1DD60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121.53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4.68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A93294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实际支出涉及的经济分类科目）</w:t>
      </w:r>
    </w:p>
    <w:p w14:paraId="247317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152027">
      <w:pPr>
        <w:spacing w:line="600" w:lineRule="exact"/>
        <w:ind w:firstLine="640"/>
        <w:outlineLvl w:val="1"/>
        <w:rPr>
          <w:rStyle w:val="29"/>
          <w:rFonts w:ascii="Times New Roman" w:hAnsi="Times New Roman" w:eastAsia="黑体"/>
          <w:b w:val="0"/>
          <w:color w:val="auto"/>
          <w:highlight w:val="none"/>
        </w:rPr>
      </w:pPr>
      <w:bookmarkStart w:id="42" w:name="_Toc15396609"/>
      <w:bookmarkStart w:id="4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2"/>
      <w:bookmarkEnd w:id="43"/>
    </w:p>
    <w:p w14:paraId="3502292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4"/>
    </w:p>
    <w:p w14:paraId="3232F7E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02CAC8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5"/>
    </w:p>
    <w:p w14:paraId="40094BC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558AF6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5385DC3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A549F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A559B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万元。（具体工作）所需的公务用车燃料费、维修费、过路过桥费、保险费等支出。</w:t>
      </w:r>
    </w:p>
    <w:p w14:paraId="725240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038DA3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4089CC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68423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6" w:name="_Toc15377218"/>
      <w:bookmarkStart w:id="47" w:name="_Toc15396610"/>
    </w:p>
    <w:p w14:paraId="4AED1F7F">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6"/>
      <w:bookmarkEnd w:id="47"/>
    </w:p>
    <w:p w14:paraId="3FF2AE1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38924C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8D2DA3">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8" w:name="_Toc15396611"/>
      <w:bookmarkStart w:id="4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8"/>
      <w:bookmarkEnd w:id="49"/>
    </w:p>
    <w:p w14:paraId="360C08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4CE13D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F2F91B3">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0" w:name="_Toc15396612"/>
      <w:bookmarkStart w:id="5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0"/>
      <w:bookmarkEnd w:id="51"/>
    </w:p>
    <w:p w14:paraId="4C0A19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2"/>
      <w:r>
        <w:rPr>
          <w:rFonts w:hint="eastAsia" w:ascii="Times New Roman" w:hAnsi="Times New Roman" w:eastAsia="楷体_GB2312" w:cs="楷体_GB2312"/>
          <w:b/>
          <w:color w:val="auto"/>
          <w:sz w:val="32"/>
          <w:szCs w:val="32"/>
          <w:highlight w:val="none"/>
        </w:rPr>
        <w:t>（一）机关运行经费支出情况</w:t>
      </w:r>
      <w:bookmarkEnd w:id="52"/>
    </w:p>
    <w:p w14:paraId="3BBAEDE0">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松潘县党史和地方志编纂中心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4.68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0.07</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0.014</w:t>
      </w:r>
      <w:r>
        <w:rPr>
          <w:rFonts w:hint="eastAsia" w:ascii="Times New Roman" w:hAnsi="Times New Roman" w:eastAsia="仿宋_GB2312" w:cs="仿宋_GB2312"/>
          <w:color w:val="auto"/>
          <w:kern w:val="2"/>
          <w:sz w:val="32"/>
          <w:szCs w:val="32"/>
          <w:highlight w:val="none"/>
          <w:lang w:val="en-US" w:eastAsia="zh-CN" w:bidi="ar-SA"/>
        </w:rPr>
        <w:t>%（或与2023年度决算数持平）。</w:t>
      </w:r>
      <w:bookmarkStart w:id="53" w:name="_Toc15377223"/>
    </w:p>
    <w:p w14:paraId="5C58EE0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53"/>
    </w:p>
    <w:p w14:paraId="296FD91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松潘县党史和地方志编纂中心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08D0C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065DA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4"/>
      <w:r>
        <w:rPr>
          <w:rFonts w:hint="eastAsia" w:ascii="Times New Roman" w:hAnsi="Times New Roman" w:eastAsia="楷体_GB2312" w:cs="楷体_GB2312"/>
          <w:b/>
          <w:color w:val="auto"/>
          <w:sz w:val="32"/>
          <w:szCs w:val="32"/>
          <w:highlight w:val="none"/>
        </w:rPr>
        <w:t>（三）国有资产占有使用情况</w:t>
      </w:r>
      <w:bookmarkEnd w:id="54"/>
    </w:p>
    <w:p w14:paraId="562FE3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松潘县党史和地方志编纂中心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EC6E1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2F0F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EB8D4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eastAsia="zh-CN"/>
        </w:rPr>
        <w:t>《松潘年鉴》编纂出版、《松潘县执政实录》编纂出版、《口述历史》拍摄制作、旧志点校、《松潘县扶贫志》、地情资源开发利用</w:t>
      </w:r>
      <w:r>
        <w:rPr>
          <w:rFonts w:hint="eastAsia" w:ascii="仿宋_GB2312" w:eastAsia="仿宋_GB2312"/>
          <w:sz w:val="32"/>
          <w:szCs w:val="32"/>
        </w:rPr>
        <w:t>项目等</w:t>
      </w:r>
      <w:r>
        <w:rPr>
          <w:rFonts w:hint="eastAsia" w:ascii="仿宋_GB2312" w:eastAsia="仿宋_GB2312"/>
          <w:sz w:val="32"/>
          <w:szCs w:val="32"/>
          <w:lang w:val="en-US" w:eastAsia="zh-CN"/>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EFA40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9F68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955B0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5" w:name="_Toc15377225"/>
      <w:bookmarkStart w:id="5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5"/>
      <w:bookmarkEnd w:id="56"/>
    </w:p>
    <w:p w14:paraId="7A6C5E23">
      <w:pPr>
        <w:spacing w:line="600" w:lineRule="exact"/>
        <w:jc w:val="left"/>
        <w:rPr>
          <w:rFonts w:ascii="Times New Roman" w:hAnsi="Times New Roman"/>
          <w:b/>
          <w:color w:val="auto"/>
          <w:sz w:val="44"/>
          <w:szCs w:val="44"/>
          <w:highlight w:val="none"/>
        </w:rPr>
      </w:pPr>
    </w:p>
    <w:p w14:paraId="1E9353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取得的财政预算资金。</w:t>
      </w:r>
    </w:p>
    <w:p w14:paraId="3E8B5A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7BD9D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B08F8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211356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8E3AA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1E796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678AAB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1AFE2D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74CD63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6235D8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602D4E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58D3E420">
      <w:pPr>
        <w:ind w:firstLine="640" w:firstLineChars="20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13.</w:t>
      </w:r>
      <w:r>
        <w:rPr>
          <w:rFonts w:hint="eastAsia" w:ascii="仿宋_GB2312" w:eastAsia="仿宋_GB2312"/>
          <w:sz w:val="32"/>
          <w:szCs w:val="32"/>
        </w:rPr>
        <w:t>科学技术（类）社会科学（款）其他社会科学支出（项）：指反映行政单位（包括实行公务员管理的事业单位）的基本支出。</w:t>
      </w:r>
    </w:p>
    <w:p w14:paraId="1997D6E1">
      <w:pPr>
        <w:ind w:firstLine="640" w:firstLineChars="200"/>
        <w:rPr>
          <w:rFonts w:hint="eastAsia" w:ascii="仿宋_GB2312" w:eastAsia="仿宋_GB2312"/>
          <w:sz w:val="32"/>
          <w:szCs w:val="32"/>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仿宋_GB2312" w:cs="仿宋_GB2312"/>
          <w:color w:val="auto"/>
          <w:kern w:val="2"/>
          <w:sz w:val="32"/>
          <w:szCs w:val="32"/>
          <w:highlight w:val="none"/>
          <w:lang w:val="en-US" w:eastAsia="zh-CN" w:bidi="ar-SA"/>
        </w:rPr>
        <w:t>14.</w:t>
      </w:r>
      <w:r>
        <w:rPr>
          <w:rFonts w:hint="eastAsia" w:ascii="仿宋_GB2312" w:eastAsia="仿宋_GB2312"/>
          <w:sz w:val="32"/>
          <w:szCs w:val="32"/>
        </w:rPr>
        <w:t>文化旅游体育与传媒支出（类）其他文化旅游体育与传媒支出（款）文化产业发展专项支出基本支出（项）：</w:t>
      </w:r>
    </w:p>
    <w:p w14:paraId="5B2625BA">
      <w:pPr>
        <w:ind w:firstLine="640" w:firstLineChars="200"/>
        <w:rPr>
          <w:rFonts w:hint="eastAsia" w:ascii="仿宋_GB2312" w:eastAsia="仿宋_GB2312"/>
          <w:sz w:val="32"/>
          <w:szCs w:val="32"/>
        </w:rPr>
      </w:pPr>
      <w:r>
        <w:rPr>
          <w:rFonts w:hint="eastAsia" w:ascii="仿宋_GB2312" w:eastAsia="仿宋_GB2312"/>
          <w:sz w:val="32"/>
          <w:szCs w:val="32"/>
        </w:rPr>
        <w:t>指反映行政单位（包括实行公务员管理的事业单位）的基本支出。</w:t>
      </w:r>
    </w:p>
    <w:p w14:paraId="7B1F23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F940AE">
      <w:pPr>
        <w:ind w:firstLine="640" w:firstLineChars="20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ascii="仿宋_GB2312" w:eastAsia="仿宋_GB2312"/>
          <w:sz w:val="32"/>
          <w:szCs w:val="32"/>
        </w:rPr>
        <w:t>社会保障和就业（类）行政事业单位养老支出（款）机关事业单位养老保险缴费支出（项）：指反映机关事业单位实施养老保险制度由单位缴纳的基本养老保险费支出。</w:t>
      </w:r>
    </w:p>
    <w:p w14:paraId="76AD2375">
      <w:pPr>
        <w:ind w:firstLine="640" w:firstLineChars="200"/>
        <w:rPr>
          <w:rFonts w:hint="eastAsia"/>
        </w:rPr>
      </w:pPr>
      <w:r>
        <w:rPr>
          <w:rFonts w:hint="eastAsia" w:ascii="Times New Roman" w:hAnsi="Times New Roman" w:eastAsia="仿宋_GB2312" w:cs="仿宋_GB2312"/>
          <w:color w:val="auto"/>
          <w:kern w:val="2"/>
          <w:sz w:val="32"/>
          <w:szCs w:val="32"/>
          <w:highlight w:val="none"/>
          <w:lang w:val="en-US" w:eastAsia="zh-CN" w:bidi="ar-SA"/>
        </w:rPr>
        <w:t>16.</w:t>
      </w:r>
      <w:r>
        <w:rPr>
          <w:rFonts w:hint="eastAsia" w:ascii="仿宋_GB2312" w:eastAsia="仿宋_GB2312"/>
          <w:sz w:val="32"/>
          <w:szCs w:val="32"/>
        </w:rPr>
        <w:t>卫生健康支出（类）行政事业单位医疗（款）行政单位医疗（项）：指反映财政</w:t>
      </w:r>
      <w:r>
        <w:rPr>
          <w:rFonts w:hint="eastAsia" w:ascii="仿宋_GB2312" w:eastAsia="仿宋_GB2312"/>
          <w:sz w:val="32"/>
          <w:szCs w:val="32"/>
          <w:lang w:eastAsia="zh-CN"/>
        </w:rPr>
        <w:t>单位</w:t>
      </w:r>
      <w:r>
        <w:rPr>
          <w:rFonts w:hint="eastAsia" w:ascii="仿宋_GB2312" w:eastAsia="仿宋_GB2312"/>
          <w:sz w:val="32"/>
          <w:szCs w:val="32"/>
        </w:rPr>
        <w:t>集中安排的行政单位基本医疗保险费经费，未参加医疗保险的行政单位的公费医疗经费，按国家规定享受离休人员、红军老战士待遇人员的医疗经费。</w:t>
      </w:r>
    </w:p>
    <w:p w14:paraId="6F41F9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30F2DD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08E91B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4E5F48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3349A5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67FA37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70B68D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09E8A1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695B16B0">
      <w:pPr>
        <w:ind w:firstLine="640" w:firstLineChars="20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25.</w:t>
      </w:r>
      <w:r>
        <w:rPr>
          <w:rFonts w:hint="eastAsia" w:ascii="仿宋_GB2312" w:eastAsia="仿宋_GB2312"/>
          <w:sz w:val="32"/>
          <w:szCs w:val="32"/>
        </w:rPr>
        <w:t>住房保障支出（类）住房改革支出（款）住房公积金（项）：指反映行政事业单位按人力资源和社会保障部、财政部规定的基本工资和津贴补贴以及规定比例为职工缴纳的住房公积金。</w:t>
      </w:r>
    </w:p>
    <w:p w14:paraId="5AB958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204CF8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4A4C94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484626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37C569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50D778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14E443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9D4E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F112E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实际列支情况罗列，并根据本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职责职能增减名词解释内容）</w:t>
      </w:r>
    </w:p>
    <w:p w14:paraId="351F6EA6">
      <w:pPr>
        <w:spacing w:line="600" w:lineRule="exact"/>
        <w:jc w:val="center"/>
        <w:rPr>
          <w:rStyle w:val="28"/>
          <w:rFonts w:hint="eastAsia" w:ascii="Times New Roman" w:hAnsi="Times New Roman" w:eastAsia="黑体"/>
          <w:b w:val="0"/>
          <w:color w:val="auto"/>
          <w:highlight w:val="none"/>
          <w:lang w:eastAsia="zh-CN"/>
        </w:rPr>
      </w:pPr>
      <w:bookmarkStart w:id="5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8"/>
    </w:p>
    <w:p w14:paraId="26D3185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A4C37D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865C6B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45D20A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2B01645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6CD36BE2">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F062C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zh-CN"/>
        </w:rPr>
        <w:t>单位</w:t>
      </w:r>
      <w:r>
        <w:rPr>
          <w:rFonts w:hint="default" w:ascii="Times New Roman" w:hAnsi="Times New Roman" w:eastAsia="黑体" w:cs="Times New Roman"/>
          <w:color w:val="000000"/>
          <w:kern w:val="0"/>
          <w:sz w:val="32"/>
          <w:szCs w:val="32"/>
          <w:highlight w:val="none"/>
          <w:shd w:val="clear" w:color="auto" w:fill="FFFFFF"/>
          <w:lang w:val="zh-CN"/>
        </w:rPr>
        <w:t>（单位）基本情况</w:t>
      </w:r>
    </w:p>
    <w:p w14:paraId="2E8DF778">
      <w:pPr>
        <w:ind w:left="0" w:leftChars="0" w:firstLine="977" w:firstLineChars="304"/>
        <w:rPr>
          <w:rFonts w:hint="eastAsia" w:ascii="仿宋_GB2312" w:hAnsi="仿宋_GB2312" w:eastAsia="仿宋_GB2312" w:cs="仿宋_GB2312"/>
          <w:sz w:val="32"/>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sz w:val="32"/>
          <w:szCs w:val="32"/>
        </w:rPr>
        <w:t>松潘县党史和地方志编纂中心（简称县史志中心）是县委直属事业单位，为正科级，保留参公管理。</w:t>
      </w:r>
    </w:p>
    <w:p w14:paraId="37CF43AA">
      <w:pPr>
        <w:ind w:left="0" w:leftChars="0" w:firstLine="972" w:firstLine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县史志中心设下列内设机构：</w:t>
      </w:r>
    </w:p>
    <w:p w14:paraId="5DF4CAFA">
      <w:pPr>
        <w:ind w:left="0" w:leftChars="0" w:firstLine="972" w:firstLine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综合股。承担综合协调日常事务，协调处理本单位日常事务，机关综合性工作；负责文电、会议、机要、保密、信访、工会、妇儿、目标管理和内部督查工作；负责档案保管工作；负责人事、劳资、离退休人员管理服务工作；负责财务、社会保险、国有资产管理、计划生育、行政后勤等工作；负责机关党风廉政建设和精神文明建设工作；贯彻执行国家和省、州有关地方志工作法规、规章；参与行政复议、行政诉讼相关工作；负责法律顾问工作，完成领导交办的其他工作。</w:t>
      </w:r>
    </w:p>
    <w:p w14:paraId="68D059AA">
      <w:pPr>
        <w:ind w:left="0" w:leftChars="0" w:firstLine="972" w:firstLine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党史股。负责拟定全县党史编研规划、工作计划及实施意见并组织实施；负责中国共产党松潘县历史专题研究、党史基本著作编印出版和口述历史工作；负责地方重要党史资料征集、整理和编纂工作，编写年度历史大事记；负责全县重大党史题材的展览宣传，运用党史资料进行宣传教育，承担全县党史知识、党史业务培训工作；负责开发利用党史资源，推动党史成果转化；完成领导交办的其他工作。</w:t>
      </w:r>
    </w:p>
    <w:p w14:paraId="40ED4C09">
      <w:pPr>
        <w:ind w:left="0" w:leftChars="0" w:firstLine="972" w:firstLineChars="304"/>
        <w:rPr>
          <w:rFonts w:hint="default" w:ascii="Times New Roman" w:hAnsi="Times New Roman" w:eastAsia="楷体_GB2312" w:cs="楷体_GB2312"/>
          <w:b/>
          <w:color w:val="auto"/>
          <w:sz w:val="32"/>
          <w:szCs w:val="32"/>
          <w:highlight w:val="none"/>
          <w:lang w:val="zh-CN"/>
        </w:rPr>
      </w:pPr>
      <w:r>
        <w:rPr>
          <w:rFonts w:hint="eastAsia" w:ascii="仿宋_GB2312" w:hAnsi="仿宋_GB2312" w:eastAsia="仿宋_GB2312" w:cs="仿宋_GB2312"/>
          <w:sz w:val="32"/>
          <w:szCs w:val="32"/>
        </w:rPr>
        <w:t>（三）地方志股。负责拟定全县地方志编修规划、工作计划及实施意见并组织实施；负责《松潘县志》《松潘县年鉴》等志书的组稿、总纂、上报审定和编辑出版工作；负责各类地情资料的收集、整理、科学管理，为党政机关和社会各界提供咨询服务；负责指导、督促县级</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志、专志、乡（镇）志、村志书编修工作；负责旧志整理和全县志书、年鉴等业务培训工作；负责开发利用地方志信息资源，推动地方志成果转化；完成领导交办的其他工作。</w:t>
      </w:r>
    </w:p>
    <w:p w14:paraId="57168D21">
      <w:pPr>
        <w:ind w:left="0" w:leftChars="0" w:firstLine="643" w:firstLineChars="200"/>
        <w:rPr>
          <w:rFonts w:hint="eastAsia" w:ascii="仿宋_GB2312" w:hAnsi="仿宋_GB2312" w:eastAsia="仿宋_GB2312" w:cs="仿宋_GB2312"/>
          <w:sz w:val="32"/>
          <w:szCs w:val="40"/>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_GB2312" w:eastAsia="仿宋_GB2312" w:cs="仿宋_GB2312"/>
          <w:sz w:val="32"/>
          <w:szCs w:val="40"/>
        </w:rPr>
        <w:t>县史志中心贯彻执行中央关于党史工作的方针政策和省委、州委、县委关于党史工作的决策部署，在履行职责过程中坚持和加强党对党史和地方志工作的集中统一领导。主要职责是：</w:t>
      </w:r>
    </w:p>
    <w:p w14:paraId="7DA9FA5A">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（一）贯彻执行党中央、国务院和省、州、县关于党史和地方志工作的方针、政策和</w:t>
      </w:r>
      <w:r>
        <w:rPr>
          <w:rFonts w:hint="eastAsia" w:ascii="仿宋_GB2312" w:hAnsi="仿宋_GB2312" w:eastAsia="仿宋_GB2312" w:cs="仿宋_GB2312"/>
          <w:sz w:val="32"/>
          <w:szCs w:val="40"/>
          <w:lang w:eastAsia="zh-CN"/>
        </w:rPr>
        <w:t>法律法规</w:t>
      </w:r>
      <w:r>
        <w:rPr>
          <w:rFonts w:hint="eastAsia" w:ascii="仿宋_GB2312" w:hAnsi="仿宋_GB2312" w:eastAsia="仿宋_GB2312" w:cs="仿宋_GB2312"/>
          <w:sz w:val="32"/>
          <w:szCs w:val="40"/>
        </w:rPr>
        <w:t>，组织实施协调监督及指导全县党史和地方志工作。拟定全县党史和地方志工作规划和年度计划并组织实施，承担“存史、资治、教化、育人”的重要公共事务管理职能。</w:t>
      </w:r>
    </w:p>
    <w:p w14:paraId="59F388DE">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组织开展中国共产党松潘县历史研究，编写年度历史大事记，旧志整理，承担《中国共产党松潘县历史》《中国共产党松潘县执政实录》《松潘县志》《松潘年鉴》等史志图书的组稿、总纂、上报审定和编辑出版工作，指导各</w:t>
      </w:r>
      <w:r>
        <w:rPr>
          <w:rFonts w:hint="eastAsia" w:ascii="仿宋_GB2312" w:hAnsi="仿宋_GB2312" w:eastAsia="仿宋_GB2312" w:cs="仿宋_GB2312"/>
          <w:sz w:val="32"/>
          <w:szCs w:val="40"/>
          <w:lang w:eastAsia="zh-CN"/>
        </w:rPr>
        <w:t>单位</w:t>
      </w:r>
      <w:r>
        <w:rPr>
          <w:rFonts w:hint="eastAsia" w:ascii="仿宋_GB2312" w:hAnsi="仿宋_GB2312" w:eastAsia="仿宋_GB2312" w:cs="仿宋_GB2312"/>
          <w:sz w:val="32"/>
          <w:szCs w:val="40"/>
        </w:rPr>
        <w:t>及各乡镇开展</w:t>
      </w:r>
    </w:p>
    <w:p w14:paraId="6EE4FBC8">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单位</w:t>
      </w:r>
      <w:r>
        <w:rPr>
          <w:rFonts w:hint="eastAsia" w:ascii="仿宋_GB2312" w:hAnsi="仿宋_GB2312" w:eastAsia="仿宋_GB2312" w:cs="仿宋_GB2312"/>
          <w:sz w:val="32"/>
          <w:szCs w:val="40"/>
        </w:rPr>
        <w:t>志和乡镇志、村志、年鉴的编纂工作。</w:t>
      </w:r>
    </w:p>
    <w:p w14:paraId="63991E12">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（三）推动党史成果转化，进行党史、革命史、地情的宣传教育；负责全县党史系统干部培训工作；组织党史工作及口述历史工作经验交流。</w:t>
      </w:r>
    </w:p>
    <w:p w14:paraId="2414A0B4">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（四）负责征集、抢救、整理、编纂全县重要党史资料，搜集、保存、研究地方志文献及其他地情资料；组织开发利用党史、地方志信息资源，推动党史、地方志成果转化。</w:t>
      </w:r>
    </w:p>
    <w:p w14:paraId="37C4058A">
      <w:p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（五）负责全县重大党史题材的展览宣传，运用党史、地方志资料进行宣传教育，为社会各界提供宣传教育服务。</w:t>
      </w:r>
    </w:p>
    <w:p w14:paraId="654FB655">
      <w:pPr>
        <w:ind w:left="0" w:leftChars="0" w:firstLine="640" w:firstLineChars="200"/>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sz w:val="32"/>
          <w:szCs w:val="40"/>
        </w:rPr>
        <w:t>（六）完成县委、县政府交办的其他工作。</w:t>
      </w:r>
    </w:p>
    <w:p w14:paraId="0284BCEB">
      <w:pPr>
        <w:ind w:firstLine="643" w:firstLineChars="200"/>
        <w:rPr>
          <w:rFonts w:ascii="仿宋_GB2312" w:eastAsia="仿宋_GB2312"/>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eastAsia="仿宋_GB2312"/>
          <w:sz w:val="32"/>
          <w:szCs w:val="32"/>
        </w:rPr>
        <w:t>松潘县党史和地方志编纂中心编制6名，其中：主任1名，副主任1名，股级领导3名。截至202</w:t>
      </w:r>
      <w:r>
        <w:rPr>
          <w:rFonts w:hint="eastAsia" w:ascii="仿宋_GB2312" w:eastAsia="仿宋_GB2312"/>
          <w:sz w:val="32"/>
          <w:szCs w:val="32"/>
          <w:lang w:val="en-US" w:eastAsia="zh-CN"/>
        </w:rPr>
        <w:t>4</w:t>
      </w:r>
      <w:r>
        <w:rPr>
          <w:rFonts w:hint="eastAsia" w:ascii="仿宋_GB2312" w:eastAsia="仿宋_GB2312"/>
          <w:sz w:val="32"/>
          <w:szCs w:val="32"/>
        </w:rPr>
        <w:t>年末，单位实有人员</w:t>
      </w:r>
      <w:r>
        <w:rPr>
          <w:rFonts w:hint="eastAsia" w:ascii="仿宋_GB2312" w:eastAsia="仿宋_GB2312"/>
          <w:sz w:val="32"/>
          <w:szCs w:val="32"/>
          <w:lang w:val="en-US" w:eastAsia="zh-CN"/>
        </w:rPr>
        <w:t>6</w:t>
      </w:r>
      <w:r>
        <w:rPr>
          <w:rFonts w:hint="eastAsia" w:ascii="仿宋_GB2312" w:eastAsia="仿宋_GB2312"/>
          <w:sz w:val="32"/>
          <w:szCs w:val="32"/>
        </w:rPr>
        <w:t>名，其中主任1名，副主任1名，职工</w:t>
      </w:r>
      <w:r>
        <w:rPr>
          <w:rFonts w:hint="eastAsia" w:ascii="仿宋_GB2312" w:eastAsia="仿宋_GB2312"/>
          <w:sz w:val="32"/>
          <w:szCs w:val="32"/>
          <w:lang w:val="en-US" w:eastAsia="zh-CN"/>
        </w:rPr>
        <w:t>4</w:t>
      </w:r>
      <w:r>
        <w:rPr>
          <w:rFonts w:hint="eastAsia" w:ascii="仿宋_GB2312" w:eastAsia="仿宋_GB2312"/>
          <w:sz w:val="32"/>
          <w:szCs w:val="32"/>
        </w:rPr>
        <w:t>名，转非领导</w:t>
      </w:r>
      <w:r>
        <w:rPr>
          <w:rFonts w:hint="eastAsia" w:ascii="仿宋_GB2312" w:eastAsia="仿宋_GB2312"/>
          <w:sz w:val="32"/>
          <w:szCs w:val="32"/>
          <w:lang w:val="en-US" w:eastAsia="zh-CN"/>
        </w:rPr>
        <w:t>0</w:t>
      </w:r>
      <w:r>
        <w:rPr>
          <w:rFonts w:hint="eastAsia" w:ascii="仿宋_GB2312" w:eastAsia="仿宋_GB2312"/>
          <w:sz w:val="32"/>
          <w:szCs w:val="32"/>
        </w:rPr>
        <w:t>名。</w:t>
      </w:r>
    </w:p>
    <w:p w14:paraId="025C60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14:paraId="32F8666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sz w:val="32"/>
          <w:szCs w:val="32"/>
        </w:rPr>
        <w:t>松潘县党史和地方志编纂中心</w:t>
      </w:r>
      <w:r>
        <w:rPr>
          <w:rFonts w:hint="eastAsia" w:ascii="Times New Roman" w:hAnsi="Times New Roman" w:eastAsia="仿宋_GB2312" w:cs="Times New Roman"/>
          <w:sz w:val="32"/>
          <w:szCs w:val="32"/>
          <w:lang w:val="en-US" w:eastAsia="zh-CN"/>
        </w:rPr>
        <w:t>2024年年初预算收入情况</w:t>
      </w:r>
      <w:r>
        <w:rPr>
          <w:rFonts w:hint="eastAsia" w:eastAsia="仿宋_GB2312" w:cs="Times New Roman"/>
          <w:sz w:val="32"/>
          <w:szCs w:val="32"/>
          <w:lang w:val="en-US" w:eastAsia="zh-CN"/>
        </w:rPr>
        <w:t>105.48</w:t>
      </w:r>
      <w:r>
        <w:rPr>
          <w:rFonts w:hint="eastAsia" w:ascii="Times New Roman" w:hAnsi="Times New Roman" w:eastAsia="仿宋_GB2312" w:cs="Times New Roman"/>
          <w:sz w:val="32"/>
          <w:szCs w:val="32"/>
          <w:lang w:val="en-US" w:eastAsia="zh-CN"/>
        </w:rPr>
        <w:t>、决算报表收入情况</w:t>
      </w:r>
      <w:r>
        <w:rPr>
          <w:rFonts w:hint="eastAsia" w:eastAsia="仿宋_GB2312" w:cs="Times New Roman"/>
          <w:sz w:val="32"/>
          <w:szCs w:val="32"/>
          <w:lang w:val="en-US" w:eastAsia="zh-CN"/>
        </w:rPr>
        <w:t>208.28</w:t>
      </w:r>
      <w:r>
        <w:rPr>
          <w:rFonts w:hint="eastAsia" w:ascii="Times New Roman" w:hAnsi="Times New Roman" w:eastAsia="仿宋_GB2312" w:cs="Times New Roman"/>
          <w:sz w:val="32"/>
          <w:szCs w:val="32"/>
          <w:lang w:val="en-US" w:eastAsia="zh-CN"/>
        </w:rPr>
        <w:t>。</w:t>
      </w:r>
    </w:p>
    <w:p w14:paraId="6DB4B4C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sz w:val="32"/>
          <w:szCs w:val="32"/>
        </w:rPr>
        <w:t>松潘县党史和地方志编纂中心</w:t>
      </w:r>
      <w:r>
        <w:rPr>
          <w:rFonts w:hint="eastAsia" w:ascii="Times New Roman" w:hAnsi="Times New Roman" w:eastAsia="仿宋_GB2312" w:cs="Times New Roman"/>
          <w:sz w:val="32"/>
          <w:szCs w:val="32"/>
          <w:lang w:val="en-US" w:eastAsia="zh-CN"/>
        </w:rPr>
        <w:t>2024年年初预算支出情况</w:t>
      </w:r>
      <w:r>
        <w:rPr>
          <w:rFonts w:hint="eastAsia" w:eastAsia="仿宋_GB2312" w:cs="Times New Roman"/>
          <w:sz w:val="32"/>
          <w:szCs w:val="32"/>
          <w:lang w:val="en-US" w:eastAsia="zh-CN"/>
        </w:rPr>
        <w:t>105.48万元</w:t>
      </w:r>
      <w:r>
        <w:rPr>
          <w:rFonts w:hint="eastAsia"/>
          <w:sz w:val="32"/>
          <w:szCs w:val="32"/>
        </w:rPr>
        <w:t>其中</w:t>
      </w:r>
      <w:r>
        <w:rPr>
          <w:rFonts w:hint="eastAsia"/>
          <w:sz w:val="32"/>
          <w:szCs w:val="32"/>
          <w:lang w:eastAsia="zh-CN"/>
        </w:rPr>
        <w:t>：</w:t>
      </w:r>
      <w:r>
        <w:rPr>
          <w:rFonts w:hint="eastAsia"/>
          <w:sz w:val="32"/>
          <w:szCs w:val="32"/>
        </w:rPr>
        <w:t>人员支出</w:t>
      </w:r>
      <w:r>
        <w:rPr>
          <w:rFonts w:hint="eastAsia"/>
          <w:sz w:val="32"/>
          <w:szCs w:val="32"/>
          <w:lang w:val="en-US" w:eastAsia="zh-CN"/>
        </w:rPr>
        <w:t>121.53</w:t>
      </w:r>
      <w:r>
        <w:rPr>
          <w:rFonts w:hint="eastAsia"/>
          <w:sz w:val="32"/>
          <w:szCs w:val="32"/>
        </w:rPr>
        <w:t>万元</w:t>
      </w:r>
      <w:r>
        <w:rPr>
          <w:rFonts w:hint="eastAsia"/>
          <w:sz w:val="32"/>
          <w:szCs w:val="32"/>
          <w:lang w:eastAsia="zh-CN"/>
        </w:rPr>
        <w:t>，</w:t>
      </w:r>
      <w:r>
        <w:rPr>
          <w:rFonts w:hint="eastAsia"/>
          <w:sz w:val="32"/>
          <w:szCs w:val="32"/>
        </w:rPr>
        <w:t>公用支出</w:t>
      </w:r>
      <w:r>
        <w:rPr>
          <w:rFonts w:hint="eastAsia"/>
          <w:sz w:val="32"/>
          <w:szCs w:val="32"/>
          <w:lang w:val="en-US" w:eastAsia="zh-CN"/>
        </w:rPr>
        <w:t>4.68</w:t>
      </w:r>
      <w:r>
        <w:rPr>
          <w:rFonts w:hint="eastAsia"/>
          <w:sz w:val="32"/>
          <w:szCs w:val="32"/>
        </w:rPr>
        <w:t>万元</w:t>
      </w:r>
      <w:r>
        <w:rPr>
          <w:rFonts w:hint="eastAsia" w:ascii="Times New Roman" w:hAnsi="Times New Roman" w:eastAsia="仿宋_GB2312" w:cs="Times New Roman"/>
          <w:sz w:val="32"/>
          <w:szCs w:val="32"/>
          <w:lang w:val="en-US" w:eastAsia="zh-CN"/>
        </w:rPr>
        <w:t>、决算报表支出情况</w:t>
      </w:r>
      <w:r>
        <w:rPr>
          <w:rFonts w:hint="eastAsia" w:eastAsia="仿宋_GB2312" w:cs="Times New Roman"/>
          <w:sz w:val="32"/>
          <w:szCs w:val="32"/>
          <w:lang w:val="en-US" w:eastAsia="zh-CN"/>
        </w:rPr>
        <w:t>208.28万元</w:t>
      </w:r>
      <w:r>
        <w:rPr>
          <w:rFonts w:hint="eastAsia" w:ascii="Times New Roman" w:hAnsi="Times New Roman" w:eastAsia="仿宋_GB2312" w:cs="Times New Roman"/>
          <w:sz w:val="32"/>
          <w:szCs w:val="32"/>
          <w:lang w:val="en-US" w:eastAsia="zh-CN"/>
        </w:rPr>
        <w:t>。</w:t>
      </w:r>
    </w:p>
    <w:p w14:paraId="68CAC77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sz w:val="32"/>
          <w:szCs w:val="32"/>
        </w:rPr>
        <w:t>松潘县党史和地方志编纂中心</w:t>
      </w: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eastAsia" w:eastAsia="仿宋_GB2312" w:cs="Times New Roman"/>
          <w:sz w:val="32"/>
          <w:szCs w:val="32"/>
          <w:lang w:val="en-US" w:eastAsia="zh-CN"/>
        </w:rPr>
        <w:t>为0万元</w:t>
      </w:r>
      <w:r>
        <w:rPr>
          <w:rFonts w:hint="default" w:ascii="Times New Roman" w:hAnsi="Times New Roman" w:eastAsia="仿宋_GB2312" w:cs="Times New Roman"/>
          <w:sz w:val="32"/>
          <w:szCs w:val="32"/>
          <w:lang w:val="en-US" w:eastAsia="zh-CN"/>
        </w:rPr>
        <w:t>。</w:t>
      </w:r>
    </w:p>
    <w:p w14:paraId="15F62DC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31C428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单位</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45ED9414">
      <w:pPr>
        <w:adjustRightInd w:val="0"/>
        <w:snapToGrid w:val="0"/>
        <w:spacing w:line="578" w:lineRule="exact"/>
        <w:ind w:firstLine="640" w:firstLineChars="200"/>
        <w:jc w:val="left"/>
        <w:rPr>
          <w:rFonts w:hint="eastAsia"/>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sz w:val="32"/>
          <w:szCs w:val="32"/>
        </w:rPr>
        <w:t>202</w:t>
      </w:r>
      <w:r>
        <w:rPr>
          <w:rFonts w:hint="eastAsia"/>
          <w:sz w:val="32"/>
          <w:szCs w:val="32"/>
          <w:lang w:val="en-US" w:eastAsia="zh-CN"/>
        </w:rPr>
        <w:t>4</w:t>
      </w:r>
      <w:r>
        <w:rPr>
          <w:rFonts w:hint="eastAsia"/>
          <w:sz w:val="32"/>
          <w:szCs w:val="32"/>
        </w:rPr>
        <w:t>年本单位财政拨款收入为</w:t>
      </w:r>
      <w:r>
        <w:rPr>
          <w:rFonts w:hint="eastAsia"/>
          <w:sz w:val="32"/>
          <w:szCs w:val="32"/>
          <w:lang w:val="en-US" w:eastAsia="zh-CN"/>
        </w:rPr>
        <w:t>126.22</w:t>
      </w:r>
      <w:r>
        <w:rPr>
          <w:rFonts w:hint="eastAsia"/>
          <w:sz w:val="32"/>
          <w:szCs w:val="32"/>
        </w:rPr>
        <w:t>万元，财政拨款支出为</w:t>
      </w:r>
      <w:r>
        <w:rPr>
          <w:rFonts w:hint="eastAsia"/>
          <w:sz w:val="32"/>
          <w:szCs w:val="32"/>
          <w:lang w:eastAsia="zh-CN"/>
        </w:rPr>
        <w:t>208.28</w:t>
      </w:r>
      <w:r>
        <w:rPr>
          <w:rFonts w:hint="eastAsia"/>
          <w:sz w:val="32"/>
          <w:szCs w:val="32"/>
        </w:rPr>
        <w:t>万元，其中：基本支出中人员经费支出为</w:t>
      </w:r>
      <w:r>
        <w:rPr>
          <w:rFonts w:hint="eastAsia"/>
          <w:sz w:val="32"/>
          <w:szCs w:val="32"/>
          <w:lang w:val="en-US" w:eastAsia="zh-CN"/>
        </w:rPr>
        <w:t>121.53</w:t>
      </w:r>
      <w:r>
        <w:rPr>
          <w:rFonts w:hint="eastAsia"/>
          <w:sz w:val="32"/>
          <w:szCs w:val="32"/>
        </w:rPr>
        <w:t>万元，公用经费支出为</w:t>
      </w:r>
      <w:r>
        <w:rPr>
          <w:rFonts w:hint="eastAsia"/>
          <w:sz w:val="32"/>
          <w:szCs w:val="32"/>
          <w:lang w:val="en-US" w:eastAsia="zh-CN"/>
        </w:rPr>
        <w:t>4.68</w:t>
      </w:r>
      <w:r>
        <w:rPr>
          <w:rFonts w:hint="eastAsia"/>
          <w:sz w:val="32"/>
          <w:szCs w:val="32"/>
        </w:rPr>
        <w:t>万元</w:t>
      </w:r>
      <w:r>
        <w:rPr>
          <w:rFonts w:hint="eastAsia"/>
          <w:sz w:val="32"/>
          <w:szCs w:val="32"/>
          <w:lang w:eastAsia="zh-CN"/>
        </w:rPr>
        <w:t>。</w:t>
      </w:r>
    </w:p>
    <w:p w14:paraId="6DCFE4C5">
      <w:pPr>
        <w:adjustRightInd w:val="0"/>
        <w:snapToGrid w:val="0"/>
        <w:spacing w:line="578" w:lineRule="exact"/>
        <w:ind w:firstLine="640" w:firstLineChars="200"/>
        <w:jc w:val="left"/>
        <w:rPr>
          <w:rFonts w:hint="eastAsia"/>
          <w:sz w:val="32"/>
          <w:szCs w:val="32"/>
        </w:rPr>
      </w:pPr>
      <w:r>
        <w:rPr>
          <w:rFonts w:hint="eastAsia"/>
          <w:sz w:val="32"/>
          <w:szCs w:val="32"/>
        </w:rPr>
        <w:t>松潘县党史和地方志编纂中心</w:t>
      </w:r>
      <w:r>
        <w:rPr>
          <w:rFonts w:hint="eastAsia"/>
          <w:sz w:val="32"/>
          <w:szCs w:val="32"/>
          <w:lang w:eastAsia="zh-CN"/>
        </w:rPr>
        <w:t>单位</w:t>
      </w:r>
      <w:r>
        <w:rPr>
          <w:rFonts w:hint="eastAsia"/>
          <w:sz w:val="32"/>
          <w:szCs w:val="32"/>
        </w:rPr>
        <w:t>预算安排主要用于保障该</w:t>
      </w:r>
      <w:r>
        <w:rPr>
          <w:rFonts w:hint="eastAsia"/>
          <w:sz w:val="32"/>
          <w:szCs w:val="32"/>
          <w:lang w:eastAsia="zh-CN"/>
        </w:rPr>
        <w:t>单位</w:t>
      </w:r>
      <w:r>
        <w:rPr>
          <w:rFonts w:hint="eastAsia"/>
          <w:sz w:val="32"/>
          <w:szCs w:val="32"/>
        </w:rPr>
        <w:t>机构正常运转、完成日常工作任务及承担相关事业发展相关工作。主要包括</w:t>
      </w:r>
    </w:p>
    <w:p w14:paraId="42005161">
      <w:pPr>
        <w:adjustRightInd w:val="0"/>
        <w:snapToGrid w:val="0"/>
        <w:spacing w:line="578" w:lineRule="exact"/>
        <w:ind w:firstLine="640" w:firstLineChars="200"/>
        <w:jc w:val="left"/>
        <w:rPr>
          <w:rFonts w:hint="eastAsia"/>
          <w:sz w:val="32"/>
          <w:szCs w:val="32"/>
        </w:rPr>
      </w:pPr>
      <w:r>
        <w:rPr>
          <w:rFonts w:hint="eastAsia"/>
          <w:sz w:val="32"/>
          <w:szCs w:val="32"/>
        </w:rPr>
        <w:t>基本支出：是用于保障松潘县党史和地方志编纂中心行政机构、事业机构的正常运转的日常支出，包括基本工资、津贴补贴等人员经费以及办公费、印刷费、水电费等日常公用经费。松潘县党史和地方志编纂中心202</w:t>
      </w:r>
      <w:r>
        <w:rPr>
          <w:rFonts w:hint="eastAsia"/>
          <w:sz w:val="32"/>
          <w:szCs w:val="32"/>
          <w:lang w:val="en-US" w:eastAsia="zh-CN"/>
        </w:rPr>
        <w:t>4</w:t>
      </w:r>
      <w:r>
        <w:rPr>
          <w:rFonts w:hint="eastAsia"/>
          <w:sz w:val="32"/>
          <w:szCs w:val="32"/>
        </w:rPr>
        <w:t>年财政基本支出是</w:t>
      </w:r>
      <w:r>
        <w:rPr>
          <w:rFonts w:hint="eastAsia"/>
          <w:sz w:val="32"/>
          <w:szCs w:val="32"/>
          <w:lang w:eastAsia="zh-CN"/>
        </w:rPr>
        <w:t>208.28</w:t>
      </w:r>
      <w:r>
        <w:rPr>
          <w:rFonts w:hint="eastAsia"/>
          <w:sz w:val="32"/>
          <w:szCs w:val="32"/>
        </w:rPr>
        <w:t>万元，包括一般行政运行支出</w:t>
      </w:r>
      <w:r>
        <w:rPr>
          <w:rFonts w:hint="eastAsia"/>
          <w:sz w:val="32"/>
          <w:szCs w:val="32"/>
          <w:lang w:val="en-US" w:eastAsia="zh-CN"/>
        </w:rPr>
        <w:t>126.22</w:t>
      </w:r>
      <w:r>
        <w:rPr>
          <w:rFonts w:hint="eastAsia"/>
          <w:sz w:val="32"/>
          <w:szCs w:val="32"/>
        </w:rPr>
        <w:t>万元，主要用于：行政机构、事业机构人员工资、日常运转以及为完成财政特定行政工作任务和事业发展目标而安排的年度项目支出；行政事业单位养老支出</w:t>
      </w:r>
      <w:r>
        <w:rPr>
          <w:rFonts w:hint="eastAsia"/>
          <w:sz w:val="32"/>
          <w:szCs w:val="32"/>
          <w:lang w:val="en-US" w:eastAsia="zh-CN"/>
        </w:rPr>
        <w:t>24.37</w:t>
      </w:r>
      <w:r>
        <w:rPr>
          <w:rFonts w:hint="eastAsia"/>
          <w:sz w:val="32"/>
          <w:szCs w:val="32"/>
        </w:rPr>
        <w:t>万元，主要用于机关事业单位基本养老保险和职业年金支出；医疗卫生与计划生育支出</w:t>
      </w:r>
      <w:r>
        <w:rPr>
          <w:rFonts w:hint="eastAsia"/>
          <w:sz w:val="32"/>
          <w:szCs w:val="32"/>
          <w:lang w:val="en-US" w:eastAsia="zh-CN"/>
        </w:rPr>
        <w:t>7.17</w:t>
      </w:r>
      <w:r>
        <w:rPr>
          <w:rFonts w:hint="eastAsia"/>
          <w:sz w:val="32"/>
          <w:szCs w:val="32"/>
        </w:rPr>
        <w:t>万元，主要用于：行政机构、事业机构按照规定标准为职工缴纳的基本医疗保险及公务员医疗补助等支出；住房保障支出</w:t>
      </w:r>
      <w:r>
        <w:rPr>
          <w:rFonts w:hint="eastAsia"/>
          <w:sz w:val="32"/>
          <w:szCs w:val="32"/>
          <w:lang w:val="en-US" w:eastAsia="zh-CN"/>
        </w:rPr>
        <w:t>10.08</w:t>
      </w:r>
      <w:r>
        <w:rPr>
          <w:rFonts w:hint="eastAsia"/>
          <w:sz w:val="32"/>
          <w:szCs w:val="32"/>
        </w:rPr>
        <w:t>万元，主要用于：行政机构、事业机构按照规定标准为职工缴纳住房公积金等支出。</w:t>
      </w:r>
    </w:p>
    <w:p w14:paraId="6DAD6FB7">
      <w:pPr>
        <w:adjustRightInd w:val="0"/>
        <w:snapToGrid w:val="0"/>
        <w:spacing w:line="578" w:lineRule="exact"/>
        <w:ind w:firstLine="640" w:firstLineChars="200"/>
        <w:jc w:val="left"/>
        <w:rPr>
          <w:rFonts w:hint="eastAsia"/>
          <w:sz w:val="32"/>
          <w:szCs w:val="32"/>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sz w:val="32"/>
          <w:szCs w:val="32"/>
        </w:rPr>
        <w:t>严格执行厉行节约的要求，认真贯彻落实中央八项规定及</w:t>
      </w:r>
      <w:r>
        <w:rPr>
          <w:rFonts w:hint="eastAsia"/>
          <w:sz w:val="32"/>
          <w:szCs w:val="32"/>
          <w:lang w:eastAsia="zh-CN"/>
        </w:rPr>
        <w:t>省委、省政府</w:t>
      </w:r>
      <w:r>
        <w:rPr>
          <w:rFonts w:hint="eastAsia"/>
          <w:sz w:val="32"/>
          <w:szCs w:val="32"/>
        </w:rPr>
        <w:t>十项规定要求，严格控制接待规模及接待标准，努力压缩公务接待费。公务用车购置及运行维护费，202</w:t>
      </w:r>
      <w:r>
        <w:rPr>
          <w:rFonts w:hint="eastAsia"/>
          <w:sz w:val="32"/>
          <w:szCs w:val="32"/>
          <w:lang w:val="en-US" w:eastAsia="zh-CN"/>
        </w:rPr>
        <w:t>4</w:t>
      </w:r>
      <w:r>
        <w:rPr>
          <w:rFonts w:hint="eastAsia"/>
          <w:sz w:val="32"/>
          <w:szCs w:val="32"/>
        </w:rPr>
        <w:t>年年初预算未安排公务用车购置费，未安排公车运行维护费。</w:t>
      </w:r>
    </w:p>
    <w:p w14:paraId="2C5A5D17">
      <w:pPr>
        <w:adjustRightInd w:val="0"/>
        <w:snapToGrid w:val="0"/>
        <w:spacing w:line="578"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sz w:val="32"/>
          <w:szCs w:val="32"/>
          <w:lang w:eastAsia="zh-CN"/>
        </w:rPr>
        <w:t>单位</w:t>
      </w:r>
      <w:r>
        <w:rPr>
          <w:rFonts w:hint="eastAsia"/>
          <w:sz w:val="32"/>
          <w:szCs w:val="32"/>
        </w:rPr>
        <w:t>执行厉行节约和节能降耗情况下，全面保障我单位正常开展工作业务，为完成各项目标任务提供了经费保障。社会科学事业有专门的管理办法，严格按照项目资金管理办法和申报时的执行进度安排进行项目的实施与资金</w:t>
      </w:r>
      <w:r>
        <w:rPr>
          <w:rFonts w:hint="eastAsia"/>
          <w:sz w:val="32"/>
          <w:szCs w:val="32"/>
          <w:lang w:eastAsia="zh-CN"/>
        </w:rPr>
        <w:t>拨付</w:t>
      </w:r>
      <w:r>
        <w:rPr>
          <w:rFonts w:hint="eastAsia"/>
          <w:sz w:val="32"/>
          <w:szCs w:val="32"/>
        </w:rPr>
        <w:t>与使用。</w:t>
      </w:r>
    </w:p>
    <w:p w14:paraId="3517634E">
      <w:pPr>
        <w:adjustRightInd w:val="0"/>
        <w:snapToGrid w:val="0"/>
        <w:spacing w:line="578" w:lineRule="exact"/>
        <w:ind w:firstLine="640" w:firstLineChars="200"/>
        <w:jc w:val="left"/>
        <w:rPr>
          <w:rFonts w:hint="eastAsia"/>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sz w:val="32"/>
          <w:szCs w:val="32"/>
        </w:rPr>
        <w:t>围绕松潘县志、年鉴、执政实录的组稿、撰稿、总纂、审定、出版、地情利用等业务工作，不断调整工作思路创新思路，按照国家政策法规规定和本单位实际情况，建立健全财务管理制度和约束机制，严格实行收支两条线和规范的会计核算方法，依法、有效地使用财政资金，提高财政资金使用效率。</w:t>
      </w:r>
    </w:p>
    <w:p w14:paraId="2561E8F4">
      <w:pPr>
        <w:adjustRightInd w:val="0"/>
        <w:snapToGrid w:val="0"/>
        <w:spacing w:line="578" w:lineRule="exact"/>
        <w:ind w:firstLine="640" w:firstLineChars="200"/>
        <w:jc w:val="left"/>
        <w:rPr>
          <w:rFonts w:hint="eastAsia"/>
          <w:sz w:val="32"/>
          <w:szCs w:val="32"/>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sz w:val="32"/>
          <w:szCs w:val="32"/>
        </w:rPr>
        <w:t>202</w:t>
      </w:r>
      <w:r>
        <w:rPr>
          <w:rFonts w:hint="eastAsia"/>
          <w:sz w:val="32"/>
          <w:szCs w:val="32"/>
          <w:lang w:val="en-US" w:eastAsia="zh-CN"/>
        </w:rPr>
        <w:t>4</w:t>
      </w:r>
      <w:r>
        <w:rPr>
          <w:rFonts w:hint="eastAsia"/>
          <w:sz w:val="32"/>
          <w:szCs w:val="32"/>
        </w:rPr>
        <w:t>年度，我单位配置固定资产</w:t>
      </w:r>
      <w:r>
        <w:rPr>
          <w:rFonts w:hint="eastAsia"/>
          <w:sz w:val="32"/>
          <w:szCs w:val="32"/>
          <w:lang w:val="en-US" w:eastAsia="zh-CN"/>
        </w:rPr>
        <w:t>1.72</w:t>
      </w:r>
      <w:r>
        <w:rPr>
          <w:rFonts w:hint="eastAsia"/>
          <w:sz w:val="32"/>
          <w:szCs w:val="32"/>
        </w:rPr>
        <w:t>万元（账面原值，下同）。从资产类别分析，配置设备</w:t>
      </w:r>
      <w:r>
        <w:rPr>
          <w:rFonts w:hint="eastAsia"/>
          <w:sz w:val="32"/>
          <w:szCs w:val="32"/>
          <w:lang w:val="en-US" w:eastAsia="zh-CN"/>
        </w:rPr>
        <w:t>1.56</w:t>
      </w:r>
      <w:r>
        <w:rPr>
          <w:rFonts w:hint="eastAsia"/>
          <w:sz w:val="32"/>
          <w:szCs w:val="32"/>
        </w:rPr>
        <w:t>万元，占</w:t>
      </w:r>
      <w:r>
        <w:rPr>
          <w:rFonts w:hint="eastAsia"/>
          <w:sz w:val="32"/>
          <w:szCs w:val="32"/>
          <w:lang w:val="en-US" w:eastAsia="zh-CN"/>
        </w:rPr>
        <w:t>90.69</w:t>
      </w:r>
      <w:r>
        <w:rPr>
          <w:rFonts w:hint="eastAsia"/>
          <w:sz w:val="32"/>
          <w:szCs w:val="32"/>
        </w:rPr>
        <w:t>%；配置家具和用具</w:t>
      </w:r>
      <w:r>
        <w:rPr>
          <w:rFonts w:hint="eastAsia"/>
          <w:sz w:val="32"/>
          <w:szCs w:val="32"/>
          <w:lang w:val="en-US" w:eastAsia="zh-CN"/>
        </w:rPr>
        <w:t>0.56</w:t>
      </w:r>
      <w:r>
        <w:rPr>
          <w:rFonts w:hint="eastAsia"/>
          <w:sz w:val="32"/>
          <w:szCs w:val="32"/>
        </w:rPr>
        <w:t>万元，占</w:t>
      </w:r>
      <w:r>
        <w:rPr>
          <w:rFonts w:hint="eastAsia"/>
          <w:sz w:val="32"/>
          <w:szCs w:val="32"/>
          <w:lang w:val="en-US" w:eastAsia="zh-CN"/>
        </w:rPr>
        <w:t>32.58</w:t>
      </w:r>
      <w:r>
        <w:rPr>
          <w:rFonts w:hint="eastAsia"/>
          <w:sz w:val="32"/>
          <w:szCs w:val="32"/>
        </w:rPr>
        <w:t>%；截至202</w:t>
      </w:r>
      <w:r>
        <w:rPr>
          <w:rFonts w:hint="eastAsia"/>
          <w:sz w:val="32"/>
          <w:szCs w:val="32"/>
          <w:lang w:val="en-US" w:eastAsia="zh-CN"/>
        </w:rPr>
        <w:t>4</w:t>
      </w:r>
      <w:r>
        <w:rPr>
          <w:rFonts w:hint="eastAsia"/>
          <w:sz w:val="32"/>
          <w:szCs w:val="32"/>
        </w:rPr>
        <w:t>年12月31日，我单位自用固定资产</w:t>
      </w:r>
      <w:r>
        <w:rPr>
          <w:rFonts w:hint="eastAsia"/>
          <w:sz w:val="32"/>
          <w:szCs w:val="32"/>
          <w:lang w:val="en-US" w:eastAsia="zh-CN"/>
        </w:rPr>
        <w:t>17.21</w:t>
      </w:r>
      <w:r>
        <w:rPr>
          <w:rFonts w:hint="eastAsia"/>
          <w:sz w:val="32"/>
          <w:szCs w:val="32"/>
        </w:rPr>
        <w:t>万元，占账面固定资产总额的100.00%，其中</w:t>
      </w:r>
      <w:r>
        <w:rPr>
          <w:rFonts w:hint="eastAsia"/>
          <w:sz w:val="32"/>
          <w:szCs w:val="32"/>
          <w:lang w:eastAsia="zh-CN"/>
        </w:rPr>
        <w:t>：</w:t>
      </w:r>
      <w:r>
        <w:rPr>
          <w:rFonts w:hint="eastAsia"/>
          <w:sz w:val="32"/>
          <w:szCs w:val="32"/>
        </w:rPr>
        <w:t>在用</w:t>
      </w:r>
      <w:r>
        <w:rPr>
          <w:rFonts w:hint="eastAsia"/>
          <w:sz w:val="32"/>
          <w:szCs w:val="32"/>
          <w:lang w:val="en-US" w:eastAsia="zh-CN"/>
        </w:rPr>
        <w:t>17.21</w:t>
      </w:r>
      <w:r>
        <w:rPr>
          <w:rFonts w:hint="eastAsia"/>
          <w:sz w:val="32"/>
          <w:szCs w:val="32"/>
        </w:rPr>
        <w:t>万元，占账面固定资产总额的100.00%；我单位固定资产成新率为20.89%。我单位认真贯彻落实《行政事业性国有资产管理条例》，建立健全资产管理制度，合理配备并节约、有效使用资产提高资产使用效率，保障资产的安全和完整。管理和使用中坚持应物尽其用原则，坚持统一政策、统一领导、分级管理、职责到人的原则。对资产管理进行指导和监督，对纳入政府采购范围的资产进行统一购置。成立了由一把手负总责，综合股具体负责本单位资产的采购的“资产管理领导小组”。分配、清查，以及资产使用、维护过程中的监督任务。各股室确定专人负责资产的日常管理工作，包括资产的登记统计、维护、保管等，并对所管资产的安全完整负有职责、质量、技术要求及其他资料进行验收。未通过验收的不得接收，务必按照合同等有关规定办理退换货。</w:t>
      </w:r>
    </w:p>
    <w:p w14:paraId="4E7D3642">
      <w:pPr>
        <w:adjustRightInd w:val="0"/>
        <w:snapToGrid w:val="0"/>
        <w:spacing w:line="578" w:lineRule="exact"/>
        <w:ind w:firstLine="640" w:firstLineChars="200"/>
        <w:jc w:val="left"/>
        <w:rPr>
          <w:rFonts w:hint="eastAsia"/>
          <w:sz w:val="32"/>
          <w:szCs w:val="32"/>
        </w:rPr>
      </w:pPr>
      <w:r>
        <w:rPr>
          <w:rFonts w:hint="eastAsia"/>
          <w:sz w:val="32"/>
          <w:szCs w:val="32"/>
        </w:rPr>
        <w:t>通过资产管理软件严格管理资产卡片，包括卡片的增加、删除、查询、打印、汇总等。正确、全面、及时地记录资产的增加、减少、使用等状况，保护资产安全完整。真实地反映和监督资产的增减变动和实际状况，建立健全了资产账簿体系。</w:t>
      </w:r>
    </w:p>
    <w:p w14:paraId="6013C683">
      <w:pPr>
        <w:adjustRightInd w:val="0"/>
        <w:snapToGrid w:val="0"/>
        <w:spacing w:line="578" w:lineRule="exact"/>
        <w:ind w:firstLine="640" w:firstLineChars="200"/>
        <w:jc w:val="left"/>
        <w:rPr>
          <w:rFonts w:hint="eastAsia" w:ascii="楷体_GB2312" w:hAnsi="楷体_GB2312" w:eastAsia="楷体_GB2312" w:cs="楷体_GB2312"/>
          <w:color w:val="000000"/>
          <w:kern w:val="0"/>
          <w:sz w:val="32"/>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sz w:val="32"/>
          <w:szCs w:val="32"/>
        </w:rPr>
        <w:t>本单位编制政府采购预算、落实政府采购政策、委托采购代理机构、确定采购需求、确定政府采购方式、委派监督人员和采购人代表、确定中标</w:t>
      </w:r>
      <w:r>
        <w:rPr>
          <w:rFonts w:hint="eastAsia"/>
          <w:sz w:val="32"/>
          <w:szCs w:val="32"/>
          <w:lang w:eastAsia="zh-CN"/>
        </w:rPr>
        <w:t>，</w:t>
      </w:r>
      <w:r>
        <w:rPr>
          <w:rFonts w:hint="eastAsia"/>
          <w:sz w:val="32"/>
          <w:szCs w:val="32"/>
        </w:rPr>
        <w:t>成交供应商、合同签订</w:t>
      </w:r>
      <w:r>
        <w:rPr>
          <w:rFonts w:hint="eastAsia"/>
          <w:sz w:val="32"/>
          <w:szCs w:val="32"/>
          <w:lang w:eastAsia="zh-CN"/>
        </w:rPr>
        <w:t>，</w:t>
      </w:r>
      <w:r>
        <w:rPr>
          <w:rFonts w:hint="eastAsia"/>
          <w:sz w:val="32"/>
          <w:szCs w:val="32"/>
        </w:rPr>
        <w:t>公告</w:t>
      </w:r>
      <w:r>
        <w:rPr>
          <w:rFonts w:hint="eastAsia"/>
          <w:sz w:val="32"/>
          <w:szCs w:val="32"/>
          <w:lang w:eastAsia="zh-CN"/>
        </w:rPr>
        <w:t>，</w:t>
      </w:r>
      <w:r>
        <w:rPr>
          <w:rFonts w:hint="eastAsia"/>
          <w:sz w:val="32"/>
          <w:szCs w:val="32"/>
        </w:rPr>
        <w:t>备案</w:t>
      </w:r>
      <w:r>
        <w:rPr>
          <w:rFonts w:hint="eastAsia"/>
          <w:sz w:val="32"/>
          <w:szCs w:val="32"/>
          <w:lang w:eastAsia="zh-CN"/>
        </w:rPr>
        <w:t>，</w:t>
      </w:r>
      <w:r>
        <w:rPr>
          <w:rFonts w:hint="eastAsia"/>
          <w:sz w:val="32"/>
          <w:szCs w:val="32"/>
        </w:rPr>
        <w:t>变更</w:t>
      </w:r>
      <w:r>
        <w:rPr>
          <w:rFonts w:hint="eastAsia"/>
          <w:sz w:val="32"/>
          <w:szCs w:val="32"/>
          <w:lang w:eastAsia="zh-CN"/>
        </w:rPr>
        <w:t>，</w:t>
      </w:r>
      <w:r>
        <w:rPr>
          <w:rFonts w:hint="eastAsia"/>
          <w:sz w:val="32"/>
          <w:szCs w:val="32"/>
        </w:rPr>
        <w:t>中止</w:t>
      </w:r>
      <w:r>
        <w:rPr>
          <w:rFonts w:hint="eastAsia"/>
          <w:sz w:val="32"/>
          <w:szCs w:val="32"/>
          <w:lang w:eastAsia="zh-CN"/>
        </w:rPr>
        <w:t>，</w:t>
      </w:r>
      <w:r>
        <w:rPr>
          <w:rFonts w:hint="eastAsia"/>
          <w:sz w:val="32"/>
          <w:szCs w:val="32"/>
        </w:rPr>
        <w:t>终止、履约验收和资金支付、采购信息公开、管理等采购人主要责任清单均有制度可依。单位采购内部控制制度健全</w:t>
      </w:r>
      <w:r>
        <w:rPr>
          <w:rFonts w:hint="eastAsia"/>
          <w:sz w:val="32"/>
          <w:szCs w:val="32"/>
          <w:lang w:eastAsia="zh-CN"/>
        </w:rPr>
        <w:t>，</w:t>
      </w:r>
      <w:r>
        <w:rPr>
          <w:rFonts w:hint="eastAsia"/>
          <w:sz w:val="32"/>
          <w:szCs w:val="32"/>
        </w:rPr>
        <w:t>采购程序均按要求进行</w:t>
      </w:r>
      <w:r>
        <w:rPr>
          <w:rFonts w:hint="eastAsia"/>
          <w:sz w:val="32"/>
          <w:szCs w:val="32"/>
          <w:lang w:eastAsia="zh-CN"/>
        </w:rPr>
        <w:t>，</w:t>
      </w:r>
      <w:r>
        <w:rPr>
          <w:rFonts w:hint="eastAsia"/>
          <w:sz w:val="32"/>
          <w:szCs w:val="32"/>
        </w:rPr>
        <w:t>合同签订、公告、备案等均按采购法要求时限完成</w:t>
      </w:r>
      <w:r>
        <w:rPr>
          <w:rFonts w:hint="eastAsia"/>
          <w:sz w:val="32"/>
          <w:szCs w:val="32"/>
          <w:lang w:eastAsia="zh-CN"/>
        </w:rPr>
        <w:t>，</w:t>
      </w:r>
      <w:r>
        <w:rPr>
          <w:rFonts w:hint="eastAsia"/>
          <w:sz w:val="32"/>
          <w:szCs w:val="32"/>
        </w:rPr>
        <w:t>采购项目按要求编目入库</w:t>
      </w:r>
      <w:r>
        <w:rPr>
          <w:rFonts w:hint="eastAsia"/>
          <w:sz w:val="32"/>
          <w:szCs w:val="32"/>
          <w:lang w:eastAsia="zh-CN"/>
        </w:rPr>
        <w:t>，</w:t>
      </w:r>
      <w:r>
        <w:rPr>
          <w:rFonts w:hint="eastAsia"/>
          <w:sz w:val="32"/>
          <w:szCs w:val="32"/>
        </w:rPr>
        <w:t>管理规范。202</w:t>
      </w:r>
      <w:r>
        <w:rPr>
          <w:rFonts w:hint="eastAsia"/>
          <w:sz w:val="32"/>
          <w:szCs w:val="32"/>
          <w:lang w:val="en-US" w:eastAsia="zh-CN"/>
        </w:rPr>
        <w:t>4</w:t>
      </w:r>
      <w:r>
        <w:rPr>
          <w:rFonts w:hint="eastAsia"/>
          <w:sz w:val="32"/>
          <w:szCs w:val="32"/>
        </w:rPr>
        <w:t>年，我单位无政府采购。</w:t>
      </w:r>
    </w:p>
    <w:p w14:paraId="75122E8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单位</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276FF8C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35</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99.46</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30A0A1C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9.7</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48FC3887">
      <w:pPr>
        <w:ind w:firstLine="640" w:firstLineChars="200"/>
        <w:rPr>
          <w:rFonts w:hint="eastAsia" w:eastAsia="仿宋_GB2312"/>
          <w:sz w:val="32"/>
          <w:szCs w:val="32"/>
          <w:lang w:val="zh-CN"/>
        </w:rPr>
      </w:pPr>
      <w:r>
        <w:rPr>
          <w:rFonts w:hint="eastAsia" w:eastAsia="仿宋_GB2312"/>
          <w:sz w:val="32"/>
          <w:szCs w:val="32"/>
          <w:lang w:val="zh-CN"/>
        </w:rPr>
        <w:t>按照决策程序，对项目投入经济性的评估是在项目事前绩效评估、预算测算的基础上，按照厉行节约的要求，结合项目2022年开支情况，结合 2023年实际需求、相关费用标准及市场价格水平，重点对数量是否合理、投入是否经济、预算测算是否准确、测算过程是否详细、测算依据是否充分等方面进行了评估。评估认为，项目任务数量基本合理、预算测算过程较为详细、测算依据基本充分、具有一定的经济性。项目的实施按照流程进入项目入库。</w:t>
      </w:r>
    </w:p>
    <w:p w14:paraId="43F9CFB3">
      <w:pPr>
        <w:ind w:firstLine="640" w:firstLineChars="200"/>
        <w:rPr>
          <w:rFonts w:hint="eastAsia" w:eastAsia="仿宋_GB2312"/>
          <w:sz w:val="32"/>
          <w:szCs w:val="32"/>
          <w:lang w:val="zh-CN"/>
        </w:rPr>
      </w:pPr>
      <w:r>
        <w:rPr>
          <w:rFonts w:hint="eastAsia" w:eastAsia="仿宋_GB2312"/>
          <w:sz w:val="32"/>
          <w:szCs w:val="32"/>
          <w:lang w:val="zh-CN"/>
        </w:rPr>
        <w:t>2.项目执行</w:t>
      </w:r>
    </w:p>
    <w:p w14:paraId="4F5A21C2">
      <w:pPr>
        <w:ind w:firstLine="640" w:firstLineChars="200"/>
        <w:rPr>
          <w:rFonts w:hint="eastAsia" w:eastAsia="仿宋_GB2312"/>
          <w:sz w:val="32"/>
          <w:szCs w:val="32"/>
          <w:lang w:val="zh-CN"/>
        </w:rPr>
      </w:pPr>
      <w:r>
        <w:rPr>
          <w:rFonts w:hint="eastAsia" w:eastAsia="仿宋_GB2312"/>
          <w:sz w:val="32"/>
          <w:szCs w:val="32"/>
          <w:lang w:val="zh-CN"/>
        </w:rPr>
        <w:t>项目立项必要性和依据充分，绩效目标明确，具备实施条件，具有公共性，符合财政资金支持方向，预期产出和效果能满足史志工作需要，绩效目标设置按照实际情况，设置了一、二、三级指标，绩效目标和绩效指标量化可考核，相匹配，全面完整，契合政策，与单位的长期规划目标、年度工作目标相一致，产出和效果相关联，各项绩效指标值的设定依据和参考标准，满意度指标预测均按要求设置。</w:t>
      </w:r>
    </w:p>
    <w:p w14:paraId="3BF3E92E">
      <w:pPr>
        <w:ind w:firstLine="640" w:firstLineChars="200"/>
        <w:rPr>
          <w:rFonts w:hint="eastAsia" w:eastAsia="仿宋_GB2312"/>
          <w:sz w:val="32"/>
          <w:szCs w:val="32"/>
          <w:lang w:val="zh-CN"/>
        </w:rPr>
      </w:pPr>
      <w:r>
        <w:rPr>
          <w:rFonts w:hint="eastAsia" w:eastAsia="仿宋_GB2312"/>
          <w:sz w:val="32"/>
          <w:szCs w:val="32"/>
          <w:lang w:val="zh-CN"/>
        </w:rPr>
        <w:t>3.目标实现</w:t>
      </w:r>
    </w:p>
    <w:p w14:paraId="1C45E6C4">
      <w:pPr>
        <w:ind w:firstLine="640" w:firstLineChars="200"/>
        <w:rPr>
          <w:rFonts w:eastAsia="仿宋_GB2312"/>
          <w:sz w:val="32"/>
          <w:szCs w:val="32"/>
          <w:lang w:val="zh-CN"/>
        </w:rPr>
      </w:pPr>
      <w:r>
        <w:rPr>
          <w:rFonts w:hint="eastAsia" w:eastAsia="仿宋_GB2312"/>
          <w:sz w:val="32"/>
          <w:szCs w:val="32"/>
          <w:lang w:val="zh-CN"/>
        </w:rPr>
        <w:t>项目的实施推进了史志中心业务工作的正常开展。项目决策正确，管理规范，绩效完成率非常好。其制定实施方案或计划，组织机构健全，职责分工明确，有具体的实施时间，有明确的工作程序，基础设施条件能够有效保障，资金能足额保证，具有相应的质量检查、验收等必要的控制措施或手段，有针对突发事件或未知风险的应急措施。</w:t>
      </w:r>
    </w:p>
    <w:p w14:paraId="4A0E1651">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省级</w:t>
      </w:r>
      <w:r>
        <w:rPr>
          <w:rFonts w:hint="eastAsia"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val="en-US" w:eastAsia="zh-CN"/>
        </w:rPr>
        <w:t>对2024年度一般公共预算、政府性基金预算、国有资本经营预算安排的常年项目、阶段项目绩效目标完成情况，以及债券资金、政府购买服务有关情况进行梳理阐述</w:t>
      </w:r>
      <w:r>
        <w:rPr>
          <w:rFonts w:hint="eastAsia" w:ascii="Times New Roman" w:hAnsi="Times New Roman" w:eastAsia="仿宋_GB2312" w:cs="Times New Roman"/>
          <w:sz w:val="32"/>
          <w:szCs w:val="32"/>
          <w:highlight w:val="none"/>
          <w:lang w:val="en-US" w:eastAsia="zh-CN"/>
        </w:rPr>
        <w:t>。</w:t>
      </w:r>
    </w:p>
    <w:p w14:paraId="77783D3F">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highlight w:val="none"/>
          <w:u w:val="none"/>
          <w:lang w:val="zh-CN" w:eastAsia="zh-CN" w:bidi="ar"/>
        </w:rPr>
        <w:t>无</w:t>
      </w:r>
    </w:p>
    <w:p w14:paraId="29679F0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1BBA42D">
      <w:pPr>
        <w:ind w:firstLine="643" w:firstLineChars="200"/>
        <w:rPr>
          <w:rFonts w:hint="eastAsia" w:eastAsia="仿宋_GB2312"/>
          <w:sz w:val="32"/>
          <w:szCs w:val="32"/>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仿宋_GB2312"/>
          <w:sz w:val="32"/>
          <w:szCs w:val="32"/>
          <w:lang w:val="zh-CN"/>
        </w:rPr>
        <w:t>根据财政绩效评价的工作要求，我单位每年都会开展绩效自评工作，对自评进行认真地研究和部署，使自评工作顺利开展、并针对问题找出解决方法。做到了时间过半，资金使用量过半。下半年是出成果的时候，到时，我们的《年鉴》《执政实录》、口述历史纪录片将以正式出版和视频的形式展现给大家，同时完成用于保障县史志中心机构的正常运转的日常支出。</w:t>
      </w:r>
    </w:p>
    <w:p w14:paraId="604E9075">
      <w:pPr>
        <w:ind w:firstLine="643" w:firstLineChars="200"/>
        <w:rPr>
          <w:rFonts w:hint="eastAsia" w:eastAsia="仿宋_GB2312"/>
          <w:sz w:val="32"/>
          <w:szCs w:val="32"/>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仿宋_GB2312"/>
          <w:sz w:val="32"/>
          <w:szCs w:val="32"/>
          <w:lang w:val="zh-CN"/>
        </w:rPr>
        <w:t>1.评价内容较宏观，不能全面具体地对本单位的绩效进行评价。</w:t>
      </w:r>
    </w:p>
    <w:p w14:paraId="14CCB957">
      <w:pPr>
        <w:ind w:firstLine="640" w:firstLineChars="200"/>
        <w:rPr>
          <w:rFonts w:hint="eastAsia" w:eastAsia="仿宋_GB2312"/>
          <w:sz w:val="32"/>
          <w:szCs w:val="32"/>
          <w:lang w:val="zh-CN"/>
        </w:rPr>
      </w:pPr>
      <w:r>
        <w:rPr>
          <w:rFonts w:hint="eastAsia" w:eastAsia="仿宋_GB2312"/>
          <w:sz w:val="32"/>
          <w:szCs w:val="32"/>
          <w:lang w:val="zh-CN"/>
        </w:rPr>
        <w:t>2.财务理论水平低，没有专业的财务人员，对财务绩效评价的设置感到无从下手。</w:t>
      </w:r>
    </w:p>
    <w:p w14:paraId="5061F7CD">
      <w:pPr>
        <w:ind w:firstLine="643" w:firstLineChars="200"/>
        <w:rPr>
          <w:rFonts w:hint="eastAsia" w:eastAsia="仿宋_GB2312"/>
          <w:sz w:val="32"/>
          <w:szCs w:val="32"/>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9" w:name="_Hlk110546638"/>
      <w:r>
        <w:rPr>
          <w:rFonts w:hint="eastAsia" w:eastAsia="仿宋_GB2312"/>
          <w:sz w:val="32"/>
          <w:szCs w:val="32"/>
          <w:lang w:val="zh-CN"/>
        </w:rPr>
        <w:t>1.在来年的财政支出绩效评价工作中根据定性指标内容设置一些具体明细的指标体系进行评价，使财政支出绩效评价更客观和更具有参考价值。</w:t>
      </w:r>
    </w:p>
    <w:p w14:paraId="2FEFA1F0">
      <w:pPr>
        <w:ind w:firstLine="640" w:firstLineChars="200"/>
        <w:rPr>
          <w:rFonts w:hint="eastAsia" w:ascii="Times New Roman" w:hAnsi="Times New Roman" w:cs="宋体"/>
          <w:color w:val="FF0000"/>
          <w:kern w:val="0"/>
          <w:sz w:val="32"/>
          <w:szCs w:val="32"/>
          <w:highlight w:val="yellow"/>
          <w:shd w:val="clear" w:color="auto" w:fill="FFFFFF"/>
          <w:lang w:val="zh-CN"/>
        </w:rPr>
      </w:pPr>
      <w:r>
        <w:rPr>
          <w:rFonts w:hint="eastAsia" w:eastAsia="仿宋_GB2312"/>
          <w:sz w:val="32"/>
          <w:szCs w:val="32"/>
          <w:lang w:val="zh-CN"/>
        </w:rPr>
        <w:t>2.启用专业人员，提高财务人员积极性和热情，宣传财务工作的重要性。</w:t>
      </w:r>
      <w:bookmarkEnd w:id="59"/>
    </w:p>
    <w:p w14:paraId="23A85F8D">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4ADD3ABE">
      <w:pPr>
        <w:widowControl/>
        <w:jc w:val="center"/>
        <w:rPr>
          <w:rFonts w:hint="eastAsia" w:ascii="Times New Roman" w:hAnsi="Times New Roman" w:eastAsia="仿宋"/>
          <w:b w:val="0"/>
          <w:color w:val="auto"/>
          <w:highlight w:val="none"/>
        </w:rPr>
      </w:pPr>
      <w:bookmarkStart w:id="60"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7"/>
      <w:bookmarkEnd w:id="60"/>
      <w:bookmarkStart w:id="61" w:name="_Toc15396619"/>
    </w:p>
    <w:p w14:paraId="5B2C7F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A65AC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1"/>
    </w:p>
    <w:p w14:paraId="41DAC9C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0"/>
      <w:r>
        <w:rPr>
          <w:rFonts w:hint="eastAsia" w:ascii="Times New Roman" w:hAnsi="Times New Roman" w:eastAsia="仿宋_GB2312" w:cs="仿宋_GB2312"/>
          <w:color w:val="auto"/>
          <w:sz w:val="32"/>
          <w:szCs w:val="32"/>
          <w:highlight w:val="none"/>
        </w:rPr>
        <w:t>二、收入决算表</w:t>
      </w:r>
      <w:bookmarkEnd w:id="62"/>
    </w:p>
    <w:p w14:paraId="5A6AF09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1"/>
      <w:r>
        <w:rPr>
          <w:rFonts w:hint="eastAsia" w:ascii="Times New Roman" w:hAnsi="Times New Roman" w:eastAsia="仿宋_GB2312" w:cs="仿宋_GB2312"/>
          <w:color w:val="auto"/>
          <w:sz w:val="32"/>
          <w:szCs w:val="32"/>
          <w:highlight w:val="none"/>
        </w:rPr>
        <w:t>三、支出决算表</w:t>
      </w:r>
      <w:bookmarkEnd w:id="63"/>
    </w:p>
    <w:p w14:paraId="26DA398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2"/>
      <w:r>
        <w:rPr>
          <w:rFonts w:hint="eastAsia" w:ascii="Times New Roman" w:hAnsi="Times New Roman" w:eastAsia="仿宋_GB2312" w:cs="仿宋_GB2312"/>
          <w:color w:val="auto"/>
          <w:sz w:val="32"/>
          <w:szCs w:val="32"/>
          <w:highlight w:val="none"/>
        </w:rPr>
        <w:t>四、财政拨款收入支出决算总表</w:t>
      </w:r>
      <w:bookmarkEnd w:id="64"/>
    </w:p>
    <w:p w14:paraId="79EA87E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3"/>
      <w:r>
        <w:rPr>
          <w:rFonts w:hint="eastAsia" w:ascii="Times New Roman" w:hAnsi="Times New Roman" w:eastAsia="仿宋_GB2312" w:cs="仿宋_GB2312"/>
          <w:color w:val="auto"/>
          <w:sz w:val="32"/>
          <w:szCs w:val="32"/>
          <w:highlight w:val="none"/>
        </w:rPr>
        <w:t>五、财政拨款支出决算明细表</w:t>
      </w:r>
      <w:bookmarkEnd w:id="65"/>
      <w:bookmarkStart w:id="66" w:name="_Toc15396624"/>
    </w:p>
    <w:p w14:paraId="5CDA56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6"/>
    </w:p>
    <w:p w14:paraId="3FF9CEF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5"/>
      <w:r>
        <w:rPr>
          <w:rFonts w:hint="eastAsia" w:ascii="Times New Roman" w:hAnsi="Times New Roman" w:eastAsia="仿宋_GB2312" w:cs="仿宋_GB2312"/>
          <w:color w:val="auto"/>
          <w:sz w:val="32"/>
          <w:szCs w:val="32"/>
          <w:highlight w:val="none"/>
        </w:rPr>
        <w:t>七、一般公共预算财政拨款支出决算明细表</w:t>
      </w:r>
      <w:bookmarkEnd w:id="67"/>
    </w:p>
    <w:p w14:paraId="3408F97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6"/>
      <w:r>
        <w:rPr>
          <w:rFonts w:hint="eastAsia" w:ascii="Times New Roman" w:hAnsi="Times New Roman" w:eastAsia="仿宋_GB2312" w:cs="仿宋_GB2312"/>
          <w:color w:val="auto"/>
          <w:sz w:val="32"/>
          <w:szCs w:val="32"/>
          <w:highlight w:val="none"/>
        </w:rPr>
        <w:t>八、一般公共预算财政拨款基本支出决算表</w:t>
      </w:r>
      <w:bookmarkEnd w:id="68"/>
    </w:p>
    <w:p w14:paraId="248721C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7"/>
      <w:r>
        <w:rPr>
          <w:rFonts w:hint="eastAsia" w:ascii="Times New Roman" w:hAnsi="Times New Roman" w:eastAsia="仿宋_GB2312" w:cs="仿宋_GB2312"/>
          <w:color w:val="auto"/>
          <w:sz w:val="32"/>
          <w:szCs w:val="32"/>
          <w:highlight w:val="none"/>
        </w:rPr>
        <w:t>九、一般公共预算财政拨款项目支出决算表</w:t>
      </w:r>
      <w:bookmarkEnd w:id="69"/>
    </w:p>
    <w:p w14:paraId="3AD755F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8"/>
      <w:r>
        <w:rPr>
          <w:rFonts w:hint="eastAsia" w:ascii="Times New Roman" w:hAnsi="Times New Roman" w:eastAsia="仿宋_GB2312" w:cs="仿宋_GB2312"/>
          <w:color w:val="auto"/>
          <w:sz w:val="32"/>
          <w:szCs w:val="32"/>
          <w:highlight w:val="none"/>
        </w:rPr>
        <w:t>十、</w:t>
      </w:r>
      <w:bookmarkEnd w:id="70"/>
      <w:r>
        <w:rPr>
          <w:rFonts w:hint="eastAsia" w:ascii="Times New Roman" w:hAnsi="Times New Roman" w:eastAsia="仿宋_GB2312" w:cs="仿宋_GB2312"/>
          <w:color w:val="auto"/>
          <w:sz w:val="32"/>
          <w:szCs w:val="32"/>
          <w:highlight w:val="none"/>
        </w:rPr>
        <w:t>政府性基金预算财政拨款收入支出决算表</w:t>
      </w:r>
    </w:p>
    <w:p w14:paraId="46F4A1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9"/>
      <w:r>
        <w:rPr>
          <w:rFonts w:hint="eastAsia" w:ascii="Times New Roman" w:hAnsi="Times New Roman" w:eastAsia="仿宋_GB2312" w:cs="仿宋_GB2312"/>
          <w:color w:val="auto"/>
          <w:sz w:val="32"/>
          <w:szCs w:val="32"/>
          <w:highlight w:val="none"/>
        </w:rPr>
        <w:t>十一、</w:t>
      </w:r>
      <w:bookmarkEnd w:id="7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EA818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30"/>
      <w:r>
        <w:rPr>
          <w:rFonts w:hint="eastAsia" w:ascii="Times New Roman" w:hAnsi="Times New Roman" w:eastAsia="仿宋_GB2312" w:cs="仿宋_GB2312"/>
          <w:color w:val="auto"/>
          <w:sz w:val="32"/>
          <w:szCs w:val="32"/>
          <w:highlight w:val="none"/>
        </w:rPr>
        <w:t>十二、</w:t>
      </w:r>
      <w:bookmarkEnd w:id="72"/>
      <w:r>
        <w:rPr>
          <w:rFonts w:hint="eastAsia" w:ascii="Times New Roman" w:hAnsi="Times New Roman" w:eastAsia="仿宋_GB2312" w:cs="仿宋_GB2312"/>
          <w:color w:val="auto"/>
          <w:sz w:val="32"/>
          <w:szCs w:val="32"/>
          <w:highlight w:val="none"/>
          <w:lang w:eastAsia="zh-CN"/>
        </w:rPr>
        <w:t>国有资本经营预算财政拨款支出决算表</w:t>
      </w:r>
    </w:p>
    <w:p w14:paraId="3B45753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3" w:name="_Toc15396631"/>
      <w:r>
        <w:rPr>
          <w:rFonts w:hint="eastAsia" w:ascii="Times New Roman" w:hAnsi="Times New Roman" w:eastAsia="仿宋_GB2312" w:cs="仿宋_GB2312"/>
          <w:color w:val="auto"/>
          <w:sz w:val="32"/>
          <w:szCs w:val="32"/>
          <w:highlight w:val="none"/>
        </w:rPr>
        <w:t>十三、</w:t>
      </w:r>
      <w:bookmarkEnd w:id="73"/>
      <w:r>
        <w:rPr>
          <w:rFonts w:hint="eastAsia" w:ascii="Times New Roman" w:hAnsi="Times New Roman" w:eastAsia="仿宋_GB2312" w:cs="仿宋_GB2312"/>
          <w:color w:val="auto"/>
          <w:sz w:val="32"/>
          <w:szCs w:val="32"/>
          <w:highlight w:val="none"/>
          <w:lang w:eastAsia="zh-CN"/>
        </w:rPr>
        <w:t>财政拨款“三公”经费支出决算表</w:t>
      </w:r>
    </w:p>
    <w:p w14:paraId="6C2FD439">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AAC61B-47FE-49FE-AEC1-53EDA98B53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FAB6762-6C89-45B9-8017-1F117A628F0E}"/>
  </w:font>
  <w:font w:name="仿宋">
    <w:panose1 w:val="02010609060101010101"/>
    <w:charset w:val="86"/>
    <w:family w:val="modern"/>
    <w:pitch w:val="default"/>
    <w:sig w:usb0="800002BF" w:usb1="38CF7CFA" w:usb2="00000016" w:usb3="00000000" w:csb0="00040001" w:csb1="00000000"/>
    <w:embedRegular r:id="rId3" w:fontKey="{1777A4A5-20CE-471C-9149-4767E3500C1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1194C4B2-7395-422E-8DEF-6AAFEEBBE4F5}"/>
  </w:font>
  <w:font w:name="楷体_GB2312">
    <w:panose1 w:val="02010609030101010101"/>
    <w:charset w:val="86"/>
    <w:family w:val="auto"/>
    <w:pitch w:val="default"/>
    <w:sig w:usb0="00000001" w:usb1="080E0000" w:usb2="00000000" w:usb3="00000000" w:csb0="00040000" w:csb1="00000000"/>
    <w:embedRegular r:id="rId5" w:fontKey="{60EC079B-099A-4052-B862-7F327BF366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B89A">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677D55F9">
                              <w:pPr>
                                <w:pStyle w:val="11"/>
                                <w:jc w:val="center"/>
                              </w:pPr>
                              <w:r>
                                <w:fldChar w:fldCharType="begin"/>
                              </w:r>
                              <w:r>
                                <w:instrText xml:space="preserve">PAGE   \* MERGEFORMAT</w:instrText>
                              </w:r>
                              <w:r>
                                <w:fldChar w:fldCharType="separate"/>
                              </w:r>
                              <w:r>
                                <w:rPr>
                                  <w:lang w:val="zh-CN"/>
                                </w:rPr>
                                <w:t>23</w:t>
                              </w:r>
                              <w:r>
                                <w:fldChar w:fldCharType="end"/>
                              </w:r>
                            </w:p>
                          </w:sdtContent>
                        </w:sdt>
                        <w:p w14:paraId="702473B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sdt>
                    <w:sdtPr>
                      <w:id w:val="-1994781956"/>
                    </w:sdtPr>
                    <w:sdtContent>
                      <w:p w14:paraId="677D55F9">
                        <w:pPr>
                          <w:pStyle w:val="11"/>
                          <w:jc w:val="center"/>
                        </w:pPr>
                        <w:r>
                          <w:fldChar w:fldCharType="begin"/>
                        </w:r>
                        <w:r>
                          <w:instrText xml:space="preserve">PAGE   \* MERGEFORMAT</w:instrText>
                        </w:r>
                        <w:r>
                          <w:fldChar w:fldCharType="separate"/>
                        </w:r>
                        <w:r>
                          <w:rPr>
                            <w:lang w:val="zh-CN"/>
                          </w:rPr>
                          <w:t>23</w:t>
                        </w:r>
                        <w:r>
                          <w:fldChar w:fldCharType="end"/>
                        </w:r>
                      </w:p>
                    </w:sdtContent>
                  </w:sdt>
                  <w:p w14:paraId="702473BC">
                    <w:pPr>
                      <w:pStyle w:val="2"/>
                    </w:pPr>
                  </w:p>
                </w:txbxContent>
              </v:textbox>
            </v:shape>
          </w:pict>
        </mc:Fallback>
      </mc:AlternateContent>
    </w:r>
  </w:p>
  <w:p w14:paraId="3DA741E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FEE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DF80A">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ECDF80A">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56C2">
    <w:pPr>
      <w:pStyle w:val="11"/>
      <w:jc w:val="center"/>
    </w:pPr>
  </w:p>
  <w:p w14:paraId="6D1B018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1BC0">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9BB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38F79">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19316B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4E70AB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1F777E"/>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4FB27DC"/>
    <w:rsid w:val="65E66580"/>
    <w:rsid w:val="664B1D71"/>
    <w:rsid w:val="664B4E8E"/>
    <w:rsid w:val="67277B67"/>
    <w:rsid w:val="67AA3209"/>
    <w:rsid w:val="698D0931"/>
    <w:rsid w:val="6A7FE5F3"/>
    <w:rsid w:val="6B053271"/>
    <w:rsid w:val="6BDD78B3"/>
    <w:rsid w:val="6C4A05C8"/>
    <w:rsid w:val="6C5E7AA7"/>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10370</Words>
  <Characters>10933</Characters>
  <Lines>61</Lines>
  <Paragraphs>17</Paragraphs>
  <TotalTime>12</TotalTime>
  <ScaleCrop>false</ScaleCrop>
  <LinksUpToDate>false</LinksUpToDate>
  <CharactersWithSpaces>10962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2025-10-14T07:02:13Z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