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F01184">
      <w:pPr>
        <w:spacing w:line="600" w:lineRule="exact"/>
        <w:jc w:val="left"/>
        <w:outlineLvl w:val="0"/>
        <w:rPr>
          <w:rFonts w:ascii="方正小标宋简体" w:hAnsi="宋体" w:eastAsia="方正小标宋简体"/>
          <w:szCs w:val="21"/>
        </w:rPr>
      </w:pPr>
      <w:bookmarkStart w:id="0" w:name="_Toc15306267"/>
    </w:p>
    <w:p w14:paraId="071F6E07">
      <w:pPr>
        <w:pStyle w:val="6"/>
        <w:spacing w:before="93"/>
      </w:pPr>
    </w:p>
    <w:p w14:paraId="5AD1A659">
      <w:pPr>
        <w:spacing w:line="600" w:lineRule="exact"/>
        <w:jc w:val="center"/>
        <w:outlineLvl w:val="0"/>
        <w:rPr>
          <w:rFonts w:ascii="方正小标宋简体" w:hAnsi="宋体" w:eastAsia="方正小标宋简体"/>
          <w:sz w:val="72"/>
          <w:szCs w:val="72"/>
        </w:rPr>
      </w:pPr>
    </w:p>
    <w:p w14:paraId="035BF0F0">
      <w:pPr>
        <w:spacing w:line="600" w:lineRule="exact"/>
        <w:jc w:val="center"/>
        <w:outlineLvl w:val="0"/>
        <w:rPr>
          <w:rFonts w:ascii="方正小标宋简体" w:hAnsi="宋体" w:eastAsia="方正小标宋简体"/>
          <w:sz w:val="72"/>
          <w:szCs w:val="72"/>
        </w:rPr>
      </w:pPr>
    </w:p>
    <w:p w14:paraId="596A000F">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77425"/>
      <w:bookmarkStart w:id="2" w:name="_Toc15377193"/>
      <w:bookmarkStart w:id="3" w:name="_Toc15396475"/>
      <w:bookmarkStart w:id="4" w:name="_Toc15396597"/>
      <w:bookmarkStart w:id="5" w:name="_Toc15378441"/>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p w14:paraId="7C3CAF11">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6" w:name="_Toc15396598"/>
      <w:bookmarkStart w:id="7" w:name="_Toc15377194"/>
      <w:bookmarkStart w:id="8" w:name="_Toc15377426"/>
      <w:bookmarkStart w:id="9" w:name="_Toc15396476"/>
      <w:bookmarkStart w:id="10" w:name="_Toc15378442"/>
      <w:r>
        <w:rPr>
          <w:rFonts w:hint="eastAsia" w:ascii="方正小标宋简体" w:hAnsi="方正小标宋简体" w:eastAsia="方正小标宋简体" w:cs="方正小标宋简体"/>
          <w:sz w:val="72"/>
          <w:szCs w:val="72"/>
        </w:rPr>
        <w:t>四川省</w:t>
      </w:r>
      <w:bookmarkEnd w:id="0"/>
      <w:bookmarkStart w:id="11" w:name="_Toc15306268"/>
      <w:r>
        <w:rPr>
          <w:rFonts w:hint="eastAsia" w:ascii="方正小标宋简体" w:hAnsi="方正小标宋简体" w:eastAsia="方正小标宋简体" w:cs="方正小标宋简体"/>
          <w:sz w:val="72"/>
          <w:szCs w:val="72"/>
        </w:rPr>
        <w:t>阿坝州松潘县党史和地方志编纂中心</w:t>
      </w:r>
    </w:p>
    <w:p w14:paraId="1BF505E7">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单位决算</w:t>
      </w:r>
      <w:bookmarkEnd w:id="6"/>
      <w:bookmarkEnd w:id="7"/>
      <w:bookmarkEnd w:id="8"/>
      <w:bookmarkEnd w:id="9"/>
      <w:bookmarkEnd w:id="10"/>
      <w:bookmarkEnd w:id="11"/>
    </w:p>
    <w:p w14:paraId="3771AB65">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41597932">
      <w:pPr>
        <w:widowControl/>
        <w:jc w:val="center"/>
        <w:rPr>
          <w:rFonts w:ascii="黑体" w:hAnsi="黑体" w:eastAsia="黑体" w:cstheme="minorBidi"/>
          <w:sz w:val="28"/>
          <w:szCs w:val="28"/>
        </w:rPr>
      </w:pPr>
    </w:p>
    <w:p w14:paraId="43639260">
      <w:pPr>
        <w:pStyle w:val="12"/>
      </w:pPr>
      <w:r>
        <w:rPr>
          <w:rFonts w:hint="eastAsia"/>
        </w:rPr>
        <w:t>公开时间：2023年9月</w:t>
      </w:r>
      <w:r>
        <w:rPr>
          <w:rFonts w:hint="eastAsia"/>
          <w:lang w:val="en-US" w:eastAsia="zh-CN"/>
        </w:rPr>
        <w:t>19</w:t>
      </w:r>
      <w:r>
        <w:rPr>
          <w:rFonts w:hint="eastAsia"/>
        </w:rPr>
        <w:t>日</w:t>
      </w:r>
    </w:p>
    <w:p w14:paraId="08F433C7"/>
    <w:p w14:paraId="187D322E">
      <w:pPr>
        <w:pStyle w:val="12"/>
        <w:adjustRightInd w:val="0"/>
        <w:snapToGrid w:val="0"/>
        <w:spacing w:before="0" w:line="440" w:lineRule="exact"/>
        <w:jc w:val="left"/>
        <w:rPr>
          <w:rFonts w:hint="eastAsia" w:eastAsia="仿宋" w:cstheme="minorBidi"/>
          <w:sz w:val="24"/>
          <w:szCs w:val="24"/>
          <w:lang w:val="en-US" w:eastAsia="zh-CN"/>
        </w:rPr>
      </w:pPr>
      <w:r>
        <w:rPr>
          <w:rFonts w:hint="eastAsia"/>
          <w:sz w:val="24"/>
        </w:rPr>
        <w:t>第一部分</w:t>
      </w:r>
      <w:r>
        <w:rPr>
          <w:sz w:val="24"/>
        </w:rPr>
        <w:t xml:space="preserve"> </w:t>
      </w:r>
      <w:r>
        <w:rPr>
          <w:rFonts w:hint="eastAsia"/>
          <w:sz w:val="24"/>
        </w:rPr>
        <w:t>单位概况</w:t>
      </w:r>
      <w:r>
        <w:tab/>
      </w:r>
      <w:r>
        <w:rPr>
          <w:rFonts w:hint="eastAsia"/>
          <w:sz w:val="22"/>
          <w:szCs w:val="22"/>
          <w:lang w:val="en-US" w:eastAsia="zh-CN"/>
        </w:rPr>
        <w:t>4</w:t>
      </w:r>
    </w:p>
    <w:p w14:paraId="4CD00E3E">
      <w:pPr>
        <w:pStyle w:val="13"/>
        <w:adjustRightInd w:val="0"/>
        <w:snapToGrid w:val="0"/>
        <w:spacing w:line="440" w:lineRule="exact"/>
        <w:jc w:val="left"/>
        <w:rPr>
          <w:rFonts w:hint="eastAsia" w:eastAsia="宋体"/>
          <w:sz w:val="24"/>
          <w:lang w:val="en-US" w:eastAsia="zh-CN"/>
        </w:rPr>
      </w:pPr>
      <w:r>
        <w:rPr>
          <w:rFonts w:hint="eastAsia"/>
          <w:sz w:val="24"/>
        </w:rPr>
        <w:t>一、主要职责</w:t>
      </w:r>
      <w:r>
        <w:tab/>
      </w:r>
      <w:r>
        <w:rPr>
          <w:rFonts w:hint="eastAsia"/>
          <w:lang w:val="en-US" w:eastAsia="zh-CN"/>
        </w:rPr>
        <w:t>4</w:t>
      </w:r>
    </w:p>
    <w:p w14:paraId="7F87F989">
      <w:pPr>
        <w:pStyle w:val="13"/>
        <w:adjustRightInd w:val="0"/>
        <w:snapToGrid w:val="0"/>
        <w:spacing w:line="440" w:lineRule="exact"/>
        <w:jc w:val="left"/>
        <w:rPr>
          <w:rFonts w:hint="eastAsia" w:eastAsia="宋体"/>
          <w:lang w:val="en-US" w:eastAsia="zh-CN"/>
        </w:rPr>
      </w:pPr>
      <w:r>
        <w:rPr>
          <w:rFonts w:hint="eastAsia"/>
          <w:sz w:val="24"/>
        </w:rPr>
        <w:t>二、机构设置</w:t>
      </w:r>
      <w:r>
        <w:tab/>
      </w:r>
      <w:r>
        <w:rPr>
          <w:rFonts w:hint="eastAsia"/>
          <w:lang w:val="en-US" w:eastAsia="zh-CN"/>
        </w:rPr>
        <w:t>5</w:t>
      </w:r>
    </w:p>
    <w:p w14:paraId="645A51CD">
      <w:pPr>
        <w:pStyle w:val="12"/>
        <w:adjustRightInd w:val="0"/>
        <w:snapToGrid w:val="0"/>
        <w:spacing w:before="0" w:line="440" w:lineRule="exact"/>
        <w:jc w:val="left"/>
        <w:rPr>
          <w:rFonts w:hint="eastAsia" w:eastAsia="仿宋"/>
          <w:sz w:val="24"/>
          <w:szCs w:val="24"/>
          <w:lang w:val="en-US" w:eastAsia="zh-CN"/>
        </w:rPr>
      </w:pPr>
      <w:r>
        <w:rPr>
          <w:rFonts w:hint="eastAsia"/>
          <w:sz w:val="24"/>
        </w:rPr>
        <w:t>第二部分 2023年度单位决算情况说明</w:t>
      </w:r>
      <w:r>
        <w:tab/>
      </w:r>
      <w:r>
        <w:rPr>
          <w:rFonts w:hint="eastAsia"/>
          <w:sz w:val="22"/>
          <w:szCs w:val="22"/>
          <w:lang w:val="en-US" w:eastAsia="zh-CN"/>
        </w:rPr>
        <w:t>7</w:t>
      </w:r>
    </w:p>
    <w:p w14:paraId="451D5B6F">
      <w:pPr>
        <w:pStyle w:val="13"/>
        <w:adjustRightInd w:val="0"/>
        <w:snapToGrid w:val="0"/>
        <w:spacing w:line="440" w:lineRule="exact"/>
        <w:jc w:val="left"/>
        <w:rPr>
          <w:rFonts w:hint="eastAsia" w:ascii="仿宋" w:hAnsi="仿宋" w:eastAsia="宋体" w:cstheme="minorBidi"/>
          <w:sz w:val="22"/>
          <w:szCs w:val="22"/>
          <w:lang w:val="en-US" w:eastAsia="zh-CN"/>
        </w:rPr>
      </w:pPr>
      <w:r>
        <w:rPr>
          <w:rFonts w:hint="eastAsia"/>
          <w:sz w:val="24"/>
        </w:rPr>
        <w:t>一、收入支出决算总体情况说明</w:t>
      </w:r>
      <w:r>
        <w:tab/>
      </w:r>
      <w:r>
        <w:rPr>
          <w:rFonts w:hint="eastAsia"/>
          <w:sz w:val="20"/>
          <w:szCs w:val="22"/>
          <w:lang w:val="en-US" w:eastAsia="zh-CN"/>
        </w:rPr>
        <w:t>7</w:t>
      </w:r>
    </w:p>
    <w:p w14:paraId="77D0DDAA">
      <w:pPr>
        <w:pStyle w:val="13"/>
        <w:adjustRightInd w:val="0"/>
        <w:snapToGrid w:val="0"/>
        <w:spacing w:line="440" w:lineRule="exact"/>
        <w:jc w:val="left"/>
        <w:rPr>
          <w:rFonts w:hint="eastAsia" w:ascii="仿宋" w:hAnsi="仿宋" w:eastAsia="宋体" w:cstheme="minorBidi"/>
          <w:sz w:val="24"/>
          <w:lang w:val="en-US" w:eastAsia="zh-CN"/>
        </w:rPr>
      </w:pPr>
      <w:r>
        <w:rPr>
          <w:rFonts w:hint="eastAsia"/>
          <w:sz w:val="24"/>
        </w:rPr>
        <w:t>二、收入决算情况说明</w:t>
      </w:r>
      <w:r>
        <w:tab/>
      </w:r>
      <w:r>
        <w:rPr>
          <w:rFonts w:hint="eastAsia"/>
          <w:lang w:val="en-US" w:eastAsia="zh-CN"/>
        </w:rPr>
        <w:t>7</w:t>
      </w:r>
    </w:p>
    <w:p w14:paraId="4D67EBE1">
      <w:pPr>
        <w:pStyle w:val="13"/>
        <w:adjustRightInd w:val="0"/>
        <w:snapToGrid w:val="0"/>
        <w:spacing w:line="440" w:lineRule="exact"/>
        <w:jc w:val="left"/>
        <w:rPr>
          <w:rFonts w:hint="eastAsia" w:ascii="仿宋" w:hAnsi="仿宋" w:eastAsia="宋体" w:cstheme="minorBidi"/>
          <w:sz w:val="24"/>
          <w:lang w:val="en-US" w:eastAsia="zh-CN"/>
        </w:rPr>
      </w:pPr>
      <w:r>
        <w:rPr>
          <w:rFonts w:hint="eastAsia"/>
          <w:sz w:val="24"/>
        </w:rPr>
        <w:t>三、支出决算情况说明</w:t>
      </w:r>
      <w:r>
        <w:tab/>
      </w:r>
      <w:r>
        <w:rPr>
          <w:rFonts w:hint="eastAsia"/>
          <w:lang w:val="en-US" w:eastAsia="zh-CN"/>
        </w:rPr>
        <w:t>8</w:t>
      </w:r>
    </w:p>
    <w:p w14:paraId="33FBE0DC">
      <w:pPr>
        <w:pStyle w:val="13"/>
        <w:adjustRightInd w:val="0"/>
        <w:snapToGrid w:val="0"/>
        <w:spacing w:line="440" w:lineRule="exact"/>
        <w:jc w:val="left"/>
        <w:rPr>
          <w:rFonts w:hint="eastAsia" w:ascii="仿宋" w:hAnsi="仿宋" w:eastAsia="宋体" w:cstheme="minorBidi"/>
          <w:sz w:val="24"/>
          <w:lang w:val="en-US" w:eastAsia="zh-CN"/>
        </w:rPr>
      </w:pPr>
      <w:r>
        <w:rPr>
          <w:rFonts w:hint="eastAsia"/>
          <w:sz w:val="24"/>
        </w:rPr>
        <w:t>四、财政拨款收入支出决算总体情况说明</w:t>
      </w:r>
      <w:r>
        <w:tab/>
      </w:r>
      <w:r>
        <w:rPr>
          <w:rFonts w:hint="eastAsia"/>
          <w:lang w:val="en-US" w:eastAsia="zh-CN"/>
        </w:rPr>
        <w:t>9</w:t>
      </w:r>
    </w:p>
    <w:p w14:paraId="54F660BD">
      <w:pPr>
        <w:pStyle w:val="13"/>
        <w:adjustRightInd w:val="0"/>
        <w:snapToGrid w:val="0"/>
        <w:spacing w:line="440" w:lineRule="exact"/>
        <w:jc w:val="left"/>
        <w:rPr>
          <w:rFonts w:hint="default" w:ascii="仿宋" w:hAnsi="仿宋" w:eastAsia="宋体" w:cstheme="minorBidi"/>
          <w:sz w:val="24"/>
          <w:lang w:val="en-US" w:eastAsia="zh-CN"/>
        </w:rPr>
      </w:pPr>
      <w:r>
        <w:rPr>
          <w:rFonts w:hint="eastAsia"/>
          <w:sz w:val="24"/>
        </w:rPr>
        <w:t>五、一般公共预算财政拨款支出决算情况说明</w:t>
      </w:r>
      <w:r>
        <w:tab/>
      </w:r>
      <w:r>
        <w:rPr>
          <w:rFonts w:hint="eastAsia"/>
          <w:lang w:val="en-US" w:eastAsia="zh-CN"/>
        </w:rPr>
        <w:t>10</w:t>
      </w:r>
    </w:p>
    <w:p w14:paraId="54BAE823">
      <w:pPr>
        <w:pStyle w:val="13"/>
        <w:adjustRightInd w:val="0"/>
        <w:snapToGrid w:val="0"/>
        <w:spacing w:line="440" w:lineRule="exact"/>
        <w:jc w:val="left"/>
        <w:rPr>
          <w:rFonts w:hint="default" w:ascii="仿宋" w:hAnsi="仿宋" w:eastAsia="宋体" w:cstheme="minorBidi"/>
          <w:sz w:val="24"/>
          <w:lang w:val="en-US" w:eastAsia="zh-CN"/>
        </w:rPr>
      </w:pPr>
      <w:r>
        <w:rPr>
          <w:rFonts w:hint="eastAsia"/>
          <w:sz w:val="24"/>
        </w:rPr>
        <w:t>六、一般公共预算财政拨款基本支出决算情况说明</w:t>
      </w:r>
      <w:r>
        <w:tab/>
      </w:r>
      <w:r>
        <w:rPr>
          <w:rFonts w:hint="eastAsia"/>
          <w:lang w:val="en-US" w:eastAsia="zh-CN"/>
        </w:rPr>
        <w:t>12</w:t>
      </w:r>
    </w:p>
    <w:p w14:paraId="378D1481">
      <w:pPr>
        <w:pStyle w:val="13"/>
        <w:adjustRightInd w:val="0"/>
        <w:snapToGrid w:val="0"/>
        <w:spacing w:line="440" w:lineRule="exact"/>
        <w:jc w:val="left"/>
        <w:rPr>
          <w:rFonts w:hint="default" w:ascii="仿宋" w:hAnsi="仿宋" w:eastAsia="宋体" w:cstheme="minorBidi"/>
          <w:sz w:val="24"/>
          <w:lang w:val="en-US" w:eastAsia="zh-CN"/>
        </w:rPr>
      </w:pPr>
      <w:r>
        <w:rPr>
          <w:rFonts w:hint="eastAsia"/>
          <w:sz w:val="24"/>
        </w:rPr>
        <w:t>七、财政拨款“三公”经费支出决算情况说明</w:t>
      </w:r>
      <w:r>
        <w:tab/>
      </w:r>
      <w:r>
        <w:rPr>
          <w:rFonts w:hint="eastAsia"/>
          <w:lang w:val="en-US" w:eastAsia="zh-CN"/>
        </w:rPr>
        <w:t>13</w:t>
      </w:r>
    </w:p>
    <w:p w14:paraId="03F1ACA4">
      <w:pPr>
        <w:pStyle w:val="13"/>
        <w:adjustRightInd w:val="0"/>
        <w:snapToGrid w:val="0"/>
        <w:spacing w:line="440" w:lineRule="exact"/>
        <w:jc w:val="left"/>
        <w:rPr>
          <w:rFonts w:hint="default" w:ascii="仿宋" w:hAnsi="仿宋" w:eastAsia="宋体" w:cstheme="minorBidi"/>
          <w:sz w:val="24"/>
          <w:lang w:val="en-US" w:eastAsia="zh-CN"/>
        </w:rPr>
      </w:pPr>
      <w:r>
        <w:rPr>
          <w:rFonts w:hint="eastAsia"/>
          <w:sz w:val="24"/>
        </w:rPr>
        <w:t>八、政府性基金预算支出决算情况说明</w:t>
      </w:r>
      <w:r>
        <w:tab/>
      </w:r>
      <w:r>
        <w:rPr>
          <w:rFonts w:hint="eastAsia"/>
          <w:lang w:val="en-US" w:eastAsia="zh-CN"/>
        </w:rPr>
        <w:t>14</w:t>
      </w:r>
    </w:p>
    <w:p w14:paraId="40D4A0E4">
      <w:pPr>
        <w:pStyle w:val="13"/>
        <w:adjustRightInd w:val="0"/>
        <w:snapToGrid w:val="0"/>
        <w:spacing w:line="440" w:lineRule="exact"/>
        <w:jc w:val="left"/>
        <w:rPr>
          <w:rFonts w:hint="default" w:eastAsia="宋体"/>
          <w:sz w:val="24"/>
          <w:lang w:val="en-US" w:eastAsia="zh-CN"/>
        </w:rPr>
      </w:pPr>
      <w:r>
        <w:rPr>
          <w:rFonts w:hint="eastAsia"/>
          <w:sz w:val="24"/>
        </w:rPr>
        <w:t>九、国有资本经营预算支出决算情况说明</w:t>
      </w:r>
      <w:r>
        <w:tab/>
      </w:r>
      <w:r>
        <w:rPr>
          <w:rFonts w:hint="eastAsia"/>
          <w:lang w:val="en-US" w:eastAsia="zh-CN"/>
        </w:rPr>
        <w:t>14</w:t>
      </w:r>
    </w:p>
    <w:p w14:paraId="33C6C412">
      <w:pPr>
        <w:pStyle w:val="13"/>
        <w:adjustRightInd w:val="0"/>
        <w:snapToGrid w:val="0"/>
        <w:spacing w:line="440" w:lineRule="exact"/>
        <w:jc w:val="left"/>
        <w:rPr>
          <w:rFonts w:hint="default" w:eastAsia="宋体"/>
          <w:sz w:val="24"/>
          <w:lang w:val="en-US" w:eastAsia="zh-CN"/>
        </w:rPr>
      </w:pPr>
      <w:r>
        <w:rPr>
          <w:rFonts w:hint="eastAsia"/>
          <w:sz w:val="24"/>
        </w:rPr>
        <w:t>十、其他重要事项的情况说明</w:t>
      </w:r>
      <w:r>
        <w:tab/>
      </w:r>
      <w:r>
        <w:rPr>
          <w:rFonts w:hint="eastAsia"/>
          <w:lang w:val="en-US" w:eastAsia="zh-CN"/>
        </w:rPr>
        <w:t>14</w:t>
      </w:r>
    </w:p>
    <w:p w14:paraId="7176FFFF">
      <w:pPr>
        <w:pStyle w:val="12"/>
        <w:adjustRightInd w:val="0"/>
        <w:snapToGrid w:val="0"/>
        <w:spacing w:before="0" w:line="440" w:lineRule="exact"/>
        <w:jc w:val="left"/>
        <w:rPr>
          <w:rFonts w:hint="default" w:eastAsia="仿宋" w:cstheme="minorBidi"/>
          <w:sz w:val="21"/>
          <w:szCs w:val="21"/>
          <w:lang w:val="en-US" w:eastAsia="zh-CN"/>
        </w:rPr>
      </w:pPr>
      <w:r>
        <w:rPr>
          <w:rFonts w:hint="eastAsia"/>
          <w:sz w:val="24"/>
        </w:rPr>
        <w:t>第三部分</w:t>
      </w:r>
      <w:r>
        <w:rPr>
          <w:sz w:val="24"/>
        </w:rPr>
        <w:t xml:space="preserve"> </w:t>
      </w:r>
      <w:r>
        <w:rPr>
          <w:rFonts w:hint="eastAsia"/>
          <w:sz w:val="24"/>
        </w:rPr>
        <w:t>名词解释</w:t>
      </w:r>
      <w:r>
        <w:tab/>
      </w:r>
      <w:r>
        <w:rPr>
          <w:rFonts w:hint="eastAsia"/>
          <w:sz w:val="22"/>
          <w:szCs w:val="22"/>
          <w:lang w:val="en-US" w:eastAsia="zh-CN"/>
        </w:rPr>
        <w:t>16</w:t>
      </w:r>
    </w:p>
    <w:p w14:paraId="4D024029">
      <w:pPr>
        <w:pStyle w:val="12"/>
        <w:adjustRightInd w:val="0"/>
        <w:snapToGrid w:val="0"/>
        <w:spacing w:before="0" w:line="440" w:lineRule="exact"/>
        <w:jc w:val="left"/>
        <w:rPr>
          <w:rFonts w:hint="default" w:eastAsia="仿宋" w:cstheme="minorBidi"/>
          <w:sz w:val="24"/>
          <w:szCs w:val="24"/>
          <w:lang w:val="en-US" w:eastAsia="zh-CN"/>
        </w:rPr>
      </w:pPr>
      <w:r>
        <w:rPr>
          <w:rFonts w:hint="eastAsia"/>
          <w:sz w:val="24"/>
        </w:rPr>
        <w:t>第四部分</w:t>
      </w:r>
      <w:r>
        <w:rPr>
          <w:sz w:val="24"/>
        </w:rPr>
        <w:t xml:space="preserve"> </w:t>
      </w:r>
      <w:r>
        <w:rPr>
          <w:rFonts w:hint="eastAsia"/>
          <w:sz w:val="24"/>
        </w:rPr>
        <w:t>附件</w:t>
      </w:r>
      <w:r>
        <w:tab/>
      </w:r>
      <w:r>
        <w:rPr>
          <w:rFonts w:hint="eastAsia"/>
          <w:sz w:val="22"/>
          <w:szCs w:val="22"/>
          <w:lang w:val="en-US" w:eastAsia="zh-CN"/>
        </w:rPr>
        <w:t>19</w:t>
      </w:r>
    </w:p>
    <w:p w14:paraId="53965C4A">
      <w:pPr>
        <w:pStyle w:val="12"/>
        <w:adjustRightInd w:val="0"/>
        <w:snapToGrid w:val="0"/>
        <w:spacing w:before="0" w:line="440" w:lineRule="exact"/>
        <w:jc w:val="left"/>
        <w:rPr>
          <w:rFonts w:hint="default" w:eastAsia="仿宋" w:cstheme="minorBidi"/>
          <w:sz w:val="20"/>
          <w:szCs w:val="20"/>
          <w:lang w:val="en-US" w:eastAsia="zh-CN"/>
        </w:rPr>
      </w:pPr>
      <w:r>
        <w:rPr>
          <w:rFonts w:hint="eastAsia"/>
          <w:sz w:val="24"/>
        </w:rPr>
        <w:t>第五部分</w:t>
      </w:r>
      <w:r>
        <w:rPr>
          <w:sz w:val="24"/>
        </w:rPr>
        <w:t xml:space="preserve"> </w:t>
      </w:r>
      <w:r>
        <w:rPr>
          <w:rFonts w:hint="eastAsia"/>
          <w:sz w:val="24"/>
        </w:rPr>
        <w:t>附表</w:t>
      </w:r>
      <w:r>
        <w:tab/>
      </w:r>
      <w:r>
        <w:rPr>
          <w:rFonts w:hint="eastAsia"/>
          <w:sz w:val="21"/>
          <w:szCs w:val="21"/>
          <w:lang w:val="en-US" w:eastAsia="zh-CN"/>
        </w:rPr>
        <w:t>29</w:t>
      </w:r>
    </w:p>
    <w:p w14:paraId="55B79955">
      <w:pPr>
        <w:pStyle w:val="13"/>
        <w:adjustRightInd w:val="0"/>
        <w:snapToGrid w:val="0"/>
        <w:spacing w:line="440" w:lineRule="exact"/>
        <w:jc w:val="left"/>
        <w:rPr>
          <w:rFonts w:hint="default" w:eastAsia="宋体"/>
          <w:sz w:val="24"/>
          <w:lang w:val="en-US" w:eastAsia="zh-CN"/>
        </w:rPr>
      </w:pPr>
      <w:r>
        <w:rPr>
          <w:rFonts w:hint="eastAsia"/>
          <w:sz w:val="24"/>
        </w:rPr>
        <w:t>一、收入支出决算总表</w:t>
      </w:r>
      <w:r>
        <w:tab/>
      </w:r>
      <w:r>
        <w:rPr>
          <w:rFonts w:hint="eastAsia"/>
          <w:lang w:val="en-US" w:eastAsia="zh-CN"/>
        </w:rPr>
        <w:t>29</w:t>
      </w:r>
    </w:p>
    <w:p w14:paraId="447C9214">
      <w:pPr>
        <w:pStyle w:val="13"/>
        <w:adjustRightInd w:val="0"/>
        <w:snapToGrid w:val="0"/>
        <w:spacing w:line="440" w:lineRule="exact"/>
        <w:jc w:val="left"/>
        <w:rPr>
          <w:rFonts w:hint="default" w:eastAsia="宋体"/>
          <w:sz w:val="24"/>
          <w:lang w:val="en-US" w:eastAsia="zh-CN"/>
        </w:rPr>
      </w:pPr>
      <w:r>
        <w:rPr>
          <w:rFonts w:hint="eastAsia"/>
          <w:sz w:val="24"/>
        </w:rPr>
        <w:t>二、收入决算表</w:t>
      </w:r>
      <w:r>
        <w:tab/>
      </w:r>
      <w:r>
        <w:rPr>
          <w:rFonts w:hint="eastAsia"/>
          <w:lang w:val="en-US" w:eastAsia="zh-CN"/>
        </w:rPr>
        <w:t>29</w:t>
      </w:r>
    </w:p>
    <w:p w14:paraId="1D6B5C9B">
      <w:pPr>
        <w:pStyle w:val="13"/>
        <w:adjustRightInd w:val="0"/>
        <w:snapToGrid w:val="0"/>
        <w:spacing w:line="440" w:lineRule="exact"/>
        <w:jc w:val="left"/>
        <w:rPr>
          <w:rFonts w:hint="default" w:eastAsia="宋体"/>
          <w:sz w:val="24"/>
          <w:lang w:val="en-US" w:eastAsia="zh-CN"/>
        </w:rPr>
      </w:pPr>
      <w:r>
        <w:rPr>
          <w:rFonts w:hint="eastAsia"/>
          <w:sz w:val="24"/>
        </w:rPr>
        <w:t>三、支出决算表</w:t>
      </w:r>
      <w:r>
        <w:tab/>
      </w:r>
      <w:r>
        <w:rPr>
          <w:rFonts w:hint="eastAsia"/>
          <w:lang w:val="en-US" w:eastAsia="zh-CN"/>
        </w:rPr>
        <w:t>30</w:t>
      </w:r>
    </w:p>
    <w:p w14:paraId="33102380">
      <w:pPr>
        <w:pStyle w:val="13"/>
        <w:adjustRightInd w:val="0"/>
        <w:snapToGrid w:val="0"/>
        <w:spacing w:line="440" w:lineRule="exact"/>
        <w:jc w:val="left"/>
        <w:rPr>
          <w:rFonts w:hint="default" w:eastAsia="宋体"/>
          <w:sz w:val="24"/>
          <w:lang w:val="en-US" w:eastAsia="zh-CN"/>
        </w:rPr>
      </w:pPr>
      <w:r>
        <w:rPr>
          <w:rFonts w:hint="eastAsia"/>
          <w:sz w:val="24"/>
        </w:rPr>
        <w:t>四、财政拨款收入支出决算总表</w:t>
      </w:r>
      <w:r>
        <w:tab/>
      </w:r>
      <w:r>
        <w:rPr>
          <w:rFonts w:hint="eastAsia"/>
          <w:lang w:val="en-US" w:eastAsia="zh-CN"/>
        </w:rPr>
        <w:t>30</w:t>
      </w:r>
    </w:p>
    <w:p w14:paraId="6EC53949">
      <w:pPr>
        <w:pStyle w:val="13"/>
        <w:adjustRightInd w:val="0"/>
        <w:snapToGrid w:val="0"/>
        <w:spacing w:line="440" w:lineRule="exact"/>
        <w:jc w:val="left"/>
        <w:rPr>
          <w:rFonts w:hint="default" w:eastAsia="宋体"/>
          <w:sz w:val="24"/>
          <w:lang w:val="en-US" w:eastAsia="zh-CN"/>
        </w:rPr>
      </w:pPr>
      <w:r>
        <w:rPr>
          <w:rFonts w:hint="eastAsia"/>
          <w:sz w:val="24"/>
        </w:rPr>
        <w:t>五、财政拨款支出决算明细表</w:t>
      </w:r>
      <w:r>
        <w:tab/>
      </w:r>
      <w:r>
        <w:rPr>
          <w:rFonts w:hint="eastAsia"/>
          <w:lang w:val="en-US" w:eastAsia="zh-CN"/>
        </w:rPr>
        <w:t>31</w:t>
      </w:r>
    </w:p>
    <w:p w14:paraId="55D615D2">
      <w:pPr>
        <w:pStyle w:val="13"/>
        <w:adjustRightInd w:val="0"/>
        <w:snapToGrid w:val="0"/>
        <w:spacing w:line="440" w:lineRule="exact"/>
        <w:jc w:val="left"/>
        <w:rPr>
          <w:rFonts w:hint="default" w:eastAsia="宋体"/>
          <w:sz w:val="24"/>
          <w:lang w:val="en-US" w:eastAsia="zh-CN"/>
        </w:rPr>
      </w:pPr>
      <w:r>
        <w:rPr>
          <w:rFonts w:hint="eastAsia"/>
          <w:sz w:val="24"/>
        </w:rPr>
        <w:t>六、一般公共预算财政拨款支出决算表</w:t>
      </w:r>
      <w:r>
        <w:tab/>
      </w:r>
      <w:r>
        <w:rPr>
          <w:rFonts w:hint="eastAsia"/>
          <w:lang w:val="en-US" w:eastAsia="zh-CN"/>
        </w:rPr>
        <w:t>32</w:t>
      </w:r>
    </w:p>
    <w:p w14:paraId="70536C44">
      <w:pPr>
        <w:pStyle w:val="13"/>
        <w:adjustRightInd w:val="0"/>
        <w:snapToGrid w:val="0"/>
        <w:spacing w:line="440" w:lineRule="exact"/>
        <w:jc w:val="left"/>
        <w:rPr>
          <w:rFonts w:hint="default" w:eastAsia="宋体"/>
          <w:sz w:val="24"/>
          <w:lang w:val="en-US" w:eastAsia="zh-CN"/>
        </w:rPr>
      </w:pPr>
      <w:r>
        <w:rPr>
          <w:rFonts w:hint="eastAsia"/>
          <w:sz w:val="24"/>
        </w:rPr>
        <w:t>七、一般公共预算财政拨款支出决算明细表</w:t>
      </w:r>
      <w:r>
        <w:tab/>
      </w:r>
      <w:r>
        <w:rPr>
          <w:rFonts w:hint="eastAsia"/>
          <w:lang w:val="en-US" w:eastAsia="zh-CN"/>
        </w:rPr>
        <w:t>32</w:t>
      </w:r>
    </w:p>
    <w:p w14:paraId="4AA416A1">
      <w:pPr>
        <w:pStyle w:val="13"/>
        <w:adjustRightInd w:val="0"/>
        <w:snapToGrid w:val="0"/>
        <w:spacing w:line="440" w:lineRule="exact"/>
        <w:jc w:val="left"/>
        <w:rPr>
          <w:rFonts w:hint="default" w:eastAsia="宋体"/>
          <w:sz w:val="24"/>
          <w:lang w:val="en-US" w:eastAsia="zh-CN"/>
        </w:rPr>
      </w:pPr>
      <w:r>
        <w:rPr>
          <w:rFonts w:hint="eastAsia"/>
          <w:sz w:val="24"/>
        </w:rPr>
        <w:t>八、一般公共预算财政拨款基本支出决算明细表</w:t>
      </w:r>
      <w:r>
        <w:tab/>
      </w:r>
      <w:r>
        <w:rPr>
          <w:rFonts w:hint="eastAsia"/>
          <w:lang w:val="en-US" w:eastAsia="zh-CN"/>
        </w:rPr>
        <w:t>32</w:t>
      </w:r>
    </w:p>
    <w:p w14:paraId="4A2A3454">
      <w:pPr>
        <w:pStyle w:val="13"/>
        <w:adjustRightInd w:val="0"/>
        <w:snapToGrid w:val="0"/>
        <w:spacing w:line="440" w:lineRule="exact"/>
        <w:jc w:val="left"/>
        <w:rPr>
          <w:rFonts w:hint="default" w:eastAsia="宋体"/>
          <w:sz w:val="24"/>
          <w:lang w:val="en-US" w:eastAsia="zh-CN"/>
        </w:rPr>
      </w:pPr>
      <w:r>
        <w:rPr>
          <w:rFonts w:hint="eastAsia"/>
          <w:sz w:val="24"/>
        </w:rPr>
        <w:t>九、一般公共预算财政拨款项目支出决算表</w:t>
      </w:r>
      <w:r>
        <w:tab/>
      </w:r>
      <w:r>
        <w:rPr>
          <w:rFonts w:hint="eastAsia"/>
          <w:lang w:val="en-US" w:eastAsia="zh-CN"/>
        </w:rPr>
        <w:t>33</w:t>
      </w:r>
    </w:p>
    <w:p w14:paraId="1A72180C">
      <w:pPr>
        <w:pStyle w:val="13"/>
        <w:adjustRightInd w:val="0"/>
        <w:snapToGrid w:val="0"/>
        <w:spacing w:line="440" w:lineRule="exact"/>
        <w:jc w:val="left"/>
        <w:rPr>
          <w:rFonts w:hint="default" w:eastAsia="宋体"/>
          <w:sz w:val="24"/>
          <w:lang w:val="en-US" w:eastAsia="zh-CN"/>
        </w:rPr>
      </w:pPr>
      <w:r>
        <w:rPr>
          <w:rFonts w:hint="eastAsia"/>
          <w:sz w:val="24"/>
        </w:rPr>
        <w:t>十、政府性基金预算财政拨款收入支出决算表</w:t>
      </w:r>
      <w:r>
        <w:tab/>
      </w:r>
      <w:r>
        <w:rPr>
          <w:rFonts w:hint="eastAsia"/>
          <w:lang w:val="en-US" w:eastAsia="zh-CN"/>
        </w:rPr>
        <w:t>33</w:t>
      </w:r>
    </w:p>
    <w:p w14:paraId="13C82EA3">
      <w:pPr>
        <w:pStyle w:val="13"/>
        <w:adjustRightInd w:val="0"/>
        <w:snapToGrid w:val="0"/>
        <w:spacing w:line="440" w:lineRule="exact"/>
        <w:jc w:val="left"/>
        <w:rPr>
          <w:rFonts w:hint="default" w:eastAsia="宋体"/>
          <w:sz w:val="24"/>
          <w:lang w:val="en-US" w:eastAsia="zh-CN"/>
        </w:rPr>
      </w:pPr>
      <w:r>
        <w:rPr>
          <w:rFonts w:hint="eastAsia"/>
          <w:sz w:val="24"/>
        </w:rPr>
        <w:t>十一、国有资本经营预算财政拨款收入支出决算表</w:t>
      </w:r>
      <w:r>
        <w:tab/>
      </w:r>
      <w:r>
        <w:rPr>
          <w:rFonts w:hint="eastAsia"/>
          <w:lang w:val="en-US" w:eastAsia="zh-CN"/>
        </w:rPr>
        <w:t>33</w:t>
      </w:r>
    </w:p>
    <w:p w14:paraId="6CB0BDEE">
      <w:pPr>
        <w:pStyle w:val="13"/>
        <w:adjustRightInd w:val="0"/>
        <w:snapToGrid w:val="0"/>
        <w:spacing w:line="440" w:lineRule="exact"/>
        <w:jc w:val="left"/>
        <w:rPr>
          <w:rFonts w:hint="default" w:eastAsia="宋体"/>
          <w:sz w:val="24"/>
          <w:lang w:val="en-US" w:eastAsia="zh-CN"/>
        </w:rPr>
      </w:pPr>
      <w:r>
        <w:rPr>
          <w:rFonts w:hint="eastAsia"/>
          <w:sz w:val="24"/>
        </w:rPr>
        <w:t>十二、国有资本经营预算财政拨款支出决算表</w:t>
      </w:r>
      <w:r>
        <w:tab/>
      </w:r>
      <w:r>
        <w:rPr>
          <w:rFonts w:hint="eastAsia"/>
          <w:lang w:val="en-US" w:eastAsia="zh-CN"/>
        </w:rPr>
        <w:t>33</w:t>
      </w:r>
    </w:p>
    <w:p w14:paraId="35897EAF">
      <w:pPr>
        <w:pStyle w:val="13"/>
        <w:adjustRightInd w:val="0"/>
        <w:snapToGrid w:val="0"/>
        <w:spacing w:line="440" w:lineRule="exact"/>
        <w:jc w:val="left"/>
        <w:rPr>
          <w:rFonts w:hint="default" w:eastAsia="宋体"/>
          <w:sz w:val="24"/>
          <w:lang w:val="en-US" w:eastAsia="zh-CN"/>
        </w:rPr>
      </w:pPr>
      <w:r>
        <w:rPr>
          <w:rFonts w:hint="eastAsia"/>
          <w:sz w:val="24"/>
        </w:rPr>
        <w:t>十三、财政拨款“三公”经费支出决算表</w:t>
      </w:r>
      <w:r>
        <w:tab/>
      </w:r>
      <w:r>
        <w:rPr>
          <w:rFonts w:hint="eastAsia"/>
          <w:lang w:val="en-US" w:eastAsia="zh-CN"/>
        </w:rPr>
        <w:t>34</w:t>
      </w:r>
    </w:p>
    <w:p w14:paraId="74871A98">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251759A2">
      <w:pPr>
        <w:pStyle w:val="3"/>
        <w:jc w:val="center"/>
        <w:rPr>
          <w:rStyle w:val="27"/>
          <w:rFonts w:ascii="黑体" w:hAnsi="黑体" w:eastAsia="黑体"/>
          <w:b/>
          <w:bCs w:val="0"/>
        </w:rPr>
      </w:pPr>
      <w:r>
        <w:rPr>
          <w:rFonts w:hint="eastAsia" w:ascii="黑体" w:hAnsi="黑体" w:eastAsia="黑体"/>
          <w:b w:val="0"/>
        </w:rPr>
        <w:t>第一部分 单位</w:t>
      </w:r>
      <w:r>
        <w:rPr>
          <w:rStyle w:val="27"/>
          <w:rFonts w:hint="eastAsia" w:ascii="黑体" w:hAnsi="黑体" w:eastAsia="黑体"/>
          <w:b w:val="0"/>
          <w:bCs w:val="0"/>
        </w:rPr>
        <w:t>概况</w:t>
      </w:r>
      <w:bookmarkEnd w:id="12"/>
      <w:bookmarkEnd w:id="13"/>
    </w:p>
    <w:p w14:paraId="75BB6C9C">
      <w:pPr>
        <w:widowControl/>
        <w:jc w:val="left"/>
        <w:rPr>
          <w:rFonts w:ascii="黑体" w:eastAsia="黑体"/>
          <w:sz w:val="32"/>
          <w:szCs w:val="32"/>
        </w:rPr>
      </w:pPr>
    </w:p>
    <w:p w14:paraId="7DD294D8">
      <w:pPr>
        <w:pStyle w:val="4"/>
        <w:numPr>
          <w:ilvl w:val="0"/>
          <w:numId w:val="1"/>
        </w:numPr>
        <w:rPr>
          <w:rStyle w:val="28"/>
          <w:rFonts w:ascii="黑体" w:hAnsi="黑体" w:eastAsia="黑体"/>
          <w:b w:val="0"/>
          <w:bCs w:val="0"/>
        </w:rPr>
      </w:pPr>
      <w:bookmarkStart w:id="14" w:name="_Toc15377197"/>
      <w:bookmarkStart w:id="15" w:name="_Toc15396600"/>
      <w:r>
        <w:rPr>
          <w:rStyle w:val="28"/>
          <w:rFonts w:hint="eastAsia" w:ascii="黑体" w:hAnsi="黑体" w:eastAsia="黑体"/>
          <w:b w:val="0"/>
          <w:bCs w:val="0"/>
        </w:rPr>
        <w:t>主要职责</w:t>
      </w:r>
    </w:p>
    <w:p w14:paraId="5EC16B76">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县史志中心贯彻执行中央关于党史工作的方针政策和省委、州委、县委关于党史工作的决策部署，在履行职责过程中坚持和加强党对党史和地方志工作的集中统一领导。主要职责是：</w:t>
      </w:r>
    </w:p>
    <w:p w14:paraId="01AADA99">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（一）贯彻执行党中央、国务院和省、州、县关于党史和地方志工作的方针、政策和</w:t>
      </w:r>
      <w:r>
        <w:rPr>
          <w:rFonts w:hint="eastAsia" w:ascii="仿宋_GB2312" w:hAnsi="仿宋_GB2312" w:eastAsia="仿宋_GB2312" w:cs="仿宋_GB2312"/>
          <w:sz w:val="32"/>
          <w:szCs w:val="40"/>
          <w:lang w:eastAsia="zh-CN"/>
        </w:rPr>
        <w:t>法律法规</w:t>
      </w:r>
      <w:r>
        <w:rPr>
          <w:rFonts w:hint="eastAsia" w:ascii="仿宋_GB2312" w:hAnsi="仿宋_GB2312" w:eastAsia="仿宋_GB2312" w:cs="仿宋_GB2312"/>
          <w:sz w:val="32"/>
          <w:szCs w:val="40"/>
        </w:rPr>
        <w:t>，组织实施协调监督及指导全县党史和地方志工作。拟定全县党史和地方志工作规划和年度计划并组织实施，承担“存史、资治、教化、育人”的重要公共事务管理职能。</w:t>
      </w:r>
    </w:p>
    <w:p w14:paraId="730AC06E">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组织开展中国共产党松潘县历史研究，编写年度历史大事记，旧志整理，承担《中国共产党松潘县历史》《中国共产党松潘县执政实录》《松潘县志》《松潘年鉴》等史志图书的组稿、总纂、上报审定和编辑出版工作，指导各部门及各乡镇开展</w:t>
      </w:r>
    </w:p>
    <w:p w14:paraId="61212428">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部门志和乡镇志、村志、年鉴的编纂工作。</w:t>
      </w:r>
    </w:p>
    <w:p w14:paraId="6BC35561">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（三）推动党史成果转化，进行党史、革命史、地情的宣传教育；负责全县党史系统干部培训工作；组织党史工作及口述历史工作经验交流。</w:t>
      </w:r>
    </w:p>
    <w:p w14:paraId="47BDB3AD">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（四）负责征集、抢救、整理、编纂全县重要党史资料，搜集、保存、研究地方志文献及其他地情资料；组织开发利用党史、地方志信息资源，推动党史、地方志成果转化。</w:t>
      </w:r>
    </w:p>
    <w:p w14:paraId="61D7E640">
      <w:pPr>
        <w:ind w:left="0" w:leftChars="0"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（五）负责全县重大党史题材的展览宣传，运用党史、地方志资料进行宣传教育，为社会各界提供宣传教育服务。</w:t>
      </w:r>
    </w:p>
    <w:p w14:paraId="3451E3C8">
      <w:pPr>
        <w:ind w:left="0" w:leftChars="0" w:firstLine="640" w:firstLineChars="200"/>
      </w:pPr>
      <w:r>
        <w:rPr>
          <w:rFonts w:hint="eastAsia" w:ascii="仿宋_GB2312" w:hAnsi="仿宋_GB2312" w:eastAsia="仿宋_GB2312" w:cs="仿宋_GB2312"/>
          <w:sz w:val="32"/>
          <w:szCs w:val="40"/>
        </w:rPr>
        <w:t>（六）完成县委、县政府交办的其他工作。</w:t>
      </w:r>
    </w:p>
    <w:p w14:paraId="0A44CD52">
      <w:pPr>
        <w:pStyle w:val="4"/>
        <w:rPr>
          <w:rFonts w:hint="eastAsia" w:ascii="黑体" w:hAnsi="黑体" w:eastAsia="黑体"/>
          <w:b w:val="0"/>
        </w:rPr>
      </w:pPr>
      <w:r>
        <w:rPr>
          <w:rFonts w:hint="eastAsia" w:ascii="黑体" w:hAnsi="黑体" w:eastAsia="黑体"/>
          <w:b w:val="0"/>
        </w:rPr>
        <w:t>二、机构设置</w:t>
      </w:r>
    </w:p>
    <w:p w14:paraId="655AF0DC">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松潘县党史和地方志编纂中心（简称县史志中心）是县委直属事业单位，为正科级，保留参公管理。</w:t>
      </w:r>
    </w:p>
    <w:p w14:paraId="150066F7">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县史志中心设下列内设机构：</w:t>
      </w:r>
    </w:p>
    <w:p w14:paraId="19EFC690">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综合股。承担综合协调日常事务，协调处理本单位日常事务，机关综合性工作；负责文电、会议、机要、保密、信访、工会、妇儿、目标管理和内部督查工作；负责档案保管工作；负责人事、劳资、离退休人员管理服务工作；负责财务、社会保险、国有资产管理、计划生育、行政后勤等工作；负责机关党风廉政建设和精神文明建设工作；贯彻执行国家和省、州有关地方志工作法规、规章；参与行政复议、行政诉讼相关工作；负责法律顾问工作，完成领导交办的其他工作。</w:t>
      </w:r>
    </w:p>
    <w:p w14:paraId="1B006FC9">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（二）党史股。负责拟定全县党史编研规划、工作计划及实</w:t>
      </w:r>
    </w:p>
    <w:p w14:paraId="05572A4C">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施意见并组织实施；负责中国共产党松潘县历史专题研究、党史基本著作编印出版和口述历史工作；负责地方重要党史资料征集、整理和编纂工作，编写年度历史大事记；负责全县重大党史题材的展览宣传，运用党史资料进行宣传教育，承担全县党史知识、党史业务培训工作；负责开发利用党史资源，推动党史成果转化；完成领导交办的其他工作。</w:t>
      </w:r>
    </w:p>
    <w:p w14:paraId="4BAF28BE">
      <w:pPr>
        <w:ind w:left="0" w:leftChars="0" w:firstLine="972" w:firstLine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地方志股。负责拟定全县地方志编修规划、工作计划及实施意见并组织实施；负责《松潘县志》《松潘县年鉴》等志书的组稿、总纂、上报审定和编辑出版工作；负责各类地情资料的收集、整理、科学管理，为党政机关和社会各界提供咨询服务；负责指导、督促县级部门志、专志、乡（镇）志、村志书编修工作；负责旧志整理和全县志书、年鉴等业务培训工作；负责开发利用地方志信息资源，推动地方志成果转化；完成领导交办的其他工作。</w:t>
      </w:r>
    </w:p>
    <w:p w14:paraId="6D4B7344"/>
    <w:bookmarkEnd w:id="14"/>
    <w:bookmarkEnd w:id="15"/>
    <w:p w14:paraId="12FF3595">
      <w:pPr>
        <w:widowControl/>
        <w:jc w:val="left"/>
        <w:rPr>
          <w:rFonts w:ascii="仿宋" w:hAnsi="仿宋" w:eastAsia="仿宋"/>
          <w:kern w:val="0"/>
          <w:sz w:val="32"/>
          <w:szCs w:val="32"/>
        </w:rPr>
      </w:pPr>
      <w:r>
        <w:rPr>
          <w:rFonts w:ascii="仿宋" w:hAnsi="仿宋" w:eastAsia="仿宋"/>
          <w:sz w:val="32"/>
          <w:szCs w:val="32"/>
        </w:rPr>
        <w:br w:type="page"/>
      </w:r>
    </w:p>
    <w:p w14:paraId="720114E1">
      <w:pPr>
        <w:pStyle w:val="3"/>
        <w:ind w:right="440"/>
        <w:jc w:val="center"/>
        <w:rPr>
          <w:rStyle w:val="27"/>
          <w:rFonts w:ascii="黑体" w:hAnsi="黑体" w:eastAsia="黑体"/>
          <w:b w:val="0"/>
          <w:bCs/>
        </w:rPr>
      </w:pPr>
      <w:bookmarkStart w:id="16" w:name="_Toc15396602"/>
      <w:bookmarkStart w:id="17" w:name="_Toc15377204"/>
      <w:r>
        <w:rPr>
          <w:rFonts w:hint="eastAsia" w:ascii="黑体" w:hAnsi="黑体" w:eastAsia="黑体"/>
          <w:b w:val="0"/>
        </w:rPr>
        <w:t>第二部分 2023年度</w:t>
      </w:r>
      <w:r>
        <w:rPr>
          <w:rStyle w:val="27"/>
          <w:rFonts w:hint="eastAsia" w:ascii="黑体" w:hAnsi="黑体" w:eastAsia="黑体"/>
          <w:b w:val="0"/>
          <w:bCs/>
        </w:rPr>
        <w:t>单位决算情况说明</w:t>
      </w:r>
      <w:bookmarkEnd w:id="16"/>
      <w:bookmarkEnd w:id="17"/>
    </w:p>
    <w:p w14:paraId="7CD7F990"/>
    <w:p w14:paraId="29CA4B1B">
      <w:pPr>
        <w:pStyle w:val="26"/>
        <w:numPr>
          <w:ilvl w:val="0"/>
          <w:numId w:val="2"/>
        </w:numPr>
        <w:spacing w:line="600" w:lineRule="exact"/>
        <w:ind w:firstLineChars="0"/>
        <w:outlineLvl w:val="1"/>
        <w:rPr>
          <w:rStyle w:val="28"/>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28"/>
          <w:rFonts w:hint="eastAsia" w:ascii="黑体" w:hAnsi="黑体" w:eastAsia="黑体"/>
          <w:b w:val="0"/>
        </w:rPr>
        <w:t>入支出决算总体情况说明</w:t>
      </w:r>
      <w:bookmarkEnd w:id="18"/>
      <w:bookmarkEnd w:id="19"/>
    </w:p>
    <w:p w14:paraId="08DC0404">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2023年度收、支总计均为</w:t>
      </w:r>
      <w:r>
        <w:rPr>
          <w:rFonts w:hint="eastAsia" w:ascii="仿宋" w:hAnsi="仿宋" w:eastAsia="仿宋"/>
          <w:b/>
          <w:sz w:val="32"/>
          <w:szCs w:val="32"/>
        </w:rPr>
        <w:t>158.96</w:t>
      </w:r>
      <w:r>
        <w:rPr>
          <w:rFonts w:hint="eastAsia" w:ascii="仿宋" w:hAnsi="仿宋" w:eastAsia="仿宋"/>
          <w:sz w:val="32"/>
          <w:szCs w:val="32"/>
        </w:rPr>
        <w:t>万元。与2022年度相比，收、支总计各减少</w:t>
      </w:r>
      <w:r>
        <w:rPr>
          <w:rFonts w:hint="eastAsia" w:ascii="仿宋" w:hAnsi="仿宋" w:eastAsia="仿宋"/>
          <w:sz w:val="32"/>
          <w:szCs w:val="32"/>
          <w:lang w:val="en-US" w:eastAsia="zh-CN"/>
        </w:rPr>
        <w:t>33.69</w:t>
      </w:r>
      <w:r>
        <w:rPr>
          <w:rFonts w:hint="eastAsia" w:ascii="仿宋" w:hAnsi="仿宋" w:eastAsia="仿宋"/>
          <w:sz w:val="32"/>
          <w:szCs w:val="32"/>
        </w:rPr>
        <w:t>万元，下降</w:t>
      </w:r>
      <w:r>
        <w:rPr>
          <w:rFonts w:hint="eastAsia" w:ascii="仿宋" w:hAnsi="仿宋" w:eastAsia="仿宋"/>
          <w:sz w:val="32"/>
          <w:szCs w:val="32"/>
          <w:lang w:val="en-US" w:eastAsia="zh-CN"/>
        </w:rPr>
        <w:t>21.19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上年存量资金未纳入决算</w:t>
      </w:r>
      <w:r>
        <w:rPr>
          <w:rFonts w:hint="eastAsia" w:ascii="仿宋" w:hAnsi="仿宋" w:eastAsia="仿宋"/>
          <w:sz w:val="32"/>
          <w:szCs w:val="32"/>
        </w:rPr>
        <w:t>。</w:t>
      </w:r>
    </w:p>
    <w:p w14:paraId="3899E57E">
      <w:pPr>
        <w:pStyle w:val="2"/>
        <w:rPr>
          <w:rFonts w:hint="eastAsia" w:eastAsia="黑体"/>
          <w:lang w:eastAsia="zh-CN"/>
        </w:rPr>
      </w:pPr>
      <w:r>
        <w:rPr>
          <w:rFonts w:hint="eastAsia" w:eastAsia="黑体"/>
          <w:lang w:eastAsia="zh-CN"/>
        </w:rPr>
        <w:drawing>
          <wp:inline distT="0" distB="0" distL="114300" distR="114300">
            <wp:extent cx="4584065" cy="2755265"/>
            <wp:effectExtent l="0" t="0" r="698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0"/>
                    <a:stretch>
                      <a:fillRect/>
                    </a:stretch>
                  </pic:blipFill>
                  <pic:spPr>
                    <a:xfrm>
                      <a:off x="0" y="0"/>
                      <a:ext cx="4584065" cy="2755265"/>
                    </a:xfrm>
                    <a:prstGeom prst="rect">
                      <a:avLst/>
                    </a:prstGeom>
                  </pic:spPr>
                </pic:pic>
              </a:graphicData>
            </a:graphic>
          </wp:inline>
        </w:drawing>
      </w:r>
    </w:p>
    <w:p w14:paraId="31C97AA7">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2000A2A8">
      <w:pPr>
        <w:spacing w:line="600" w:lineRule="exact"/>
        <w:ind w:firstLine="640" w:firstLineChars="200"/>
        <w:jc w:val="left"/>
        <w:rPr>
          <w:rFonts w:ascii="仿宋_GB2312" w:eastAsia="仿宋_GB2312"/>
          <w:sz w:val="32"/>
          <w:szCs w:val="32"/>
        </w:rPr>
      </w:pPr>
    </w:p>
    <w:p w14:paraId="7D60F41B">
      <w:pPr>
        <w:pStyle w:val="26"/>
        <w:numPr>
          <w:ilvl w:val="0"/>
          <w:numId w:val="2"/>
        </w:numPr>
        <w:spacing w:line="600" w:lineRule="exact"/>
        <w:ind w:firstLineChars="0"/>
        <w:outlineLvl w:val="1"/>
        <w:rPr>
          <w:rStyle w:val="28"/>
          <w:rFonts w:ascii="黑体" w:hAnsi="黑体" w:eastAsia="黑体"/>
          <w:b w:val="0"/>
        </w:rPr>
      </w:pPr>
      <w:r>
        <w:rPr>
          <w:rFonts w:hint="eastAsia" w:ascii="黑体" w:hAnsi="黑体" w:eastAsia="黑体"/>
          <w:sz w:val="32"/>
          <w:szCs w:val="32"/>
        </w:rPr>
        <w:t>收</w:t>
      </w:r>
      <w:r>
        <w:rPr>
          <w:rStyle w:val="28"/>
          <w:rFonts w:hint="eastAsia" w:ascii="黑体" w:hAnsi="黑体" w:eastAsia="黑体"/>
          <w:b w:val="0"/>
        </w:rPr>
        <w:t>入决算情况说明</w:t>
      </w:r>
    </w:p>
    <w:p w14:paraId="71AF1A5C">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2023年度本年收入合计</w:t>
      </w:r>
      <w:r>
        <w:rPr>
          <w:rFonts w:ascii="仿宋" w:hAnsi="仿宋" w:eastAsia="仿宋"/>
          <w:b/>
          <w:sz w:val="32"/>
          <w:szCs w:val="32"/>
        </w:rPr>
        <w:t>125.12</w:t>
      </w:r>
      <w:r>
        <w:rPr>
          <w:rFonts w:hint="eastAsia" w:ascii="仿宋" w:hAnsi="仿宋" w:eastAsia="仿宋"/>
          <w:sz w:val="32"/>
          <w:szCs w:val="32"/>
        </w:rPr>
        <w:t>万元，其中：一般公共预算财政拨款收入</w:t>
      </w:r>
      <w:r>
        <w:rPr>
          <w:rFonts w:ascii="仿宋" w:hAnsi="仿宋" w:eastAsia="仿宋"/>
          <w:b/>
          <w:sz w:val="32"/>
          <w:szCs w:val="32"/>
        </w:rPr>
        <w:t>125.12</w:t>
      </w:r>
      <w:r>
        <w:rPr>
          <w:rFonts w:hint="eastAsia" w:ascii="仿宋" w:hAnsi="仿宋" w:eastAsia="仿宋"/>
          <w:sz w:val="32"/>
          <w:szCs w:val="32"/>
        </w:rPr>
        <w:t>万元，占</w:t>
      </w:r>
      <w:r>
        <w:rPr>
          <w:rFonts w:ascii="仿宋" w:hAnsi="仿宋" w:eastAsia="仿宋"/>
          <w:b/>
          <w:sz w:val="32"/>
          <w:szCs w:val="32"/>
        </w:rPr>
        <w:t>100%</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p>
    <w:p w14:paraId="6E78E47B">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，仅罗列本单位涉及的收入。</w:t>
      </w:r>
      <w:r>
        <w:rPr>
          <w:rFonts w:ascii="仿宋" w:hAnsi="仿宋" w:eastAsia="仿宋"/>
          <w:b/>
          <w:sz w:val="32"/>
          <w:szCs w:val="32"/>
        </w:rPr>
        <w:t>）</w:t>
      </w:r>
    </w:p>
    <w:p w14:paraId="428E54F9">
      <w:pPr>
        <w:spacing w:line="600" w:lineRule="exact"/>
        <w:ind w:firstLine="640" w:firstLineChars="200"/>
        <w:outlineLvl w:val="1"/>
        <w:rPr>
          <w:rFonts w:ascii="仿宋" w:hAnsi="仿宋" w:eastAsia="仿宋"/>
          <w:sz w:val="32"/>
          <w:szCs w:val="32"/>
        </w:rPr>
      </w:pPr>
    </w:p>
    <w:p w14:paraId="228E68D0">
      <w:pPr>
        <w:spacing w:line="24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1"/>
                    <a:stretch>
                      <a:fillRect/>
                    </a:stretch>
                  </pic:blipFill>
                  <pic:spPr>
                    <a:xfrm>
                      <a:off x="0" y="0"/>
                      <a:ext cx="4584065" cy="2755265"/>
                    </a:xfrm>
                    <a:prstGeom prst="rect">
                      <a:avLst/>
                    </a:prstGeom>
                  </pic:spPr>
                </pic:pic>
              </a:graphicData>
            </a:graphic>
          </wp:inline>
        </w:drawing>
      </w:r>
    </w:p>
    <w:p w14:paraId="6C6471EC">
      <w:pPr>
        <w:spacing w:line="600" w:lineRule="exact"/>
        <w:ind w:firstLine="640" w:firstLineChars="200"/>
        <w:rPr>
          <w:rFonts w:ascii="仿宋_GB2312" w:eastAsia="仿宋_GB2312"/>
          <w:sz w:val="32"/>
          <w:szCs w:val="32"/>
        </w:rPr>
      </w:pPr>
      <w:r>
        <w:rPr>
          <w:rFonts w:hint="eastAsia" w:ascii="仿宋" w:hAnsi="仿宋" w:eastAsia="仿宋"/>
          <w:sz w:val="32"/>
          <w:szCs w:val="32"/>
        </w:rPr>
        <w:t>（图2：收入决算结构图）（饼状图）</w:t>
      </w:r>
    </w:p>
    <w:p w14:paraId="0C7E3754">
      <w:pPr>
        <w:pStyle w:val="26"/>
        <w:numPr>
          <w:ilvl w:val="0"/>
          <w:numId w:val="2"/>
        </w:numPr>
        <w:spacing w:line="600" w:lineRule="exact"/>
        <w:ind w:firstLineChars="0"/>
        <w:outlineLvl w:val="1"/>
        <w:rPr>
          <w:rStyle w:val="28"/>
          <w:rFonts w:ascii="黑体" w:hAnsi="黑体" w:eastAsia="黑体"/>
          <w:b w:val="0"/>
        </w:rPr>
      </w:pPr>
      <w:r>
        <w:rPr>
          <w:rFonts w:hint="eastAsia" w:ascii="黑体" w:hAnsi="黑体" w:eastAsia="黑体"/>
          <w:sz w:val="32"/>
          <w:szCs w:val="32"/>
        </w:rPr>
        <w:t>支</w:t>
      </w:r>
      <w:r>
        <w:rPr>
          <w:rStyle w:val="28"/>
          <w:rFonts w:hint="eastAsia" w:ascii="黑体" w:hAnsi="黑体" w:eastAsia="黑体"/>
          <w:b w:val="0"/>
        </w:rPr>
        <w:t>出决算情况说明</w:t>
      </w:r>
    </w:p>
    <w:p w14:paraId="56C0BA09">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158.96</w:t>
      </w:r>
      <w:r>
        <w:rPr>
          <w:rFonts w:hint="eastAsia" w:ascii="仿宋" w:hAnsi="仿宋" w:eastAsia="仿宋"/>
          <w:sz w:val="32"/>
          <w:szCs w:val="32"/>
        </w:rPr>
        <w:t>万元，其中：基本支出</w:t>
      </w:r>
      <w:r>
        <w:rPr>
          <w:rFonts w:ascii="仿宋" w:hAnsi="仿宋" w:eastAsia="仿宋"/>
          <w:b/>
          <w:sz w:val="32"/>
          <w:szCs w:val="32"/>
        </w:rPr>
        <w:t>119.42</w:t>
      </w:r>
      <w:r>
        <w:rPr>
          <w:rFonts w:hint="eastAsia" w:ascii="仿宋" w:hAnsi="仿宋" w:eastAsia="仿宋"/>
          <w:sz w:val="32"/>
          <w:szCs w:val="32"/>
        </w:rPr>
        <w:t>万元，占</w:t>
      </w:r>
      <w:r>
        <w:rPr>
          <w:rFonts w:ascii="仿宋" w:hAnsi="仿宋" w:eastAsia="仿宋"/>
          <w:b/>
          <w:sz w:val="32"/>
          <w:szCs w:val="32"/>
        </w:rPr>
        <w:t>75.12</w:t>
      </w:r>
      <w:r>
        <w:rPr>
          <w:rFonts w:ascii="仿宋" w:hAnsi="仿宋" w:eastAsia="仿宋"/>
          <w:sz w:val="32"/>
          <w:szCs w:val="32"/>
        </w:rPr>
        <w:t>%</w:t>
      </w:r>
      <w:r>
        <w:rPr>
          <w:rFonts w:hint="eastAsia" w:ascii="仿宋" w:hAnsi="仿宋" w:eastAsia="仿宋"/>
          <w:sz w:val="32"/>
          <w:szCs w:val="32"/>
        </w:rPr>
        <w:t>；项目</w:t>
      </w:r>
      <w:bookmarkStart w:id="48" w:name="_GoBack"/>
      <w:bookmarkEnd w:id="48"/>
      <w:r>
        <w:rPr>
          <w:rFonts w:hint="eastAsia" w:ascii="仿宋" w:hAnsi="仿宋" w:eastAsia="仿宋"/>
          <w:sz w:val="32"/>
          <w:szCs w:val="32"/>
        </w:rPr>
        <w:t>支出</w:t>
      </w:r>
      <w:r>
        <w:rPr>
          <w:rFonts w:ascii="仿宋" w:hAnsi="仿宋" w:eastAsia="仿宋"/>
          <w:b/>
          <w:sz w:val="32"/>
          <w:szCs w:val="32"/>
        </w:rPr>
        <w:t>39.54</w:t>
      </w:r>
      <w:r>
        <w:rPr>
          <w:rFonts w:hint="eastAsia" w:ascii="仿宋" w:hAnsi="仿宋" w:eastAsia="仿宋"/>
          <w:sz w:val="32"/>
          <w:szCs w:val="32"/>
        </w:rPr>
        <w:t>万元，占</w:t>
      </w:r>
      <w:r>
        <w:rPr>
          <w:rFonts w:ascii="仿宋" w:hAnsi="仿宋" w:eastAsia="仿宋"/>
          <w:b/>
          <w:sz w:val="32"/>
          <w:szCs w:val="32"/>
        </w:rPr>
        <w:t>24.87</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2E076E77">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表，仅罗列本单位涉及的支出。）</w:t>
      </w:r>
    </w:p>
    <w:p w14:paraId="60C0426C">
      <w:pPr>
        <w:spacing w:line="240" w:lineRule="auto"/>
        <w:ind w:firstLine="640"/>
        <w:rPr>
          <w:rFonts w:hint="eastAsia" w:ascii="仿宋" w:hAnsi="仿宋" w:eastAsia="仿宋"/>
          <w:sz w:val="32"/>
          <w:szCs w:val="32"/>
          <w:shd w:val="pct10" w:color="auto" w:fill="FFFFFF"/>
          <w:lang w:eastAsia="zh-CN"/>
        </w:rPr>
      </w:pPr>
      <w:r>
        <w:rPr>
          <w:rFonts w:hint="eastAsia" w:ascii="仿宋" w:hAnsi="仿宋" w:eastAsia="仿宋"/>
          <w:sz w:val="32"/>
          <w:szCs w:val="32"/>
          <w:shd w:val="pct10" w:color="auto" w:fill="FFFFFF"/>
          <w:lang w:eastAsia="zh-CN"/>
        </w:rPr>
        <w:drawing>
          <wp:inline distT="0" distB="0" distL="114300" distR="114300">
            <wp:extent cx="4584065" cy="2755265"/>
            <wp:effectExtent l="0" t="0" r="6985" b="698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2"/>
                    <a:stretch>
                      <a:fillRect/>
                    </a:stretch>
                  </pic:blipFill>
                  <pic:spPr>
                    <a:xfrm>
                      <a:off x="0" y="0"/>
                      <a:ext cx="4584065" cy="2755265"/>
                    </a:xfrm>
                    <a:prstGeom prst="rect">
                      <a:avLst/>
                    </a:prstGeom>
                  </pic:spPr>
                </pic:pic>
              </a:graphicData>
            </a:graphic>
          </wp:inline>
        </w:drawing>
      </w:r>
    </w:p>
    <w:p w14:paraId="1ADF68A2">
      <w:pPr>
        <w:spacing w:line="600" w:lineRule="exact"/>
        <w:ind w:firstLine="640" w:firstLineChars="200"/>
        <w:rPr>
          <w:rFonts w:ascii="仿宋_GB2312" w:eastAsia="仿宋_GB2312"/>
          <w:sz w:val="32"/>
          <w:szCs w:val="32"/>
        </w:rPr>
      </w:pPr>
      <w:r>
        <w:rPr>
          <w:rFonts w:hint="eastAsia" w:ascii="仿宋" w:hAnsi="仿宋" w:eastAsia="仿宋"/>
          <w:sz w:val="32"/>
          <w:szCs w:val="32"/>
        </w:rPr>
        <w:t>（图3：支出决算结构图）（饼状图）</w:t>
      </w:r>
    </w:p>
    <w:p w14:paraId="7C2CA319">
      <w:pPr>
        <w:spacing w:line="600" w:lineRule="exact"/>
        <w:ind w:firstLine="640" w:firstLineChars="200"/>
        <w:outlineLvl w:val="1"/>
        <w:rPr>
          <w:rStyle w:val="28"/>
          <w:rFonts w:ascii="黑体" w:hAnsi="黑体" w:eastAsia="黑体"/>
          <w:b w:val="0"/>
        </w:rPr>
      </w:pPr>
      <w:r>
        <w:rPr>
          <w:rFonts w:hint="eastAsia" w:ascii="黑体" w:hAnsi="黑体" w:eastAsia="黑体"/>
          <w:sz w:val="32"/>
          <w:szCs w:val="32"/>
        </w:rPr>
        <w:t>四、财</w:t>
      </w:r>
      <w:r>
        <w:rPr>
          <w:rStyle w:val="28"/>
          <w:rFonts w:hint="eastAsia" w:ascii="黑体" w:hAnsi="黑体" w:eastAsia="黑体"/>
          <w:b w:val="0"/>
        </w:rPr>
        <w:t>政拨款收入支出决算总体情况说明</w:t>
      </w:r>
    </w:p>
    <w:p w14:paraId="00693F8F">
      <w:pPr>
        <w:spacing w:line="600" w:lineRule="exact"/>
        <w:ind w:firstLine="640"/>
        <w:rPr>
          <w:rFonts w:ascii="仿宋" w:hAnsi="仿宋" w:eastAsia="仿宋"/>
          <w:b/>
          <w:sz w:val="32"/>
          <w:szCs w:val="32"/>
        </w:rPr>
      </w:pPr>
      <w:r>
        <w:rPr>
          <w:rFonts w:hint="eastAsia" w:ascii="仿宋" w:hAnsi="仿宋" w:eastAsia="仿宋"/>
          <w:sz w:val="32"/>
          <w:szCs w:val="32"/>
        </w:rPr>
        <w:t>2023年度财政拨款收、支总计均为</w:t>
      </w:r>
      <w:r>
        <w:rPr>
          <w:rFonts w:ascii="仿宋" w:hAnsi="仿宋" w:eastAsia="仿宋"/>
          <w:b/>
          <w:sz w:val="32"/>
          <w:szCs w:val="32"/>
        </w:rPr>
        <w:t>158.96</w:t>
      </w:r>
      <w:r>
        <w:rPr>
          <w:rFonts w:hint="eastAsia" w:ascii="仿宋" w:hAnsi="仿宋" w:eastAsia="仿宋"/>
          <w:sz w:val="32"/>
          <w:szCs w:val="32"/>
        </w:rPr>
        <w:t>万元。与2022年度相比，财政拨款收、支总计减少</w:t>
      </w:r>
      <w:r>
        <w:rPr>
          <w:rFonts w:hint="eastAsia" w:ascii="仿宋" w:hAnsi="仿宋" w:eastAsia="仿宋"/>
          <w:sz w:val="32"/>
          <w:szCs w:val="32"/>
          <w:lang w:val="en-US" w:eastAsia="zh-CN"/>
        </w:rPr>
        <w:t>33.69</w:t>
      </w:r>
      <w:r>
        <w:rPr>
          <w:rFonts w:hint="eastAsia" w:ascii="仿宋" w:hAnsi="仿宋" w:eastAsia="仿宋"/>
          <w:sz w:val="32"/>
          <w:szCs w:val="32"/>
        </w:rPr>
        <w:t>万元，下降</w:t>
      </w:r>
      <w:r>
        <w:rPr>
          <w:rFonts w:hint="eastAsia" w:ascii="仿宋" w:hAnsi="仿宋" w:eastAsia="仿宋"/>
          <w:sz w:val="32"/>
          <w:szCs w:val="32"/>
          <w:lang w:val="en-US" w:eastAsia="zh-CN"/>
        </w:rPr>
        <w:t>21.19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上年存量资金未纳入决算</w:t>
      </w:r>
      <w:r>
        <w:rPr>
          <w:rFonts w:hint="eastAsia" w:ascii="仿宋" w:hAnsi="仿宋" w:eastAsia="仿宋"/>
          <w:sz w:val="32"/>
          <w:szCs w:val="32"/>
        </w:rPr>
        <w:t>。</w:t>
      </w: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35F3C4CA">
      <w:pPr>
        <w:pStyle w:val="2"/>
        <w:rPr>
          <w:rFonts w:ascii="仿宋" w:hAnsi="仿宋" w:eastAsia="仿宋"/>
          <w:sz w:val="32"/>
          <w:szCs w:val="32"/>
        </w:rPr>
      </w:pPr>
      <w:r>
        <w:rPr>
          <w:rFonts w:hint="eastAsia" w:eastAsia="仿宋"/>
          <w:lang w:eastAsia="zh-CN"/>
        </w:rPr>
        <w:drawing>
          <wp:inline distT="0" distB="0" distL="114300" distR="114300">
            <wp:extent cx="4584065" cy="2755265"/>
            <wp:effectExtent l="0" t="0" r="6985" b="698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0"/>
                    <a:stretch>
                      <a:fillRect/>
                    </a:stretch>
                  </pic:blipFill>
                  <pic:spPr>
                    <a:xfrm>
                      <a:off x="0" y="0"/>
                      <a:ext cx="4584065" cy="2755265"/>
                    </a:xfrm>
                    <a:prstGeom prst="rect">
                      <a:avLst/>
                    </a:prstGeom>
                  </pic:spPr>
                </pic:pic>
              </a:graphicData>
            </a:graphic>
          </wp:inline>
        </w:drawing>
      </w:r>
    </w:p>
    <w:p w14:paraId="7C0B2051">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1A7579C4">
      <w:pPr>
        <w:spacing w:line="600" w:lineRule="exact"/>
        <w:ind w:firstLine="640" w:firstLineChars="200"/>
        <w:outlineLvl w:val="1"/>
        <w:rPr>
          <w:rStyle w:val="28"/>
          <w:rFonts w:ascii="黑体" w:hAnsi="黑体" w:eastAsia="黑体"/>
          <w:b w:val="0"/>
        </w:rPr>
      </w:pPr>
      <w:bookmarkStart w:id="20" w:name="_Toc15396607"/>
      <w:bookmarkStart w:id="21" w:name="_Toc15377209"/>
      <w:r>
        <w:rPr>
          <w:rFonts w:hint="eastAsia" w:ascii="黑体" w:hAnsi="黑体" w:eastAsia="黑体"/>
          <w:sz w:val="32"/>
          <w:szCs w:val="32"/>
        </w:rPr>
        <w:t>五、</w:t>
      </w:r>
      <w:r>
        <w:rPr>
          <w:rFonts w:hint="eastAsia" w:ascii="黑体" w:hAnsi="黑体" w:eastAsia="黑体"/>
          <w:b/>
          <w:sz w:val="32"/>
          <w:szCs w:val="32"/>
        </w:rPr>
        <w:t>一</w:t>
      </w:r>
      <w:r>
        <w:rPr>
          <w:rStyle w:val="28"/>
          <w:rFonts w:hint="eastAsia" w:ascii="黑体" w:hAnsi="黑体" w:eastAsia="黑体"/>
          <w:b w:val="0"/>
        </w:rPr>
        <w:t>般公共预算财政拨款支出决算情况说明</w:t>
      </w:r>
      <w:bookmarkEnd w:id="20"/>
      <w:bookmarkEnd w:id="21"/>
    </w:p>
    <w:p w14:paraId="084ABA16">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2023年度一般公共预算财政拨款支出</w:t>
      </w:r>
      <w:r>
        <w:rPr>
          <w:sz w:val="32"/>
          <w:szCs w:val="32"/>
        </w:rPr>
        <w:t>158.96</w:t>
      </w:r>
      <w:r>
        <w:rPr>
          <w:rFonts w:hint="eastAsia" w:ascii="仿宋" w:hAnsi="仿宋" w:eastAsia="仿宋"/>
          <w:sz w:val="32"/>
          <w:szCs w:val="32"/>
        </w:rPr>
        <w:t>万元，占本年支出合计的</w:t>
      </w:r>
      <w:r>
        <w:rPr>
          <w:sz w:val="32"/>
          <w:szCs w:val="32"/>
        </w:rPr>
        <w:t>100</w:t>
      </w:r>
      <w:r>
        <w:rPr>
          <w:rFonts w:ascii="仿宋" w:hAnsi="仿宋" w:eastAsia="仿宋"/>
          <w:sz w:val="32"/>
          <w:szCs w:val="32"/>
        </w:rPr>
        <w:t>%</w:t>
      </w:r>
      <w:r>
        <w:rPr>
          <w:rFonts w:hint="eastAsia" w:ascii="仿宋" w:hAnsi="仿宋" w:eastAsia="仿宋"/>
          <w:sz w:val="32"/>
          <w:szCs w:val="32"/>
        </w:rPr>
        <w:t>。与2022年度相比，一般公共预算财政拨款支出减少</w:t>
      </w:r>
      <w:r>
        <w:rPr>
          <w:rFonts w:hint="eastAsia" w:ascii="仿宋" w:hAnsi="仿宋" w:eastAsia="仿宋"/>
          <w:sz w:val="32"/>
          <w:szCs w:val="32"/>
          <w:lang w:val="en-US" w:eastAsia="zh-CN"/>
        </w:rPr>
        <w:t>33.69</w:t>
      </w:r>
      <w:r>
        <w:rPr>
          <w:rFonts w:hint="eastAsia" w:ascii="仿宋" w:hAnsi="仿宋" w:eastAsia="仿宋"/>
          <w:sz w:val="32"/>
          <w:szCs w:val="32"/>
        </w:rPr>
        <w:t>万元，下降</w:t>
      </w:r>
      <w:r>
        <w:rPr>
          <w:rFonts w:hint="eastAsia" w:ascii="仿宋" w:hAnsi="仿宋" w:eastAsia="仿宋"/>
          <w:sz w:val="32"/>
          <w:szCs w:val="32"/>
          <w:lang w:val="en-US" w:eastAsia="zh-CN"/>
        </w:rPr>
        <w:t>21.19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上年存量资金未纳入决算</w:t>
      </w:r>
      <w:r>
        <w:rPr>
          <w:rFonts w:hint="eastAsia" w:ascii="仿宋" w:hAnsi="仿宋" w:eastAsia="仿宋"/>
          <w:sz w:val="32"/>
          <w:szCs w:val="32"/>
        </w:rPr>
        <w:t>。</w:t>
      </w:r>
    </w:p>
    <w:p w14:paraId="0C01C2BA">
      <w:pPr>
        <w:spacing w:line="24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13"/>
                    <a:stretch>
                      <a:fillRect/>
                    </a:stretch>
                  </pic:blipFill>
                  <pic:spPr>
                    <a:xfrm>
                      <a:off x="0" y="0"/>
                      <a:ext cx="4584065" cy="2755265"/>
                    </a:xfrm>
                    <a:prstGeom prst="rect">
                      <a:avLst/>
                    </a:prstGeom>
                  </pic:spPr>
                </pic:pic>
              </a:graphicData>
            </a:graphic>
          </wp:inline>
        </w:drawing>
      </w:r>
    </w:p>
    <w:p w14:paraId="148094E1">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241C95F0">
      <w:pPr>
        <w:spacing w:line="600" w:lineRule="exact"/>
        <w:ind w:firstLine="640" w:firstLineChars="200"/>
        <w:rPr>
          <w:rFonts w:ascii="仿宋" w:hAnsi="仿宋" w:eastAsia="仿宋"/>
          <w:sz w:val="32"/>
          <w:szCs w:val="32"/>
        </w:rPr>
      </w:pPr>
    </w:p>
    <w:p w14:paraId="4009D395">
      <w:pPr>
        <w:spacing w:line="600" w:lineRule="exact"/>
        <w:ind w:firstLine="643" w:firstLineChars="200"/>
        <w:outlineLvl w:val="2"/>
        <w:rPr>
          <w:rFonts w:ascii="仿宋" w:hAnsi="仿宋" w:eastAsia="仿宋"/>
          <w:b/>
          <w:sz w:val="32"/>
          <w:szCs w:val="32"/>
        </w:rPr>
      </w:pPr>
      <w:bookmarkStart w:id="22" w:name="_Toc15377211"/>
      <w:r>
        <w:rPr>
          <w:rFonts w:hint="eastAsia" w:ascii="仿宋" w:hAnsi="仿宋" w:eastAsia="仿宋"/>
          <w:b/>
          <w:sz w:val="32"/>
          <w:szCs w:val="32"/>
        </w:rPr>
        <w:t>（二）一般公共预算财政拨款支出决算结构情况</w:t>
      </w:r>
      <w:bookmarkEnd w:id="22"/>
    </w:p>
    <w:p w14:paraId="030F2806">
      <w:pPr>
        <w:spacing w:line="600" w:lineRule="exact"/>
        <w:ind w:firstLine="640"/>
        <w:rPr>
          <w:rFonts w:ascii="仿宋" w:hAnsi="仿宋" w:eastAsia="仿宋"/>
          <w:b/>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158.96</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sz w:val="32"/>
          <w:szCs w:val="32"/>
          <w:lang w:val="en-US" w:eastAsia="zh-CN"/>
        </w:rPr>
        <w:t>127.96</w:t>
      </w:r>
      <w:r>
        <w:rPr>
          <w:rFonts w:hint="eastAsia" w:ascii="仿宋" w:hAnsi="仿宋" w:eastAsia="仿宋"/>
          <w:sz w:val="32"/>
          <w:szCs w:val="32"/>
        </w:rPr>
        <w:t>万元，占</w:t>
      </w:r>
      <w:r>
        <w:rPr>
          <w:rFonts w:hint="eastAsia" w:ascii="仿宋" w:hAnsi="仿宋" w:eastAsia="仿宋"/>
          <w:sz w:val="32"/>
          <w:szCs w:val="32"/>
          <w:lang w:val="en-US" w:eastAsia="zh-CN"/>
        </w:rPr>
        <w:t>80.5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
          <w:bCs/>
          <w:sz w:val="32"/>
          <w:szCs w:val="32"/>
          <w:lang w:val="en-US" w:eastAsia="zh-CN"/>
        </w:rPr>
        <w:t>0.7</w:t>
      </w:r>
      <w:r>
        <w:rPr>
          <w:rFonts w:hint="eastAsia" w:ascii="仿宋" w:hAnsi="仿宋" w:eastAsia="仿宋"/>
          <w:b/>
          <w:bCs/>
          <w:sz w:val="32"/>
          <w:szCs w:val="32"/>
        </w:rPr>
        <w:t>万元，占</w:t>
      </w:r>
      <w:r>
        <w:rPr>
          <w:rFonts w:hint="eastAsia" w:ascii="仿宋" w:hAnsi="仿宋" w:eastAsia="仿宋"/>
          <w:b/>
          <w:bCs/>
          <w:sz w:val="32"/>
          <w:szCs w:val="32"/>
          <w:lang w:val="en-US" w:eastAsia="zh-CN"/>
        </w:rPr>
        <w:t>0.44</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16.26</w:t>
      </w:r>
      <w:r>
        <w:rPr>
          <w:rFonts w:hint="eastAsia" w:ascii="仿宋" w:hAnsi="仿宋" w:eastAsia="仿宋"/>
          <w:sz w:val="32"/>
          <w:szCs w:val="32"/>
        </w:rPr>
        <w:t>万元，占</w:t>
      </w:r>
      <w:r>
        <w:rPr>
          <w:rFonts w:hint="eastAsia" w:ascii="仿宋" w:hAnsi="仿宋" w:eastAsia="仿宋"/>
          <w:sz w:val="32"/>
          <w:szCs w:val="32"/>
          <w:lang w:val="en-US" w:eastAsia="zh-CN"/>
        </w:rPr>
        <w:t>10.23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6.34</w:t>
      </w:r>
      <w:r>
        <w:rPr>
          <w:rFonts w:hint="eastAsia" w:ascii="仿宋" w:hAnsi="仿宋" w:eastAsia="仿宋"/>
          <w:sz w:val="32"/>
          <w:szCs w:val="32"/>
        </w:rPr>
        <w:t>万元，占</w:t>
      </w:r>
      <w:r>
        <w:rPr>
          <w:rFonts w:hint="eastAsia" w:ascii="仿宋" w:hAnsi="仿宋" w:eastAsia="仿宋"/>
          <w:sz w:val="32"/>
          <w:szCs w:val="32"/>
          <w:lang w:val="en-US" w:eastAsia="zh-CN"/>
        </w:rPr>
        <w:t>3.99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7.69</w:t>
      </w:r>
      <w:r>
        <w:rPr>
          <w:rFonts w:hint="eastAsia" w:ascii="仿宋" w:hAnsi="仿宋" w:eastAsia="仿宋"/>
          <w:sz w:val="32"/>
          <w:szCs w:val="32"/>
        </w:rPr>
        <w:t>万元，占</w:t>
      </w:r>
      <w:r>
        <w:rPr>
          <w:rFonts w:hint="eastAsia" w:ascii="仿宋" w:hAnsi="仿宋" w:eastAsia="仿宋"/>
          <w:sz w:val="32"/>
          <w:szCs w:val="32"/>
          <w:lang w:val="en-US" w:eastAsia="zh-CN"/>
        </w:rPr>
        <w:t>4.84</w:t>
      </w:r>
      <w:r>
        <w:rPr>
          <w:rFonts w:ascii="仿宋" w:hAnsi="仿宋" w:eastAsia="仿宋"/>
          <w:sz w:val="32"/>
          <w:szCs w:val="32"/>
        </w:rPr>
        <w:t>%</w:t>
      </w:r>
      <w:r>
        <w:rPr>
          <w:rFonts w:hint="eastAsia" w:ascii="仿宋" w:hAnsi="仿宋" w:eastAsia="仿宋"/>
          <w:sz w:val="32"/>
          <w:szCs w:val="32"/>
        </w:rPr>
        <w:t>。</w:t>
      </w:r>
    </w:p>
    <w:p w14:paraId="6F266814">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（注：数据来源于财决01-1表，仅罗列本部门涉及的全部功能分类科目，至类级。）</w:t>
      </w:r>
    </w:p>
    <w:p w14:paraId="28931E1C">
      <w:pPr>
        <w:spacing w:line="240" w:lineRule="auto"/>
        <w:ind w:firstLine="64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584065" cy="2755265"/>
            <wp:effectExtent l="0" t="0" r="6985" b="6985"/>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4"/>
                    <a:stretch>
                      <a:fillRect/>
                    </a:stretch>
                  </pic:blipFill>
                  <pic:spPr>
                    <a:xfrm>
                      <a:off x="0" y="0"/>
                      <a:ext cx="4584065" cy="2755265"/>
                    </a:xfrm>
                    <a:prstGeom prst="rect">
                      <a:avLst/>
                    </a:prstGeom>
                  </pic:spPr>
                </pic:pic>
              </a:graphicData>
            </a:graphic>
          </wp:inline>
        </w:drawing>
      </w:r>
    </w:p>
    <w:p w14:paraId="7D2710EC">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7D536F24">
      <w:pPr>
        <w:spacing w:line="600" w:lineRule="exact"/>
        <w:ind w:firstLine="640" w:firstLineChars="200"/>
        <w:rPr>
          <w:rFonts w:ascii="仿宋" w:hAnsi="仿宋" w:eastAsia="仿宋"/>
          <w:sz w:val="32"/>
          <w:szCs w:val="32"/>
        </w:rPr>
      </w:pPr>
    </w:p>
    <w:p w14:paraId="07D05B94">
      <w:pPr>
        <w:spacing w:line="600" w:lineRule="exact"/>
        <w:ind w:firstLine="643" w:firstLineChars="200"/>
        <w:outlineLvl w:val="2"/>
        <w:rPr>
          <w:rFonts w:ascii="仿宋" w:hAnsi="仿宋" w:eastAsia="仿宋"/>
          <w:b/>
          <w:sz w:val="32"/>
          <w:szCs w:val="32"/>
        </w:rPr>
      </w:pPr>
      <w:bookmarkStart w:id="23" w:name="_Toc15377212"/>
      <w:r>
        <w:rPr>
          <w:rFonts w:hint="eastAsia" w:ascii="仿宋" w:hAnsi="仿宋" w:eastAsia="仿宋"/>
          <w:b/>
          <w:sz w:val="32"/>
          <w:szCs w:val="32"/>
        </w:rPr>
        <w:t>（三）一般公共预算财政拨款支出决算具体情况</w:t>
      </w:r>
      <w:bookmarkEnd w:id="23"/>
    </w:p>
    <w:p w14:paraId="1AC89663">
      <w:pPr>
        <w:spacing w:line="600" w:lineRule="exact"/>
        <w:ind w:firstLine="643" w:firstLineChars="200"/>
        <w:outlineLvl w:val="2"/>
        <w:rPr>
          <w:rFonts w:ascii="仿宋" w:hAnsi="仿宋" w:eastAsia="仿宋"/>
          <w:sz w:val="32"/>
          <w:szCs w:val="32"/>
        </w:rPr>
      </w:pPr>
      <w:bookmarkStart w:id="24" w:name="_Toc15378460"/>
      <w:bookmarkStart w:id="25" w:name="_Toc15377444"/>
      <w:bookmarkStart w:id="26" w:name="_Toc15377213"/>
      <w:r>
        <w:rPr>
          <w:rFonts w:hint="eastAsia" w:ascii="仿宋" w:hAnsi="仿宋" w:eastAsia="仿宋"/>
          <w:b/>
          <w:sz w:val="32"/>
          <w:szCs w:val="32"/>
        </w:rPr>
        <w:t>2023年度一般公共预算支出决算数为</w:t>
      </w:r>
      <w:r>
        <w:rPr>
          <w:sz w:val="32"/>
          <w:szCs w:val="32"/>
        </w:rPr>
        <w:t>158.96</w:t>
      </w:r>
      <w:r>
        <w:rPr>
          <w:rFonts w:hint="eastAsia" w:ascii="仿宋" w:hAnsi="仿宋" w:eastAsia="仿宋"/>
          <w:sz w:val="32"/>
          <w:szCs w:val="32"/>
        </w:rPr>
        <w:t>，</w:t>
      </w:r>
      <w:r>
        <w:rPr>
          <w:rStyle w:val="17"/>
          <w:rFonts w:hint="eastAsia" w:ascii="仿宋" w:hAnsi="仿宋" w:eastAsia="仿宋"/>
          <w:bCs/>
          <w:sz w:val="32"/>
          <w:szCs w:val="32"/>
        </w:rPr>
        <w:t>完成预算</w:t>
      </w:r>
      <w:r>
        <w:rPr>
          <w:rStyle w:val="17"/>
          <w:rFonts w:hint="eastAsia" w:ascii="仿宋" w:hAnsi="仿宋" w:eastAsia="仿宋"/>
          <w:bCs/>
          <w:sz w:val="32"/>
          <w:szCs w:val="32"/>
          <w:lang w:val="en-US" w:eastAsia="zh-CN"/>
        </w:rPr>
        <w:t>100</w:t>
      </w:r>
      <w:r>
        <w:rPr>
          <w:rStyle w:val="17"/>
          <w:rFonts w:ascii="仿宋" w:hAnsi="仿宋" w:eastAsia="仿宋"/>
          <w:bCs/>
          <w:sz w:val="32"/>
          <w:szCs w:val="32"/>
        </w:rPr>
        <w:t>%</w:t>
      </w:r>
      <w:r>
        <w:rPr>
          <w:rStyle w:val="17"/>
          <w:rFonts w:hint="eastAsia" w:ascii="仿宋" w:hAnsi="仿宋" w:eastAsia="仿宋"/>
          <w:bCs/>
          <w:sz w:val="32"/>
          <w:szCs w:val="32"/>
        </w:rPr>
        <w:t>。其中：</w:t>
      </w:r>
      <w:bookmarkEnd w:id="24"/>
      <w:bookmarkEnd w:id="25"/>
      <w:bookmarkEnd w:id="26"/>
    </w:p>
    <w:p w14:paraId="54980FFD">
      <w:p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lang w:val="en-US" w:eastAsia="zh-CN"/>
        </w:rPr>
        <w:t>1</w:t>
      </w:r>
      <w:r>
        <w:rPr>
          <w:rStyle w:val="17"/>
          <w:rFonts w:ascii="仿宋" w:hAnsi="仿宋" w:eastAsia="仿宋"/>
          <w:bCs/>
          <w:sz w:val="32"/>
          <w:szCs w:val="32"/>
        </w:rPr>
        <w:t>.</w:t>
      </w:r>
      <w:r>
        <w:rPr>
          <w:rFonts w:hint="eastAsia" w:ascii="仿宋_GB2312" w:eastAsia="仿宋_GB2312"/>
          <w:sz w:val="32"/>
          <w:szCs w:val="32"/>
        </w:rPr>
        <w:t>科学技术（类）社会科学（款）其他社会科学支出（项）</w:t>
      </w:r>
      <w:r>
        <w:rPr>
          <w:rFonts w:hint="eastAsia" w:ascii="仿宋_GB2312" w:eastAsia="仿宋_GB2312"/>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127.96</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22AD22D2">
      <w:p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lang w:val="en-US" w:eastAsia="zh-CN"/>
        </w:rPr>
        <w:t>2</w:t>
      </w:r>
      <w:r>
        <w:rPr>
          <w:rStyle w:val="17"/>
          <w:rFonts w:ascii="仿宋" w:hAnsi="仿宋" w:eastAsia="仿宋"/>
          <w:bCs/>
          <w:sz w:val="32"/>
          <w:szCs w:val="32"/>
        </w:rPr>
        <w:t>.</w:t>
      </w:r>
      <w:r>
        <w:rPr>
          <w:rFonts w:hint="eastAsia" w:ascii="仿宋_GB2312" w:eastAsia="仿宋_GB2312"/>
          <w:sz w:val="32"/>
          <w:szCs w:val="32"/>
        </w:rPr>
        <w:t>文化旅游体育与传媒支出（类）其他文化旅游体育与传媒支出（款）文化产业发展专项支出（项）</w:t>
      </w:r>
      <w:r>
        <w:rPr>
          <w:rFonts w:hint="eastAsia" w:ascii="仿宋_GB2312" w:eastAsia="仿宋_GB2312"/>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0.7</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79F960CC">
      <w:p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lang w:val="en-US" w:eastAsia="zh-CN"/>
        </w:rPr>
        <w:t>3</w:t>
      </w:r>
      <w:r>
        <w:rPr>
          <w:rStyle w:val="17"/>
          <w:rFonts w:ascii="仿宋" w:hAnsi="仿宋" w:eastAsia="仿宋"/>
          <w:bCs/>
          <w:sz w:val="32"/>
          <w:szCs w:val="32"/>
        </w:rPr>
        <w:t>.</w:t>
      </w:r>
      <w:r>
        <w:rPr>
          <w:rFonts w:hint="eastAsia" w:ascii="仿宋_GB2312" w:eastAsia="仿宋_GB2312"/>
          <w:sz w:val="32"/>
          <w:szCs w:val="32"/>
        </w:rPr>
        <w:t>社会保障和就业支出（类）行政事业单位养老支出（款）机关事业单位职业年金缴费支出（项）</w:t>
      </w:r>
      <w:r>
        <w:rPr>
          <w:rFonts w:hint="eastAsia" w:ascii="仿宋_GB2312" w:eastAsia="仿宋_GB2312"/>
          <w:sz w:val="32"/>
          <w:szCs w:val="32"/>
          <w:lang w:eastAsia="zh-CN"/>
        </w:rPr>
        <w:t>、</w:t>
      </w:r>
      <w:r>
        <w:rPr>
          <w:rFonts w:hint="eastAsia" w:ascii="仿宋_GB2312" w:eastAsia="仿宋_GB2312"/>
          <w:sz w:val="32"/>
          <w:szCs w:val="32"/>
        </w:rPr>
        <w:t>机关事业单位基本养老保险缴费支出（项）</w:t>
      </w:r>
      <w:r>
        <w:rPr>
          <w:rFonts w:hint="eastAsia" w:ascii="仿宋_GB2312" w:eastAsia="仿宋_GB2312"/>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16.26</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41A471E9">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lang w:val="en-US" w:eastAsia="zh-CN"/>
        </w:rPr>
        <w:t>4</w:t>
      </w:r>
      <w:r>
        <w:rPr>
          <w:rStyle w:val="17"/>
          <w:rFonts w:ascii="仿宋" w:hAnsi="仿宋" w:eastAsia="仿宋"/>
          <w:bCs/>
          <w:sz w:val="32"/>
          <w:szCs w:val="32"/>
        </w:rPr>
        <w:t>.</w:t>
      </w:r>
      <w:r>
        <w:rPr>
          <w:rFonts w:hint="eastAsia" w:ascii="仿宋_GB2312" w:eastAsia="仿宋_GB2312"/>
          <w:sz w:val="32"/>
          <w:szCs w:val="32"/>
        </w:rPr>
        <w:t>卫生健康支出（类）行政事业单位医疗（款）行政单位医疗（项）</w:t>
      </w:r>
      <w:r>
        <w:rPr>
          <w:rFonts w:hint="eastAsia" w:ascii="仿宋_GB2312" w:eastAsia="仿宋_GB2312"/>
          <w:sz w:val="32"/>
          <w:szCs w:val="32"/>
          <w:lang w:eastAsia="zh-CN"/>
        </w:rPr>
        <w:t>、</w:t>
      </w:r>
      <w:r>
        <w:rPr>
          <w:rFonts w:hint="eastAsia" w:ascii="仿宋_GB2312" w:eastAsia="仿宋_GB2312"/>
          <w:sz w:val="32"/>
          <w:szCs w:val="32"/>
        </w:rPr>
        <w:t>公务员医疗补助（项）</w:t>
      </w:r>
      <w:r>
        <w:rPr>
          <w:rFonts w:hint="eastAsia" w:ascii="仿宋_GB2312" w:eastAsia="仿宋_GB2312"/>
          <w:sz w:val="32"/>
          <w:szCs w:val="32"/>
          <w:lang w:eastAsia="zh-CN"/>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6.34</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6E02761A">
      <w:pPr>
        <w:spacing w:line="600" w:lineRule="exact"/>
        <w:ind w:firstLine="643" w:firstLineChars="200"/>
      </w:pPr>
      <w:r>
        <w:rPr>
          <w:rStyle w:val="17"/>
          <w:rFonts w:hint="eastAsia" w:ascii="仿宋" w:hAnsi="仿宋" w:eastAsia="仿宋"/>
          <w:bCs/>
          <w:sz w:val="32"/>
          <w:szCs w:val="32"/>
          <w:lang w:val="en-US" w:eastAsia="zh-CN"/>
        </w:rPr>
        <w:t>5.</w:t>
      </w:r>
      <w:r>
        <w:rPr>
          <w:rFonts w:hint="eastAsia" w:ascii="仿宋_GB2312" w:eastAsia="仿宋_GB2312"/>
          <w:sz w:val="32"/>
          <w:szCs w:val="32"/>
        </w:rPr>
        <w:t>住房保障支出（类）住房改革支出（款）住房公积金（项）</w:t>
      </w:r>
      <w:r>
        <w:rPr>
          <w:rFonts w:hint="eastAsia" w:ascii="仿宋_GB2312" w:eastAsia="仿宋_GB2312"/>
          <w:sz w:val="32"/>
          <w:szCs w:val="32"/>
          <w:lang w:eastAsia="zh-CN"/>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7.69</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7C21275B">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1-1表和财决08表，仅罗列本部门涉及的全部功能分类科目，至项级。上述“预算”口径为全年预算数。增减变动原因为决算数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和全年预算数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比较，与预算数持平可以不写原因。）</w:t>
      </w:r>
    </w:p>
    <w:p w14:paraId="5C9127CE">
      <w:pPr>
        <w:spacing w:line="600" w:lineRule="exact"/>
        <w:ind w:firstLine="640"/>
        <w:rPr>
          <w:rFonts w:ascii="仿宋" w:hAnsi="仿宋" w:eastAsia="仿宋"/>
          <w:b/>
          <w:sz w:val="32"/>
          <w:szCs w:val="32"/>
        </w:rPr>
      </w:pPr>
    </w:p>
    <w:p w14:paraId="7D90CA05">
      <w:pPr>
        <w:tabs>
          <w:tab w:val="right" w:pos="8306"/>
        </w:tabs>
        <w:spacing w:line="600" w:lineRule="exact"/>
        <w:ind w:firstLine="640"/>
        <w:outlineLvl w:val="1"/>
        <w:rPr>
          <w:rStyle w:val="28"/>
        </w:rPr>
      </w:pPr>
      <w:bookmarkStart w:id="27" w:name="_Toc15396608"/>
      <w:bookmarkStart w:id="28"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8"/>
          <w:rFonts w:hint="eastAsia" w:ascii="黑体" w:hAnsi="黑体" w:eastAsia="黑体"/>
          <w:b w:val="0"/>
        </w:rPr>
        <w:t>般公共预算财政拨款基本支出决算情况说明</w:t>
      </w:r>
      <w:bookmarkEnd w:id="27"/>
      <w:bookmarkEnd w:id="28"/>
      <w:r>
        <w:rPr>
          <w:rStyle w:val="28"/>
          <w:rFonts w:ascii="黑体" w:hAnsi="黑体" w:eastAsia="黑体"/>
          <w:b w:val="0"/>
        </w:rPr>
        <w:tab/>
      </w:r>
    </w:p>
    <w:p w14:paraId="5213C59C">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sz w:val="32"/>
          <w:szCs w:val="32"/>
        </w:rPr>
        <w:t>119.42</w:t>
      </w:r>
      <w:r>
        <w:rPr>
          <w:rFonts w:hint="eastAsia" w:ascii="仿宋" w:hAnsi="仿宋" w:eastAsia="仿宋"/>
          <w:sz w:val="32"/>
          <w:szCs w:val="32"/>
        </w:rPr>
        <w:t>万元，其中：</w:t>
      </w:r>
    </w:p>
    <w:p w14:paraId="62187DF9">
      <w:pPr>
        <w:spacing w:line="600" w:lineRule="exact"/>
        <w:ind w:firstLine="645"/>
        <w:rPr>
          <w:rFonts w:ascii="仿宋" w:hAnsi="仿宋" w:eastAsia="仿宋"/>
          <w:sz w:val="32"/>
          <w:szCs w:val="32"/>
        </w:rPr>
      </w:pPr>
      <w:r>
        <w:rPr>
          <w:rFonts w:hint="eastAsia" w:ascii="仿宋" w:hAnsi="仿宋" w:eastAsia="仿宋"/>
          <w:sz w:val="32"/>
          <w:szCs w:val="32"/>
        </w:rPr>
        <w:t>人员经费</w:t>
      </w:r>
      <w:r>
        <w:rPr>
          <w:sz w:val="32"/>
          <w:szCs w:val="32"/>
        </w:rPr>
        <w:t>114.67</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sz w:val="32"/>
          <w:szCs w:val="32"/>
        </w:rPr>
        <w:t>4.75</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17983EE9">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7表和财决08-1表，仅罗列本部门实际支出涉及的经济分类科目。）</w:t>
      </w:r>
    </w:p>
    <w:p w14:paraId="493F92D6">
      <w:pPr>
        <w:spacing w:line="600" w:lineRule="exact"/>
        <w:ind w:firstLine="640"/>
        <w:rPr>
          <w:rFonts w:ascii="仿宋" w:hAnsi="仿宋" w:eastAsia="仿宋"/>
          <w:b/>
          <w:sz w:val="32"/>
          <w:szCs w:val="32"/>
        </w:rPr>
      </w:pPr>
    </w:p>
    <w:p w14:paraId="64FD5BB3">
      <w:pPr>
        <w:spacing w:line="600" w:lineRule="exact"/>
        <w:ind w:firstLine="640"/>
        <w:outlineLvl w:val="1"/>
        <w:rPr>
          <w:rStyle w:val="28"/>
          <w:rFonts w:ascii="黑体" w:hAnsi="黑体" w:eastAsia="黑体"/>
          <w:b w:val="0"/>
        </w:rPr>
      </w:pPr>
      <w:bookmarkStart w:id="29" w:name="_Toc15377215"/>
      <w:bookmarkStart w:id="30" w:name="_Toc15396609"/>
      <w:r>
        <w:rPr>
          <w:rFonts w:hint="eastAsia" w:ascii="黑体" w:eastAsia="黑体"/>
          <w:sz w:val="32"/>
          <w:szCs w:val="32"/>
        </w:rPr>
        <w:t>七、</w:t>
      </w:r>
      <w:r>
        <w:rPr>
          <w:rStyle w:val="28"/>
          <w:rFonts w:hint="eastAsia" w:ascii="黑体" w:hAnsi="黑体" w:eastAsia="黑体"/>
          <w:b w:val="0"/>
        </w:rPr>
        <w:t>财政拨款</w:t>
      </w:r>
      <w:r>
        <w:rPr>
          <w:rStyle w:val="28"/>
          <w:rFonts w:hint="eastAsia" w:ascii="黑体" w:hAnsi="黑体" w:eastAsia="黑体"/>
        </w:rPr>
        <w:t>“</w:t>
      </w:r>
      <w:r>
        <w:rPr>
          <w:rStyle w:val="28"/>
          <w:rFonts w:hint="eastAsia" w:ascii="黑体" w:hAnsi="黑体" w:eastAsia="黑体"/>
          <w:b w:val="0"/>
        </w:rPr>
        <w:t>三公”经费支出决算情况说明</w:t>
      </w:r>
      <w:bookmarkEnd w:id="29"/>
      <w:bookmarkEnd w:id="30"/>
    </w:p>
    <w:p w14:paraId="7626F8E1">
      <w:pPr>
        <w:spacing w:line="600" w:lineRule="exact"/>
        <w:ind w:firstLine="640"/>
        <w:outlineLvl w:val="2"/>
        <w:rPr>
          <w:rFonts w:ascii="仿宋" w:hAnsi="仿宋" w:eastAsia="仿宋"/>
          <w:b/>
          <w:sz w:val="32"/>
          <w:szCs w:val="32"/>
        </w:rPr>
      </w:pPr>
      <w:bookmarkStart w:id="31" w:name="_Toc15377216"/>
      <w:r>
        <w:rPr>
          <w:rFonts w:hint="eastAsia" w:ascii="仿宋" w:hAnsi="仿宋" w:eastAsia="仿宋"/>
          <w:b/>
          <w:sz w:val="32"/>
          <w:szCs w:val="32"/>
        </w:rPr>
        <w:t>（一）“三公”经费财政拨款支出决算总体情况说明</w:t>
      </w:r>
      <w:bookmarkEnd w:id="31"/>
    </w:p>
    <w:p w14:paraId="564581FC">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w:t>
      </w:r>
      <w:r>
        <w:rPr>
          <w:rFonts w:hint="eastAsia" w:ascii="仿宋" w:hAnsi="仿宋" w:eastAsia="仿宋"/>
          <w:sz w:val="32"/>
          <w:szCs w:val="32"/>
        </w:rPr>
        <w:t>万元，完成预算</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sz w:val="32"/>
          <w:szCs w:val="32"/>
          <w:lang w:eastAsia="zh-CN"/>
        </w:rPr>
        <w:t>与上年持平</w:t>
      </w:r>
      <w:r>
        <w:rPr>
          <w:rFonts w:hint="eastAsia" w:ascii="仿宋" w:hAnsi="仿宋" w:eastAsia="仿宋"/>
          <w:sz w:val="32"/>
          <w:szCs w:val="32"/>
        </w:rPr>
        <w:t>。</w:t>
      </w:r>
    </w:p>
    <w:p w14:paraId="3E30F85F">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14:paraId="29CEDE6C">
      <w:pPr>
        <w:spacing w:line="600" w:lineRule="exact"/>
        <w:ind w:firstLine="640"/>
        <w:outlineLvl w:val="2"/>
        <w:rPr>
          <w:rFonts w:ascii="仿宋" w:hAnsi="仿宋" w:eastAsia="仿宋"/>
          <w:b/>
          <w:sz w:val="32"/>
          <w:szCs w:val="32"/>
        </w:rPr>
      </w:pPr>
      <w:bookmarkStart w:id="32" w:name="_Toc15377217"/>
      <w:r>
        <w:rPr>
          <w:rFonts w:hint="eastAsia" w:ascii="仿宋" w:hAnsi="仿宋" w:eastAsia="仿宋"/>
          <w:b/>
          <w:sz w:val="32"/>
          <w:szCs w:val="32"/>
        </w:rPr>
        <w:t>（二）“三公”经费财政拨款支出决算具体情况说明</w:t>
      </w:r>
      <w:bookmarkEnd w:id="32"/>
    </w:p>
    <w:p w14:paraId="1DB54FC9">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；公务接待费支出决算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。具体情况如下：</w:t>
      </w:r>
    </w:p>
    <w:p w14:paraId="434337F4">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04AA0910">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w:t>
      </w:r>
      <w:r>
        <w:rPr>
          <w:rFonts w:hint="eastAsia" w:ascii="仿宋" w:hAnsi="仿宋" w:eastAsia="仿宋"/>
          <w:sz w:val="32"/>
          <w:szCs w:val="32"/>
          <w:lang w:eastAsia="zh-CN"/>
        </w:rPr>
        <w:t>与上年持平</w:t>
      </w:r>
      <w:r>
        <w:rPr>
          <w:rFonts w:hint="eastAsia" w:ascii="仿宋" w:hAnsi="仿宋" w:eastAsia="仿宋"/>
          <w:sz w:val="32"/>
          <w:szCs w:val="32"/>
        </w:rPr>
        <w:t>。</w:t>
      </w:r>
    </w:p>
    <w:p w14:paraId="7BFCE29C">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公务用车购置及运行维护费支出决算</w:t>
      </w:r>
      <w:r>
        <w:rPr>
          <w:rFonts w:hint="eastAsia" w:ascii="仿宋" w:hAnsi="仿宋" w:eastAsia="仿宋"/>
          <w:sz w:val="32"/>
          <w:szCs w:val="32"/>
          <w:lang w:eastAsia="zh-CN"/>
        </w:rPr>
        <w:t>与上年持平</w:t>
      </w:r>
      <w:r>
        <w:rPr>
          <w:rFonts w:hint="eastAsia" w:ascii="仿宋" w:hAnsi="仿宋" w:eastAsia="仿宋"/>
          <w:sz w:val="32"/>
          <w:szCs w:val="32"/>
        </w:rPr>
        <w:t>。</w:t>
      </w:r>
    </w:p>
    <w:p w14:paraId="2127432F">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ascii="仿宋_GB2312" w:eastAsia="仿宋_GB2312"/>
          <w:sz w:val="32"/>
          <w:szCs w:val="32"/>
        </w:rPr>
        <w:t>**</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val="en-US" w:eastAsia="zh-CN"/>
        </w:rPr>
        <w:t>0</w:t>
      </w: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1A0FCFB0">
      <w:pPr>
        <w:spacing w:line="600" w:lineRule="exact"/>
        <w:ind w:firstLine="640"/>
        <w:rPr>
          <w:rFonts w:hint="eastAsia"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5A7EA81A">
      <w:pPr>
        <w:spacing w:line="600" w:lineRule="exact"/>
        <w:ind w:firstLine="640"/>
        <w:rPr>
          <w:rFonts w:hint="eastAsia" w:ascii="仿宋" w:hAnsi="仿宋" w:eastAsia="仿宋"/>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 w:val="0"/>
          <w:bCs/>
          <w:sz w:val="32"/>
          <w:szCs w:val="32"/>
        </w:rPr>
        <w:t>0%</w:t>
      </w:r>
      <w:r>
        <w:rPr>
          <w:rStyle w:val="17"/>
          <w:rFonts w:hint="eastAsia" w:ascii="仿宋" w:hAnsi="仿宋" w:eastAsia="仿宋"/>
          <w:b w:val="0"/>
          <w:bCs/>
          <w:sz w:val="32"/>
          <w:szCs w:val="32"/>
        </w:rPr>
        <w:t>。</w:t>
      </w:r>
      <w:r>
        <w:rPr>
          <w:rFonts w:hint="eastAsia" w:ascii="仿宋_GB2312" w:eastAsia="仿宋_GB2312"/>
          <w:sz w:val="32"/>
          <w:szCs w:val="32"/>
        </w:rPr>
        <w:t>公务接待费支出决算</w:t>
      </w:r>
      <w:r>
        <w:rPr>
          <w:rFonts w:hint="eastAsia" w:ascii="仿宋" w:hAnsi="仿宋" w:eastAsia="仿宋"/>
          <w:sz w:val="32"/>
          <w:szCs w:val="32"/>
          <w:lang w:eastAsia="zh-CN"/>
        </w:rPr>
        <w:t>与上年持平</w:t>
      </w:r>
      <w:r>
        <w:rPr>
          <w:rFonts w:hint="eastAsia" w:ascii="仿宋" w:hAnsi="仿宋" w:eastAsia="仿宋"/>
          <w:sz w:val="32"/>
          <w:szCs w:val="32"/>
        </w:rPr>
        <w:t>。</w:t>
      </w:r>
    </w:p>
    <w:p w14:paraId="18016E2B">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w:t>
      </w:r>
      <w:r>
        <w:rPr>
          <w:rFonts w:hint="eastAsia" w:ascii="仿宋_GB2312" w:eastAsia="仿宋_GB2312"/>
          <w:sz w:val="32"/>
          <w:szCs w:val="32"/>
        </w:rPr>
        <w:t>万元。</w:t>
      </w:r>
    </w:p>
    <w:p w14:paraId="161F8EAA">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w:t>
      </w:r>
    </w:p>
    <w:p w14:paraId="27BB173A">
      <w:pPr>
        <w:spacing w:line="600" w:lineRule="exact"/>
        <w:ind w:firstLine="640"/>
        <w:outlineLvl w:val="1"/>
        <w:rPr>
          <w:rFonts w:ascii="黑体" w:eastAsia="黑体"/>
          <w:sz w:val="32"/>
          <w:szCs w:val="32"/>
        </w:rPr>
      </w:pPr>
      <w:bookmarkStart w:id="33" w:name="_Toc15396610"/>
      <w:bookmarkStart w:id="34" w:name="_Toc15377218"/>
    </w:p>
    <w:p w14:paraId="19136CF9">
      <w:pPr>
        <w:spacing w:line="600" w:lineRule="exact"/>
        <w:ind w:firstLine="640"/>
        <w:outlineLvl w:val="1"/>
        <w:rPr>
          <w:rStyle w:val="28"/>
          <w:rFonts w:ascii="黑体" w:hAnsi="黑体" w:eastAsia="黑体"/>
        </w:rPr>
      </w:pPr>
      <w:r>
        <w:rPr>
          <w:rFonts w:hint="eastAsia" w:ascii="黑体" w:eastAsia="黑体"/>
          <w:sz w:val="32"/>
          <w:szCs w:val="32"/>
        </w:rPr>
        <w:t>八、</w:t>
      </w:r>
      <w:r>
        <w:rPr>
          <w:rStyle w:val="28"/>
          <w:rFonts w:hint="eastAsia" w:ascii="黑体" w:hAnsi="黑体" w:eastAsia="黑体"/>
          <w:b w:val="0"/>
        </w:rPr>
        <w:t>政府性基金预算支出决算情况说明</w:t>
      </w:r>
      <w:bookmarkEnd w:id="33"/>
      <w:bookmarkEnd w:id="34"/>
    </w:p>
    <w:p w14:paraId="505890F4">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0</w:t>
      </w:r>
      <w:r>
        <w:rPr>
          <w:rFonts w:hint="eastAsia" w:ascii="仿宋_GB2312" w:eastAsia="仿宋_GB2312"/>
          <w:sz w:val="32"/>
          <w:szCs w:val="32"/>
        </w:rPr>
        <w:t>万元。</w:t>
      </w:r>
    </w:p>
    <w:p w14:paraId="67F2B28C">
      <w:pPr>
        <w:spacing w:line="600" w:lineRule="exact"/>
        <w:ind w:firstLine="640"/>
        <w:rPr>
          <w:rFonts w:ascii="仿宋_GB2312" w:eastAsia="仿宋_GB2312"/>
          <w:sz w:val="32"/>
          <w:szCs w:val="32"/>
        </w:rPr>
      </w:pPr>
    </w:p>
    <w:p w14:paraId="5B31DB85">
      <w:pPr>
        <w:numPr>
          <w:ilvl w:val="0"/>
          <w:numId w:val="3"/>
        </w:numPr>
        <w:spacing w:line="600" w:lineRule="exact"/>
        <w:ind w:firstLine="640"/>
        <w:outlineLvl w:val="1"/>
        <w:rPr>
          <w:rStyle w:val="28"/>
          <w:rFonts w:ascii="黑体" w:hAnsi="黑体" w:eastAsia="黑体"/>
          <w:b w:val="0"/>
        </w:rPr>
      </w:pPr>
      <w:bookmarkStart w:id="35" w:name="_Toc15377219"/>
      <w:bookmarkStart w:id="36" w:name="_Toc15396611"/>
      <w:r>
        <w:rPr>
          <w:rStyle w:val="28"/>
          <w:rFonts w:hint="eastAsia" w:ascii="黑体" w:hAnsi="黑体" w:eastAsia="黑体"/>
          <w:b w:val="0"/>
        </w:rPr>
        <w:t>国有资本经营预算支出决算情况说明</w:t>
      </w:r>
      <w:bookmarkEnd w:id="35"/>
      <w:bookmarkEnd w:id="36"/>
    </w:p>
    <w:p w14:paraId="6C37F194">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36FD079C">
      <w:pPr>
        <w:spacing w:line="580" w:lineRule="exact"/>
        <w:jc w:val="center"/>
        <w:rPr>
          <w:rFonts w:ascii="方正小标宋简体" w:hAnsi="方正小标宋简体" w:eastAsia="方正小标宋简体" w:cs="方正小标宋简体"/>
          <w:sz w:val="44"/>
          <w:szCs w:val="44"/>
        </w:rPr>
      </w:pPr>
    </w:p>
    <w:p w14:paraId="0E06EB15">
      <w:pPr>
        <w:numPr>
          <w:ilvl w:val="0"/>
          <w:numId w:val="3"/>
        </w:numPr>
        <w:spacing w:line="600" w:lineRule="exact"/>
        <w:ind w:firstLine="640"/>
        <w:outlineLvl w:val="1"/>
        <w:rPr>
          <w:rStyle w:val="28"/>
          <w:rFonts w:ascii="黑体" w:hAnsi="黑体" w:eastAsia="黑体"/>
          <w:b w:val="0"/>
        </w:rPr>
      </w:pPr>
      <w:bookmarkStart w:id="37" w:name="_Toc15377221"/>
      <w:bookmarkStart w:id="38" w:name="_Toc15396612"/>
      <w:r>
        <w:rPr>
          <w:rStyle w:val="28"/>
          <w:rFonts w:hint="eastAsia" w:ascii="黑体" w:hAnsi="黑体" w:eastAsia="黑体"/>
          <w:b w:val="0"/>
        </w:rPr>
        <w:t>其他重要事项的情况说明</w:t>
      </w:r>
      <w:bookmarkEnd w:id="37"/>
      <w:bookmarkEnd w:id="38"/>
    </w:p>
    <w:p w14:paraId="3820B6C4">
      <w:pPr>
        <w:spacing w:line="600" w:lineRule="exact"/>
        <w:ind w:firstLine="643" w:firstLineChars="200"/>
        <w:outlineLvl w:val="2"/>
        <w:rPr>
          <w:rFonts w:ascii="仿宋" w:hAnsi="仿宋" w:eastAsia="仿宋"/>
          <w:sz w:val="32"/>
          <w:szCs w:val="32"/>
        </w:rPr>
      </w:pPr>
      <w:bookmarkStart w:id="39" w:name="_Toc15377222"/>
      <w:r>
        <w:rPr>
          <w:rFonts w:hint="eastAsia" w:ascii="仿宋" w:hAnsi="仿宋" w:eastAsia="仿宋"/>
          <w:b/>
          <w:sz w:val="32"/>
          <w:szCs w:val="32"/>
        </w:rPr>
        <w:t>（一）机关运行经费支出情况</w:t>
      </w:r>
      <w:bookmarkEnd w:id="39"/>
    </w:p>
    <w:p w14:paraId="3C6676E8">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阿坝州松潘县党史和地方志编纂中心</w:t>
      </w:r>
      <w:r>
        <w:rPr>
          <w:rFonts w:hint="eastAsia" w:ascii="仿宋_GB2312" w:eastAsia="仿宋_GB2312"/>
          <w:sz w:val="32"/>
          <w:szCs w:val="32"/>
        </w:rPr>
        <w:t>机关运行经费支出</w:t>
      </w:r>
      <w:r>
        <w:rPr>
          <w:rFonts w:ascii="仿宋" w:hAnsi="仿宋" w:eastAsia="仿宋"/>
          <w:b/>
          <w:sz w:val="32"/>
          <w:szCs w:val="32"/>
        </w:rPr>
        <w:t>4.75</w:t>
      </w:r>
      <w:r>
        <w:rPr>
          <w:rFonts w:hint="eastAsia" w:ascii="仿宋_GB2312" w:eastAsia="仿宋_GB2312"/>
          <w:sz w:val="32"/>
          <w:szCs w:val="32"/>
        </w:rPr>
        <w:t>万元，比2022年度减少</w:t>
      </w:r>
      <w:r>
        <w:rPr>
          <w:rFonts w:hint="eastAsia" w:ascii="仿宋_GB2312" w:eastAsia="仿宋_GB2312"/>
          <w:sz w:val="32"/>
          <w:szCs w:val="32"/>
          <w:lang w:val="en-US" w:eastAsia="zh-CN"/>
        </w:rPr>
        <w:t>0.93</w:t>
      </w:r>
      <w:r>
        <w:rPr>
          <w:rFonts w:hint="eastAsia" w:ascii="仿宋_GB2312" w:eastAsia="仿宋_GB2312"/>
          <w:sz w:val="32"/>
          <w:szCs w:val="32"/>
        </w:rPr>
        <w:t>万元，下降</w:t>
      </w:r>
      <w:r>
        <w:rPr>
          <w:rFonts w:hint="eastAsia" w:ascii="仿宋_GB2312" w:eastAsia="仿宋_GB2312"/>
          <w:sz w:val="32"/>
          <w:szCs w:val="32"/>
          <w:lang w:val="en-US" w:eastAsia="zh-CN"/>
        </w:rPr>
        <w:t>19.58</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人员减少</w:t>
      </w:r>
      <w:r>
        <w:rPr>
          <w:rFonts w:hint="eastAsia" w:ascii="仿宋_GB2312" w:eastAsia="仿宋_GB2312"/>
          <w:sz w:val="32"/>
          <w:szCs w:val="32"/>
          <w:lang w:val="en-US" w:eastAsia="zh-CN"/>
        </w:rPr>
        <w:t>1人。</w:t>
      </w:r>
    </w:p>
    <w:p w14:paraId="61F19606">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38173519">
      <w:pPr>
        <w:autoSpaceDE w:val="0"/>
        <w:autoSpaceDN w:val="0"/>
        <w:adjustRightInd w:val="0"/>
        <w:spacing w:line="600" w:lineRule="exact"/>
        <w:ind w:firstLine="643" w:firstLineChars="200"/>
        <w:jc w:val="left"/>
        <w:outlineLvl w:val="2"/>
        <w:rPr>
          <w:rFonts w:ascii="仿宋" w:hAnsi="仿宋" w:eastAsia="仿宋"/>
          <w:b/>
          <w:sz w:val="32"/>
          <w:szCs w:val="32"/>
        </w:rPr>
      </w:pPr>
      <w:bookmarkStart w:id="40" w:name="_Toc15377223"/>
      <w:r>
        <w:rPr>
          <w:rFonts w:hint="eastAsia" w:ascii="仿宋" w:hAnsi="仿宋" w:eastAsia="仿宋"/>
          <w:b/>
          <w:sz w:val="32"/>
          <w:szCs w:val="32"/>
        </w:rPr>
        <w:t>（二）政府采购支出情况</w:t>
      </w:r>
      <w:bookmarkEnd w:id="40"/>
    </w:p>
    <w:p w14:paraId="2E7F25BE">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松潘县党史和地方志编纂中心</w:t>
      </w:r>
      <w:r>
        <w:rPr>
          <w:rFonts w:hint="eastAsia" w:ascii="仿宋_GB2312" w:eastAsia="仿宋_GB2312"/>
          <w:sz w:val="32"/>
          <w:szCs w:val="32"/>
        </w:rPr>
        <w:t>政府采购支出总额</w:t>
      </w:r>
      <w:r>
        <w:rPr>
          <w:sz w:val="32"/>
          <w:szCs w:val="32"/>
        </w:rPr>
        <w:t>0</w:t>
      </w:r>
      <w:r>
        <w:rPr>
          <w:rFonts w:hint="eastAsia" w:ascii="仿宋_GB2312" w:eastAsia="仿宋_GB2312"/>
          <w:sz w:val="32"/>
          <w:szCs w:val="32"/>
        </w:rPr>
        <w:t>万元，其中：政府采购货物支出</w:t>
      </w:r>
      <w:r>
        <w:rPr>
          <w:sz w:val="32"/>
          <w:szCs w:val="32"/>
        </w:rPr>
        <w:t>0</w:t>
      </w:r>
      <w:r>
        <w:rPr>
          <w:rFonts w:hint="eastAsia" w:ascii="仿宋_GB2312" w:eastAsia="仿宋_GB2312"/>
          <w:sz w:val="32"/>
          <w:szCs w:val="32"/>
        </w:rPr>
        <w:t>万元、政府采购工程支出</w:t>
      </w:r>
      <w:r>
        <w:rPr>
          <w:sz w:val="32"/>
          <w:szCs w:val="32"/>
        </w:rPr>
        <w:t>0</w:t>
      </w:r>
      <w:r>
        <w:rPr>
          <w:rFonts w:hint="eastAsia" w:ascii="仿宋_GB2312" w:eastAsia="仿宋_GB2312"/>
          <w:sz w:val="32"/>
          <w:szCs w:val="32"/>
        </w:rPr>
        <w:t>万元、政府采购服务支出</w:t>
      </w:r>
      <w:r>
        <w:rPr>
          <w:sz w:val="32"/>
          <w:szCs w:val="32"/>
        </w:rPr>
        <w:t>0</w:t>
      </w:r>
      <w:r>
        <w:rPr>
          <w:rFonts w:hint="eastAsia" w:ascii="仿宋_GB2312" w:eastAsia="仿宋_GB2312"/>
          <w:sz w:val="32"/>
          <w:szCs w:val="32"/>
        </w:rPr>
        <w:t>万元。授予中小企业合同金额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，其中：授予小微企业合同金额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w:t>
      </w:r>
    </w:p>
    <w:p w14:paraId="13F5CC80">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66854ECB">
      <w:pPr>
        <w:autoSpaceDE w:val="0"/>
        <w:autoSpaceDN w:val="0"/>
        <w:adjustRightInd w:val="0"/>
        <w:spacing w:line="600" w:lineRule="exact"/>
        <w:ind w:firstLine="643" w:firstLineChars="200"/>
        <w:jc w:val="left"/>
        <w:outlineLvl w:val="2"/>
        <w:rPr>
          <w:rFonts w:ascii="仿宋" w:hAnsi="仿宋" w:eastAsia="仿宋"/>
          <w:b/>
          <w:sz w:val="32"/>
          <w:szCs w:val="32"/>
        </w:rPr>
      </w:pPr>
      <w:bookmarkStart w:id="41" w:name="_Toc15377224"/>
      <w:r>
        <w:rPr>
          <w:rFonts w:hint="eastAsia" w:ascii="仿宋" w:hAnsi="仿宋" w:eastAsia="仿宋"/>
          <w:b/>
          <w:sz w:val="32"/>
          <w:szCs w:val="32"/>
        </w:rPr>
        <w:t>（三）国有资产占有使用情况</w:t>
      </w:r>
      <w:bookmarkEnd w:id="41"/>
    </w:p>
    <w:p w14:paraId="5D53BB86">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阿坝州松潘县党史和地方志编纂中心</w:t>
      </w:r>
      <w:r>
        <w:rPr>
          <w:rFonts w:hint="eastAsia" w:ascii="仿宋_GB2312" w:eastAsia="仿宋_GB2312"/>
          <w:sz w:val="32"/>
          <w:szCs w:val="32"/>
        </w:rPr>
        <w:t>共有车辆</w:t>
      </w:r>
      <w:r>
        <w:rPr>
          <w:rFonts w:hint="eastAsia" w:ascii="仿宋_GB2312" w:eastAsia="仿宋_GB2312"/>
          <w:b/>
          <w:sz w:val="32"/>
          <w:szCs w:val="32"/>
        </w:rPr>
        <w:t>0</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w:t>
      </w:r>
    </w:p>
    <w:p w14:paraId="62450C0A">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表，按部门决算报表填报数据罗列车辆情况。）</w:t>
      </w:r>
    </w:p>
    <w:p w14:paraId="5F61FB63">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00E6635C">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eastAsia="仿宋_GB2312"/>
          <w:sz w:val="32"/>
          <w:szCs w:val="32"/>
          <w:lang w:eastAsia="zh-CN"/>
        </w:rPr>
        <w:t>《松潘年鉴》编纂出版、《松潘县执政实录》编纂出版、《口述历史》拍摄制作、地情资源开发利用</w:t>
      </w:r>
      <w:r>
        <w:rPr>
          <w:rFonts w:hint="eastAsia" w:ascii="仿宋_GB2312" w:eastAsia="仿宋_GB2312"/>
          <w:sz w:val="32"/>
          <w:szCs w:val="32"/>
        </w:rPr>
        <w:t>项目等</w:t>
      </w:r>
      <w:r>
        <w:rPr>
          <w:rFonts w:hint="eastAsia" w:ascii="仿宋_GB2312" w:eastAsia="仿宋_GB2312"/>
          <w:sz w:val="32"/>
          <w:szCs w:val="32"/>
          <w:lang w:val="en-US" w:eastAsia="zh-CN"/>
        </w:rPr>
        <w:t>4</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4</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4</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4</w:t>
      </w:r>
      <w:r>
        <w:rPr>
          <w:rFonts w:hint="eastAsia" w:ascii="仿宋_GB2312" w:eastAsia="仿宋_GB2312"/>
          <w:sz w:val="32"/>
          <w:szCs w:val="32"/>
        </w:rPr>
        <w:t>个项目开展绩效自评，绩效自评表详见第四部分附件。</w:t>
      </w:r>
    </w:p>
    <w:p w14:paraId="1F4FAB04">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694B790B">
      <w:pPr>
        <w:numPr>
          <w:ilvl w:val="0"/>
          <w:numId w:val="4"/>
        </w:numPr>
        <w:spacing w:line="600" w:lineRule="exact"/>
        <w:ind w:firstLine="660" w:firstLineChars="150"/>
        <w:jc w:val="center"/>
        <w:outlineLvl w:val="0"/>
        <w:rPr>
          <w:rStyle w:val="27"/>
          <w:rFonts w:ascii="黑体" w:hAnsi="黑体" w:eastAsia="黑体"/>
          <w:b w:val="0"/>
        </w:rPr>
      </w:pPr>
      <w:bookmarkStart w:id="42" w:name="_Toc15396613"/>
      <w:bookmarkStart w:id="43" w:name="_Toc15377225"/>
      <w:r>
        <w:rPr>
          <w:rFonts w:hint="eastAsia" w:ascii="黑体" w:hAnsi="黑体" w:eastAsia="黑体"/>
          <w:sz w:val="44"/>
          <w:szCs w:val="44"/>
        </w:rPr>
        <w:t>名</w:t>
      </w:r>
      <w:r>
        <w:rPr>
          <w:rStyle w:val="27"/>
          <w:rFonts w:hint="eastAsia" w:ascii="黑体" w:hAnsi="黑体" w:eastAsia="黑体"/>
          <w:b w:val="0"/>
        </w:rPr>
        <w:t>词解释</w:t>
      </w:r>
      <w:bookmarkEnd w:id="42"/>
      <w:bookmarkEnd w:id="43"/>
    </w:p>
    <w:p w14:paraId="693A9DB7">
      <w:pPr>
        <w:spacing w:line="600" w:lineRule="exact"/>
        <w:jc w:val="left"/>
        <w:rPr>
          <w:rFonts w:ascii="宋体"/>
          <w:b/>
          <w:sz w:val="44"/>
          <w:szCs w:val="44"/>
        </w:rPr>
      </w:pPr>
    </w:p>
    <w:p w14:paraId="2935E02E">
      <w:pPr>
        <w:ind w:firstLine="640" w:firstLineChars="200"/>
        <w:rPr>
          <w:rFonts w:hint="eastAsia" w:ascii="仿宋_GB2312" w:eastAsia="仿宋_GB2312"/>
          <w:sz w:val="32"/>
          <w:szCs w:val="32"/>
        </w:rPr>
      </w:pPr>
      <w:bookmarkStart w:id="44" w:name="_Toc15377226"/>
      <w:r>
        <w:rPr>
          <w:rFonts w:hint="eastAsia" w:ascii="仿宋_GB2312" w:eastAsia="仿宋_GB2312"/>
          <w:sz w:val="32"/>
          <w:szCs w:val="32"/>
        </w:rPr>
        <w:t>1.财政拨款收入：指单位从同级财政部门取得的财政预算资金。</w:t>
      </w:r>
    </w:p>
    <w:p w14:paraId="7AA91008">
      <w:pPr>
        <w:ind w:firstLine="640" w:firstLineChars="200"/>
        <w:rPr>
          <w:rFonts w:hint="eastAsia" w:ascii="仿宋_GB2312" w:eastAsia="仿宋_GB2312"/>
          <w:sz w:val="32"/>
          <w:szCs w:val="32"/>
        </w:rPr>
      </w:pPr>
      <w:r>
        <w:rPr>
          <w:rFonts w:hint="eastAsia" w:ascii="仿宋_GB2312" w:eastAsia="仿宋_GB2312"/>
          <w:sz w:val="32"/>
          <w:szCs w:val="32"/>
        </w:rPr>
        <w:t>2.事业收入：指事业单位开展专业业务活动及辅助活动取得的收入。</w:t>
      </w:r>
    </w:p>
    <w:p w14:paraId="32A94F21">
      <w:pPr>
        <w:ind w:firstLine="640" w:firstLineChars="200"/>
        <w:rPr>
          <w:rFonts w:hint="eastAsia" w:ascii="仿宋_GB2312" w:eastAsia="仿宋_GB2312"/>
          <w:sz w:val="32"/>
          <w:szCs w:val="32"/>
        </w:rPr>
      </w:pPr>
      <w:r>
        <w:rPr>
          <w:rFonts w:hint="eastAsia" w:ascii="仿宋_GB2312" w:eastAsia="仿宋_GB2312"/>
          <w:sz w:val="32"/>
          <w:szCs w:val="32"/>
        </w:rPr>
        <w:t>3.经营收入：指事业单位在专业业务活动及其辅助活动之外开展非独立核算经营活动取得的收入。</w:t>
      </w:r>
    </w:p>
    <w:p w14:paraId="4D491692">
      <w:pPr>
        <w:ind w:firstLine="640" w:firstLineChars="200"/>
        <w:rPr>
          <w:rFonts w:hint="eastAsia" w:ascii="仿宋_GB2312" w:eastAsia="仿宋_GB2312"/>
          <w:sz w:val="32"/>
          <w:szCs w:val="32"/>
        </w:rPr>
      </w:pPr>
      <w:r>
        <w:rPr>
          <w:rFonts w:hint="eastAsia" w:ascii="仿宋_GB2312" w:eastAsia="仿宋_GB2312"/>
          <w:sz w:val="32"/>
          <w:szCs w:val="32"/>
        </w:rPr>
        <w:t xml:space="preserve">4.其他收入：指单位取得的除上述收入以外的各项收入。 </w:t>
      </w:r>
    </w:p>
    <w:p w14:paraId="0CCC58A1">
      <w:pPr>
        <w:ind w:firstLine="640" w:firstLineChars="200"/>
        <w:rPr>
          <w:rFonts w:hint="eastAsia" w:ascii="仿宋_GB2312" w:eastAsia="仿宋_GB2312"/>
          <w:sz w:val="32"/>
          <w:szCs w:val="32"/>
        </w:rPr>
      </w:pPr>
      <w:r>
        <w:rPr>
          <w:rFonts w:hint="eastAsia" w:ascii="仿宋_GB2312" w:eastAsia="仿宋_GB2312"/>
          <w:sz w:val="32"/>
          <w:szCs w:val="32"/>
        </w:rPr>
        <w:t xml:space="preserve">5.使用非财政拨款结余（含专用结余）：指事业单位使用以前年度积累的非财政拨款结余弥补当年收支差额的金额。 </w:t>
      </w:r>
    </w:p>
    <w:p w14:paraId="6CBCC9C5">
      <w:pPr>
        <w:ind w:firstLine="640" w:firstLineChars="200"/>
        <w:rPr>
          <w:rFonts w:hint="eastAsia" w:ascii="仿宋_GB2312" w:eastAsia="仿宋_GB2312"/>
          <w:sz w:val="32"/>
          <w:szCs w:val="32"/>
        </w:rPr>
      </w:pPr>
      <w:r>
        <w:rPr>
          <w:rFonts w:hint="eastAsia" w:ascii="仿宋_GB2312" w:eastAsia="仿宋_GB2312"/>
          <w:sz w:val="32"/>
          <w:szCs w:val="32"/>
        </w:rPr>
        <w:t xml:space="preserve">6.年初结转和结余：指以前年度尚未完成、结转到本年按有关规定继续使用的资金。 </w:t>
      </w:r>
    </w:p>
    <w:p w14:paraId="3BAB0A5E">
      <w:pPr>
        <w:ind w:firstLine="640" w:firstLineChars="200"/>
        <w:rPr>
          <w:rFonts w:hint="eastAsia" w:ascii="仿宋_GB2312" w:eastAsia="仿宋_GB2312"/>
          <w:sz w:val="32"/>
          <w:szCs w:val="32"/>
        </w:rPr>
      </w:pPr>
      <w:r>
        <w:rPr>
          <w:rFonts w:hint="eastAsia" w:ascii="仿宋_GB2312" w:eastAsia="仿宋_GB2312"/>
          <w:sz w:val="32"/>
          <w:szCs w:val="32"/>
        </w:rPr>
        <w:t>7.结余分配：指事业单位按照会计制度规定缴纳的所得税、提取的专用结余以及转入非财政拨款结余的金额等。</w:t>
      </w:r>
    </w:p>
    <w:p w14:paraId="3E4F0C91">
      <w:pPr>
        <w:ind w:firstLine="640" w:firstLineChars="200"/>
        <w:rPr>
          <w:rFonts w:hint="eastAsia" w:ascii="仿宋_GB2312" w:eastAsia="仿宋_GB2312"/>
          <w:sz w:val="32"/>
          <w:szCs w:val="32"/>
        </w:rPr>
      </w:pPr>
      <w:r>
        <w:rPr>
          <w:rFonts w:hint="eastAsia" w:ascii="仿宋_GB2312" w:eastAsia="仿宋_GB2312"/>
          <w:sz w:val="32"/>
          <w:szCs w:val="32"/>
        </w:rPr>
        <w:t>8.年末结转和结余：指单位按有关规定结转到下年或以后年度继续使用的资金。</w:t>
      </w:r>
    </w:p>
    <w:p w14:paraId="67B2C74B">
      <w:pPr>
        <w:ind w:firstLine="640" w:firstLineChars="200"/>
        <w:rPr>
          <w:rFonts w:hint="eastAsia" w:ascii="仿宋_GB2312" w:eastAsia="仿宋_GB2312"/>
          <w:sz w:val="32"/>
          <w:szCs w:val="32"/>
        </w:rPr>
      </w:pPr>
      <w:r>
        <w:rPr>
          <w:rFonts w:ascii="仿宋_GB2312" w:eastAsia="仿宋_GB2312"/>
          <w:sz w:val="32"/>
          <w:szCs w:val="32"/>
        </w:rPr>
        <w:t>9.</w:t>
      </w:r>
      <w:r>
        <w:rPr>
          <w:rFonts w:hint="eastAsia" w:ascii="仿宋_GB2312" w:eastAsia="仿宋_GB2312"/>
          <w:sz w:val="32"/>
          <w:szCs w:val="32"/>
        </w:rPr>
        <w:t>科学技术（类）社会科学（款）其他社会科学支出（项）：指反映行政单位（包括实行公务员管理的事业单位）的基本支出。</w:t>
      </w:r>
    </w:p>
    <w:p w14:paraId="1034B8CA">
      <w:pPr>
        <w:ind w:firstLine="640" w:firstLineChars="200"/>
        <w:rPr>
          <w:rFonts w:hint="eastAsia" w:ascii="仿宋_GB2312" w:eastAsia="仿宋_GB2312"/>
          <w:sz w:val="32"/>
          <w:szCs w:val="32"/>
        </w:rPr>
      </w:pPr>
      <w:r>
        <w:rPr>
          <w:rFonts w:hint="eastAsia" w:ascii="仿宋_GB2312" w:eastAsia="仿宋_GB2312"/>
          <w:sz w:val="32"/>
          <w:szCs w:val="32"/>
        </w:rPr>
        <w:t>10.社会保障和就业（类）行政事业单位养老支出（款）机关事业单位养老保险缴费支出（项）：指反映机关事业单位实施养老保险制度由单位缴纳的基本养老保险费支出。</w:t>
      </w:r>
    </w:p>
    <w:p w14:paraId="299E85F7">
      <w:pPr>
        <w:ind w:firstLine="640" w:firstLineChars="200"/>
        <w:rPr>
          <w:rFonts w:hint="eastAsia" w:ascii="仿宋_GB2312" w:eastAsia="仿宋_GB2312"/>
          <w:sz w:val="32"/>
          <w:szCs w:val="32"/>
        </w:rPr>
      </w:pPr>
      <w:r>
        <w:rPr>
          <w:rFonts w:hint="eastAsia" w:ascii="仿宋_GB2312" w:eastAsia="仿宋_GB2312"/>
          <w:sz w:val="32"/>
          <w:szCs w:val="32"/>
        </w:rPr>
        <w:t>11.社会保障和就业（类）行政事业单位离退休（款）机关事业单位职业年金缴费支出（项）：指反映机关事业单位实施养老保险制度由单位缴纳的职业年金支出。</w:t>
      </w:r>
    </w:p>
    <w:p w14:paraId="72601658">
      <w:pPr>
        <w:ind w:firstLine="640" w:firstLineChars="200"/>
        <w:rPr>
          <w:rFonts w:hint="eastAsia"/>
        </w:rPr>
      </w:pPr>
      <w:r>
        <w:rPr>
          <w:rFonts w:hint="eastAsia" w:ascii="仿宋_GB2312" w:eastAsia="仿宋_GB2312"/>
          <w:sz w:val="32"/>
          <w:szCs w:val="32"/>
        </w:rPr>
        <w:t>12.卫生健康支出（类）行政事业单位医疗（款）行政单位医疗（项）：指反映财政部门集中安排的行政单位基本医疗保险费经费，未参加医疗保险的行政单位的公费医疗经费，按国家规定享受离休人员、红军老战士待遇人员的医疗经费。</w:t>
      </w:r>
    </w:p>
    <w:p w14:paraId="0BFA4E7A">
      <w:pPr>
        <w:ind w:firstLine="640" w:firstLineChars="200"/>
        <w:rPr>
          <w:rFonts w:hint="eastAsia" w:ascii="仿宋_GB2312" w:eastAsia="仿宋_GB2312"/>
          <w:sz w:val="32"/>
          <w:szCs w:val="32"/>
        </w:rPr>
      </w:pPr>
      <w:r>
        <w:rPr>
          <w:rFonts w:hint="eastAsia" w:ascii="仿宋_GB2312" w:eastAsia="仿宋_GB2312"/>
          <w:sz w:val="32"/>
          <w:szCs w:val="32"/>
        </w:rPr>
        <w:t>13.卫生健康支出（类）行政事业单位医疗（款）公务员医疗补助（项）：</w:t>
      </w:r>
      <w:r>
        <w:rPr>
          <w:rFonts w:hint="eastAsia" w:ascii="仿宋_GB2312" w:eastAsia="仿宋_GB2312"/>
          <w:sz w:val="32"/>
          <w:szCs w:val="32"/>
          <w:lang w:eastAsia="zh-CN"/>
        </w:rPr>
        <w:t>是在城镇职工基本医疗保险制度的基础上，对公务员实施的补充医疗保障，主要用于补助公务员在基本医疗保险用药目录、诊疗项目和医疗服务设施标准范围内的住院医疗费用中个人自付超过一定数额的部分</w:t>
      </w:r>
      <w:r>
        <w:rPr>
          <w:rFonts w:hint="eastAsia" w:ascii="仿宋_GB2312" w:eastAsia="仿宋_GB2312"/>
          <w:sz w:val="32"/>
          <w:szCs w:val="32"/>
        </w:rPr>
        <w:t>。</w:t>
      </w:r>
    </w:p>
    <w:p w14:paraId="79FADFAA">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14.</w:t>
      </w:r>
      <w:r>
        <w:rPr>
          <w:rFonts w:hint="eastAsia" w:ascii="仿宋_GB2312" w:eastAsia="仿宋_GB2312"/>
          <w:sz w:val="32"/>
          <w:szCs w:val="32"/>
        </w:rPr>
        <w:t>住房保障支出（类）住房改革支出（款）住房公积金（项）：指反映行政事业单位按人力资源和社会保障部、财政部规定的基本工资和津贴补贴以及规定比例为职工缴纳的住房公积金。</w:t>
      </w:r>
    </w:p>
    <w:p w14:paraId="4BA32CD3">
      <w:pPr>
        <w:ind w:firstLine="640" w:firstLineChars="200"/>
        <w:rPr>
          <w:rFonts w:hint="eastAsia" w:ascii="仿宋_GB2312" w:eastAsia="仿宋_GB2312"/>
          <w:sz w:val="32"/>
          <w:szCs w:val="32"/>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仿宋_GB2312" w:eastAsia="仿宋_GB2312"/>
          <w:sz w:val="32"/>
          <w:szCs w:val="32"/>
          <w:lang w:val="en-US" w:eastAsia="zh-CN"/>
        </w:rPr>
        <w:t>15</w:t>
      </w:r>
      <w:r>
        <w:rPr>
          <w:rFonts w:ascii="仿宋_GB2312" w:eastAsia="仿宋_GB2312"/>
          <w:sz w:val="32"/>
          <w:szCs w:val="32"/>
        </w:rPr>
        <w:t>.</w:t>
      </w:r>
      <w:r>
        <w:rPr>
          <w:rFonts w:hint="eastAsia" w:ascii="仿宋_GB2312" w:eastAsia="仿宋_GB2312"/>
          <w:sz w:val="32"/>
          <w:szCs w:val="32"/>
        </w:rPr>
        <w:t>文化旅游体育与传媒支出（类）其他文化旅游体育与传媒支出（款）文化产业发展专项支出基本支出（项）：</w:t>
      </w:r>
    </w:p>
    <w:p w14:paraId="0EA1A1C5">
      <w:pPr>
        <w:ind w:firstLine="640" w:firstLineChars="200"/>
        <w:rPr>
          <w:rFonts w:hint="eastAsia" w:ascii="仿宋_GB2312" w:eastAsia="仿宋_GB2312"/>
          <w:sz w:val="32"/>
          <w:szCs w:val="32"/>
        </w:rPr>
      </w:pPr>
      <w:r>
        <w:rPr>
          <w:rFonts w:hint="eastAsia" w:ascii="仿宋_GB2312" w:eastAsia="仿宋_GB2312"/>
          <w:sz w:val="32"/>
          <w:szCs w:val="32"/>
        </w:rPr>
        <w:t>指反映行政单位（包括实行公务员管理的事业单位）的基本支出。</w:t>
      </w:r>
    </w:p>
    <w:p w14:paraId="7E7C6008">
      <w:pPr>
        <w:ind w:firstLine="640" w:firstLineChars="200"/>
        <w:rPr>
          <w:rFonts w:ascii="仿宋_GB2312" w:eastAsia="仿宋_GB2312"/>
          <w:sz w:val="32"/>
          <w:szCs w:val="32"/>
        </w:rPr>
      </w:pPr>
      <w:r>
        <w:rPr>
          <w:rFonts w:hint="eastAsia" w:ascii="仿宋_GB2312" w:eastAsia="仿宋_GB2312"/>
          <w:sz w:val="32"/>
          <w:szCs w:val="32"/>
          <w:lang w:val="en-US" w:eastAsia="zh-CN"/>
        </w:rPr>
        <w:t>16.</w:t>
      </w:r>
      <w:r>
        <w:rPr>
          <w:rFonts w:hint="eastAsia" w:ascii="仿宋_GB2312" w:eastAsia="仿宋_GB2312"/>
          <w:sz w:val="32"/>
          <w:szCs w:val="32"/>
        </w:rPr>
        <w:t>基本支出：指为保障机构正常运转、完成日常工作任务而发生的人员支出和公用支出。</w:t>
      </w:r>
    </w:p>
    <w:p w14:paraId="70B9A374">
      <w:pPr>
        <w:ind w:firstLine="640" w:firstLineChars="200"/>
        <w:rPr>
          <w:rFonts w:ascii="仿宋_GB2312" w:eastAsia="仿宋_GB2312"/>
          <w:sz w:val="32"/>
          <w:szCs w:val="32"/>
        </w:rPr>
      </w:pPr>
      <w:r>
        <w:rPr>
          <w:rFonts w:hint="eastAsia" w:ascii="仿宋_GB2312" w:eastAsia="仿宋_GB2312"/>
          <w:sz w:val="32"/>
          <w:szCs w:val="32"/>
          <w:lang w:val="en-US" w:eastAsia="zh-CN"/>
        </w:rPr>
        <w:t>17</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14:paraId="312D59D1">
      <w:pPr>
        <w:ind w:firstLine="640" w:firstLineChars="200"/>
        <w:rPr>
          <w:rFonts w:ascii="仿宋_GB2312" w:eastAsia="仿宋_GB2312"/>
          <w:sz w:val="32"/>
          <w:szCs w:val="32"/>
        </w:rPr>
      </w:pPr>
      <w:r>
        <w:rPr>
          <w:rFonts w:hint="eastAsia" w:ascii="仿宋_GB2312" w:eastAsia="仿宋_GB2312"/>
          <w:sz w:val="32"/>
          <w:szCs w:val="32"/>
          <w:lang w:val="en-US" w:eastAsia="zh-CN"/>
        </w:rPr>
        <w:t>18</w:t>
      </w:r>
      <w:r>
        <w:rPr>
          <w:rFonts w:ascii="仿宋_GB2312" w:eastAsia="仿宋_GB2312"/>
          <w:sz w:val="32"/>
          <w:szCs w:val="32"/>
        </w:rPr>
        <w:t>.</w:t>
      </w:r>
      <w:r>
        <w:rPr>
          <w:rFonts w:hint="eastAsia" w:ascii="仿宋_GB2312" w:eastAsia="仿宋_GB2312"/>
          <w:sz w:val="32"/>
          <w:szCs w:val="32"/>
        </w:rPr>
        <w:t>经营支出：指事业单位在专业业务活动及其辅助活动之外开展非独立核算经营活动发生的支出。</w:t>
      </w:r>
    </w:p>
    <w:p w14:paraId="28BDBAD5">
      <w:pPr>
        <w:pStyle w:val="25"/>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19</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E73EE6C">
      <w:pPr>
        <w:pStyle w:val="25"/>
        <w:spacing w:line="560" w:lineRule="exact"/>
        <w:ind w:firstLine="640" w:firstLineChars="200"/>
        <w:rPr>
          <w:rFonts w:ascii="仿宋_GB2312" w:eastAsia="仿宋_GB2312" w:cs="黑体"/>
          <w:color w:val="auto"/>
          <w:sz w:val="32"/>
          <w:szCs w:val="32"/>
        </w:rPr>
      </w:pPr>
      <w:r>
        <w:rPr>
          <w:rFonts w:hint="eastAsia" w:ascii="仿宋_GB2312" w:eastAsia="仿宋_GB2312"/>
          <w:color w:val="auto"/>
          <w:sz w:val="32"/>
          <w:szCs w:val="32"/>
          <w:lang w:val="en-US" w:eastAsia="zh-CN"/>
        </w:rPr>
        <w:t>20</w:t>
      </w:r>
      <w:r>
        <w:rPr>
          <w:rFonts w:ascii="仿宋_GB2312" w:eastAsia="仿宋_GB2312"/>
          <w:color w:val="auto"/>
          <w:sz w:val="32"/>
          <w:szCs w:val="32"/>
        </w:rPr>
        <w:t>.</w:t>
      </w:r>
      <w:r>
        <w:rPr>
          <w:rFonts w:hint="eastAsia" w:ascii="仿宋_GB2312" w:eastAsia="仿宋_GB2312"/>
          <w:color w:val="auto"/>
          <w:sz w:val="32"/>
          <w:szCs w:val="32"/>
        </w:rPr>
        <w:t>机关运行经费：为保障行政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49EF28E">
      <w:pPr>
        <w:ind w:firstLine="643" w:firstLineChars="200"/>
        <w:rPr>
          <w:rFonts w:ascii="仿宋" w:hAnsi="仿宋" w:eastAsia="仿宋"/>
          <w:b/>
          <w:sz w:val="32"/>
          <w:szCs w:val="32"/>
        </w:rPr>
      </w:pPr>
      <w:r>
        <w:rPr>
          <w:rFonts w:hint="eastAsia" w:ascii="仿宋" w:hAnsi="仿宋" w:eastAsia="仿宋"/>
          <w:b/>
          <w:sz w:val="32"/>
          <w:szCs w:val="32"/>
        </w:rPr>
        <w:t>（名词解释部分请根据各单位实际列支情况罗列，并根据本单位职责职能增减名词解释内容。）</w:t>
      </w:r>
    </w:p>
    <w:p w14:paraId="0CDA9C08">
      <w:pPr>
        <w:spacing w:line="600" w:lineRule="exact"/>
        <w:jc w:val="center"/>
        <w:outlineLvl w:val="0"/>
        <w:rPr>
          <w:rStyle w:val="27"/>
          <w:rFonts w:ascii="黑体" w:hAnsi="黑体" w:eastAsia="黑体"/>
          <w:b w:val="0"/>
        </w:rPr>
      </w:pPr>
      <w:r>
        <w:rPr>
          <w:rFonts w:ascii="宋体"/>
          <w:b/>
          <w:sz w:val="44"/>
          <w:szCs w:val="44"/>
        </w:rPr>
        <w:br w:type="page"/>
      </w:r>
      <w:bookmarkStart w:id="45" w:name="_Toc15396614"/>
      <w:r>
        <w:rPr>
          <w:rFonts w:hint="eastAsia" w:ascii="黑体" w:hAnsi="黑体" w:eastAsia="黑体"/>
          <w:sz w:val="44"/>
          <w:szCs w:val="44"/>
        </w:rPr>
        <w:t>第</w:t>
      </w:r>
      <w:r>
        <w:rPr>
          <w:rStyle w:val="27"/>
          <w:rFonts w:hint="eastAsia" w:ascii="黑体" w:hAnsi="黑体" w:eastAsia="黑体"/>
          <w:b w:val="0"/>
        </w:rPr>
        <w:t>四部分 附件</w:t>
      </w:r>
      <w:bookmarkEnd w:id="45"/>
    </w:p>
    <w:p w14:paraId="4E92A9B6">
      <w:pPr>
        <w:spacing w:line="572" w:lineRule="exact"/>
        <w:jc w:val="left"/>
        <w:outlineLvl w:val="0"/>
        <w:rPr>
          <w:rFonts w:ascii="仿宋_GB2312" w:hAnsi="仿宋_GB2312" w:eastAsia="仿宋_GB2312" w:cs="仿宋_GB2312"/>
          <w:sz w:val="32"/>
          <w:szCs w:val="32"/>
        </w:rPr>
      </w:pPr>
    </w:p>
    <w:p w14:paraId="5BF553E9">
      <w:pPr>
        <w:spacing w:line="600" w:lineRule="exact"/>
        <w:jc w:val="center"/>
        <w:outlineLvl w:val="0"/>
        <w:rPr>
          <w:rFonts w:hint="eastAsia"/>
          <w:sz w:val="32"/>
          <w:szCs w:val="32"/>
        </w:rPr>
      </w:pPr>
      <w:bookmarkStart w:id="46" w:name="_Toc15396618"/>
      <w:r>
        <w:rPr>
          <w:rFonts w:hint="eastAsia"/>
          <w:sz w:val="32"/>
          <w:szCs w:val="32"/>
        </w:rPr>
        <w:t>部门预算项目支出绩效自评表（2023年度）</w:t>
      </w:r>
    </w:p>
    <w:p w14:paraId="0F7C58D6">
      <w:pPr>
        <w:pStyle w:val="2"/>
      </w:pPr>
    </w:p>
    <w:p w14:paraId="0CEE38C1">
      <w:pPr>
        <w:pStyle w:val="14"/>
        <w:spacing w:line="560" w:lineRule="exact"/>
        <w:ind w:left="0" w:leftChars="0" w:firstLine="640"/>
        <w:rPr>
          <w:rFonts w:hint="eastAsia" w:hAnsi="Calibri" w:eastAsia="仿宋_GB2312" w:cs="仿宋"/>
          <w:sz w:val="32"/>
        </w:rPr>
      </w:pPr>
      <w:r>
        <w:rPr>
          <w:rFonts w:hint="eastAsia" w:hAnsi="Calibri" w:eastAsia="仿宋_GB2312" w:cs="仿宋"/>
          <w:sz w:val="32"/>
        </w:rPr>
        <w:t>（备注：按照绩效自评工作安排，各单位可在预算管理一体化系统—综合报表查询—预算绩效报表模块中下载本单位“部门预算项目支出绩效自评表（2023年度）”，该表格应作为附件予以公开。）</w:t>
      </w:r>
    </w:p>
    <w:p w14:paraId="14AEDE35">
      <w:pPr>
        <w:pStyle w:val="14"/>
        <w:spacing w:line="560" w:lineRule="exact"/>
        <w:ind w:left="0" w:leftChars="0" w:firstLine="640"/>
        <w:rPr>
          <w:rFonts w:hint="eastAsia" w:hAnsi="Calibri" w:eastAsia="仿宋_GB2312" w:cs="仿宋"/>
          <w:sz w:val="32"/>
          <w:lang w:val="zh-CN"/>
        </w:rPr>
      </w:pPr>
    </w:p>
    <w:p w14:paraId="333D574E">
      <w:pPr>
        <w:pStyle w:val="6"/>
        <w:spacing w:before="93"/>
        <w:rPr>
          <w:rFonts w:hAnsi="Calibri" w:cs="仿宋"/>
          <w:sz w:val="32"/>
          <w:szCs w:val="32"/>
        </w:rPr>
      </w:pPr>
    </w:p>
    <w:p w14:paraId="13C783BC">
      <w:pPr>
        <w:pStyle w:val="6"/>
        <w:spacing w:before="93"/>
      </w:pPr>
      <w:r>
        <w:drawing>
          <wp:inline distT="0" distB="0" distL="114300" distR="114300">
            <wp:extent cx="5267325" cy="35337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67325" cy="3533775"/>
                    </a:xfrm>
                    <a:prstGeom prst="rect">
                      <a:avLst/>
                    </a:prstGeom>
                    <a:noFill/>
                    <a:ln>
                      <a:noFill/>
                    </a:ln>
                  </pic:spPr>
                </pic:pic>
              </a:graphicData>
            </a:graphic>
          </wp:inline>
        </w:drawing>
      </w:r>
    </w:p>
    <w:p w14:paraId="73347CC7">
      <w:pPr>
        <w:pStyle w:val="6"/>
        <w:spacing w:before="93"/>
      </w:pPr>
    </w:p>
    <w:p w14:paraId="2F8FB0EF">
      <w:pPr>
        <w:pStyle w:val="6"/>
        <w:spacing w:before="93"/>
      </w:pPr>
    </w:p>
    <w:p w14:paraId="49476E81">
      <w:pPr>
        <w:pStyle w:val="6"/>
        <w:spacing w:before="93"/>
      </w:pPr>
      <w:r>
        <w:drawing>
          <wp:inline distT="0" distB="0" distL="114300" distR="114300">
            <wp:extent cx="5266690" cy="3483610"/>
            <wp:effectExtent l="0" t="0" r="10160" b="254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6"/>
                    <a:stretch>
                      <a:fillRect/>
                    </a:stretch>
                  </pic:blipFill>
                  <pic:spPr>
                    <a:xfrm>
                      <a:off x="0" y="0"/>
                      <a:ext cx="5266690" cy="3483610"/>
                    </a:xfrm>
                    <a:prstGeom prst="rect">
                      <a:avLst/>
                    </a:prstGeom>
                    <a:noFill/>
                    <a:ln>
                      <a:noFill/>
                    </a:ln>
                  </pic:spPr>
                </pic:pic>
              </a:graphicData>
            </a:graphic>
          </wp:inline>
        </w:drawing>
      </w:r>
    </w:p>
    <w:p w14:paraId="58A49843">
      <w:pPr>
        <w:pStyle w:val="6"/>
        <w:spacing w:before="93"/>
        <w:rPr>
          <w:rFonts w:hAnsi="Calibri" w:cs="仿宋"/>
          <w:sz w:val="32"/>
          <w:szCs w:val="32"/>
        </w:rPr>
      </w:pPr>
    </w:p>
    <w:p w14:paraId="10E45C2A">
      <w:pPr>
        <w:pStyle w:val="6"/>
        <w:spacing w:before="93"/>
        <w:rPr>
          <w:rFonts w:hAnsi="Calibri" w:cs="仿宋"/>
          <w:sz w:val="32"/>
          <w:szCs w:val="32"/>
        </w:rPr>
      </w:pPr>
    </w:p>
    <w:p w14:paraId="7E5A2B39">
      <w:pPr>
        <w:pStyle w:val="6"/>
        <w:spacing w:before="93"/>
        <w:rPr>
          <w:rFonts w:hAnsi="Calibri" w:cs="仿宋"/>
          <w:sz w:val="32"/>
          <w:szCs w:val="32"/>
        </w:rPr>
      </w:pPr>
      <w:r>
        <w:drawing>
          <wp:inline distT="0" distB="0" distL="114300" distR="114300">
            <wp:extent cx="5266690" cy="3964305"/>
            <wp:effectExtent l="0" t="0" r="10160" b="1714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17"/>
                    <a:stretch>
                      <a:fillRect/>
                    </a:stretch>
                  </pic:blipFill>
                  <pic:spPr>
                    <a:xfrm>
                      <a:off x="0" y="0"/>
                      <a:ext cx="5266690" cy="3964305"/>
                    </a:xfrm>
                    <a:prstGeom prst="rect">
                      <a:avLst/>
                    </a:prstGeom>
                    <a:noFill/>
                    <a:ln>
                      <a:noFill/>
                    </a:ln>
                  </pic:spPr>
                </pic:pic>
              </a:graphicData>
            </a:graphic>
          </wp:inline>
        </w:drawing>
      </w:r>
    </w:p>
    <w:p w14:paraId="61588A8E">
      <w:pPr>
        <w:pStyle w:val="6"/>
        <w:spacing w:before="93"/>
      </w:pPr>
      <w:r>
        <w:drawing>
          <wp:inline distT="0" distB="0" distL="114300" distR="114300">
            <wp:extent cx="5266690" cy="4008755"/>
            <wp:effectExtent l="0" t="0" r="10160" b="1079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18"/>
                    <a:stretch>
                      <a:fillRect/>
                    </a:stretch>
                  </pic:blipFill>
                  <pic:spPr>
                    <a:xfrm>
                      <a:off x="0" y="0"/>
                      <a:ext cx="5266690" cy="4008755"/>
                    </a:xfrm>
                    <a:prstGeom prst="rect">
                      <a:avLst/>
                    </a:prstGeom>
                    <a:noFill/>
                    <a:ln>
                      <a:noFill/>
                    </a:ln>
                  </pic:spPr>
                </pic:pic>
              </a:graphicData>
            </a:graphic>
          </wp:inline>
        </w:drawing>
      </w:r>
    </w:p>
    <w:p w14:paraId="5FAEF877">
      <w:pPr>
        <w:pStyle w:val="6"/>
        <w:spacing w:before="93"/>
      </w:pPr>
      <w:r>
        <w:drawing>
          <wp:inline distT="0" distB="0" distL="114300" distR="114300">
            <wp:extent cx="5266690" cy="4008755"/>
            <wp:effectExtent l="0" t="0" r="10160" b="1079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18"/>
                    <a:stretch>
                      <a:fillRect/>
                    </a:stretch>
                  </pic:blipFill>
                  <pic:spPr>
                    <a:xfrm>
                      <a:off x="0" y="0"/>
                      <a:ext cx="5266690" cy="4008755"/>
                    </a:xfrm>
                    <a:prstGeom prst="rect">
                      <a:avLst/>
                    </a:prstGeom>
                    <a:noFill/>
                    <a:ln>
                      <a:noFill/>
                    </a:ln>
                  </pic:spPr>
                </pic:pic>
              </a:graphicData>
            </a:graphic>
          </wp:inline>
        </w:drawing>
      </w:r>
    </w:p>
    <w:p w14:paraId="3CF97F94">
      <w:pPr>
        <w:pStyle w:val="6"/>
        <w:spacing w:before="93"/>
        <w:rPr>
          <w:rFonts w:hAnsi="Calibri" w:cs="仿宋"/>
          <w:sz w:val="32"/>
          <w:szCs w:val="32"/>
        </w:rPr>
      </w:pPr>
    </w:p>
    <w:p w14:paraId="3CE7FB8D">
      <w:pPr>
        <w:pStyle w:val="6"/>
        <w:spacing w:before="93"/>
      </w:pPr>
      <w:r>
        <w:drawing>
          <wp:inline distT="0" distB="0" distL="114300" distR="114300">
            <wp:extent cx="5266690" cy="3880485"/>
            <wp:effectExtent l="0" t="0" r="10160" b="571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19"/>
                    <a:stretch>
                      <a:fillRect/>
                    </a:stretch>
                  </pic:blipFill>
                  <pic:spPr>
                    <a:xfrm>
                      <a:off x="0" y="0"/>
                      <a:ext cx="5266690" cy="3880485"/>
                    </a:xfrm>
                    <a:prstGeom prst="rect">
                      <a:avLst/>
                    </a:prstGeom>
                    <a:noFill/>
                    <a:ln>
                      <a:noFill/>
                    </a:ln>
                  </pic:spPr>
                </pic:pic>
              </a:graphicData>
            </a:graphic>
          </wp:inline>
        </w:drawing>
      </w:r>
    </w:p>
    <w:p w14:paraId="2D6A881B">
      <w:pPr>
        <w:pStyle w:val="6"/>
        <w:spacing w:before="93"/>
      </w:pPr>
      <w:r>
        <w:drawing>
          <wp:inline distT="0" distB="0" distL="114300" distR="114300">
            <wp:extent cx="5266690" cy="3964305"/>
            <wp:effectExtent l="0" t="0" r="10160" b="1714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0"/>
                    <a:stretch>
                      <a:fillRect/>
                    </a:stretch>
                  </pic:blipFill>
                  <pic:spPr>
                    <a:xfrm>
                      <a:off x="0" y="0"/>
                      <a:ext cx="5266690" cy="3964305"/>
                    </a:xfrm>
                    <a:prstGeom prst="rect">
                      <a:avLst/>
                    </a:prstGeom>
                    <a:noFill/>
                    <a:ln>
                      <a:noFill/>
                    </a:ln>
                  </pic:spPr>
                </pic:pic>
              </a:graphicData>
            </a:graphic>
          </wp:inline>
        </w:drawing>
      </w:r>
    </w:p>
    <w:p w14:paraId="3DFFA4B1">
      <w:pPr>
        <w:pStyle w:val="6"/>
        <w:spacing w:before="93"/>
      </w:pPr>
    </w:p>
    <w:p w14:paraId="62D7C182">
      <w:pPr>
        <w:pStyle w:val="6"/>
        <w:spacing w:before="93"/>
      </w:pPr>
      <w:r>
        <w:drawing>
          <wp:inline distT="0" distB="0" distL="114300" distR="114300">
            <wp:extent cx="5266690" cy="3254375"/>
            <wp:effectExtent l="0" t="0" r="10160" b="3175"/>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21"/>
                    <a:stretch>
                      <a:fillRect/>
                    </a:stretch>
                  </pic:blipFill>
                  <pic:spPr>
                    <a:xfrm>
                      <a:off x="0" y="0"/>
                      <a:ext cx="5266690" cy="3254375"/>
                    </a:xfrm>
                    <a:prstGeom prst="rect">
                      <a:avLst/>
                    </a:prstGeom>
                    <a:noFill/>
                    <a:ln>
                      <a:noFill/>
                    </a:ln>
                  </pic:spPr>
                </pic:pic>
              </a:graphicData>
            </a:graphic>
          </wp:inline>
        </w:drawing>
      </w:r>
    </w:p>
    <w:p w14:paraId="35C4B22C">
      <w:pPr>
        <w:pStyle w:val="6"/>
        <w:spacing w:before="93"/>
      </w:pPr>
    </w:p>
    <w:p w14:paraId="288D6A61">
      <w:pPr>
        <w:pStyle w:val="6"/>
        <w:spacing w:before="93"/>
      </w:pPr>
      <w:r>
        <w:drawing>
          <wp:inline distT="0" distB="0" distL="114300" distR="114300">
            <wp:extent cx="5266690" cy="3964305"/>
            <wp:effectExtent l="0" t="0" r="10160" b="1714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22"/>
                    <a:stretch>
                      <a:fillRect/>
                    </a:stretch>
                  </pic:blipFill>
                  <pic:spPr>
                    <a:xfrm>
                      <a:off x="0" y="0"/>
                      <a:ext cx="5266690" cy="3964305"/>
                    </a:xfrm>
                    <a:prstGeom prst="rect">
                      <a:avLst/>
                    </a:prstGeom>
                    <a:noFill/>
                    <a:ln>
                      <a:noFill/>
                    </a:ln>
                  </pic:spPr>
                </pic:pic>
              </a:graphicData>
            </a:graphic>
          </wp:inline>
        </w:drawing>
      </w:r>
    </w:p>
    <w:p w14:paraId="2DFDD247">
      <w:pPr>
        <w:pStyle w:val="6"/>
        <w:spacing w:before="93"/>
      </w:pPr>
    </w:p>
    <w:p w14:paraId="67A5A653">
      <w:pPr>
        <w:pStyle w:val="6"/>
        <w:spacing w:before="93"/>
      </w:pPr>
      <w:r>
        <w:drawing>
          <wp:inline distT="0" distB="0" distL="114300" distR="114300">
            <wp:extent cx="5266690" cy="3376930"/>
            <wp:effectExtent l="0" t="0" r="10160" b="1397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23"/>
                    <a:stretch>
                      <a:fillRect/>
                    </a:stretch>
                  </pic:blipFill>
                  <pic:spPr>
                    <a:xfrm>
                      <a:off x="0" y="0"/>
                      <a:ext cx="5266690" cy="3376930"/>
                    </a:xfrm>
                    <a:prstGeom prst="rect">
                      <a:avLst/>
                    </a:prstGeom>
                    <a:noFill/>
                    <a:ln>
                      <a:noFill/>
                    </a:ln>
                  </pic:spPr>
                </pic:pic>
              </a:graphicData>
            </a:graphic>
          </wp:inline>
        </w:drawing>
      </w:r>
    </w:p>
    <w:p w14:paraId="664CD81B">
      <w:pPr>
        <w:pStyle w:val="6"/>
        <w:spacing w:before="93"/>
      </w:pPr>
      <w:r>
        <w:drawing>
          <wp:inline distT="0" distB="0" distL="114300" distR="114300">
            <wp:extent cx="5266690" cy="3376930"/>
            <wp:effectExtent l="0" t="0" r="1016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4"/>
                    <a:stretch>
                      <a:fillRect/>
                    </a:stretch>
                  </pic:blipFill>
                  <pic:spPr>
                    <a:xfrm>
                      <a:off x="0" y="0"/>
                      <a:ext cx="5266690" cy="3376930"/>
                    </a:xfrm>
                    <a:prstGeom prst="rect">
                      <a:avLst/>
                    </a:prstGeom>
                    <a:noFill/>
                    <a:ln>
                      <a:noFill/>
                    </a:ln>
                  </pic:spPr>
                </pic:pic>
              </a:graphicData>
            </a:graphic>
          </wp:inline>
        </w:drawing>
      </w:r>
    </w:p>
    <w:p w14:paraId="28D08632">
      <w:pPr>
        <w:pStyle w:val="6"/>
        <w:spacing w:before="93"/>
      </w:pPr>
      <w:r>
        <w:drawing>
          <wp:inline distT="0" distB="0" distL="114300" distR="114300">
            <wp:extent cx="5266690" cy="3376930"/>
            <wp:effectExtent l="0" t="0" r="1016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5"/>
                    <a:stretch>
                      <a:fillRect/>
                    </a:stretch>
                  </pic:blipFill>
                  <pic:spPr>
                    <a:xfrm>
                      <a:off x="0" y="0"/>
                      <a:ext cx="5266690" cy="3376930"/>
                    </a:xfrm>
                    <a:prstGeom prst="rect">
                      <a:avLst/>
                    </a:prstGeom>
                    <a:noFill/>
                    <a:ln>
                      <a:noFill/>
                    </a:ln>
                  </pic:spPr>
                </pic:pic>
              </a:graphicData>
            </a:graphic>
          </wp:inline>
        </w:drawing>
      </w:r>
    </w:p>
    <w:p w14:paraId="119A8356">
      <w:pPr>
        <w:pStyle w:val="6"/>
        <w:spacing w:before="93"/>
      </w:pPr>
      <w:r>
        <w:drawing>
          <wp:inline distT="0" distB="0" distL="114300" distR="114300">
            <wp:extent cx="5266690" cy="3376930"/>
            <wp:effectExtent l="0" t="0" r="1016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6690" cy="3376930"/>
                    </a:xfrm>
                    <a:prstGeom prst="rect">
                      <a:avLst/>
                    </a:prstGeom>
                    <a:noFill/>
                    <a:ln>
                      <a:noFill/>
                    </a:ln>
                  </pic:spPr>
                </pic:pic>
              </a:graphicData>
            </a:graphic>
          </wp:inline>
        </w:drawing>
      </w:r>
    </w:p>
    <w:p w14:paraId="1275DC01">
      <w:pPr>
        <w:pStyle w:val="6"/>
        <w:spacing w:before="93"/>
      </w:pPr>
      <w:r>
        <w:drawing>
          <wp:inline distT="0" distB="0" distL="114300" distR="114300">
            <wp:extent cx="5266690" cy="3376930"/>
            <wp:effectExtent l="0" t="0" r="1016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7"/>
                    <a:stretch>
                      <a:fillRect/>
                    </a:stretch>
                  </pic:blipFill>
                  <pic:spPr>
                    <a:xfrm>
                      <a:off x="0" y="0"/>
                      <a:ext cx="5266690" cy="3376930"/>
                    </a:xfrm>
                    <a:prstGeom prst="rect">
                      <a:avLst/>
                    </a:prstGeom>
                    <a:noFill/>
                    <a:ln>
                      <a:noFill/>
                    </a:ln>
                  </pic:spPr>
                </pic:pic>
              </a:graphicData>
            </a:graphic>
          </wp:inline>
        </w:drawing>
      </w:r>
    </w:p>
    <w:p w14:paraId="4C010923">
      <w:pPr>
        <w:pStyle w:val="6"/>
        <w:spacing w:before="93"/>
      </w:pPr>
      <w:r>
        <w:drawing>
          <wp:inline distT="0" distB="0" distL="114300" distR="114300">
            <wp:extent cx="5266690" cy="3376930"/>
            <wp:effectExtent l="0" t="0" r="10160"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8"/>
                    <a:stretch>
                      <a:fillRect/>
                    </a:stretch>
                  </pic:blipFill>
                  <pic:spPr>
                    <a:xfrm>
                      <a:off x="0" y="0"/>
                      <a:ext cx="5266690" cy="3376930"/>
                    </a:xfrm>
                    <a:prstGeom prst="rect">
                      <a:avLst/>
                    </a:prstGeom>
                    <a:noFill/>
                    <a:ln>
                      <a:noFill/>
                    </a:ln>
                  </pic:spPr>
                </pic:pic>
              </a:graphicData>
            </a:graphic>
          </wp:inline>
        </w:drawing>
      </w:r>
    </w:p>
    <w:p w14:paraId="47EB9930">
      <w:pPr>
        <w:pStyle w:val="6"/>
        <w:spacing w:before="93"/>
      </w:pPr>
    </w:p>
    <w:p w14:paraId="527E4101">
      <w:pPr>
        <w:pStyle w:val="6"/>
        <w:spacing w:before="93"/>
      </w:pPr>
      <w:r>
        <w:drawing>
          <wp:inline distT="0" distB="0" distL="114300" distR="114300">
            <wp:extent cx="5266690" cy="3376930"/>
            <wp:effectExtent l="0" t="0" r="10160" b="1397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9"/>
                    <a:stretch>
                      <a:fillRect/>
                    </a:stretch>
                  </pic:blipFill>
                  <pic:spPr>
                    <a:xfrm>
                      <a:off x="0" y="0"/>
                      <a:ext cx="5266690" cy="3376930"/>
                    </a:xfrm>
                    <a:prstGeom prst="rect">
                      <a:avLst/>
                    </a:prstGeom>
                    <a:noFill/>
                    <a:ln>
                      <a:noFill/>
                    </a:ln>
                  </pic:spPr>
                </pic:pic>
              </a:graphicData>
            </a:graphic>
          </wp:inline>
        </w:drawing>
      </w:r>
    </w:p>
    <w:p w14:paraId="2AB3DA3B">
      <w:pPr>
        <w:pStyle w:val="6"/>
        <w:spacing w:before="93"/>
      </w:pPr>
    </w:p>
    <w:p w14:paraId="0B99D758">
      <w:pPr>
        <w:pStyle w:val="6"/>
        <w:spacing w:before="93"/>
      </w:pPr>
      <w:r>
        <w:drawing>
          <wp:inline distT="0" distB="0" distL="114300" distR="114300">
            <wp:extent cx="5266690" cy="4008755"/>
            <wp:effectExtent l="0" t="0" r="10160" b="1079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0"/>
                    <a:stretch>
                      <a:fillRect/>
                    </a:stretch>
                  </pic:blipFill>
                  <pic:spPr>
                    <a:xfrm>
                      <a:off x="0" y="0"/>
                      <a:ext cx="5266690" cy="4008755"/>
                    </a:xfrm>
                    <a:prstGeom prst="rect">
                      <a:avLst/>
                    </a:prstGeom>
                    <a:noFill/>
                    <a:ln>
                      <a:noFill/>
                    </a:ln>
                  </pic:spPr>
                </pic:pic>
              </a:graphicData>
            </a:graphic>
          </wp:inline>
        </w:drawing>
      </w:r>
    </w:p>
    <w:p w14:paraId="1DCCA965">
      <w:pPr>
        <w:pStyle w:val="6"/>
        <w:spacing w:before="93"/>
      </w:pPr>
      <w:r>
        <w:drawing>
          <wp:inline distT="0" distB="0" distL="114300" distR="114300">
            <wp:extent cx="5266690" cy="3835400"/>
            <wp:effectExtent l="0" t="0" r="10160" b="1270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1"/>
                    <a:stretch>
                      <a:fillRect/>
                    </a:stretch>
                  </pic:blipFill>
                  <pic:spPr>
                    <a:xfrm>
                      <a:off x="0" y="0"/>
                      <a:ext cx="5266690" cy="3835400"/>
                    </a:xfrm>
                    <a:prstGeom prst="rect">
                      <a:avLst/>
                    </a:prstGeom>
                    <a:noFill/>
                    <a:ln>
                      <a:noFill/>
                    </a:ln>
                  </pic:spPr>
                </pic:pic>
              </a:graphicData>
            </a:graphic>
          </wp:inline>
        </w:drawing>
      </w:r>
    </w:p>
    <w:p w14:paraId="50BC2F38">
      <w:pPr>
        <w:spacing w:line="600" w:lineRule="exact"/>
        <w:jc w:val="center"/>
        <w:outlineLvl w:val="0"/>
        <w:rPr>
          <w:rFonts w:hint="eastAsia" w:ascii="黑体" w:hAnsi="黑体" w:eastAsia="黑体"/>
          <w:sz w:val="44"/>
          <w:szCs w:val="44"/>
        </w:rPr>
      </w:pPr>
    </w:p>
    <w:p w14:paraId="2A9F489B">
      <w:pPr>
        <w:spacing w:line="600" w:lineRule="exact"/>
        <w:jc w:val="center"/>
        <w:outlineLvl w:val="0"/>
        <w:rPr>
          <w:rFonts w:hint="eastAsia" w:ascii="黑体" w:hAnsi="黑体" w:eastAsia="黑体"/>
          <w:sz w:val="44"/>
          <w:szCs w:val="44"/>
        </w:rPr>
      </w:pPr>
    </w:p>
    <w:p w14:paraId="45C7A326">
      <w:pPr>
        <w:spacing w:line="600" w:lineRule="exact"/>
        <w:jc w:val="center"/>
        <w:outlineLvl w:val="0"/>
        <w:rPr>
          <w:rFonts w:hint="eastAsia" w:ascii="黑体" w:hAnsi="黑体" w:eastAsia="黑体"/>
          <w:sz w:val="44"/>
          <w:szCs w:val="44"/>
        </w:rPr>
      </w:pPr>
    </w:p>
    <w:p w14:paraId="60EFEE9B">
      <w:pPr>
        <w:spacing w:line="600" w:lineRule="exact"/>
        <w:jc w:val="center"/>
        <w:outlineLvl w:val="0"/>
        <w:rPr>
          <w:rFonts w:hint="eastAsia" w:ascii="黑体" w:hAnsi="黑体" w:eastAsia="黑体"/>
          <w:sz w:val="44"/>
          <w:szCs w:val="44"/>
        </w:rPr>
      </w:pPr>
    </w:p>
    <w:p w14:paraId="4300A077">
      <w:pPr>
        <w:spacing w:line="600" w:lineRule="exact"/>
        <w:jc w:val="center"/>
        <w:outlineLvl w:val="0"/>
        <w:rPr>
          <w:rFonts w:hint="eastAsia" w:ascii="黑体" w:hAnsi="黑体" w:eastAsia="黑体"/>
          <w:sz w:val="44"/>
          <w:szCs w:val="44"/>
        </w:rPr>
      </w:pPr>
    </w:p>
    <w:p w14:paraId="6D7F5E3D">
      <w:pPr>
        <w:spacing w:line="600" w:lineRule="exact"/>
        <w:jc w:val="center"/>
        <w:outlineLvl w:val="0"/>
        <w:rPr>
          <w:rFonts w:hint="eastAsia" w:ascii="黑体" w:hAnsi="黑体" w:eastAsia="黑体"/>
          <w:sz w:val="44"/>
          <w:szCs w:val="44"/>
        </w:rPr>
      </w:pPr>
    </w:p>
    <w:p w14:paraId="6202424F">
      <w:pPr>
        <w:spacing w:line="600" w:lineRule="exact"/>
        <w:jc w:val="center"/>
        <w:outlineLvl w:val="0"/>
        <w:rPr>
          <w:rFonts w:hint="eastAsia" w:ascii="黑体" w:hAnsi="黑体" w:eastAsia="黑体"/>
          <w:sz w:val="44"/>
          <w:szCs w:val="44"/>
        </w:rPr>
      </w:pPr>
    </w:p>
    <w:p w14:paraId="6CA91CCD">
      <w:pPr>
        <w:spacing w:line="600" w:lineRule="exact"/>
        <w:jc w:val="center"/>
        <w:outlineLvl w:val="0"/>
        <w:rPr>
          <w:rFonts w:hint="eastAsia" w:ascii="黑体" w:hAnsi="黑体" w:eastAsia="黑体"/>
          <w:sz w:val="44"/>
          <w:szCs w:val="44"/>
        </w:rPr>
      </w:pPr>
    </w:p>
    <w:p w14:paraId="12466852">
      <w:pPr>
        <w:spacing w:line="600" w:lineRule="exact"/>
        <w:jc w:val="center"/>
        <w:outlineLvl w:val="0"/>
        <w:rPr>
          <w:rFonts w:hint="eastAsia" w:ascii="黑体" w:hAnsi="黑体" w:eastAsia="黑体"/>
          <w:sz w:val="44"/>
          <w:szCs w:val="44"/>
        </w:rPr>
      </w:pPr>
    </w:p>
    <w:p w14:paraId="3EF990F6">
      <w:pPr>
        <w:spacing w:line="600" w:lineRule="exact"/>
        <w:jc w:val="center"/>
        <w:outlineLvl w:val="0"/>
        <w:rPr>
          <w:rFonts w:hint="eastAsia" w:ascii="黑体" w:hAnsi="黑体" w:eastAsia="黑体"/>
          <w:sz w:val="44"/>
          <w:szCs w:val="44"/>
        </w:rPr>
      </w:pPr>
    </w:p>
    <w:p w14:paraId="06CDF15D">
      <w:pPr>
        <w:spacing w:line="600" w:lineRule="exact"/>
        <w:jc w:val="center"/>
        <w:outlineLvl w:val="0"/>
        <w:rPr>
          <w:rFonts w:hint="eastAsia" w:ascii="黑体" w:hAnsi="黑体" w:eastAsia="黑体"/>
          <w:sz w:val="44"/>
          <w:szCs w:val="44"/>
        </w:rPr>
      </w:pPr>
    </w:p>
    <w:p w14:paraId="579E6A31">
      <w:pPr>
        <w:spacing w:line="600" w:lineRule="exact"/>
        <w:jc w:val="center"/>
        <w:outlineLvl w:val="0"/>
        <w:rPr>
          <w:rFonts w:hint="eastAsia" w:ascii="黑体" w:hAnsi="黑体" w:eastAsia="黑体"/>
          <w:sz w:val="44"/>
          <w:szCs w:val="44"/>
        </w:rPr>
      </w:pPr>
    </w:p>
    <w:p w14:paraId="603AF569">
      <w:pPr>
        <w:spacing w:line="600" w:lineRule="exact"/>
        <w:jc w:val="center"/>
        <w:outlineLvl w:val="0"/>
        <w:rPr>
          <w:rFonts w:ascii="仿宋" w:hAnsi="仿宋" w:eastAsia="仿宋"/>
        </w:rPr>
      </w:pPr>
      <w:r>
        <w:rPr>
          <w:rFonts w:hint="eastAsia" w:ascii="黑体" w:hAnsi="黑体" w:eastAsia="黑体"/>
          <w:sz w:val="44"/>
          <w:szCs w:val="44"/>
        </w:rPr>
        <w:t>第</w:t>
      </w:r>
      <w:r>
        <w:rPr>
          <w:rStyle w:val="27"/>
          <w:rFonts w:hint="eastAsia" w:ascii="黑体" w:hAnsi="黑体" w:eastAsia="黑体"/>
          <w:b w:val="0"/>
        </w:rPr>
        <w:t>五部分 附表</w:t>
      </w:r>
      <w:bookmarkEnd w:id="44"/>
      <w:bookmarkEnd w:id="46"/>
      <w:bookmarkStart w:id="47" w:name="_Toc15396619"/>
    </w:p>
    <w:bookmarkEnd w:id="47"/>
    <w:p w14:paraId="2EDF5152">
      <w:pPr>
        <w:rPr>
          <w:rFonts w:hint="eastAsia" w:ascii="仿宋" w:hAnsi="仿宋" w:eastAsia="仿宋"/>
          <w:sz w:val="32"/>
          <w:szCs w:val="32"/>
        </w:rPr>
      </w:pPr>
      <w:r>
        <w:rPr>
          <w:rFonts w:hint="eastAsia" w:ascii="仿宋" w:hAnsi="仿宋" w:eastAsia="仿宋"/>
          <w:sz w:val="32"/>
          <w:szCs w:val="32"/>
        </w:rPr>
        <w:t>一、收入支出决算总表</w:t>
      </w:r>
    </w:p>
    <w:p w14:paraId="0584C702">
      <w:pPr>
        <w:pStyle w:val="2"/>
      </w:pPr>
      <w:r>
        <w:drawing>
          <wp:inline distT="0" distB="0" distL="114300" distR="114300">
            <wp:extent cx="5264785" cy="3877945"/>
            <wp:effectExtent l="0" t="0" r="12065" b="825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2"/>
                    <a:stretch>
                      <a:fillRect/>
                    </a:stretch>
                  </pic:blipFill>
                  <pic:spPr>
                    <a:xfrm>
                      <a:off x="0" y="0"/>
                      <a:ext cx="5264785" cy="3877945"/>
                    </a:xfrm>
                    <a:prstGeom prst="rect">
                      <a:avLst/>
                    </a:prstGeom>
                    <a:noFill/>
                    <a:ln>
                      <a:noFill/>
                    </a:ln>
                  </pic:spPr>
                </pic:pic>
              </a:graphicData>
            </a:graphic>
          </wp:inline>
        </w:drawing>
      </w:r>
    </w:p>
    <w:p w14:paraId="24CF5BCA">
      <w:pPr>
        <w:jc w:val="left"/>
        <w:rPr>
          <w:rFonts w:hint="eastAsia" w:ascii="仿宋" w:hAnsi="仿宋" w:eastAsia="仿宋" w:cs="Times New Roman"/>
          <w:sz w:val="32"/>
          <w:szCs w:val="32"/>
        </w:rPr>
      </w:pPr>
      <w:r>
        <w:rPr>
          <w:rFonts w:hint="eastAsia" w:ascii="仿宋" w:hAnsi="仿宋" w:eastAsia="仿宋" w:cs="Times New Roman"/>
          <w:sz w:val="32"/>
          <w:szCs w:val="32"/>
        </w:rPr>
        <w:t>二、收入决算表</w:t>
      </w:r>
    </w:p>
    <w:p w14:paraId="1DF4DC9F">
      <w:pPr>
        <w:pStyle w:val="2"/>
      </w:pPr>
      <w:r>
        <w:drawing>
          <wp:inline distT="0" distB="0" distL="114300" distR="114300">
            <wp:extent cx="5265420" cy="2157095"/>
            <wp:effectExtent l="0" t="0" r="11430" b="1460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3"/>
                    <a:stretch>
                      <a:fillRect/>
                    </a:stretch>
                  </pic:blipFill>
                  <pic:spPr>
                    <a:xfrm>
                      <a:off x="0" y="0"/>
                      <a:ext cx="5265420" cy="2157095"/>
                    </a:xfrm>
                    <a:prstGeom prst="rect">
                      <a:avLst/>
                    </a:prstGeom>
                    <a:noFill/>
                    <a:ln>
                      <a:noFill/>
                    </a:ln>
                  </pic:spPr>
                </pic:pic>
              </a:graphicData>
            </a:graphic>
          </wp:inline>
        </w:drawing>
      </w:r>
    </w:p>
    <w:p w14:paraId="784DFBFE">
      <w:pPr>
        <w:rPr>
          <w:rFonts w:hint="eastAsia" w:ascii="仿宋" w:hAnsi="仿宋" w:eastAsia="仿宋"/>
          <w:sz w:val="32"/>
          <w:szCs w:val="32"/>
        </w:rPr>
      </w:pPr>
    </w:p>
    <w:p w14:paraId="46A2C34E">
      <w:pPr>
        <w:rPr>
          <w:rFonts w:hint="eastAsia" w:ascii="仿宋" w:hAnsi="仿宋" w:eastAsia="仿宋"/>
          <w:sz w:val="32"/>
          <w:szCs w:val="32"/>
        </w:rPr>
      </w:pPr>
    </w:p>
    <w:p w14:paraId="219FC034">
      <w:pPr>
        <w:jc w:val="left"/>
        <w:rPr>
          <w:rFonts w:hint="eastAsia"/>
        </w:rPr>
      </w:pPr>
      <w:r>
        <w:rPr>
          <w:rFonts w:hint="eastAsia" w:ascii="仿宋" w:hAnsi="仿宋" w:eastAsia="仿宋"/>
          <w:sz w:val="32"/>
          <w:szCs w:val="32"/>
        </w:rPr>
        <w:t>三、支出决算表</w:t>
      </w:r>
    </w:p>
    <w:p w14:paraId="7D8B487E">
      <w:pPr>
        <w:jc w:val="left"/>
      </w:pPr>
      <w:r>
        <w:drawing>
          <wp:inline distT="0" distB="0" distL="114300" distR="114300">
            <wp:extent cx="5262880" cy="2173605"/>
            <wp:effectExtent l="0" t="0" r="13970" b="1714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34"/>
                    <a:stretch>
                      <a:fillRect/>
                    </a:stretch>
                  </pic:blipFill>
                  <pic:spPr>
                    <a:xfrm>
                      <a:off x="0" y="0"/>
                      <a:ext cx="5262880" cy="2173605"/>
                    </a:xfrm>
                    <a:prstGeom prst="rect">
                      <a:avLst/>
                    </a:prstGeom>
                    <a:noFill/>
                    <a:ln>
                      <a:noFill/>
                    </a:ln>
                  </pic:spPr>
                </pic:pic>
              </a:graphicData>
            </a:graphic>
          </wp:inline>
        </w:drawing>
      </w:r>
    </w:p>
    <w:p w14:paraId="0C9B12E5">
      <w:pPr>
        <w:rPr>
          <w:rFonts w:hint="eastAsia" w:ascii="仿宋" w:hAnsi="仿宋" w:eastAsia="仿宋"/>
          <w:sz w:val="32"/>
          <w:szCs w:val="32"/>
        </w:rPr>
      </w:pPr>
    </w:p>
    <w:p w14:paraId="5D1EA84A">
      <w:pPr>
        <w:rPr>
          <w:rFonts w:hint="eastAsia" w:ascii="仿宋" w:hAnsi="仿宋" w:eastAsia="仿宋"/>
          <w:sz w:val="32"/>
          <w:szCs w:val="32"/>
        </w:rPr>
      </w:pPr>
      <w:r>
        <w:rPr>
          <w:rFonts w:hint="eastAsia" w:ascii="仿宋" w:hAnsi="仿宋" w:eastAsia="仿宋"/>
          <w:sz w:val="32"/>
          <w:szCs w:val="32"/>
        </w:rPr>
        <w:t>四、财政拨款收入支出决算总表</w:t>
      </w:r>
    </w:p>
    <w:p w14:paraId="299BFB4E">
      <w:pPr>
        <w:pStyle w:val="2"/>
      </w:pPr>
      <w:r>
        <w:drawing>
          <wp:inline distT="0" distB="0" distL="114300" distR="114300">
            <wp:extent cx="5261610" cy="3070860"/>
            <wp:effectExtent l="0" t="0" r="15240" b="1524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5"/>
                    <a:stretch>
                      <a:fillRect/>
                    </a:stretch>
                  </pic:blipFill>
                  <pic:spPr>
                    <a:xfrm>
                      <a:off x="0" y="0"/>
                      <a:ext cx="5261610" cy="3070860"/>
                    </a:xfrm>
                    <a:prstGeom prst="rect">
                      <a:avLst/>
                    </a:prstGeom>
                    <a:noFill/>
                    <a:ln>
                      <a:noFill/>
                    </a:ln>
                  </pic:spPr>
                </pic:pic>
              </a:graphicData>
            </a:graphic>
          </wp:inline>
        </w:drawing>
      </w:r>
    </w:p>
    <w:p w14:paraId="53D1121A">
      <w:pPr>
        <w:rPr>
          <w:rFonts w:hint="eastAsia" w:ascii="仿宋" w:hAnsi="仿宋" w:eastAsia="仿宋"/>
          <w:sz w:val="32"/>
          <w:szCs w:val="32"/>
        </w:rPr>
      </w:pPr>
    </w:p>
    <w:p w14:paraId="5A5B6627">
      <w:pPr>
        <w:rPr>
          <w:rFonts w:hint="eastAsia" w:ascii="仿宋" w:hAnsi="仿宋" w:eastAsia="仿宋"/>
          <w:sz w:val="32"/>
          <w:szCs w:val="32"/>
        </w:rPr>
      </w:pPr>
    </w:p>
    <w:p w14:paraId="445347F5">
      <w:pPr>
        <w:rPr>
          <w:rFonts w:hint="eastAsia" w:ascii="仿宋" w:hAnsi="仿宋" w:eastAsia="仿宋"/>
          <w:sz w:val="32"/>
          <w:szCs w:val="32"/>
        </w:rPr>
      </w:pPr>
    </w:p>
    <w:p w14:paraId="20C999CC">
      <w:pPr>
        <w:rPr>
          <w:rFonts w:hint="eastAsia" w:ascii="仿宋" w:hAnsi="仿宋" w:eastAsia="仿宋"/>
          <w:sz w:val="32"/>
          <w:szCs w:val="32"/>
        </w:rPr>
      </w:pPr>
    </w:p>
    <w:p w14:paraId="7BD7C11E">
      <w:pPr>
        <w:rPr>
          <w:rFonts w:hint="eastAsia" w:ascii="仿宋" w:hAnsi="仿宋" w:eastAsia="仿宋"/>
          <w:sz w:val="32"/>
          <w:szCs w:val="32"/>
        </w:rPr>
      </w:pPr>
      <w:r>
        <w:rPr>
          <w:rFonts w:hint="eastAsia" w:ascii="仿宋" w:hAnsi="仿宋" w:eastAsia="仿宋"/>
          <w:sz w:val="32"/>
          <w:szCs w:val="32"/>
        </w:rPr>
        <w:t>五、财政拨款支出决算明细表</w:t>
      </w:r>
    </w:p>
    <w:p w14:paraId="31E679C6">
      <w:pPr>
        <w:pStyle w:val="2"/>
      </w:pPr>
      <w:r>
        <w:drawing>
          <wp:inline distT="0" distB="0" distL="114300" distR="114300">
            <wp:extent cx="5266055" cy="6850380"/>
            <wp:effectExtent l="0" t="0" r="10795" b="762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36"/>
                    <a:stretch>
                      <a:fillRect/>
                    </a:stretch>
                  </pic:blipFill>
                  <pic:spPr>
                    <a:xfrm>
                      <a:off x="0" y="0"/>
                      <a:ext cx="5266055" cy="6850380"/>
                    </a:xfrm>
                    <a:prstGeom prst="rect">
                      <a:avLst/>
                    </a:prstGeom>
                    <a:noFill/>
                    <a:ln>
                      <a:noFill/>
                    </a:ln>
                  </pic:spPr>
                </pic:pic>
              </a:graphicData>
            </a:graphic>
          </wp:inline>
        </w:drawing>
      </w:r>
    </w:p>
    <w:p w14:paraId="28880519">
      <w:pPr>
        <w:rPr>
          <w:rFonts w:hint="eastAsia" w:ascii="仿宋" w:hAnsi="仿宋" w:eastAsia="仿宋"/>
          <w:sz w:val="32"/>
          <w:szCs w:val="32"/>
        </w:rPr>
      </w:pPr>
    </w:p>
    <w:p w14:paraId="66958B9C">
      <w:pPr>
        <w:rPr>
          <w:rFonts w:hint="eastAsia" w:ascii="仿宋" w:hAnsi="仿宋" w:eastAsia="仿宋"/>
          <w:sz w:val="32"/>
          <w:szCs w:val="32"/>
        </w:rPr>
      </w:pPr>
    </w:p>
    <w:p w14:paraId="693736CE">
      <w:pPr>
        <w:rPr>
          <w:rFonts w:hint="eastAsia" w:ascii="仿宋" w:hAnsi="仿宋" w:eastAsia="仿宋"/>
          <w:sz w:val="32"/>
          <w:szCs w:val="32"/>
        </w:rPr>
      </w:pPr>
    </w:p>
    <w:p w14:paraId="23CFA1F1">
      <w:pPr>
        <w:rPr>
          <w:rFonts w:hint="eastAsia" w:ascii="仿宋" w:hAnsi="仿宋" w:eastAsia="仿宋"/>
          <w:sz w:val="32"/>
          <w:szCs w:val="32"/>
        </w:rPr>
      </w:pPr>
      <w:r>
        <w:rPr>
          <w:rFonts w:hint="eastAsia" w:ascii="仿宋" w:hAnsi="仿宋" w:eastAsia="仿宋"/>
          <w:sz w:val="32"/>
          <w:szCs w:val="32"/>
        </w:rPr>
        <w:t>六、一般公共预算财政拨款支出决算表</w:t>
      </w:r>
    </w:p>
    <w:p w14:paraId="6F230839">
      <w:pPr>
        <w:pStyle w:val="2"/>
        <w:rPr>
          <w:rFonts w:hint="eastAsia" w:ascii="仿宋" w:hAnsi="仿宋" w:eastAsia="仿宋"/>
          <w:sz w:val="32"/>
          <w:szCs w:val="32"/>
        </w:rPr>
      </w:pPr>
      <w:r>
        <w:drawing>
          <wp:inline distT="0" distB="0" distL="114300" distR="114300">
            <wp:extent cx="5273040" cy="3163570"/>
            <wp:effectExtent l="0" t="0" r="3810" b="1778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7"/>
                    <a:stretch>
                      <a:fillRect/>
                    </a:stretch>
                  </pic:blipFill>
                  <pic:spPr>
                    <a:xfrm>
                      <a:off x="0" y="0"/>
                      <a:ext cx="5273040" cy="3163570"/>
                    </a:xfrm>
                    <a:prstGeom prst="rect">
                      <a:avLst/>
                    </a:prstGeom>
                    <a:noFill/>
                    <a:ln>
                      <a:noFill/>
                    </a:ln>
                  </pic:spPr>
                </pic:pic>
              </a:graphicData>
            </a:graphic>
          </wp:inline>
        </w:drawing>
      </w:r>
    </w:p>
    <w:p w14:paraId="3184848D">
      <w:pPr>
        <w:rPr>
          <w:rFonts w:hint="eastAsia" w:ascii="仿宋" w:hAnsi="仿宋" w:eastAsia="仿宋"/>
          <w:sz w:val="32"/>
          <w:szCs w:val="32"/>
        </w:rPr>
      </w:pPr>
      <w:r>
        <w:rPr>
          <w:rFonts w:hint="eastAsia" w:ascii="仿宋" w:hAnsi="仿宋" w:eastAsia="仿宋"/>
          <w:sz w:val="32"/>
          <w:szCs w:val="32"/>
        </w:rPr>
        <w:t>七、一般公共预算财政拨款支出决算明细表</w:t>
      </w:r>
    </w:p>
    <w:p w14:paraId="4352B68F">
      <w:pPr>
        <w:pStyle w:val="2"/>
      </w:pPr>
      <w:r>
        <w:drawing>
          <wp:inline distT="0" distB="0" distL="114300" distR="114300">
            <wp:extent cx="5234940" cy="267335"/>
            <wp:effectExtent l="0" t="0" r="3810" b="1841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38"/>
                    <a:stretch>
                      <a:fillRect/>
                    </a:stretch>
                  </pic:blipFill>
                  <pic:spPr>
                    <a:xfrm>
                      <a:off x="0" y="0"/>
                      <a:ext cx="5234940" cy="267335"/>
                    </a:xfrm>
                    <a:prstGeom prst="rect">
                      <a:avLst/>
                    </a:prstGeom>
                    <a:noFill/>
                    <a:ln>
                      <a:noFill/>
                    </a:ln>
                  </pic:spPr>
                </pic:pic>
              </a:graphicData>
            </a:graphic>
          </wp:inline>
        </w:drawing>
      </w:r>
    </w:p>
    <w:p w14:paraId="6C65668A">
      <w:r>
        <w:rPr>
          <w:rFonts w:hint="eastAsia" w:ascii="仿宋" w:hAnsi="仿宋" w:eastAsia="仿宋"/>
          <w:sz w:val="32"/>
          <w:szCs w:val="32"/>
        </w:rPr>
        <w:t>八、一般公共预算财政拨款基本支出决算表</w:t>
      </w:r>
      <w:r>
        <w:drawing>
          <wp:inline distT="0" distB="0" distL="114300" distR="114300">
            <wp:extent cx="5265420" cy="3217545"/>
            <wp:effectExtent l="0" t="0" r="11430" b="190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39"/>
                    <a:stretch>
                      <a:fillRect/>
                    </a:stretch>
                  </pic:blipFill>
                  <pic:spPr>
                    <a:xfrm>
                      <a:off x="0" y="0"/>
                      <a:ext cx="5265420" cy="3217545"/>
                    </a:xfrm>
                    <a:prstGeom prst="rect">
                      <a:avLst/>
                    </a:prstGeom>
                    <a:noFill/>
                    <a:ln>
                      <a:noFill/>
                    </a:ln>
                  </pic:spPr>
                </pic:pic>
              </a:graphicData>
            </a:graphic>
          </wp:inline>
        </w:drawing>
      </w:r>
    </w:p>
    <w:p w14:paraId="79366C34">
      <w:pPr>
        <w:rPr>
          <w:rFonts w:hint="eastAsia" w:ascii="仿宋" w:hAnsi="仿宋" w:eastAsia="仿宋"/>
          <w:sz w:val="32"/>
          <w:szCs w:val="32"/>
        </w:rPr>
      </w:pPr>
      <w:r>
        <w:rPr>
          <w:rFonts w:hint="eastAsia" w:ascii="仿宋" w:hAnsi="仿宋" w:eastAsia="仿宋"/>
          <w:sz w:val="32"/>
          <w:szCs w:val="32"/>
        </w:rPr>
        <w:t>九、一般公共预算财政拨款项目支出决算表</w:t>
      </w:r>
    </w:p>
    <w:p w14:paraId="52F35391">
      <w:pPr>
        <w:pStyle w:val="2"/>
      </w:pPr>
      <w:r>
        <w:drawing>
          <wp:inline distT="0" distB="0" distL="114300" distR="114300">
            <wp:extent cx="5273040" cy="1845310"/>
            <wp:effectExtent l="0" t="0" r="3810" b="254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40"/>
                    <a:stretch>
                      <a:fillRect/>
                    </a:stretch>
                  </pic:blipFill>
                  <pic:spPr>
                    <a:xfrm>
                      <a:off x="0" y="0"/>
                      <a:ext cx="5273040" cy="1845310"/>
                    </a:xfrm>
                    <a:prstGeom prst="rect">
                      <a:avLst/>
                    </a:prstGeom>
                    <a:noFill/>
                    <a:ln>
                      <a:noFill/>
                    </a:ln>
                  </pic:spPr>
                </pic:pic>
              </a:graphicData>
            </a:graphic>
          </wp:inline>
        </w:drawing>
      </w:r>
    </w:p>
    <w:p w14:paraId="39FBDBC7">
      <w:pPr>
        <w:rPr>
          <w:rFonts w:hint="eastAsia" w:ascii="仿宋" w:hAnsi="仿宋" w:eastAsia="仿宋"/>
          <w:sz w:val="32"/>
          <w:szCs w:val="32"/>
        </w:rPr>
      </w:pPr>
    </w:p>
    <w:p w14:paraId="1D36A016">
      <w:pPr>
        <w:rPr>
          <w:rFonts w:hint="eastAsia" w:ascii="仿宋" w:hAnsi="仿宋" w:eastAsia="仿宋"/>
          <w:sz w:val="32"/>
          <w:szCs w:val="32"/>
        </w:rPr>
      </w:pPr>
      <w:r>
        <w:rPr>
          <w:rFonts w:hint="eastAsia" w:ascii="仿宋" w:hAnsi="仿宋" w:eastAsia="仿宋"/>
          <w:sz w:val="32"/>
          <w:szCs w:val="32"/>
        </w:rPr>
        <w:t>十、政府性基金预算财政拨款收入支出决算表</w:t>
      </w:r>
    </w:p>
    <w:p w14:paraId="10855644">
      <w:pPr>
        <w:pStyle w:val="2"/>
      </w:pPr>
      <w:r>
        <w:drawing>
          <wp:inline distT="0" distB="0" distL="114300" distR="114300">
            <wp:extent cx="5273675" cy="817245"/>
            <wp:effectExtent l="0" t="0" r="3175" b="1905"/>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41"/>
                    <a:stretch>
                      <a:fillRect/>
                    </a:stretch>
                  </pic:blipFill>
                  <pic:spPr>
                    <a:xfrm>
                      <a:off x="0" y="0"/>
                      <a:ext cx="5273675" cy="817245"/>
                    </a:xfrm>
                    <a:prstGeom prst="rect">
                      <a:avLst/>
                    </a:prstGeom>
                    <a:noFill/>
                    <a:ln>
                      <a:noFill/>
                    </a:ln>
                  </pic:spPr>
                </pic:pic>
              </a:graphicData>
            </a:graphic>
          </wp:inline>
        </w:drawing>
      </w:r>
    </w:p>
    <w:p w14:paraId="1842525D">
      <w:pPr>
        <w:rPr>
          <w:rFonts w:hint="eastAsia" w:ascii="仿宋" w:hAnsi="仿宋" w:eastAsia="仿宋"/>
          <w:sz w:val="32"/>
          <w:szCs w:val="32"/>
        </w:rPr>
      </w:pPr>
      <w:r>
        <w:rPr>
          <w:rFonts w:hint="eastAsia" w:ascii="仿宋" w:hAnsi="仿宋" w:eastAsia="仿宋"/>
          <w:sz w:val="32"/>
          <w:szCs w:val="32"/>
        </w:rPr>
        <w:t>十一、国有资本经营预算财政拨款收入支出决算表</w:t>
      </w:r>
    </w:p>
    <w:p w14:paraId="4D69117D">
      <w:pPr>
        <w:pStyle w:val="2"/>
      </w:pPr>
      <w:r>
        <w:drawing>
          <wp:inline distT="0" distB="0" distL="114300" distR="114300">
            <wp:extent cx="5271770" cy="1395095"/>
            <wp:effectExtent l="0" t="0" r="5080" b="1460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42"/>
                    <a:stretch>
                      <a:fillRect/>
                    </a:stretch>
                  </pic:blipFill>
                  <pic:spPr>
                    <a:xfrm>
                      <a:off x="0" y="0"/>
                      <a:ext cx="5271770" cy="1395095"/>
                    </a:xfrm>
                    <a:prstGeom prst="rect">
                      <a:avLst/>
                    </a:prstGeom>
                    <a:noFill/>
                    <a:ln>
                      <a:noFill/>
                    </a:ln>
                  </pic:spPr>
                </pic:pic>
              </a:graphicData>
            </a:graphic>
          </wp:inline>
        </w:drawing>
      </w:r>
    </w:p>
    <w:p w14:paraId="69A69D89">
      <w:r>
        <w:rPr>
          <w:rFonts w:hint="eastAsia" w:ascii="仿宋" w:hAnsi="仿宋" w:eastAsia="仿宋"/>
          <w:sz w:val="32"/>
          <w:szCs w:val="32"/>
        </w:rPr>
        <w:t>十二、国有资本经营预算财政拨款支出决算表</w:t>
      </w:r>
      <w:r>
        <w:drawing>
          <wp:inline distT="0" distB="0" distL="114300" distR="114300">
            <wp:extent cx="5266690" cy="1383665"/>
            <wp:effectExtent l="0" t="0" r="10160" b="698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43"/>
                    <a:stretch>
                      <a:fillRect/>
                    </a:stretch>
                  </pic:blipFill>
                  <pic:spPr>
                    <a:xfrm>
                      <a:off x="0" y="0"/>
                      <a:ext cx="5266690" cy="1383665"/>
                    </a:xfrm>
                    <a:prstGeom prst="rect">
                      <a:avLst/>
                    </a:prstGeom>
                    <a:noFill/>
                    <a:ln>
                      <a:noFill/>
                    </a:ln>
                  </pic:spPr>
                </pic:pic>
              </a:graphicData>
            </a:graphic>
          </wp:inline>
        </w:drawing>
      </w:r>
    </w:p>
    <w:p w14:paraId="59DA5F91">
      <w:pPr>
        <w:rPr>
          <w:rFonts w:hint="eastAsia" w:ascii="仿宋" w:hAnsi="仿宋" w:eastAsia="仿宋"/>
          <w:sz w:val="32"/>
          <w:szCs w:val="32"/>
        </w:rPr>
      </w:pPr>
      <w:r>
        <w:rPr>
          <w:rFonts w:hint="eastAsia" w:ascii="仿宋" w:hAnsi="仿宋" w:eastAsia="仿宋"/>
          <w:sz w:val="32"/>
          <w:szCs w:val="32"/>
        </w:rPr>
        <w:t>十三、财政拨款“三公”经费支出决算表</w:t>
      </w:r>
    </w:p>
    <w:p w14:paraId="1061E441">
      <w:pPr>
        <w:pStyle w:val="2"/>
      </w:pPr>
      <w:r>
        <w:drawing>
          <wp:inline distT="0" distB="0" distL="114300" distR="114300">
            <wp:extent cx="5259705" cy="408305"/>
            <wp:effectExtent l="0" t="0" r="17145" b="1079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44"/>
                    <a:stretch>
                      <a:fillRect/>
                    </a:stretch>
                  </pic:blipFill>
                  <pic:spPr>
                    <a:xfrm>
                      <a:off x="0" y="0"/>
                      <a:ext cx="5259705" cy="408305"/>
                    </a:xfrm>
                    <a:prstGeom prst="rect">
                      <a:avLst/>
                    </a:prstGeom>
                    <a:noFill/>
                    <a:ln>
                      <a:noFill/>
                    </a:ln>
                  </pic:spPr>
                </pic:pic>
              </a:graphicData>
            </a:graphic>
          </wp:inline>
        </w:drawing>
      </w:r>
    </w:p>
    <w:p w14:paraId="7A475986"/>
    <w:sectPr>
      <w:headerReference r:id="rId7" w:type="default"/>
      <w:footerReference r:id="rId8" w:type="default"/>
      <w:pgSz w:w="11906" w:h="16838"/>
      <w:pgMar w:top="1440" w:right="1800" w:bottom="1440" w:left="180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2C922C8-27EA-44BE-8E9C-5BD1F5904C7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9383517-952F-468A-AD85-215DE59B47C1}"/>
  </w:font>
  <w:font w:name="Cambria">
    <w:panose1 w:val="02040503050406030204"/>
    <w:charset w:val="00"/>
    <w:family w:val="roman"/>
    <w:pitch w:val="default"/>
    <w:sig w:usb0="E00006FF" w:usb1="420024FF" w:usb2="02000000" w:usb3="00000000" w:csb0="2000019F" w:csb1="00000000"/>
    <w:embedRegular r:id="rId3" w:fontKey="{4022DFF0-AD28-45C2-A554-5099C4449713}"/>
  </w:font>
  <w:font w:name="仿宋_GB2312">
    <w:panose1 w:val="02010609030101010101"/>
    <w:charset w:val="86"/>
    <w:family w:val="auto"/>
    <w:pitch w:val="default"/>
    <w:sig w:usb0="00000001" w:usb1="080E0000" w:usb2="00000000" w:usb3="00000000" w:csb0="00040000" w:csb1="00000000"/>
    <w:embedRegular r:id="rId4" w:fontKey="{69670F3B-F071-4AB5-AF3D-E365FAA63465}"/>
  </w:font>
  <w:font w:name="仿宋">
    <w:panose1 w:val="02010609060101010101"/>
    <w:charset w:val="86"/>
    <w:family w:val="modern"/>
    <w:pitch w:val="default"/>
    <w:sig w:usb0="800002BF" w:usb1="38CF7CFA" w:usb2="00000016" w:usb3="00000000" w:csb0="00040001" w:csb1="00000000"/>
    <w:embedRegular r:id="rId5" w:fontKey="{95A3A9F9-E7AE-4932-A646-807B2C2F3238}"/>
  </w:font>
  <w:font w:name="方正小标宋简体">
    <w:panose1 w:val="02000000000000000000"/>
    <w:charset w:val="86"/>
    <w:family w:val="script"/>
    <w:pitch w:val="default"/>
    <w:sig w:usb0="00000001" w:usb1="08000000" w:usb2="00000000" w:usb3="00000000" w:csb0="00040000" w:csb1="00000000"/>
    <w:embedRegular r:id="rId6" w:fontKey="{58648226-D9C2-4108-8DAF-009B274BE2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4DF2C">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14:paraId="2F0FEA73">
                              <w:pPr>
                                <w:pStyle w:val="10"/>
                                <w:jc w:val="center"/>
                              </w:pPr>
                              <w:r>
                                <w:fldChar w:fldCharType="begin"/>
                              </w:r>
                              <w:r>
                                <w:instrText xml:space="preserve">PAGE   \* MERGEFORMAT</w:instrText>
                              </w:r>
                              <w:r>
                                <w:fldChar w:fldCharType="separate"/>
                              </w:r>
                              <w:r>
                                <w:rPr>
                                  <w:lang w:val="zh-CN"/>
                                </w:rPr>
                                <w:t>23</w:t>
                              </w:r>
                              <w:r>
                                <w:fldChar w:fldCharType="end"/>
                              </w:r>
                            </w:p>
                          </w:sdtContent>
                        </w:sdt>
                        <w:p w14:paraId="54A9B549">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sdt>
                    <w:sdtPr>
                      <w:id w:val="-1994781956"/>
                    </w:sdtPr>
                    <w:sdtContent>
                      <w:p w14:paraId="2F0FEA73">
                        <w:pPr>
                          <w:pStyle w:val="10"/>
                          <w:jc w:val="center"/>
                        </w:pPr>
                        <w:r>
                          <w:fldChar w:fldCharType="begin"/>
                        </w:r>
                        <w:r>
                          <w:instrText xml:space="preserve">PAGE   \* MERGEFORMAT</w:instrText>
                        </w:r>
                        <w:r>
                          <w:fldChar w:fldCharType="separate"/>
                        </w:r>
                        <w:r>
                          <w:rPr>
                            <w:lang w:val="zh-CN"/>
                          </w:rPr>
                          <w:t>23</w:t>
                        </w:r>
                        <w:r>
                          <w:fldChar w:fldCharType="end"/>
                        </w:r>
                      </w:p>
                    </w:sdtContent>
                  </w:sdt>
                  <w:p w14:paraId="54A9B549">
                    <w:pPr>
                      <w:pStyle w:val="2"/>
                    </w:pPr>
                  </w:p>
                </w:txbxContent>
              </v:textbox>
            </v:shape>
          </w:pict>
        </mc:Fallback>
      </mc:AlternateContent>
    </w:r>
  </w:p>
  <w:p w14:paraId="7BBD4F37">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32CB">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F34B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91F34B9">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53970">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3387"/>
                          </w:sdtPr>
                          <w:sdtContent>
                            <w:p w14:paraId="6784613E">
                              <w:pPr>
                                <w:pStyle w:val="10"/>
                                <w:jc w:val="center"/>
                              </w:pPr>
                              <w:r>
                                <w:fldChar w:fldCharType="begin"/>
                              </w:r>
                              <w:r>
                                <w:instrText xml:space="preserve">PAGE   \* MERGEFORMAT</w:instrText>
                              </w:r>
                              <w:r>
                                <w:fldChar w:fldCharType="separate"/>
                              </w:r>
                              <w:r>
                                <w:rPr>
                                  <w:lang w:val="zh-CN"/>
                                </w:rPr>
                                <w:t>15</w:t>
                              </w:r>
                              <w:r>
                                <w:fldChar w:fldCharType="end"/>
                              </w:r>
                            </w:p>
                          </w:sdtContent>
                        </w:sdt>
                        <w:p w14:paraId="4F4855FE">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sdt>
                    <w:sdtPr>
                      <w:id w:val="147473387"/>
                    </w:sdtPr>
                    <w:sdtContent>
                      <w:p w14:paraId="6784613E">
                        <w:pPr>
                          <w:pStyle w:val="10"/>
                          <w:jc w:val="center"/>
                        </w:pPr>
                        <w:r>
                          <w:fldChar w:fldCharType="begin"/>
                        </w:r>
                        <w:r>
                          <w:instrText xml:space="preserve">PAGE   \* MERGEFORMAT</w:instrText>
                        </w:r>
                        <w:r>
                          <w:fldChar w:fldCharType="separate"/>
                        </w:r>
                        <w:r>
                          <w:rPr>
                            <w:lang w:val="zh-CN"/>
                          </w:rPr>
                          <w:t>15</w:t>
                        </w:r>
                        <w:r>
                          <w:fldChar w:fldCharType="end"/>
                        </w:r>
                      </w:p>
                    </w:sdtContent>
                  </w:sdt>
                  <w:p w14:paraId="4F4855FE">
                    <w:pPr>
                      <w:pStyle w:val="2"/>
                    </w:pPr>
                  </w:p>
                </w:txbxContent>
              </v:textbox>
            </v:shape>
          </w:pict>
        </mc:Fallback>
      </mc:AlternateContent>
    </w:r>
  </w:p>
  <w:p w14:paraId="43D49303">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3B12A">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A7D90">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74F9F">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WNhN2ZmY2ZhZmY3ODhlYTg0MWU5OGMyY2Qw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DC2831"/>
    <w:rsid w:val="048D0777"/>
    <w:rsid w:val="081B5E94"/>
    <w:rsid w:val="0A2032A3"/>
    <w:rsid w:val="0B8A37D8"/>
    <w:rsid w:val="0F5FFB2F"/>
    <w:rsid w:val="0FBD136E"/>
    <w:rsid w:val="0FFFCF60"/>
    <w:rsid w:val="10C055FF"/>
    <w:rsid w:val="118107EC"/>
    <w:rsid w:val="11C55D27"/>
    <w:rsid w:val="11DD6519"/>
    <w:rsid w:val="16BB723D"/>
    <w:rsid w:val="18015F3F"/>
    <w:rsid w:val="1BE8440E"/>
    <w:rsid w:val="1D155CEE"/>
    <w:rsid w:val="1D355798"/>
    <w:rsid w:val="1FDBBF84"/>
    <w:rsid w:val="20F57F95"/>
    <w:rsid w:val="2261718A"/>
    <w:rsid w:val="240371BF"/>
    <w:rsid w:val="25711CC6"/>
    <w:rsid w:val="25C741E6"/>
    <w:rsid w:val="276F80C0"/>
    <w:rsid w:val="27842671"/>
    <w:rsid w:val="29FD04D3"/>
    <w:rsid w:val="2ABE7A3E"/>
    <w:rsid w:val="2AFF09B6"/>
    <w:rsid w:val="2CA234A8"/>
    <w:rsid w:val="2EFA178C"/>
    <w:rsid w:val="2EFDF86C"/>
    <w:rsid w:val="2F9D17E1"/>
    <w:rsid w:val="30B46D73"/>
    <w:rsid w:val="30D17764"/>
    <w:rsid w:val="319F7F4E"/>
    <w:rsid w:val="356A28F1"/>
    <w:rsid w:val="357C035A"/>
    <w:rsid w:val="368E000D"/>
    <w:rsid w:val="383D272C"/>
    <w:rsid w:val="38D202DA"/>
    <w:rsid w:val="39AE70AB"/>
    <w:rsid w:val="3A4DCE41"/>
    <w:rsid w:val="3BCB56FA"/>
    <w:rsid w:val="3C0C0783"/>
    <w:rsid w:val="3EE7C2F4"/>
    <w:rsid w:val="3F371B56"/>
    <w:rsid w:val="3F792ED8"/>
    <w:rsid w:val="3F9F3A96"/>
    <w:rsid w:val="3FECA4B2"/>
    <w:rsid w:val="3FF58C48"/>
    <w:rsid w:val="42FF6694"/>
    <w:rsid w:val="48BF60AB"/>
    <w:rsid w:val="493C27E9"/>
    <w:rsid w:val="496F39ED"/>
    <w:rsid w:val="49FF41D3"/>
    <w:rsid w:val="4AA47882"/>
    <w:rsid w:val="4BE068DB"/>
    <w:rsid w:val="4BF6002B"/>
    <w:rsid w:val="4BFFC6BE"/>
    <w:rsid w:val="4ECE2238"/>
    <w:rsid w:val="4ED53D22"/>
    <w:rsid w:val="51DB4B86"/>
    <w:rsid w:val="51F64DB0"/>
    <w:rsid w:val="55333C3E"/>
    <w:rsid w:val="5F67802D"/>
    <w:rsid w:val="5F7DC4F2"/>
    <w:rsid w:val="5FB36814"/>
    <w:rsid w:val="5FBB8E56"/>
    <w:rsid w:val="5FFB5535"/>
    <w:rsid w:val="64CA39A1"/>
    <w:rsid w:val="69630ADE"/>
    <w:rsid w:val="69BD5F13"/>
    <w:rsid w:val="69FB0B4B"/>
    <w:rsid w:val="6BFFE1FB"/>
    <w:rsid w:val="6C4A05C8"/>
    <w:rsid w:val="6D3B1A89"/>
    <w:rsid w:val="6DB7D8A3"/>
    <w:rsid w:val="6EC78701"/>
    <w:rsid w:val="6F7A5481"/>
    <w:rsid w:val="6FFE07A9"/>
    <w:rsid w:val="7105152C"/>
    <w:rsid w:val="71BF4EC2"/>
    <w:rsid w:val="72734D90"/>
    <w:rsid w:val="736A6F9F"/>
    <w:rsid w:val="73E75B71"/>
    <w:rsid w:val="7412278C"/>
    <w:rsid w:val="75DDCDA9"/>
    <w:rsid w:val="75FF44B1"/>
    <w:rsid w:val="77670518"/>
    <w:rsid w:val="777FA627"/>
    <w:rsid w:val="7795571B"/>
    <w:rsid w:val="77DF1B5F"/>
    <w:rsid w:val="77EF2D9D"/>
    <w:rsid w:val="794050DE"/>
    <w:rsid w:val="79E7B28D"/>
    <w:rsid w:val="7ACFF0C2"/>
    <w:rsid w:val="7AFB9108"/>
    <w:rsid w:val="7B164DC9"/>
    <w:rsid w:val="7BD5340C"/>
    <w:rsid w:val="7BFB19D2"/>
    <w:rsid w:val="7BFD1750"/>
    <w:rsid w:val="7BFDAA1B"/>
    <w:rsid w:val="7CDF9A82"/>
    <w:rsid w:val="7CFFA1BD"/>
    <w:rsid w:val="7D2E3F7A"/>
    <w:rsid w:val="7DED9490"/>
    <w:rsid w:val="7DFF4872"/>
    <w:rsid w:val="7E7487E6"/>
    <w:rsid w:val="7E7C2A54"/>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Body Text"/>
    <w:basedOn w:val="1"/>
    <w:link w:val="24"/>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0"/>
    <w:semiHidden/>
    <w:unhideWhenUsed/>
    <w:qFormat/>
    <w:uiPriority w:val="99"/>
    <w:rPr>
      <w:sz w:val="18"/>
      <w:szCs w:val="18"/>
    </w:rPr>
  </w:style>
  <w:style w:type="paragraph" w:styleId="10">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7"/>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Header Char"/>
    <w:basedOn w:val="16"/>
    <w:semiHidden/>
    <w:qFormat/>
    <w:uiPriority w:val="99"/>
    <w:rPr>
      <w:rFonts w:ascii="Times New Roman" w:hAnsi="Times New Roman"/>
      <w:sz w:val="18"/>
      <w:szCs w:val="18"/>
    </w:rPr>
  </w:style>
  <w:style w:type="character" w:customStyle="1" w:styleId="20">
    <w:name w:val="页眉 字符"/>
    <w:link w:val="11"/>
    <w:semiHidden/>
    <w:qFormat/>
    <w:locked/>
    <w:uiPriority w:val="99"/>
    <w:rPr>
      <w:sz w:val="18"/>
    </w:rPr>
  </w:style>
  <w:style w:type="character" w:customStyle="1" w:styleId="21">
    <w:name w:val="Footer Char"/>
    <w:basedOn w:val="16"/>
    <w:semiHidden/>
    <w:qFormat/>
    <w:uiPriority w:val="99"/>
    <w:rPr>
      <w:rFonts w:ascii="Times New Roman" w:hAnsi="Times New Roman"/>
      <w:sz w:val="18"/>
      <w:szCs w:val="18"/>
    </w:rPr>
  </w:style>
  <w:style w:type="character" w:customStyle="1" w:styleId="22">
    <w:name w:val="页脚 字符"/>
    <w:link w:val="10"/>
    <w:qFormat/>
    <w:locked/>
    <w:uiPriority w:val="99"/>
    <w:rPr>
      <w:sz w:val="18"/>
    </w:rPr>
  </w:style>
  <w:style w:type="character" w:customStyle="1" w:styleId="23">
    <w:name w:val="Body Text Char"/>
    <w:basedOn w:val="16"/>
    <w:semiHidden/>
    <w:qFormat/>
    <w:uiPriority w:val="99"/>
    <w:rPr>
      <w:rFonts w:ascii="Times New Roman" w:hAnsi="Times New Roman"/>
      <w:szCs w:val="24"/>
    </w:rPr>
  </w:style>
  <w:style w:type="character" w:customStyle="1" w:styleId="24">
    <w:name w:val="正文文本 字符"/>
    <w:link w:val="6"/>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字符"/>
    <w:basedOn w:val="16"/>
    <w:link w:val="3"/>
    <w:qFormat/>
    <w:uiPriority w:val="9"/>
    <w:rPr>
      <w:rFonts w:ascii="Times New Roman" w:hAnsi="Times New Roman"/>
      <w:b/>
      <w:bCs/>
      <w:kern w:val="44"/>
      <w:sz w:val="44"/>
      <w:szCs w:val="44"/>
    </w:rPr>
  </w:style>
  <w:style w:type="character" w:customStyle="1" w:styleId="28">
    <w:name w:val="标题 2 字符"/>
    <w:basedOn w:val="16"/>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字符"/>
    <w:basedOn w:val="16"/>
    <w:link w:val="9"/>
    <w:semiHidden/>
    <w:qFormat/>
    <w:uiPriority w:val="99"/>
    <w:rPr>
      <w:rFonts w:ascii="Times New Roman" w:hAnsi="Times New Roman"/>
      <w:kern w:val="2"/>
      <w:sz w:val="18"/>
      <w:szCs w:val="18"/>
    </w:rPr>
  </w:style>
  <w:style w:type="character" w:customStyle="1" w:styleId="31">
    <w:name w:val="标题 3 字符"/>
    <w:basedOn w:val="16"/>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34</Pages>
  <Words>6225</Words>
  <Characters>6604</Characters>
  <Lines>54</Lines>
  <Paragraphs>15</Paragraphs>
  <TotalTime>204</TotalTime>
  <ScaleCrop>false</ScaleCrop>
  <LinksUpToDate>false</LinksUpToDate>
  <CharactersWithSpaces>6653</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奕夕^_^</cp:lastModifiedBy>
  <cp:lastPrinted>2023-08-03T02:35:00Z</cp:lastPrinted>
  <dcterms:modified xsi:type="dcterms:W3CDTF">2024-09-19T01:20:38Z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5F7D08EBBFE44C32878C85800BCA6751_12</vt:lpwstr>
  </property>
</Properties>
</file>