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7193"/>
      <w:bookmarkStart w:id="3" w:name="_Toc15396597"/>
      <w:bookmarkStart w:id="4" w:name="_Toc15396475"/>
      <w:bookmarkStart w:id="5" w:name="_Toc15378441"/>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96598"/>
      <w:bookmarkStart w:id="9" w:name="_Toc15396476"/>
      <w:bookmarkStart w:id="10" w:name="_Toc15377194"/>
      <w:r>
        <w:rPr>
          <w:rFonts w:hint="eastAsia" w:ascii="方正小标宋简体" w:eastAsia="方正小标宋简体"/>
          <w:sz w:val="72"/>
          <w:szCs w:val="72"/>
          <w:lang w:eastAsia="zh-CN"/>
        </w:rPr>
        <w:t>四川省</w:t>
      </w:r>
      <w:r>
        <w:rPr>
          <w:rFonts w:hint="eastAsia" w:ascii="方正小标宋简体" w:eastAsia="方正小标宋简体"/>
          <w:sz w:val="72"/>
          <w:szCs w:val="72"/>
        </w:rPr>
        <w:t>阿坝州</w:t>
      </w:r>
      <w:bookmarkEnd w:id="0"/>
      <w:bookmarkStart w:id="11" w:name="_Toc15306268"/>
      <w:r>
        <w:rPr>
          <w:rFonts w:hint="eastAsia" w:ascii="方正小标宋简体" w:hAnsi="宋体" w:eastAsia="方正小标宋简体"/>
          <w:color w:val="000000"/>
          <w:sz w:val="72"/>
          <w:szCs w:val="72"/>
        </w:rPr>
        <w:t>松潘县党史和地方志</w:t>
      </w:r>
      <w:r>
        <w:rPr>
          <w:rFonts w:hint="eastAsia" w:ascii="方正小标宋简体" w:hAnsi="宋体" w:eastAsia="方正小标宋简体"/>
          <w:color w:val="000000"/>
          <w:sz w:val="72"/>
          <w:szCs w:val="72"/>
          <w:lang w:eastAsia="zh-CN"/>
        </w:rPr>
        <w:t>编纂中心</w:t>
      </w:r>
    </w:p>
    <w:p>
      <w:pPr>
        <w:jc w:val="center"/>
        <w:rPr>
          <w:rFonts w:hint="eastAsia" w:ascii="方正小标宋简体" w:eastAsia="方正小标宋简体"/>
          <w:sz w:val="72"/>
          <w:szCs w:val="72"/>
          <w:lang w:eastAsia="zh-CN"/>
        </w:rPr>
      </w:pP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lang w:eastAsia="zh-CN"/>
        </w:rPr>
        <w:t>公开</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eastAsia="宋体" w:cs="仿宋_GB2312"/>
          <w:sz w:val="32"/>
          <w:szCs w:val="32"/>
          <w:lang w:eastAsia="zh-CN"/>
        </w:rPr>
      </w:pPr>
      <w:r>
        <w:rPr>
          <w:rFonts w:hint="eastAsia" w:ascii="宋体" w:hAnsi="宋体" w:cs="仿宋_GB2312"/>
          <w:sz w:val="32"/>
          <w:szCs w:val="32"/>
          <w:lang w:eastAsia="zh-CN"/>
        </w:rPr>
        <w:t>已经</w:t>
      </w:r>
      <w:r>
        <w:rPr>
          <w:rFonts w:hint="eastAsia" w:ascii="宋体" w:hAnsi="宋体" w:cs="仿宋_GB2312"/>
          <w:sz w:val="32"/>
          <w:szCs w:val="32"/>
        </w:rPr>
        <w:t>保密审查</w:t>
      </w:r>
      <w:r>
        <w:rPr>
          <w:rFonts w:hint="eastAsia" w:ascii="宋体" w:hAnsi="宋体" w:cs="仿宋_GB2312"/>
          <w:sz w:val="32"/>
          <w:szCs w:val="32"/>
          <w:lang w:eastAsia="zh-CN"/>
        </w:rPr>
        <w:t>、内容</w:t>
      </w:r>
      <w:r>
        <w:rPr>
          <w:rFonts w:hint="eastAsia" w:ascii="宋体" w:hAnsi="宋体" w:cs="仿宋_GB2312"/>
          <w:sz w:val="32"/>
          <w:szCs w:val="32"/>
        </w:rPr>
        <w:t>审定</w:t>
      </w:r>
      <w:r>
        <w:rPr>
          <w:rFonts w:hint="eastAsia" w:ascii="宋体" w:hAnsi="宋体" w:cs="仿宋_GB2312"/>
          <w:sz w:val="32"/>
          <w:szCs w:val="32"/>
          <w:lang w:eastAsia="zh-CN"/>
        </w:rPr>
        <w:t>，同意对外公开</w:t>
      </w: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autoSpaceDE w:val="0"/>
        <w:autoSpaceDN w:val="0"/>
        <w:adjustRightInd w:val="0"/>
        <w:ind w:left="420" w:leftChars="200"/>
        <w:jc w:val="left"/>
        <w:rPr>
          <w:rFonts w:hint="eastAsia" w:ascii="宋体" w:hAnsi="宋体" w:cs="仿宋_GB2312"/>
          <w:sz w:val="32"/>
          <w:szCs w:val="32"/>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w:t>
      </w:r>
      <w:r>
        <w:rPr>
          <w:rFonts w:hint="eastAsia" w:hAnsiTheme="minorHAnsi"/>
          <w:b w:val="0"/>
          <w:bCs w:val="0"/>
          <w:sz w:val="24"/>
          <w:szCs w:val="24"/>
          <w:lang w:val="en-US" w:eastAsia="zh-CN"/>
        </w:rPr>
        <w:t>8</w:t>
      </w:r>
      <w:r>
        <w:rPr>
          <w:rFonts w:hint="eastAsia" w:hAnsiTheme="minorHAnsi"/>
          <w:b w:val="0"/>
          <w:bCs w:val="0"/>
          <w:sz w:val="24"/>
          <w:szCs w:val="24"/>
        </w:rPr>
        <w:t>月</w:t>
      </w:r>
      <w:r>
        <w:rPr>
          <w:rFonts w:hint="eastAsia" w:hAnsiTheme="minorHAnsi"/>
          <w:b w:val="0"/>
          <w:bCs w:val="0"/>
          <w:sz w:val="24"/>
          <w:szCs w:val="24"/>
          <w:lang w:val="en-US" w:eastAsia="zh-CN"/>
        </w:rPr>
        <w:t>25</w:t>
      </w:r>
      <w:r>
        <w:rPr>
          <w:rFonts w:hint="eastAsia" w:hAnsiTheme="minorHAnsi"/>
          <w:b w:val="0"/>
          <w:bCs w:val="0"/>
          <w:sz w:val="24"/>
          <w:szCs w:val="24"/>
        </w:rPr>
        <w:t>日</w:t>
      </w:r>
    </w:p>
    <w:p>
      <w:pPr>
        <w:pStyle w:val="13"/>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4</w:t>
      </w:r>
    </w:p>
    <w:p>
      <w:pPr>
        <w:pStyle w:val="16"/>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4</w:t>
      </w:r>
    </w:p>
    <w:p>
      <w:pPr>
        <w:pStyle w:val="16"/>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pPr>
        <w:pStyle w:val="13"/>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2</w:t>
      </w:r>
      <w:r>
        <w:rPr>
          <w:rFonts w:ascii="黑体" w:hAnsi="黑体" w:eastAsia="黑体"/>
          <w:b w:val="0"/>
          <w:bCs w:val="0"/>
        </w:rPr>
        <w:t>年度部门决算情况说明</w:t>
      </w:r>
      <w:r>
        <w:tab/>
      </w:r>
      <w:r>
        <w:rPr>
          <w:rFonts w:hint="eastAsia"/>
          <w:lang w:val="en-US" w:eastAsia="zh-CN"/>
        </w:rPr>
        <w:t>9</w:t>
      </w:r>
    </w:p>
    <w:p>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9</w:t>
      </w:r>
    </w:p>
    <w:p>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pPr>
        <w:pStyle w:val="16"/>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10</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11</w:t>
      </w:r>
      <w:r>
        <w:fldChar w:fldCharType="end"/>
      </w:r>
    </w:p>
    <w:p>
      <w:pPr>
        <w:pStyle w:val="16"/>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11</w:t>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14</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七、</w:t>
      </w:r>
      <w:r>
        <w:rPr>
          <w:rFonts w:hint="eastAsia" w:ascii="黑体" w:eastAsia="黑体"/>
          <w:color w:val="000000"/>
          <w:lang w:eastAsia="zh-CN"/>
        </w:rPr>
        <w:t>财政拨款</w:t>
      </w:r>
      <w:r>
        <w:rPr>
          <w:rFonts w:ascii="黑体" w:hAnsi="黑体" w:eastAsia="黑体"/>
          <w:b/>
          <w:bCs/>
        </w:rPr>
        <w:t>“</w:t>
      </w:r>
      <w:r>
        <w:rPr>
          <w:rFonts w:ascii="黑体" w:hAnsi="黑体" w:eastAsia="黑体"/>
          <w:bCs/>
        </w:rPr>
        <w:t>三公”经费支出决算情况说明</w:t>
      </w:r>
      <w:r>
        <w:tab/>
      </w:r>
      <w:r>
        <w:fldChar w:fldCharType="begin"/>
      </w:r>
      <w:r>
        <w:instrText xml:space="preserve"> PAGEREF _Toc79163869 \h </w:instrText>
      </w:r>
      <w:r>
        <w:fldChar w:fldCharType="separate"/>
      </w:r>
      <w:r>
        <w:t>14</w:t>
      </w:r>
      <w:r>
        <w:fldChar w:fldCharType="end"/>
      </w:r>
    </w:p>
    <w:p>
      <w:pPr>
        <w:pStyle w:val="16"/>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16</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16</w:t>
      </w:r>
      <w:r>
        <w:fldChar w:fldCharType="end"/>
      </w:r>
    </w:p>
    <w:p>
      <w:pPr>
        <w:pStyle w:val="16"/>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16</w:t>
      </w:r>
      <w:r>
        <w:fldChar w:fldCharType="end"/>
      </w:r>
    </w:p>
    <w:p>
      <w:pPr>
        <w:pStyle w:val="13"/>
        <w:tabs>
          <w:tab w:val="right" w:leader="dot" w:pos="8296"/>
        </w:tabs>
        <w:rPr>
          <w:rFonts w:hint="eastAsia"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18</w:t>
      </w:r>
      <w:r>
        <w:fldChar w:fldCharType="end"/>
      </w:r>
      <w:r>
        <w:rPr>
          <w:rFonts w:hint="eastAsia"/>
          <w:lang w:val="en-US" w:eastAsia="zh-CN"/>
        </w:rPr>
        <w:t>8</w:t>
      </w:r>
    </w:p>
    <w:p>
      <w:pPr>
        <w:pStyle w:val="13"/>
        <w:tabs>
          <w:tab w:val="right" w:leader="dot" w:pos="8296"/>
        </w:tabs>
        <w:rPr>
          <w:rFonts w:hint="eastAsia"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18</w:t>
      </w:r>
      <w:r>
        <w:fldChar w:fldCharType="end"/>
      </w:r>
      <w:r>
        <w:rPr>
          <w:rFonts w:hint="eastAsia"/>
          <w:lang w:val="en-US" w:eastAsia="zh-CN"/>
        </w:rPr>
        <w:t>1</w:t>
      </w:r>
    </w:p>
    <w:p>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28</w:t>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28</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28</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29</w:t>
      </w:r>
      <w:r>
        <w:fldChar w:fldCharType="end"/>
      </w:r>
    </w:p>
    <w:p>
      <w:pPr>
        <w:pStyle w:val="16"/>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29</w:t>
      </w:r>
      <w:r>
        <w:fldChar w:fldCharType="end"/>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30</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31</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31</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32</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32</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33</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33</w:t>
      </w:r>
    </w:p>
    <w:p>
      <w:pPr>
        <w:pStyle w:val="16"/>
        <w:tabs>
          <w:tab w:val="right" w:leader="dot" w:pos="8296"/>
        </w:tabs>
        <w:rPr>
          <w:rFonts w:hint="default" w:eastAsiaTheme="minorHAnsi"/>
          <w:lang w:val="en-US" w:eastAsia="zh-CN"/>
        </w:rPr>
      </w:pPr>
      <w:r>
        <w:rPr>
          <w:rFonts w:ascii="仿宋" w:hAnsi="仿宋" w:eastAsia="仿宋"/>
        </w:rPr>
        <w:t>十</w:t>
      </w:r>
      <w:r>
        <w:rPr>
          <w:rFonts w:hint="eastAsia" w:ascii="仿宋" w:hAnsi="仿宋" w:eastAsia="仿宋"/>
          <w:lang w:eastAsia="zh-CN"/>
        </w:rPr>
        <w:t>二</w:t>
      </w:r>
      <w:r>
        <w:rPr>
          <w:rFonts w:ascii="仿宋" w:hAnsi="仿宋" w:eastAsia="仿宋"/>
        </w:rPr>
        <w:t>、国有资本经营预算财政拨款支出决算表</w:t>
      </w:r>
      <w:r>
        <w:tab/>
      </w:r>
      <w:r>
        <w:rPr>
          <w:rFonts w:hint="eastAsia"/>
          <w:lang w:val="en-US" w:eastAsia="zh-CN"/>
        </w:rPr>
        <w:t>33</w:t>
      </w:r>
    </w:p>
    <w:p>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三</w:t>
      </w:r>
      <w:r>
        <w:rPr>
          <w:rFonts w:ascii="仿宋" w:hAnsi="仿宋" w:eastAsia="仿宋"/>
        </w:rPr>
        <w:t>、财政拨款“三公”经费支出决算表</w:t>
      </w:r>
      <w:r>
        <w:tab/>
      </w:r>
      <w:r>
        <w:rPr>
          <w:rFonts w:hint="eastAsia"/>
          <w:lang w:val="en-US" w:eastAsia="zh-CN"/>
        </w:rPr>
        <w:t>34</w:t>
      </w:r>
    </w:p>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3"/>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hAnsi="仿宋" w:eastAsia="仿宋"/>
          <w:b w:val="0"/>
          <w:bCs w:val="0"/>
        </w:rPr>
      </w:pPr>
      <w:bookmarkStart w:id="16" w:name="_Toc15377197"/>
      <w:bookmarkStart w:id="17" w:name="_Toc15396600"/>
      <w:bookmarkStart w:id="18" w:name="_Toc79163602"/>
      <w:bookmarkStart w:id="19" w:name="_Toc7916385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ind w:firstLine="640" w:firstLineChars="200"/>
        <w:rPr>
          <w:rFonts w:hint="eastAsia" w:ascii="仿宋_GB2312" w:hAnsi="宋体" w:eastAsia="仿宋_GB2312"/>
          <w:sz w:val="32"/>
          <w:szCs w:val="32"/>
        </w:rPr>
      </w:pPr>
      <w:bookmarkStart w:id="24" w:name="_Toc15378446"/>
      <w:bookmarkStart w:id="25" w:name="_Toc15377199"/>
      <w:bookmarkStart w:id="26" w:name="_Toc79163854"/>
      <w:bookmarkStart w:id="27" w:name="_Toc79163604"/>
      <w:r>
        <w:rPr>
          <w:rFonts w:hint="eastAsia" w:ascii="仿宋_GB2312" w:hAnsi="宋体" w:eastAsia="仿宋_GB2312"/>
          <w:sz w:val="32"/>
          <w:szCs w:val="32"/>
        </w:rPr>
        <w:t>1.贯彻</w:t>
      </w:r>
      <w:bookmarkStart w:id="154" w:name="_GoBack"/>
      <w:bookmarkEnd w:id="154"/>
      <w:r>
        <w:rPr>
          <w:rFonts w:hint="eastAsia" w:ascii="仿宋_GB2312" w:hAnsi="宋体" w:eastAsia="仿宋_GB2312"/>
          <w:sz w:val="32"/>
          <w:szCs w:val="32"/>
        </w:rPr>
        <w:t>党中央、国务院和省、州、县关于党史和地方志工作的方针、政策和</w:t>
      </w:r>
      <w:r>
        <w:rPr>
          <w:rFonts w:hint="eastAsia" w:ascii="仿宋_GB2312" w:hAnsi="宋体" w:eastAsia="仿宋_GB2312"/>
          <w:sz w:val="32"/>
          <w:szCs w:val="32"/>
          <w:lang w:eastAsia="zh-CN"/>
        </w:rPr>
        <w:t>法律法规</w:t>
      </w:r>
      <w:r>
        <w:rPr>
          <w:rFonts w:hint="eastAsia" w:ascii="仿宋_GB2312" w:hAnsi="宋体" w:eastAsia="仿宋_GB2312"/>
          <w:sz w:val="32"/>
          <w:szCs w:val="32"/>
        </w:rPr>
        <w:t>，组织实施协调监督及指导全县党史和地方志工作。拟定全县党史和地方志工作规划和年度计划并组织实施，承担“存史、资治、教化、育人”的重要公共事务管理职能。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组织开展中国共产党松潘县历史研究，编写年度历史大事记，旧志整理，承担《中国共产党松潘县历史》《中国共产党松潘县执政实录》《松潘县志》《松潘年鉴》等史志图书的组稿、总纂、上报审定和编辑出版工作，指导各部门及各乡镇开展部门志和乡镇志、村志、年鉴的编纂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3.推动党史成果转化，进行党史、革命史、地情的宣传教育；负责全县党史系统干部培训工作；组织党史工作及口述历史工作经验交流。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4.负责征集、抢救、整理、编纂全县重要党史资料，搜集、保存、研究地方志文献及其他地情资料；组织开发利用党史、地方志信息资源，推动党史、地方志成果转化。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5.负责全县重大党史题材的展览宣传，运用党史、地方志资料进行宣传教育，为社会各界提供宣传教育服务。</w:t>
      </w:r>
    </w:p>
    <w:p>
      <w:pPr>
        <w:ind w:firstLine="640" w:firstLineChars="200"/>
        <w:rPr>
          <w:rFonts w:hint="eastAsia" w:ascii="仿宋" w:hAnsi="仿宋" w:eastAsia="仿宋"/>
          <w:bCs/>
          <w:color w:val="000000"/>
          <w:sz w:val="32"/>
          <w:szCs w:val="32"/>
        </w:rPr>
      </w:pPr>
      <w:r>
        <w:rPr>
          <w:rFonts w:hint="eastAsia" w:ascii="仿宋_GB2312" w:hAnsi="宋体" w:eastAsia="仿宋_GB2312"/>
          <w:sz w:val="32"/>
          <w:szCs w:val="32"/>
        </w:rPr>
        <w:t>6.完成县委、县政府交办的其他工作。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24"/>
      <w:bookmarkEnd w:id="25"/>
      <w:bookmarkEnd w:id="26"/>
      <w:bookmarkEnd w:id="27"/>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党史工作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一是《中国共产党松潘县执政实录202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》编纂工作推进有力。完成了《中国共产党松潘县执政实录202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》的资料收集、整理、编纂、修改工作和出版；完成了《中国共产党阿坝州执政实录202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松潘概况的资料收集、编纂和报送工作。二是常态化开展党史学习教育工作。党史学习教育工作转变为常态化开展后，作为党史研究业务部门，松潘县党史和地方志编纂中心积极指导相关单位开展党史学习教育，深入各机关、乡镇、学校、企业宣讲地方党史，取得良好成效。同时积极参与开展红军长征文化公园的规划建设和毛儿盖红色文化纪念馆相关建设，取得较好成效。三是党史正本年度编纂工作推进有序。按照年度工作计划，继续开展《中国共产党松潘县历史》一书的资料补充和编纂工作，保持了相应进度。</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lang w:eastAsia="zh-CN"/>
        </w:rPr>
        <w:t>口述历史工作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一是口述历史纪录片拍摄工作进展顺利。2月中旬，完成了2022年度口述历史纪录片选题报送工作，顺利通过州口述办审核；按照工作方案的时间节点，完成口述历史纪录片《岷江之源 红色洗礼（下）》的脚本和拍摄方案编制及摄制工作，并于11月顺利通过终审。二是口述历史成果转化运用工作落实有力。年初，通过县委党校将口述历史纪录片展播纳入了教学计划，组织每一期干部和人才培训班进行观看；通过县融媒体中心松潘电视台平台，每月定期播放1部口述历史纪录片；“口述历史进校园”活动持续开展；“口述历史进旅游大巴”工作进展顺利；口述历史“七进”活动有序开展。</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lang w:eastAsia="zh-CN"/>
        </w:rPr>
        <w:t>地方志工作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一是《松潘年鉴2022》编纂工作成效显著。《松潘年鉴2022》经过资料收集、整理归类、编纂修改工作，完成出版工作；完成了2022年省、州年鉴松潘县情概况的资料收集、编纂和报送工作。二是乡镇、村志编纂工作推进有力。根据省、州的工作要求，结合我县实际情况，积极制订《松潘县乡镇、村志编纂工作总体规划方案（征求意见稿）》，广泛征求意见并认真修改，经十五届松潘县人民政府第10次常务会议审议通过，按照方案稳步推进该项工作。三是其他业务工作完成及时。按照相关文件要求，完成了《松潘县地方志发展报告（2022卷）》和省、州业务部门征文撰稿上报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lang w:eastAsia="zh-CN"/>
        </w:rPr>
        <w:t>自身建设工作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一是机构建设工作不断加强。在搬迁办公场所后，保证了4间办公用房的同时，经多方争取，保留了1间图书资料室，为下一步我单位规范方志馆和党史资料室奠定了基础。二是队伍建设工作不断提升。积极组织、参与了省、州党史和方志系统的业务培训，不断提升队伍工作能力和业务水平。</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lang w:eastAsia="zh-CN"/>
        </w:rPr>
        <w:t>其他重大专项工作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一是深入开展“两联一进”工作。坚持定期不定期深入单位联系的进安镇顺江社区开展帮扶工作、群众工作，在联系寺庙元坝寺开展联寺联僧工作，在镇党委、镇政府的统一安排下，开展走基层、“两联一进”等群众工作，务求实效。二是完成县委、县政府和上级业务部门交办的其他任务。根据统筹部署，积极开展节约型机关创建、无烟单位创建，完成民族团结示范县创建等任务我单位的相应工作。</w:t>
      </w:r>
    </w:p>
    <w:p>
      <w:pPr>
        <w:pStyle w:val="3"/>
        <w:rPr>
          <w:rStyle w:val="24"/>
          <w:b w:val="0"/>
          <w:bCs w:val="0"/>
        </w:rPr>
      </w:pPr>
      <w:bookmarkStart w:id="28" w:name="_Toc79163605"/>
      <w:bookmarkStart w:id="29" w:name="_Toc15377200"/>
      <w:bookmarkStart w:id="30" w:name="_Toc15396601"/>
      <w:bookmarkStart w:id="31" w:name="_Toc79163855"/>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ind w:firstLine="800" w:firstLineChars="250"/>
        <w:rPr>
          <w:rFonts w:hint="default" w:ascii="仿宋" w:hAnsi="仿宋" w:eastAsia="仿宋"/>
          <w:sz w:val="32"/>
          <w:szCs w:val="32"/>
          <w:lang w:val="en-US" w:eastAsia="zh-CN"/>
        </w:rPr>
      </w:pPr>
      <w:bookmarkStart w:id="32" w:name="_Toc79163609"/>
      <w:bookmarkStart w:id="33" w:name="_Toc79163859"/>
      <w:bookmarkStart w:id="34" w:name="_Toc15377204"/>
      <w:bookmarkStart w:id="35" w:name="_Toc15396602"/>
      <w:r>
        <w:rPr>
          <w:rFonts w:hint="eastAsia" w:ascii="仿宋" w:hAnsi="仿宋" w:eastAsia="仿宋"/>
          <w:sz w:val="32"/>
          <w:szCs w:val="32"/>
          <w:lang w:eastAsia="zh-CN"/>
        </w:rPr>
        <w:t>松潘县党史和地方志编纂中心</w:t>
      </w:r>
      <w:r>
        <w:rPr>
          <w:rFonts w:hint="eastAsia" w:ascii="仿宋" w:hAnsi="仿宋" w:eastAsia="仿宋"/>
          <w:sz w:val="32"/>
          <w:szCs w:val="32"/>
        </w:rPr>
        <w:t>属县委管理的参照公务员法管理的事业单位。</w:t>
      </w:r>
      <w:r>
        <w:rPr>
          <w:rFonts w:hint="eastAsia" w:ascii="仿宋" w:hAnsi="仿宋" w:eastAsia="仿宋"/>
          <w:sz w:val="32"/>
          <w:szCs w:val="32"/>
          <w:lang w:eastAsia="zh-CN"/>
        </w:rPr>
        <w:t>松潘县党史和地方志编纂中心</w:t>
      </w:r>
      <w:r>
        <w:rPr>
          <w:rFonts w:hint="eastAsia" w:ascii="仿宋" w:hAnsi="仿宋" w:eastAsia="仿宋"/>
          <w:sz w:val="32"/>
          <w:szCs w:val="32"/>
        </w:rPr>
        <w:t>有3个内设机构</w:t>
      </w:r>
      <w:r>
        <w:rPr>
          <w:rFonts w:hint="eastAsia" w:ascii="仿宋" w:hAnsi="仿宋" w:eastAsia="仿宋"/>
          <w:sz w:val="32"/>
          <w:szCs w:val="32"/>
          <w:lang w:eastAsia="zh-CN"/>
        </w:rPr>
        <w:t>，</w:t>
      </w:r>
      <w:r>
        <w:rPr>
          <w:rFonts w:hint="eastAsia" w:ascii="仿宋" w:hAnsi="仿宋" w:eastAsia="仿宋"/>
          <w:sz w:val="32"/>
          <w:szCs w:val="32"/>
          <w:lang w:val="en-US" w:eastAsia="zh-CN"/>
        </w:rPr>
        <w:t>6个编制，其中主任1名，副主任1名，股室负责人3名。</w:t>
      </w:r>
    </w:p>
    <w:p>
      <w:pPr>
        <w:ind w:firstLine="800" w:firstLineChars="250"/>
        <w:rPr>
          <w:rFonts w:hint="eastAsia" w:ascii="仿宋" w:hAnsi="仿宋" w:eastAsia="仿宋"/>
          <w:sz w:val="32"/>
          <w:szCs w:val="32"/>
        </w:rPr>
      </w:pPr>
      <w:r>
        <w:rPr>
          <w:rFonts w:hint="eastAsia" w:ascii="仿宋" w:hAnsi="仿宋" w:eastAsia="仿宋"/>
          <w:sz w:val="32"/>
          <w:szCs w:val="32"/>
        </w:rPr>
        <w:t>（一）综合股</w:t>
      </w:r>
    </w:p>
    <w:p>
      <w:pPr>
        <w:ind w:firstLine="800" w:firstLineChars="250"/>
        <w:rPr>
          <w:rFonts w:hint="eastAsia" w:ascii="仿宋" w:hAnsi="仿宋" w:eastAsia="仿宋"/>
          <w:sz w:val="32"/>
          <w:szCs w:val="32"/>
        </w:rPr>
      </w:pPr>
      <w:r>
        <w:rPr>
          <w:rFonts w:hint="eastAsia" w:ascii="仿宋" w:hAnsi="仿宋" w:eastAsia="仿宋"/>
          <w:sz w:val="32"/>
          <w:szCs w:val="32"/>
        </w:rPr>
        <w:t>负责综合性文件和报告的起草、审核；负责文电、会务和档案等机关日常运转工作；负责信息、保密、政务公开工作；制订编制地方志长期规划和工作计划并督促实施；负责史志系统信息收集、分析、反馈；负责机关财务、预决算、财务管理工作；负责机关队伍建设、思想作风建设、工作作风建设、党风廉政建设和精神文明建设等工作。</w:t>
      </w:r>
    </w:p>
    <w:p>
      <w:pPr>
        <w:ind w:firstLine="800" w:firstLineChars="250"/>
        <w:rPr>
          <w:rFonts w:hint="eastAsia" w:ascii="仿宋" w:hAnsi="仿宋" w:eastAsia="仿宋"/>
          <w:sz w:val="32"/>
          <w:szCs w:val="32"/>
        </w:rPr>
      </w:pPr>
      <w:r>
        <w:rPr>
          <w:rFonts w:hint="eastAsia" w:ascii="仿宋" w:hAnsi="仿宋" w:eastAsia="仿宋"/>
          <w:sz w:val="32"/>
          <w:szCs w:val="32"/>
        </w:rPr>
        <w:t>（二）党史股</w:t>
      </w:r>
    </w:p>
    <w:p>
      <w:pPr>
        <w:ind w:firstLine="800" w:firstLineChars="250"/>
        <w:rPr>
          <w:rFonts w:hint="eastAsia" w:ascii="仿宋" w:hAnsi="仿宋" w:eastAsia="仿宋"/>
          <w:sz w:val="32"/>
          <w:szCs w:val="32"/>
        </w:rPr>
      </w:pPr>
      <w:r>
        <w:rPr>
          <w:rFonts w:hint="eastAsia" w:ascii="仿宋" w:hAnsi="仿宋" w:eastAsia="仿宋"/>
          <w:sz w:val="32"/>
          <w:szCs w:val="32"/>
        </w:rPr>
        <w:t>组织开展党史正本编纂、执政实录编纂工作；开展口述历史纪录片拍摄工作；负责长征图文资料和文物收集保护工作；开展地方党史研究工作等。</w:t>
      </w:r>
    </w:p>
    <w:p>
      <w:pPr>
        <w:ind w:firstLine="800" w:firstLineChars="250"/>
        <w:rPr>
          <w:rFonts w:hint="eastAsia" w:ascii="仿宋" w:hAnsi="仿宋" w:eastAsia="仿宋"/>
          <w:sz w:val="32"/>
          <w:szCs w:val="32"/>
        </w:rPr>
      </w:pPr>
      <w:r>
        <w:rPr>
          <w:rFonts w:hint="eastAsia" w:ascii="仿宋" w:hAnsi="仿宋" w:eastAsia="仿宋"/>
          <w:sz w:val="32"/>
          <w:szCs w:val="32"/>
        </w:rPr>
        <w:t>（三）地方志股</w:t>
      </w:r>
    </w:p>
    <w:p>
      <w:pPr>
        <w:pStyle w:val="6"/>
        <w:adjustRightInd w:val="0"/>
        <w:snapToGrid w:val="0"/>
        <w:spacing w:before="93" w:line="600" w:lineRule="exact"/>
        <w:ind w:firstLine="672" w:firstLineChars="210"/>
        <w:rPr>
          <w:rFonts w:hint="eastAsia" w:ascii="仿宋" w:hAnsi="仿宋" w:eastAsia="仿宋"/>
          <w:sz w:val="32"/>
          <w:szCs w:val="32"/>
        </w:rPr>
      </w:pPr>
      <w:r>
        <w:rPr>
          <w:rFonts w:hint="eastAsia" w:ascii="仿宋" w:hAnsi="仿宋" w:eastAsia="仿宋"/>
          <w:sz w:val="32"/>
          <w:szCs w:val="32"/>
        </w:rPr>
        <w:t>组织、指导、督促和检查地方志工作；拟定地方志工作规划和编纂方案；组织编纂地方志书、地方综合年鉴、地情资料；搜集、保存地方志文献和资料，组织整理旧志，推动方志理论研究；组织开发利用地方志资源。</w:t>
      </w: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p>
      <w:pPr>
        <w:pStyle w:val="6"/>
        <w:adjustRightInd w:val="0"/>
        <w:snapToGrid w:val="0"/>
        <w:spacing w:before="93" w:line="600" w:lineRule="exact"/>
        <w:ind w:firstLine="672" w:firstLineChars="210"/>
        <w:rPr>
          <w:rFonts w:hint="eastAsia" w:ascii="仿宋" w:hAnsi="仿宋" w:eastAsia="仿宋"/>
          <w:sz w:val="32"/>
          <w:szCs w:val="32"/>
        </w:rPr>
      </w:pPr>
    </w:p>
    <w:bookmarkEnd w:id="32"/>
    <w:bookmarkEnd w:id="33"/>
    <w:bookmarkEnd w:id="34"/>
    <w:bookmarkEnd w:id="35"/>
    <w:p>
      <w:pPr>
        <w:pStyle w:val="2"/>
        <w:ind w:right="440"/>
        <w:jc w:val="right"/>
        <w:rPr>
          <w:rStyle w:val="23"/>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3"/>
          <w:rFonts w:hint="eastAsia" w:ascii="黑体" w:hAnsi="黑体" w:eastAsia="黑体"/>
          <w:b w:val="0"/>
          <w:bCs w:val="0"/>
          <w:lang w:eastAsia="zh-CN"/>
        </w:rPr>
        <w:t>202</w:t>
      </w:r>
      <w:r>
        <w:rPr>
          <w:rStyle w:val="23"/>
          <w:rFonts w:hint="eastAsia" w:ascii="黑体" w:hAnsi="黑体" w:eastAsia="黑体"/>
          <w:b w:val="0"/>
          <w:bCs w:val="0"/>
          <w:lang w:val="en-US" w:eastAsia="zh-CN"/>
        </w:rPr>
        <w:t>2</w:t>
      </w:r>
      <w:r>
        <w:rPr>
          <w:rStyle w:val="23"/>
          <w:rFonts w:hint="eastAsia" w:ascii="黑体" w:hAnsi="黑体" w:eastAsia="黑体"/>
          <w:b w:val="0"/>
          <w:bCs w:val="0"/>
        </w:rPr>
        <w:t>年度部门决算情况说明</w:t>
      </w:r>
    </w:p>
    <w:p/>
    <w:p>
      <w:pPr>
        <w:pStyle w:val="34"/>
        <w:numPr>
          <w:ilvl w:val="0"/>
          <w:numId w:val="1"/>
        </w:numPr>
        <w:spacing w:line="600" w:lineRule="exact"/>
        <w:ind w:firstLineChars="0"/>
        <w:outlineLvl w:val="1"/>
        <w:rPr>
          <w:rStyle w:val="24"/>
          <w:rFonts w:ascii="黑体" w:hAnsi="黑体" w:eastAsia="黑体"/>
          <w:b w:val="0"/>
        </w:rPr>
      </w:pPr>
      <w:bookmarkStart w:id="36" w:name="_Toc79163860"/>
      <w:bookmarkStart w:id="37" w:name="_Toc15377205"/>
      <w:bookmarkStart w:id="38" w:name="_Toc15396603"/>
      <w:bookmarkStart w:id="39" w:name="_Toc79163610"/>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2022年度收、支总计125.27万元。与2021年相比，收、支总计各增加-30.10万元，增长-19.37%。主要变动原因是人员减少及项目减少。</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34"/>
        <w:numPr>
          <w:ilvl w:val="0"/>
          <w:numId w:val="1"/>
        </w:numPr>
        <w:spacing w:line="600" w:lineRule="exact"/>
        <w:ind w:firstLineChars="0"/>
        <w:outlineLvl w:val="1"/>
        <w:rPr>
          <w:rStyle w:val="24"/>
          <w:rFonts w:ascii="黑体" w:hAnsi="黑体" w:eastAsia="黑体"/>
          <w:b w:val="0"/>
        </w:rPr>
      </w:pPr>
      <w:bookmarkStart w:id="40" w:name="_Toc79163611"/>
      <w:bookmarkStart w:id="41" w:name="_Toc15396604"/>
      <w:bookmarkStart w:id="42" w:name="_Toc79163861"/>
      <w:bookmarkStart w:id="43" w:name="_Toc15377206"/>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本年收入合计125.27万元，其中：一般公共预算财政拨款收入125.27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spacing w:line="240" w:lineRule="auto"/>
        <w:ind w:firstLine="640" w:firstLineChars="200"/>
        <w:rPr>
          <w:rFonts w:hint="eastAsia" w:ascii="仿宋" w:hAnsi="仿宋" w:eastAsia="仿宋"/>
          <w:color w:val="FF0000"/>
          <w:sz w:val="32"/>
          <w:szCs w:val="32"/>
          <w:lang w:eastAsia="zh-CN"/>
        </w:rPr>
      </w:pPr>
      <w:r>
        <w:rPr>
          <w:rFonts w:hint="eastAsia" w:ascii="仿宋" w:hAnsi="仿宋" w:eastAsia="仿宋"/>
          <w:color w:val="FF0000"/>
          <w:sz w:val="32"/>
          <w:szCs w:val="32"/>
          <w:lang w:eastAsia="zh-CN"/>
        </w:rPr>
        <w:drawing>
          <wp:inline distT="0" distB="0" distL="114300" distR="114300">
            <wp:extent cx="4584065" cy="2755265"/>
            <wp:effectExtent l="0" t="0" r="698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34"/>
        <w:numPr>
          <w:ilvl w:val="0"/>
          <w:numId w:val="1"/>
        </w:numPr>
        <w:spacing w:line="600" w:lineRule="exact"/>
        <w:ind w:firstLineChars="0"/>
        <w:outlineLvl w:val="1"/>
        <w:rPr>
          <w:rStyle w:val="24"/>
          <w:rFonts w:ascii="黑体" w:hAnsi="黑体" w:eastAsia="黑体"/>
          <w:b w:val="0"/>
        </w:rPr>
      </w:pPr>
      <w:bookmarkStart w:id="44" w:name="_Toc79163612"/>
      <w:bookmarkStart w:id="45" w:name="_Toc79163862"/>
      <w:bookmarkStart w:id="46" w:name="_Toc15396605"/>
      <w:bookmarkStart w:id="47"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2022</w:t>
      </w:r>
      <w:r>
        <w:rPr>
          <w:rFonts w:hint="eastAsia" w:ascii="仿宋_GB2312" w:eastAsia="仿宋_GB2312"/>
          <w:sz w:val="32"/>
          <w:szCs w:val="32"/>
        </w:rPr>
        <w:t>年本年支出合计125.27万元，其中：基本支出125.27万元，占100.00%；项目支出0.00万元，占0.00%；上缴上级支出0.00万元，占0.00%；经营支出0.00万元，占经营支出0.00万元，占 0.00%；对附属单位补助支出0.00万元，占0.00%。（注：数据来源于财决</w:t>
      </w:r>
      <w:r>
        <w:rPr>
          <w:rFonts w:ascii="仿宋_GB2312" w:eastAsia="仿宋_GB2312"/>
          <w:sz w:val="32"/>
          <w:szCs w:val="32"/>
        </w:rPr>
        <w:t>04</w:t>
      </w:r>
      <w:r>
        <w:rPr>
          <w:rFonts w:hint="eastAsia" w:ascii="仿宋_GB2312" w:eastAsia="仿宋_GB2312"/>
          <w:sz w:val="32"/>
          <w:szCs w:val="32"/>
        </w:rPr>
        <w:t>表）</w:t>
      </w: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84065" cy="2755265"/>
            <wp:effectExtent l="0" t="0" r="6985" b="698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outlineLvl w:val="1"/>
        <w:rPr>
          <w:rStyle w:val="24"/>
          <w:rFonts w:ascii="黑体" w:hAnsi="黑体" w:eastAsia="黑体"/>
          <w:b w:val="0"/>
        </w:rPr>
      </w:pPr>
      <w:bookmarkStart w:id="48" w:name="_Toc15377208"/>
      <w:bookmarkStart w:id="49" w:name="_Toc15396606"/>
      <w:bookmarkStart w:id="50" w:name="_Toc79163863"/>
      <w:bookmarkStart w:id="51" w:name="_Toc79163613"/>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年财政拨款收、支总计125.27万元。与2021年相比，财政拨款收、支总计各减少30.10万元，增长-19.37%。主要变动原因是</w:t>
      </w:r>
      <w:r>
        <w:rPr>
          <w:rFonts w:hint="eastAsia" w:ascii="仿宋" w:hAnsi="仿宋" w:eastAsia="仿宋"/>
          <w:color w:val="000000"/>
          <w:sz w:val="32"/>
          <w:szCs w:val="32"/>
          <w:lang w:eastAsia="zh-CN"/>
        </w:rPr>
        <w:t>人员减少及项目减少。</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24"/>
          <w:rFonts w:ascii="黑体" w:hAnsi="黑体" w:eastAsia="黑体"/>
          <w:b w:val="0"/>
        </w:rPr>
      </w:pPr>
      <w:bookmarkStart w:id="52" w:name="_Toc79163864"/>
      <w:bookmarkStart w:id="53" w:name="_Toc15396607"/>
      <w:bookmarkStart w:id="54" w:name="_Toc15377209"/>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5377210"/>
      <w:bookmarkStart w:id="57" w:name="_Toc79163615"/>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2022年一般公共预算财政拨款支出125.27万元，占本年支出合计的100.00%。与2021年相比，一般公共预算财政拨款支出增加-30.10万元，增长-19.37%。主要变动原因是人员减少及项目减少。</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9" w:name="_Toc79163866"/>
      <w:bookmarkStart w:id="60" w:name="_Toc15377211"/>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年一般公共预算财政拨款支出125.27万元，主要用于以下方面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一般公共服务（类）支出0.00万元，占0.00%；教育支出（类）0.00万元，占0.00%；科学技术（类）支出90.19万元，占72.00%；文化旅游体育与传媒（类）支出0.00万元，占0.00%；社会保障和就业（类）支出21.58万元，占17.23%；卫生健康支出5.46万元，占4.36%；住房保障支出8.04万元，占6.42%</w:t>
      </w:r>
      <w:r>
        <w:rPr>
          <w:rFonts w:hint="eastAsia" w:ascii="仿宋" w:hAnsi="仿宋" w:eastAsia="仿宋"/>
          <w:color w:val="000000"/>
          <w:sz w:val="32"/>
          <w:szCs w:val="32"/>
          <w:lang w:eastAsia="zh-CN"/>
        </w:rPr>
        <w:t>；</w:t>
      </w:r>
    </w:p>
    <w:p>
      <w:pPr>
        <w:spacing w:line="240" w:lineRule="auto"/>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（注：数据来源于财决01-1表，仅罗列本部门涉及的全部功能分类科目，至类级。）</w:t>
      </w:r>
      <w:r>
        <w:rPr>
          <w:rFonts w:hint="eastAsia" w:ascii="仿宋" w:hAnsi="仿宋" w:eastAsia="仿宋"/>
          <w:color w:val="000000"/>
          <w:sz w:val="32"/>
          <w:szCs w:val="32"/>
          <w:lang w:val="en-US" w:eastAsia="zh-CN"/>
        </w:rPr>
        <w:t xml:space="preserve"> </w:t>
      </w:r>
    </w:p>
    <w:p>
      <w:pPr>
        <w:spacing w:line="240" w:lineRule="auto"/>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drawing>
          <wp:inline distT="0" distB="0" distL="114300" distR="114300">
            <wp:extent cx="4584065" cy="2755265"/>
            <wp:effectExtent l="0" t="0" r="6985" b="6985"/>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15377212"/>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0" w:firstLineChars="200"/>
        <w:rPr>
          <w:rFonts w:hint="eastAsia" w:ascii="仿宋_GB2312" w:eastAsia="仿宋_GB2312"/>
          <w:b w:val="0"/>
          <w:bCs w:val="0"/>
          <w:sz w:val="32"/>
          <w:szCs w:val="32"/>
        </w:rPr>
      </w:pPr>
      <w:bookmarkStart w:id="65" w:name="_Toc15378460"/>
      <w:bookmarkStart w:id="66" w:name="_Toc15377444"/>
      <w:bookmarkStart w:id="67" w:name="_Toc15377213"/>
      <w:r>
        <w:rPr>
          <w:rFonts w:hint="eastAsia" w:ascii="仿宋_GB2312" w:eastAsia="仿宋_GB2312"/>
          <w:b w:val="0"/>
          <w:bCs w:val="0"/>
          <w:sz w:val="32"/>
          <w:szCs w:val="32"/>
          <w:lang w:eastAsia="zh-CN"/>
        </w:rPr>
        <w:t>2022</w:t>
      </w:r>
      <w:r>
        <w:rPr>
          <w:rFonts w:hint="eastAsia" w:ascii="仿宋_GB2312" w:eastAsia="仿宋_GB2312"/>
          <w:b w:val="0"/>
          <w:bCs w:val="0"/>
          <w:sz w:val="32"/>
          <w:szCs w:val="32"/>
        </w:rPr>
        <w:t>年一般公共预算支出决算数为125.27，完成预算100.00%。其中：</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1.科学技术</w:t>
      </w:r>
      <w:r>
        <w:rPr>
          <w:rFonts w:hint="eastAsia" w:ascii="仿宋_GB2312" w:eastAsia="仿宋_GB2312"/>
          <w:b w:val="0"/>
          <w:bCs w:val="0"/>
          <w:sz w:val="32"/>
          <w:szCs w:val="32"/>
          <w:lang w:val="en-US" w:eastAsia="zh-CN"/>
        </w:rPr>
        <w:t>206</w:t>
      </w:r>
      <w:r>
        <w:rPr>
          <w:rFonts w:hint="eastAsia" w:ascii="仿宋_GB2312" w:eastAsia="仿宋_GB2312"/>
          <w:b w:val="0"/>
          <w:bCs w:val="0"/>
          <w:sz w:val="32"/>
          <w:szCs w:val="32"/>
        </w:rPr>
        <w:t>（类）</w:t>
      </w:r>
      <w:r>
        <w:rPr>
          <w:rFonts w:hint="eastAsia" w:ascii="仿宋_GB2312" w:eastAsia="仿宋_GB2312"/>
          <w:b w:val="0"/>
          <w:bCs w:val="0"/>
          <w:sz w:val="32"/>
          <w:szCs w:val="32"/>
          <w:lang w:val="en-US" w:eastAsia="zh-CN"/>
        </w:rPr>
        <w:t>06</w:t>
      </w:r>
      <w:r>
        <w:rPr>
          <w:rFonts w:hint="eastAsia" w:ascii="仿宋_GB2312" w:eastAsia="仿宋_GB2312"/>
          <w:b w:val="0"/>
          <w:bCs w:val="0"/>
          <w:sz w:val="32"/>
          <w:szCs w:val="32"/>
        </w:rPr>
        <w:t>（款）</w:t>
      </w:r>
      <w:r>
        <w:rPr>
          <w:rFonts w:hint="eastAsia" w:ascii="仿宋_GB2312" w:eastAsia="仿宋_GB2312"/>
          <w:b w:val="0"/>
          <w:bCs w:val="0"/>
          <w:sz w:val="32"/>
          <w:szCs w:val="32"/>
          <w:lang w:val="en-US" w:eastAsia="zh-CN"/>
        </w:rPr>
        <w:t>99</w:t>
      </w:r>
      <w:r>
        <w:rPr>
          <w:rFonts w:hint="eastAsia" w:ascii="仿宋_GB2312" w:eastAsia="仿宋_GB2312"/>
          <w:b w:val="0"/>
          <w:bCs w:val="0"/>
          <w:sz w:val="32"/>
          <w:szCs w:val="32"/>
        </w:rPr>
        <w:t>（项）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 xml:space="preserve"> 支出决算为</w:t>
      </w:r>
      <w:r>
        <w:rPr>
          <w:rFonts w:hint="eastAsia" w:ascii="仿宋_GB2312" w:eastAsia="仿宋_GB2312"/>
          <w:b w:val="0"/>
          <w:bCs w:val="0"/>
          <w:sz w:val="32"/>
          <w:szCs w:val="32"/>
          <w:lang w:val="en-US" w:eastAsia="zh-CN"/>
        </w:rPr>
        <w:t>90.19</w:t>
      </w:r>
      <w:r>
        <w:rPr>
          <w:rFonts w:hint="eastAsia" w:ascii="仿宋_GB2312" w:eastAsia="仿宋_GB2312"/>
          <w:b w:val="0"/>
          <w:bCs w:val="0"/>
          <w:sz w:val="32"/>
          <w:szCs w:val="32"/>
        </w:rPr>
        <w:t>万元，完成预算</w:t>
      </w:r>
      <w:r>
        <w:rPr>
          <w:rFonts w:hint="eastAsia" w:ascii="仿宋_GB2312" w:eastAsia="仿宋_GB2312"/>
          <w:b w:val="0"/>
          <w:bCs w:val="0"/>
          <w:sz w:val="32"/>
          <w:szCs w:val="32"/>
          <w:lang w:val="en-US" w:eastAsia="zh-CN"/>
        </w:rPr>
        <w:t>100</w:t>
      </w:r>
      <w:r>
        <w:rPr>
          <w:rFonts w:hint="eastAsia" w:ascii="仿宋_GB2312" w:eastAsia="仿宋_GB2312"/>
          <w:b w:val="0"/>
          <w:bCs w:val="0"/>
          <w:sz w:val="32"/>
          <w:szCs w:val="32"/>
        </w:rPr>
        <w:t>%。</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.社会保障和就业</w:t>
      </w:r>
      <w:r>
        <w:rPr>
          <w:rFonts w:hint="eastAsia" w:ascii="仿宋_GB2312" w:eastAsia="仿宋_GB2312"/>
          <w:b w:val="0"/>
          <w:bCs w:val="0"/>
          <w:sz w:val="32"/>
          <w:szCs w:val="32"/>
          <w:lang w:val="en-US" w:eastAsia="zh-CN"/>
        </w:rPr>
        <w:t>208</w:t>
      </w:r>
      <w:r>
        <w:rPr>
          <w:rFonts w:hint="eastAsia" w:ascii="仿宋_GB2312" w:eastAsia="仿宋_GB2312"/>
          <w:b w:val="0"/>
          <w:bCs w:val="0"/>
          <w:sz w:val="32"/>
          <w:szCs w:val="32"/>
        </w:rPr>
        <w:t>（类）</w:t>
      </w:r>
      <w:r>
        <w:rPr>
          <w:rFonts w:hint="eastAsia" w:ascii="仿宋_GB2312" w:eastAsia="仿宋_GB2312"/>
          <w:b w:val="0"/>
          <w:bCs w:val="0"/>
          <w:sz w:val="32"/>
          <w:szCs w:val="32"/>
          <w:lang w:val="en-US" w:eastAsia="zh-CN"/>
        </w:rPr>
        <w:t>05</w:t>
      </w:r>
      <w:r>
        <w:rPr>
          <w:rFonts w:hint="eastAsia" w:ascii="仿宋_GB2312" w:eastAsia="仿宋_GB2312"/>
          <w:b w:val="0"/>
          <w:bCs w:val="0"/>
          <w:sz w:val="32"/>
          <w:szCs w:val="32"/>
        </w:rPr>
        <w:t>（款）</w:t>
      </w:r>
      <w:r>
        <w:rPr>
          <w:rFonts w:hint="eastAsia" w:ascii="仿宋_GB2312" w:eastAsia="仿宋_GB2312"/>
          <w:b w:val="0"/>
          <w:bCs w:val="0"/>
          <w:sz w:val="32"/>
          <w:szCs w:val="32"/>
          <w:lang w:val="en-US" w:eastAsia="zh-CN"/>
        </w:rPr>
        <w:t>05</w:t>
      </w:r>
      <w:r>
        <w:rPr>
          <w:rFonts w:hint="eastAsia" w:ascii="仿宋_GB2312" w:eastAsia="仿宋_GB2312"/>
          <w:b w:val="0"/>
          <w:bCs w:val="0"/>
          <w:sz w:val="32"/>
          <w:szCs w:val="32"/>
        </w:rPr>
        <w:t>（项）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 xml:space="preserve"> 支出决算为</w:t>
      </w:r>
      <w:r>
        <w:rPr>
          <w:rFonts w:hint="eastAsia" w:ascii="仿宋_GB2312" w:eastAsia="仿宋_GB2312"/>
          <w:b w:val="0"/>
          <w:bCs w:val="0"/>
          <w:sz w:val="32"/>
          <w:szCs w:val="32"/>
          <w:lang w:val="en-US" w:eastAsia="zh-CN"/>
        </w:rPr>
        <w:t>21.58</w:t>
      </w:r>
      <w:r>
        <w:rPr>
          <w:rFonts w:hint="eastAsia" w:ascii="仿宋_GB2312" w:eastAsia="仿宋_GB2312"/>
          <w:b w:val="0"/>
          <w:bCs w:val="0"/>
          <w:sz w:val="32"/>
          <w:szCs w:val="32"/>
        </w:rPr>
        <w:t>万元，完成预算</w:t>
      </w:r>
      <w:r>
        <w:rPr>
          <w:rFonts w:hint="eastAsia" w:ascii="仿宋_GB2312" w:eastAsia="仿宋_GB2312"/>
          <w:b w:val="0"/>
          <w:bCs w:val="0"/>
          <w:sz w:val="32"/>
          <w:szCs w:val="32"/>
          <w:lang w:val="en-US" w:eastAsia="zh-CN"/>
        </w:rPr>
        <w:t>100</w:t>
      </w:r>
      <w:r>
        <w:rPr>
          <w:rFonts w:hint="eastAsia" w:ascii="仿宋_GB2312" w:eastAsia="仿宋_GB2312"/>
          <w:b w:val="0"/>
          <w:bCs w:val="0"/>
          <w:sz w:val="32"/>
          <w:szCs w:val="32"/>
        </w:rPr>
        <w:t>%。</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.卫生健康</w:t>
      </w:r>
      <w:r>
        <w:rPr>
          <w:rFonts w:hint="eastAsia" w:ascii="仿宋_GB2312" w:eastAsia="仿宋_GB2312"/>
          <w:b w:val="0"/>
          <w:bCs w:val="0"/>
          <w:sz w:val="32"/>
          <w:szCs w:val="32"/>
          <w:lang w:val="en-US" w:eastAsia="zh-CN"/>
        </w:rPr>
        <w:t>210</w:t>
      </w:r>
      <w:r>
        <w:rPr>
          <w:rFonts w:hint="eastAsia" w:ascii="仿宋_GB2312" w:eastAsia="仿宋_GB2312"/>
          <w:b w:val="0"/>
          <w:bCs w:val="0"/>
          <w:sz w:val="32"/>
          <w:szCs w:val="32"/>
        </w:rPr>
        <w:t>（类）</w:t>
      </w:r>
      <w:r>
        <w:rPr>
          <w:rFonts w:hint="eastAsia" w:ascii="仿宋_GB2312" w:eastAsia="仿宋_GB2312"/>
          <w:b w:val="0"/>
          <w:bCs w:val="0"/>
          <w:sz w:val="32"/>
          <w:szCs w:val="32"/>
          <w:lang w:val="en-US" w:eastAsia="zh-CN"/>
        </w:rPr>
        <w:t>11</w:t>
      </w:r>
      <w:r>
        <w:rPr>
          <w:rFonts w:hint="eastAsia" w:ascii="仿宋_GB2312" w:eastAsia="仿宋_GB2312"/>
          <w:b w:val="0"/>
          <w:bCs w:val="0"/>
          <w:sz w:val="32"/>
          <w:szCs w:val="32"/>
        </w:rPr>
        <w:t>（款）</w:t>
      </w:r>
      <w:r>
        <w:rPr>
          <w:rFonts w:hint="eastAsia" w:ascii="仿宋_GB2312" w:eastAsia="仿宋_GB2312"/>
          <w:b w:val="0"/>
          <w:bCs w:val="0"/>
          <w:sz w:val="32"/>
          <w:szCs w:val="32"/>
          <w:lang w:val="en-US" w:eastAsia="zh-CN"/>
        </w:rPr>
        <w:t>01</w:t>
      </w:r>
      <w:r>
        <w:rPr>
          <w:rFonts w:hint="eastAsia" w:ascii="仿宋_GB2312" w:eastAsia="仿宋_GB2312"/>
          <w:b w:val="0"/>
          <w:bCs w:val="0"/>
          <w:sz w:val="32"/>
          <w:szCs w:val="32"/>
        </w:rPr>
        <w:t>（项）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支出决算为</w:t>
      </w:r>
      <w:r>
        <w:rPr>
          <w:rFonts w:hint="eastAsia" w:ascii="仿宋_GB2312" w:eastAsia="仿宋_GB2312"/>
          <w:b w:val="0"/>
          <w:bCs w:val="0"/>
          <w:sz w:val="32"/>
          <w:szCs w:val="32"/>
          <w:lang w:val="en-US" w:eastAsia="zh-CN"/>
        </w:rPr>
        <w:t>5.46</w:t>
      </w:r>
      <w:r>
        <w:rPr>
          <w:rFonts w:hint="eastAsia" w:ascii="仿宋_GB2312" w:eastAsia="仿宋_GB2312"/>
          <w:b w:val="0"/>
          <w:bCs w:val="0"/>
          <w:sz w:val="32"/>
          <w:szCs w:val="32"/>
        </w:rPr>
        <w:t>万元，完成预算</w:t>
      </w:r>
      <w:r>
        <w:rPr>
          <w:rFonts w:hint="eastAsia" w:ascii="仿宋_GB2312" w:eastAsia="仿宋_GB2312"/>
          <w:b w:val="0"/>
          <w:bCs w:val="0"/>
          <w:sz w:val="32"/>
          <w:szCs w:val="32"/>
          <w:lang w:val="en-US" w:eastAsia="zh-CN"/>
        </w:rPr>
        <w:t>100</w:t>
      </w:r>
      <w:r>
        <w:rPr>
          <w:rFonts w:hint="eastAsia" w:ascii="仿宋_GB2312" w:eastAsia="仿宋_GB2312"/>
          <w:b w:val="0"/>
          <w:bCs w:val="0"/>
          <w:sz w:val="32"/>
          <w:szCs w:val="32"/>
        </w:rPr>
        <w:t>%。</w:t>
      </w:r>
    </w:p>
    <w:p>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住房保障221（类）02（款）01（项）</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支出决算为8.</w:t>
      </w:r>
      <w:r>
        <w:rPr>
          <w:rFonts w:hint="eastAsia" w:ascii="仿宋_GB2312" w:eastAsia="仿宋_GB2312"/>
          <w:b w:val="0"/>
          <w:bCs w:val="0"/>
          <w:sz w:val="32"/>
          <w:szCs w:val="32"/>
          <w:lang w:val="en-US" w:eastAsia="zh-CN"/>
        </w:rPr>
        <w:t>04</w:t>
      </w:r>
      <w:r>
        <w:rPr>
          <w:rFonts w:hint="eastAsia" w:ascii="仿宋_GB2312" w:eastAsia="仿宋_GB2312"/>
          <w:b w:val="0"/>
          <w:bCs w:val="0"/>
          <w:sz w:val="32"/>
          <w:szCs w:val="32"/>
        </w:rPr>
        <w:t>万元，完成预算100%。</w:t>
      </w:r>
    </w:p>
    <w:p>
      <w:pPr>
        <w:spacing w:line="60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（注：数据来源于财决01-1表和财决08表，仅罗列本部门涉及的全部功能分类科目，至项级。上述“预算”口径为全年预算数。增减变动原因为决算数和全年预算数比较，与预算数持平可以不写原因。）</w:t>
      </w:r>
      <w:bookmarkEnd w:id="65"/>
      <w:bookmarkEnd w:id="66"/>
      <w:bookmarkEnd w:id="67"/>
    </w:p>
    <w:p>
      <w:pPr>
        <w:tabs>
          <w:tab w:val="right" w:pos="8306"/>
        </w:tabs>
        <w:spacing w:line="600" w:lineRule="exact"/>
        <w:ind w:firstLine="640"/>
        <w:outlineLvl w:val="1"/>
        <w:rPr>
          <w:rStyle w:val="24"/>
        </w:rPr>
      </w:pPr>
      <w:bookmarkStart w:id="68" w:name="_Toc79163618"/>
      <w:bookmarkStart w:id="69" w:name="_Toc15396608"/>
      <w:bookmarkStart w:id="70" w:name="_Toc7916386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2022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125.27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119.59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公用经费5.68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（注：数据来源于财决07表和财决08-1表，仅罗列本部门实际支出涉及的经济分类科目。）</w:t>
      </w:r>
    </w:p>
    <w:p>
      <w:pPr>
        <w:spacing w:line="600" w:lineRule="exact"/>
        <w:ind w:firstLine="640"/>
        <w:outlineLvl w:val="1"/>
        <w:rPr>
          <w:rStyle w:val="24"/>
          <w:rFonts w:ascii="黑体" w:hAnsi="黑体" w:eastAsia="黑体"/>
          <w:b w:val="0"/>
        </w:rPr>
      </w:pPr>
      <w:bookmarkStart w:id="72" w:name="_Toc79163869"/>
      <w:bookmarkStart w:id="73" w:name="_Toc15396609"/>
      <w:bookmarkStart w:id="74" w:name="_Toc79163619"/>
      <w:bookmarkStart w:id="75" w:name="_Toc15377215"/>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870"/>
      <w:bookmarkStart w:id="77" w:name="_Toc79163620"/>
      <w:bookmarkStart w:id="78" w:name="_Toc15377216"/>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2022年“三公”经费财政拨款支出决算为0.00万元，完成预算0.00%，决算数小于预算数（或与预算数持平）的主要原因是单位严格执行中央八项规定，严禁违反规定报销</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（注：上述“预算”口径为全年预算数，包括一般公共预算和政府性基金预算财政拨款支出决算情况。）</w:t>
      </w:r>
    </w:p>
    <w:p>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2022年“三公”经费财政拨款支出决算中，因公出国（境）费支出决算0.00万元，占0.00%；公务用车购置及运行维护费支出决算0.00万元，占0.00%；公务接待费支出决算0.00万元，占0.00%。具体情况如下：</w:t>
      </w:r>
    </w:p>
    <w:p>
      <w:pPr>
        <w:spacing w:line="600" w:lineRule="exact"/>
        <w:ind w:firstLine="640"/>
        <w:rPr>
          <w:rFonts w:ascii="仿宋_GB2312" w:eastAsia="仿宋_GB2312"/>
          <w:b/>
          <w:color w:val="000000"/>
          <w:sz w:val="32"/>
          <w:szCs w:val="32"/>
        </w:rPr>
      </w:pPr>
      <w:r>
        <w:rPr>
          <w:rFonts w:hint="eastAsia" w:ascii="仿宋" w:hAnsi="仿宋" w:eastAsia="仿宋"/>
          <w:color w:val="000000"/>
          <w:sz w:val="32"/>
          <w:szCs w:val="32"/>
          <w:lang w:val="en-US" w:eastAsia="zh-CN"/>
        </w:rPr>
        <w:t>0</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减少</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单位无因公出国（境）</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减少</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单位无公务用车</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，主要用于…。截至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，外事接待</w:t>
      </w:r>
      <w:r>
        <w:rPr>
          <w:rFonts w:hint="eastAsia" w:ascii="仿宋_GB2312" w:eastAsia="仿宋_GB2312"/>
          <w:color w:val="000000"/>
          <w:sz w:val="32"/>
          <w:szCs w:val="32"/>
          <w:lang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p>
    <w:p>
      <w:pPr>
        <w:spacing w:line="600" w:lineRule="exact"/>
        <w:ind w:firstLine="640"/>
        <w:outlineLvl w:val="1"/>
        <w:rPr>
          <w:rStyle w:val="24"/>
          <w:rFonts w:ascii="黑体" w:hAnsi="黑体" w:eastAsia="黑体"/>
        </w:rPr>
      </w:pPr>
      <w:bookmarkStart w:id="82" w:name="_Toc15377218"/>
      <w:bookmarkStart w:id="83" w:name="_Toc15396610"/>
      <w:bookmarkStart w:id="84" w:name="_Toc79163872"/>
      <w:bookmarkStart w:id="85" w:name="_Toc79163622"/>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p>
    <w:p>
      <w:pPr>
        <w:numPr>
          <w:ilvl w:val="0"/>
          <w:numId w:val="3"/>
        </w:numPr>
        <w:spacing w:line="600" w:lineRule="exact"/>
        <w:ind w:firstLine="640"/>
        <w:outlineLvl w:val="1"/>
        <w:rPr>
          <w:rStyle w:val="24"/>
          <w:rFonts w:ascii="黑体" w:hAnsi="黑体" w:eastAsia="黑体"/>
          <w:b w:val="0"/>
        </w:rPr>
      </w:pPr>
      <w:bookmarkStart w:id="86" w:name="_Toc15377219"/>
      <w:bookmarkStart w:id="87" w:name="_Toc79163623"/>
      <w:bookmarkStart w:id="88" w:name="_Toc79163873"/>
      <w:bookmarkStart w:id="89" w:name="_Toc15396611"/>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24"/>
          <w:rFonts w:ascii="黑体" w:hAnsi="黑体" w:eastAsia="黑体"/>
        </w:rPr>
      </w:pPr>
      <w:bookmarkStart w:id="90" w:name="_Toc79163874"/>
      <w:bookmarkStart w:id="91" w:name="_Toc79163624"/>
      <w:bookmarkStart w:id="92" w:name="_Toc15396612"/>
      <w:bookmarkStart w:id="93" w:name="_Toc15377221"/>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年，阿坝州松潘县党史和地方志编纂中心机关运行经费支出5.68万元，比2021年增加-43.68万元，增长-88.49%（或与2021年决算数持平）。主要原因是</w:t>
      </w:r>
      <w:r>
        <w:rPr>
          <w:rFonts w:hint="eastAsia" w:ascii="仿宋_GB2312" w:eastAsia="仿宋_GB2312"/>
          <w:color w:val="000000"/>
          <w:sz w:val="32"/>
          <w:szCs w:val="32"/>
          <w:lang w:eastAsia="zh-CN"/>
        </w:rPr>
        <w:t>人员调动和人员退休和《革命老区发展史》因出版要求，需跨年完成。</w:t>
      </w:r>
    </w:p>
    <w:p>
      <w:pPr>
        <w:pStyle w:val="18"/>
        <w:keepNext w:val="0"/>
        <w:keepLines w:val="0"/>
        <w:widowControl/>
        <w:suppressLineNumbers w:val="0"/>
        <w:spacing w:before="0" w:beforeAutospacing="0"/>
        <w:ind w:left="0"/>
        <w:jc w:val="left"/>
      </w:pPr>
      <w:r>
        <w:rPr>
          <w:rStyle w:val="21"/>
          <w:shd w:val="clear" w:fill="FFFFFF"/>
        </w:rPr>
        <w:t>（注：数据来源于财决附03表）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松潘县党史和地方志编纂中心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，其中：政府采购货物支出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、政府采购工程支出</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万元</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0万元</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Style w:val="18"/>
        <w:keepNext w:val="0"/>
        <w:keepLines w:val="0"/>
        <w:widowControl/>
        <w:suppressLineNumbers w:val="0"/>
        <w:spacing w:before="0" w:beforeAutospacing="0"/>
        <w:ind w:left="0"/>
        <w:jc w:val="left"/>
        <w:rPr>
          <w:rFonts w:hint="eastAsia" w:ascii="仿宋_GB2312" w:eastAsia="仿宋_GB2312"/>
          <w:color w:val="000000"/>
          <w:sz w:val="32"/>
          <w:szCs w:val="32"/>
        </w:rPr>
      </w:pPr>
      <w:r>
        <w:rPr>
          <w:rStyle w:val="21"/>
          <w:shd w:val="clear" w:fill="FFFFFF"/>
        </w:rPr>
        <w:t>（注：数据来源于财决附03表）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hint="eastAsia" w:ascii="仿宋_GB2312" w:eastAsia="仿宋_GB2312"/>
          <w:color w:val="000000"/>
          <w:sz w:val="32"/>
          <w:szCs w:val="32"/>
          <w:lang w:eastAsia="zh-CN"/>
        </w:rPr>
        <w:t>29</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松潘县党史和地方志编纂中心</w:t>
      </w:r>
      <w:r>
        <w:rPr>
          <w:rFonts w:hint="eastAsia" w:ascii="仿宋_GB2312" w:eastAsia="仿宋_GB2312"/>
          <w:color w:val="000000"/>
          <w:sz w:val="32"/>
          <w:szCs w:val="32"/>
        </w:rPr>
        <w:t>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pPr>
        <w:pStyle w:val="18"/>
        <w:keepNext w:val="0"/>
        <w:keepLines w:val="0"/>
        <w:widowControl/>
        <w:suppressLineNumbers w:val="0"/>
        <w:spacing w:before="0" w:beforeAutospacing="0"/>
        <w:ind w:left="0"/>
        <w:jc w:val="left"/>
        <w:rPr>
          <w:rFonts w:hint="eastAsia" w:ascii="仿宋_GB2312" w:eastAsia="仿宋_GB2312"/>
          <w:color w:val="000000"/>
          <w:sz w:val="32"/>
          <w:szCs w:val="32"/>
        </w:rPr>
      </w:pPr>
      <w:r>
        <w:rPr>
          <w:rStyle w:val="21"/>
          <w:shd w:val="clear" w:fill="FFFFFF"/>
        </w:rPr>
        <w:t>（注：数据来源于财决附03表，按部门决算报表填报数据罗列车辆情况。）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部门整体支出开展绩效自评，从评价情况来看单位每年度按照上年度决算数据，按照“收支平衡、留有结余”的原则，依照“二上”“二下”的程序，合理编制单位经费预算。对每年度支出、收入进行绩效目标填报，对所有专项预算都进行了提前的细化并严格按照细化目标执行，所有的结余结转资金严格按照用途进行管理并支出。</w:t>
      </w: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lang w:eastAsia="zh-CN"/>
        </w:rPr>
        <w:t>松潘县党史和地方志编纂中心</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hint="eastAsia" w:ascii="仿宋_GB2312" w:hAnsi="仿宋_GB2312" w:eastAsia="仿宋_GB2312" w:cs="仿宋_GB2312"/>
          <w:sz w:val="32"/>
          <w:szCs w:val="32"/>
        </w:rPr>
      </w:pPr>
    </w:p>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23"/>
          <w:rFonts w:ascii="黑体" w:hAnsi="黑体" w:eastAsia="黑体"/>
          <w:b w:val="0"/>
        </w:rPr>
      </w:pPr>
      <w:bookmarkStart w:id="105" w:name="_Toc15377225"/>
      <w:bookmarkStart w:id="106" w:name="_Toc79163629"/>
      <w:bookmarkStart w:id="107" w:name="_Toc79163879"/>
      <w:bookmarkStart w:id="108" w:name="_Toc15396613"/>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ind w:firstLine="640" w:firstLineChars="200"/>
        <w:rPr>
          <w:rFonts w:hint="eastAsia" w:ascii="仿宋_GB2312" w:eastAsia="仿宋_GB2312"/>
          <w:sz w:val="32"/>
          <w:szCs w:val="32"/>
        </w:rPr>
      </w:pPr>
      <w:bookmarkStart w:id="109" w:name="_Toc15396614"/>
      <w:bookmarkStart w:id="110" w:name="_Toc79163880"/>
      <w:bookmarkStart w:id="111" w:name="_Toc79163630"/>
      <w:bookmarkStart w:id="112" w:name="_Toc15377226"/>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4.其他收入：指单位取得的除上述收入以外的各项收入。主要是…（收入类型）等。</w:t>
      </w:r>
    </w:p>
    <w:p>
      <w:pPr>
        <w:ind w:firstLine="640" w:firstLineChars="200"/>
        <w:rPr>
          <w:rFonts w:hint="eastAsia"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科学技术（类）</w:t>
      </w:r>
      <w:r>
        <w:rPr>
          <w:rFonts w:hint="eastAsia" w:ascii="仿宋_GB2312" w:eastAsia="仿宋_GB2312"/>
          <w:color w:val="000000"/>
          <w:sz w:val="32"/>
          <w:szCs w:val="32"/>
          <w:lang w:eastAsia="zh-CN"/>
        </w:rPr>
        <w:t>科学技术管理事务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反映行政单位（包括实行公务员管理的事业单位）的基本支出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lang w:eastAsia="zh-CN"/>
        </w:rPr>
        <w:t>医疗卫生与计划生育</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（项）：社会保障和就业（类）行政事业单位离退休（款）机关事业单位养老保险缴费支出（项）：指反映</w:t>
      </w:r>
      <w:r>
        <w:rPr>
          <w:rFonts w:hint="eastAsia" w:ascii="仿宋_GB2312" w:eastAsia="仿宋_GB2312"/>
          <w:color w:val="000000"/>
          <w:sz w:val="32"/>
          <w:szCs w:val="32"/>
          <w:lang w:eastAsia="zh-CN"/>
        </w:rPr>
        <w:t>财政部门集中安排的行政单位基本医疗保险费经费，未参加医疗保险的行政单位的公费医疗经费，按国家规定享受离休人员、红军老战士待遇人员的医疗经费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3"/>
        <w:spacing w:line="560" w:lineRule="exact"/>
        <w:ind w:firstLine="640" w:firstLineChars="200"/>
        <w:rPr>
          <w:rFonts w:hint="eastAsia" w:ascii="仿宋_GB2312" w:eastAsia="仿宋_GB2312"/>
          <w:sz w:val="32"/>
          <w:szCs w:val="32"/>
        </w:rPr>
      </w:pPr>
    </w:p>
    <w:p>
      <w:pPr>
        <w:pStyle w:val="33"/>
        <w:spacing w:line="560" w:lineRule="exact"/>
        <w:ind w:firstLine="640" w:firstLineChars="200"/>
        <w:rPr>
          <w:rFonts w:hint="eastAsia" w:ascii="仿宋_GB2312" w:eastAsia="仿宋_GB2312"/>
          <w:sz w:val="32"/>
          <w:szCs w:val="32"/>
        </w:rPr>
      </w:pPr>
    </w:p>
    <w:p>
      <w:pPr>
        <w:pStyle w:val="33"/>
        <w:spacing w:line="560" w:lineRule="exact"/>
        <w:ind w:firstLine="640" w:firstLineChars="200"/>
        <w:rPr>
          <w:rFonts w:hint="eastAsia" w:ascii="仿宋_GB2312" w:eastAsia="仿宋_GB2312"/>
          <w:sz w:val="32"/>
          <w:szCs w:val="32"/>
        </w:rPr>
      </w:pPr>
    </w:p>
    <w:p>
      <w:pPr>
        <w:pStyle w:val="33"/>
        <w:spacing w:line="560" w:lineRule="exact"/>
        <w:ind w:firstLine="640" w:firstLineChars="200"/>
        <w:rPr>
          <w:rFonts w:hint="eastAsia" w:ascii="仿宋_GB2312" w:eastAsia="仿宋_GB2312"/>
          <w:sz w:val="32"/>
          <w:szCs w:val="32"/>
        </w:rPr>
      </w:pPr>
    </w:p>
    <w:p>
      <w:pPr>
        <w:pStyle w:val="33"/>
        <w:spacing w:line="560" w:lineRule="exact"/>
        <w:ind w:firstLine="640" w:firstLineChars="200"/>
        <w:rPr>
          <w:rFonts w:hint="eastAsia" w:ascii="仿宋_GB2312" w:eastAsia="仿宋_GB2312"/>
          <w:sz w:val="32"/>
          <w:szCs w:val="32"/>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9"/>
      <w:bookmarkEnd w:id="110"/>
      <w:bookmarkEnd w:id="111"/>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beforeLines="0" w:afterLines="0" w:line="579" w:lineRule="exact"/>
        <w:jc w:val="center"/>
        <w:rPr>
          <w:rFonts w:hint="eastAsia" w:ascii="方正小标宋简体" w:eastAsia="方正小标宋简体"/>
          <w:sz w:val="44"/>
        </w:rPr>
      </w:pPr>
      <w:r>
        <w:rPr>
          <w:rFonts w:hint="eastAsia" w:ascii="方正小标宋简体" w:eastAsia="方正小标宋简体"/>
          <w:sz w:val="44"/>
        </w:rPr>
        <w:t>松潘县党史和地方志编纂中心</w:t>
      </w:r>
    </w:p>
    <w:p>
      <w:pPr>
        <w:spacing w:beforeLines="0" w:afterLines="0" w:line="579" w:lineRule="exact"/>
        <w:jc w:val="center"/>
        <w:rPr>
          <w:rFonts w:hint="eastAsia" w:ascii="方正小标宋简体" w:eastAsia="方正小标宋简体"/>
          <w:sz w:val="44"/>
        </w:rPr>
      </w:pPr>
      <w:r>
        <w:rPr>
          <w:rFonts w:hint="eastAsia" w:ascii="方正小标宋简体" w:eastAsia="方正小标宋简体"/>
          <w:sz w:val="44"/>
        </w:rPr>
        <w:t>2022年县级部门整体支出绩效报告</w:t>
      </w:r>
    </w:p>
    <w:p>
      <w:pPr>
        <w:spacing w:beforeLines="0" w:afterLines="0"/>
        <w:jc w:val="center"/>
        <w:rPr>
          <w:rFonts w:hint="eastAsia" w:ascii="仿宋_GB2312"/>
          <w:sz w:val="32"/>
        </w:rPr>
      </w:pPr>
    </w:p>
    <w:p>
      <w:pPr>
        <w:widowControl/>
        <w:adjustRightInd w:val="0"/>
        <w:snapToGrid w:val="0"/>
        <w:spacing w:beforeLines="0" w:afterLines="0" w:line="480" w:lineRule="exact"/>
        <w:ind w:firstLine="720"/>
        <w:jc w:val="left"/>
        <w:rPr>
          <w:rFonts w:hint="eastAsia" w:ascii="黑体" w:hAnsi="宋体" w:eastAsia="黑体"/>
          <w:color w:val="000000"/>
          <w:sz w:val="32"/>
          <w:lang w:val="zh-CN"/>
        </w:rPr>
      </w:pPr>
      <w:r>
        <w:rPr>
          <w:rFonts w:hint="eastAsia" w:ascii="黑体" w:hAnsi="宋体" w:eastAsia="黑体"/>
          <w:color w:val="000000"/>
          <w:sz w:val="32"/>
        </w:rPr>
        <w:t>一、</w:t>
      </w:r>
      <w:r>
        <w:rPr>
          <w:rFonts w:hint="eastAsia" w:ascii="黑体" w:hAnsi="宋体" w:eastAsia="黑体"/>
          <w:color w:val="000000"/>
          <w:sz w:val="32"/>
          <w:lang w:val="zh-CN"/>
        </w:rPr>
        <w:t>部门（单位）概况</w:t>
      </w:r>
    </w:p>
    <w:p>
      <w:pPr>
        <w:widowControl/>
        <w:adjustRightInd w:val="0"/>
        <w:snapToGrid w:val="0"/>
        <w:spacing w:beforeLines="0" w:afterLines="0" w:line="540" w:lineRule="exact"/>
        <w:ind w:firstLine="643" w:firstLineChars="200"/>
        <w:jc w:val="left"/>
        <w:rPr>
          <w:rFonts w:hint="eastAsia" w:ascii="仿宋_GB2312" w:hAnsi="宋体"/>
          <w:b/>
          <w:color w:val="000000"/>
          <w:sz w:val="32"/>
          <w:shd w:val="clear" w:color="auto" w:fill="FFFFFF"/>
          <w:lang w:val="zh-CN"/>
        </w:rPr>
      </w:pPr>
      <w:r>
        <w:rPr>
          <w:rFonts w:hint="eastAsia" w:ascii="仿宋_GB2312" w:hAnsi="宋体"/>
          <w:b/>
          <w:color w:val="000000"/>
          <w:sz w:val="32"/>
          <w:shd w:val="clear" w:color="auto" w:fill="FFFFFF"/>
          <w:lang w:val="zh-CN"/>
        </w:rPr>
        <w:t>（一）机构组成</w:t>
      </w:r>
    </w:p>
    <w:p>
      <w:pPr>
        <w:widowControl/>
        <w:adjustRightInd w:val="0"/>
        <w:snapToGrid w:val="0"/>
        <w:spacing w:beforeLines="0" w:afterLines="0" w:line="54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根据松编发〔2012〕10号中共松潘县委机构编制委员会关于同意保留事业机构的批复：松潘县人民政府县志办公室为县政府直属正科级事业机构，核定事业编制4名，领导职数1名，下设2个股级内设机构：综合股、编辑室。2016年8月，党史办与县志办合并后，又下发松编发〔2020〕9号文</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中共松潘县委机构编制委员会关于同意党史和地方志办公室调整主要职能内设机构和增加人员编制</w:t>
      </w:r>
      <w:r>
        <w:rPr>
          <w:rFonts w:hint="eastAsia" w:ascii="仿宋_GB2312" w:hAnsi="仿宋_GB2312" w:eastAsia="仿宋_GB2312" w:cs="仿宋_GB2312"/>
          <w:sz w:val="32"/>
          <w:lang w:eastAsia="zh-CN"/>
        </w:rPr>
        <w:t>的批复》</w:t>
      </w:r>
      <w:r>
        <w:rPr>
          <w:rFonts w:hint="eastAsia" w:ascii="仿宋_GB2312" w:hAnsi="仿宋_GB2312" w:eastAsia="仿宋_GB2312" w:cs="仿宋_GB2312"/>
          <w:sz w:val="32"/>
        </w:rPr>
        <w:t>：内设股室由原来的综合股、编辑室调整为综合股、党史股、地方志股3个股室，核股级领导职数3名，增加1名参公事业编制。2020年5月根据松编发〔2020〕11号中共松潘县委机构编制委员会关于印发《松潘县推进和规范县级事业单位调整的实施方案》的通知：县党史和地方志办公室更名为县党史和地方志编纂中心。2021年5月，根据松编发〔2021〕2号“中共松潘县委机构编制委员会关于增加县党史和地方志编纂中心参公事业编制的批复”，增加参公事业编制1名。增编后，该单位现有编制6名。</w:t>
      </w:r>
    </w:p>
    <w:p>
      <w:pPr>
        <w:widowControl/>
        <w:adjustRightInd w:val="0"/>
        <w:snapToGrid w:val="0"/>
        <w:spacing w:beforeLines="0" w:afterLines="0" w:line="540" w:lineRule="exact"/>
        <w:ind w:firstLine="964" w:firstLineChars="300"/>
        <w:jc w:val="left"/>
        <w:rPr>
          <w:rFonts w:hint="eastAsia" w:ascii="仿宋_GB2312" w:hAnsi="宋体"/>
          <w:b/>
          <w:color w:val="000000"/>
          <w:sz w:val="32"/>
          <w:shd w:val="clear" w:color="auto" w:fill="FFFFFF"/>
          <w:lang w:val="zh-CN"/>
        </w:rPr>
      </w:pPr>
      <w:r>
        <w:rPr>
          <w:rFonts w:hint="eastAsia" w:ascii="仿宋_GB2312" w:hAnsi="宋体"/>
          <w:b/>
          <w:color w:val="000000"/>
          <w:sz w:val="32"/>
          <w:shd w:val="clear" w:color="auto" w:fill="FFFFFF"/>
          <w:lang w:val="zh-CN"/>
        </w:rPr>
        <w:t>（二）机构职能。</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县党史和地方志</w:t>
      </w:r>
      <w:r>
        <w:rPr>
          <w:rFonts w:hint="eastAsia" w:ascii="仿宋_GB2312" w:hAnsi="仿宋_GB2312" w:eastAsia="仿宋_GB2312" w:cs="仿宋_GB2312"/>
          <w:sz w:val="32"/>
        </w:rPr>
        <w:t>编纂中心</w:t>
      </w:r>
      <w:r>
        <w:rPr>
          <w:rFonts w:hint="eastAsia" w:ascii="仿宋_GB2312" w:hAnsi="仿宋_GB2312" w:eastAsia="仿宋_GB2312" w:cs="仿宋_GB2312"/>
          <w:color w:val="000000"/>
          <w:sz w:val="32"/>
        </w:rPr>
        <w:t>的主要职责职能是：</w:t>
      </w:r>
    </w:p>
    <w:p>
      <w:pPr>
        <w:widowControl/>
        <w:adjustRightInd w:val="0"/>
        <w:snapToGrid w:val="0"/>
        <w:spacing w:beforeLines="0" w:afterLines="0" w:line="540" w:lineRule="exact"/>
        <w:ind w:firstLine="640" w:firstLineChars="200"/>
        <w:jc w:val="left"/>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根据松府办</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1997</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146号文松潘县人民政府办公室关于印发松潘县县志办公室机构改革方案的通知精神，我单位职能职责主要是：组织指导全县各级各类志书编纂工作，制定地方志编纂方案及规划；承担松潘县志的组稿、撰稿、总纂、审定、出版等业务工作；负责协调各级各类志书的编纂、审查、验收和出版等有关事项；负责县志、部门志、乡镇志编纂工作的业务指导及其出版发行的协调工作；负责各阶段县志的编修和编纂工作的业务指导及其出版发行的协调工作；负责各阶段县志的编修和续修以及年鉴编纂工作；负责全县地情资料收集、储存、管理和开发利用工作，为各级党委政府以及社会各界提供地情咨询服务；对部门志、乡镇志撰稿人员进行业务培训，承担上级地方志部门交办的专题性编修工作，完成</w:t>
      </w:r>
      <w:r>
        <w:rPr>
          <w:rFonts w:hint="eastAsia" w:ascii="仿宋_GB2312" w:hAnsi="仿宋_GB2312" w:eastAsia="仿宋_GB2312" w:cs="仿宋_GB2312"/>
          <w:color w:val="000000"/>
          <w:sz w:val="32"/>
          <w:lang w:eastAsia="zh-CN"/>
        </w:rPr>
        <w:t>县委、县政府</w:t>
      </w:r>
      <w:r>
        <w:rPr>
          <w:rFonts w:hint="eastAsia" w:ascii="仿宋_GB2312" w:hAnsi="仿宋_GB2312" w:eastAsia="仿宋_GB2312" w:cs="仿宋_GB2312"/>
          <w:color w:val="000000"/>
          <w:sz w:val="32"/>
        </w:rPr>
        <w:t>交办的任务；收集、整理、保藏本届志书、古旧志书、民族历史文献及其地方文献、工具书和地方编修工作中形成的各类档案材料，科学管理文献和各类档案材料，维护其完整与安全，发掘民族文化遗产、弘扬民族传统文化，服务当代建设。2017年6月，党史办与县志办合并，其职能职责有所变化。除完成地方志原有工作外，增加了松潘县执政实录的组稿、撰稿、总纂、审定、出版等业务工作；负责口述历史的拍摄发行工作等；为州委党史研究室提供执政实录松潘部分以及上级主管部门安排的临时任务和县上安排的其他任务。2020年5月，机构名称变更后，其职能职责不变。</w:t>
      </w:r>
    </w:p>
    <w:p>
      <w:pPr>
        <w:widowControl/>
        <w:adjustRightInd w:val="0"/>
        <w:snapToGrid w:val="0"/>
        <w:spacing w:beforeLines="0" w:afterLines="0" w:line="540" w:lineRule="exact"/>
        <w:ind w:firstLine="643" w:firstLineChars="200"/>
        <w:jc w:val="left"/>
        <w:rPr>
          <w:rFonts w:hint="eastAsia" w:ascii="仿宋_GB2312" w:hAnsi="宋体"/>
          <w:b/>
          <w:color w:val="000000"/>
          <w:sz w:val="32"/>
          <w:shd w:val="clear" w:color="auto" w:fill="FFFFFF"/>
          <w:lang w:val="zh-CN"/>
        </w:rPr>
      </w:pPr>
      <w:r>
        <w:rPr>
          <w:rFonts w:hint="eastAsia" w:ascii="仿宋_GB2312" w:hAnsi="宋体"/>
          <w:b/>
          <w:color w:val="000000"/>
          <w:sz w:val="32"/>
          <w:shd w:val="clear" w:color="auto" w:fill="FFFFFF"/>
          <w:lang w:val="zh-CN"/>
        </w:rPr>
        <w:t>（三）人员概况</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松潘县党史和地方志</w:t>
      </w:r>
      <w:r>
        <w:rPr>
          <w:rFonts w:hint="eastAsia" w:ascii="仿宋_GB2312" w:hAnsi="仿宋_GB2312" w:eastAsia="仿宋_GB2312" w:cs="仿宋_GB2312"/>
          <w:sz w:val="32"/>
        </w:rPr>
        <w:t>编纂中心</w:t>
      </w:r>
      <w:r>
        <w:rPr>
          <w:rFonts w:hint="eastAsia" w:ascii="仿宋_GB2312" w:hAnsi="仿宋_GB2312" w:eastAsia="仿宋_GB2312" w:cs="仿宋_GB2312"/>
          <w:color w:val="000000"/>
          <w:sz w:val="32"/>
        </w:rPr>
        <w:t>编制6名，其中：主任1名，副主任1名，股级领导3名。2022年，单位实有人员6名，其中主任1名，副主任1名，职工2名，转非领导2名。</w:t>
      </w:r>
    </w:p>
    <w:p>
      <w:pPr>
        <w:widowControl/>
        <w:adjustRightInd w:val="0"/>
        <w:snapToGrid w:val="0"/>
        <w:spacing w:beforeLines="0" w:afterLines="0" w:line="480" w:lineRule="exact"/>
        <w:ind w:firstLine="720"/>
        <w:jc w:val="left"/>
        <w:rPr>
          <w:rFonts w:hint="eastAsia" w:ascii="黑体" w:hAnsi="宋体" w:eastAsia="黑体"/>
          <w:color w:val="000000"/>
          <w:sz w:val="32"/>
        </w:rPr>
      </w:pPr>
      <w:r>
        <w:rPr>
          <w:rFonts w:hint="eastAsia" w:ascii="黑体" w:hAnsi="宋体" w:eastAsia="黑体"/>
          <w:color w:val="000000"/>
          <w:sz w:val="32"/>
        </w:rPr>
        <w:t>二、部门财政资金收支情况</w:t>
      </w:r>
    </w:p>
    <w:p>
      <w:pPr>
        <w:spacing w:beforeLines="0" w:afterLines="0" w:line="560" w:lineRule="exact"/>
        <w:ind w:firstLine="643" w:firstLineChars="200"/>
        <w:rPr>
          <w:rFonts w:hint="eastAsia" w:ascii="仿宋_GB2312"/>
          <w:b/>
          <w:color w:val="000000"/>
          <w:sz w:val="32"/>
        </w:rPr>
      </w:pPr>
      <w:r>
        <w:rPr>
          <w:rFonts w:hint="eastAsia" w:ascii="仿宋_GB2312"/>
          <w:b/>
          <w:color w:val="000000"/>
          <w:sz w:val="32"/>
        </w:rPr>
        <w:t>（一）部门财政资金收入情况</w:t>
      </w:r>
    </w:p>
    <w:p>
      <w:pPr>
        <w:spacing w:beforeLines="0" w:afterLines="0" w:line="560" w:lineRule="exact"/>
        <w:ind w:firstLine="646" w:firstLineChars="202"/>
        <w:rPr>
          <w:rFonts w:hint="eastAsia" w:ascii="仿宋_GB2312"/>
          <w:color w:val="000000"/>
          <w:sz w:val="32"/>
        </w:rPr>
      </w:pPr>
      <w:r>
        <w:rPr>
          <w:rFonts w:hint="eastAsia" w:ascii="仿宋_GB2312" w:hAnsi="仿宋_GB2312" w:eastAsia="仿宋_GB2312" w:cs="仿宋_GB2312"/>
          <w:color w:val="000000"/>
          <w:sz w:val="32"/>
        </w:rPr>
        <w:t>松潘县党史和地方志编纂中心部门预算安排主要用于保障该部门机构正常运转、完成日常工作任务及承担相关事业发展相关工作。2022年一般公共预算收入总数116.54万元，无基金预算，较2021年一般公共预算收入总数132.78万元</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增加-12.23%;2022年一般公共预算支出总数116.54万元</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无基金预算支出</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较2021年部门预算支出总数132.78万元增加-12.23%。</w:t>
      </w:r>
      <w:r>
        <w:rPr>
          <w:rFonts w:hint="eastAsia" w:ascii="仿宋_GB2312"/>
          <w:color w:val="000000"/>
          <w:sz w:val="32"/>
        </w:rPr>
        <w:t xml:space="preserve">  </w:t>
      </w:r>
    </w:p>
    <w:p>
      <w:pPr>
        <w:spacing w:beforeLines="0" w:afterLines="0" w:line="560" w:lineRule="exact"/>
        <w:ind w:firstLine="649" w:firstLineChars="202"/>
        <w:rPr>
          <w:rFonts w:hint="eastAsia" w:ascii="仿宋_GB2312"/>
          <w:b/>
          <w:color w:val="000000"/>
          <w:sz w:val="32"/>
        </w:rPr>
      </w:pPr>
      <w:r>
        <w:rPr>
          <w:rFonts w:hint="eastAsia" w:ascii="仿宋_GB2312"/>
          <w:b/>
          <w:color w:val="000000"/>
          <w:sz w:val="32"/>
        </w:rPr>
        <w:t>（二）部门财政资金支出情况</w:t>
      </w:r>
    </w:p>
    <w:p>
      <w:pPr>
        <w:spacing w:beforeLines="0" w:afterLines="0"/>
        <w:ind w:firstLine="622" w:firstLineChars="200"/>
        <w:rPr>
          <w:rFonts w:hint="eastAsia" w:ascii="仿宋_GB2312" w:hAnsi="仿宋_GB2312" w:eastAsia="仿宋_GB2312" w:cs="仿宋_GB2312"/>
          <w:sz w:val="32"/>
          <w:szCs w:val="32"/>
        </w:rPr>
      </w:pPr>
      <w:r>
        <w:rPr>
          <w:rFonts w:hint="eastAsia" w:ascii="仿宋_GB2312"/>
          <w:b/>
          <w:sz w:val="31"/>
        </w:rPr>
        <w:t>基本支出</w:t>
      </w:r>
      <w:r>
        <w:rPr>
          <w:rFonts w:hint="eastAsia" w:ascii="仿宋_GB2312"/>
          <w:sz w:val="31"/>
        </w:rPr>
        <w:t>：</w:t>
      </w:r>
      <w:r>
        <w:rPr>
          <w:rFonts w:hint="eastAsia" w:ascii="仿宋_GB2312" w:hAnsi="仿宋_GB2312" w:eastAsia="仿宋_GB2312" w:cs="仿宋_GB2312"/>
          <w:sz w:val="32"/>
          <w:szCs w:val="32"/>
        </w:rPr>
        <w:t>基本支出，是用于保障县史志中心机构的正常运转的日常支出，包括基本工资、津贴补贴等人员经费以及办公费、印刷费、水电费等日常公用经费。2022年部门预算基本支出预算总数116.54万元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人员支出110.38万元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公用支出6.16万元。</w:t>
      </w:r>
    </w:p>
    <w:p>
      <w:pPr>
        <w:spacing w:beforeLines="0" w:afterLines="0"/>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事业支出，是用于保障县史志中心为完成特定的行政工作任务或事业发展目标，用于专项业务工作的经费支出。2022年部门预算项目支出预算总数35.00万元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《松潘年鉴》编纂经费10.00万元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《执政实录》编纂经费10.00万元，口述历史拍摄制作经费15.00万元。</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eastAsia="zh-CN"/>
        </w:rPr>
        <w:t>截至2022年</w:t>
      </w:r>
      <w:r>
        <w:rPr>
          <w:rFonts w:hint="eastAsia" w:ascii="仿宋_GB2312" w:hAnsi="仿宋_GB2312" w:eastAsia="仿宋_GB2312" w:cs="仿宋_GB2312"/>
          <w:color w:val="000000"/>
          <w:sz w:val="32"/>
          <w:szCs w:val="32"/>
        </w:rPr>
        <w:t>6月</w:t>
      </w:r>
      <w:r>
        <w:rPr>
          <w:rFonts w:hint="eastAsia" w:ascii="仿宋_GB2312" w:hAnsi="仿宋_GB2312" w:eastAsia="仿宋_GB2312" w:cs="仿宋_GB2312"/>
          <w:color w:val="auto"/>
          <w:sz w:val="32"/>
          <w:szCs w:val="32"/>
        </w:rPr>
        <w:t>，松潘县党史和地方志编纂中心已支出一般行政运行支出58.49万元，其中机构人员工资44.38万元，日常办公费、差旅费2.21万元，各种社会保障缴费11.9万元。事业支出因成果均在年底实现，暂无数据。</w:t>
      </w:r>
    </w:p>
    <w:p>
      <w:pPr>
        <w:widowControl/>
        <w:adjustRightInd w:val="0"/>
        <w:snapToGrid w:val="0"/>
        <w:spacing w:beforeLines="0" w:afterLines="0" w:line="480" w:lineRule="exact"/>
        <w:ind w:firstLine="720"/>
        <w:jc w:val="left"/>
        <w:rPr>
          <w:rFonts w:hint="eastAsia" w:ascii="黑体" w:hAnsi="宋体" w:eastAsia="黑体"/>
          <w:color w:val="000000"/>
          <w:sz w:val="32"/>
        </w:rPr>
      </w:pPr>
      <w:r>
        <w:rPr>
          <w:rFonts w:hint="eastAsia" w:ascii="黑体" w:hAnsi="宋体" w:eastAsia="黑体"/>
          <w:color w:val="000000"/>
          <w:sz w:val="32"/>
        </w:rPr>
        <w:t>三、部门整体预算绩效管理情况</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单位每年度按照上年度决算数据，</w:t>
      </w:r>
      <w:r>
        <w:rPr>
          <w:rFonts w:hint="eastAsia" w:ascii="仿宋_GB2312" w:hAnsi="仿宋_GB2312" w:eastAsia="仿宋_GB2312" w:cs="仿宋_GB2312"/>
          <w:sz w:val="32"/>
        </w:rPr>
        <w:t>按照“收支平衡、留有结余”的原则，依照“二上”“二下”的程序，合理编制单位经费预算。</w:t>
      </w:r>
      <w:r>
        <w:rPr>
          <w:rFonts w:hint="eastAsia" w:ascii="仿宋_GB2312" w:hAnsi="仿宋_GB2312" w:eastAsia="仿宋_GB2312" w:cs="仿宋_GB2312"/>
          <w:color w:val="000000"/>
          <w:sz w:val="32"/>
        </w:rPr>
        <w:t>对每年度支出、收入进行绩效目标填报，对所有专项预算都进行了提前的细化并严格按照细化目标执行，所有的结余结转资金严格按照用途进行管理并支出。</w:t>
      </w:r>
    </w:p>
    <w:p>
      <w:pPr>
        <w:numPr>
          <w:ilvl w:val="0"/>
          <w:numId w:val="5"/>
        </w:numPr>
        <w:spacing w:beforeLines="0" w:afterLines="0" w:line="560" w:lineRule="exact"/>
        <w:ind w:firstLine="643" w:firstLineChars="200"/>
        <w:rPr>
          <w:rFonts w:hint="eastAsia" w:ascii="仿宋_GB2312"/>
          <w:b/>
          <w:color w:val="000000"/>
          <w:sz w:val="32"/>
        </w:rPr>
      </w:pPr>
      <w:r>
        <w:rPr>
          <w:rFonts w:hint="eastAsia" w:ascii="仿宋_GB2312"/>
          <w:b/>
          <w:color w:val="000000"/>
          <w:sz w:val="32"/>
        </w:rPr>
        <w:t>部门预算管理。</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2022年一般公共预算收入总数116.54万元，无基金预算，较2021年一般公共预算收入总数132.78万元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增加-12.23%;2022年一般公共预算支出总数116.54万元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无基金预算支出</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较2021年部门预算支出总数132.78万元增加-12.23%。</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基本支出，是用于保障县史志中心机构的正常运转的日常支出，包括基本工资、津贴补贴等人员经费以及办公费、印刷费、水电费等日常公用经费。2022年部门预算基本支出预算总数116.54万元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其中</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人员支出110.38万元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公用支出6.16万元。</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事业支出，是用于保障县史志中心为完成特定的行政工作任务或事业发展目标，用于专项业务工作的经费支出。2022年部门预算事业支出预算总数35.00万元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其中</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《松潘年鉴》编纂经费10.00万元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《执政实录》编纂经费10.00万元，口述历史拍摄制作经费15.00万元。</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1、按功能分类支出情况</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（1）</w:t>
      </w:r>
      <w:r>
        <w:rPr>
          <w:rFonts w:hint="eastAsia" w:ascii="仿宋_GB2312" w:hAnsi="仿宋_GB2312" w:eastAsia="仿宋_GB2312" w:cs="仿宋_GB2312"/>
          <w:sz w:val="32"/>
          <w:szCs w:val="28"/>
        </w:rPr>
        <w:t>其他社会科学支出（2060699）86.69万元。主要用于：参公事业机构人员工资、日常运转及完成财政特定行政工作任务和事业发展目标而安排的年度事业支出等支出。</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（2）</w:t>
      </w:r>
      <w:r>
        <w:rPr>
          <w:rFonts w:hint="eastAsia" w:ascii="仿宋_GB2312" w:hAnsi="仿宋_GB2312" w:eastAsia="仿宋_GB2312" w:cs="仿宋_GB2312"/>
          <w:sz w:val="32"/>
          <w:szCs w:val="28"/>
        </w:rPr>
        <w:t>机关事业单位基本养老保险缴费支出14.1万元。主要用于：按标准规定标准为职工缴纳的机关养老保险和职业年金单位部分</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（3）</w:t>
      </w:r>
      <w:r>
        <w:rPr>
          <w:rFonts w:hint="eastAsia" w:ascii="仿宋_GB2312" w:hAnsi="仿宋_GB2312" w:eastAsia="仿宋_GB2312" w:cs="仿宋_GB2312"/>
          <w:sz w:val="32"/>
          <w:szCs w:val="28"/>
        </w:rPr>
        <w:t>卫生和健康支出6.11万元，主要用于行政机构、事业机构按照规定标准为职工缴纳的基本医疗保险及公务员医疗</w:t>
      </w:r>
      <w:r>
        <w:rPr>
          <w:rFonts w:hint="eastAsia" w:ascii="仿宋_GB2312" w:hAnsi="仿宋_GB2312" w:eastAsia="仿宋_GB2312" w:cs="仿宋_GB2312"/>
          <w:sz w:val="32"/>
          <w:szCs w:val="28"/>
          <w:lang w:eastAsia="zh-CN"/>
        </w:rPr>
        <w:t>补助</w:t>
      </w:r>
      <w:r>
        <w:rPr>
          <w:rFonts w:hint="eastAsia" w:ascii="仿宋_GB2312" w:hAnsi="仿宋_GB2312" w:eastAsia="仿宋_GB2312" w:cs="仿宋_GB2312"/>
          <w:sz w:val="32"/>
          <w:szCs w:val="28"/>
        </w:rPr>
        <w:t>等支出。 </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（4）住房保障支出9.64万元，主要用于行政机构、事业机构按照规定标准为职工缴纳住房公积金等支出。</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2、按经济分类支出情况</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（1）工资福利性支出：110.38万元。</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（2）商品和服务支出：6.16万元。</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（3）对个人和家庭的补助支出：0.82万元。</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（4）事业支出：35万元。</w:t>
      </w:r>
    </w:p>
    <w:p>
      <w:pPr>
        <w:numPr>
          <w:ilvl w:val="0"/>
          <w:numId w:val="5"/>
        </w:numPr>
        <w:spacing w:beforeLines="0" w:afterLines="0" w:line="560" w:lineRule="exact"/>
        <w:ind w:firstLine="643" w:firstLineChars="200"/>
        <w:rPr>
          <w:rFonts w:hint="eastAsia" w:ascii="仿宋_GB2312"/>
          <w:b/>
          <w:color w:val="000000"/>
          <w:sz w:val="32"/>
        </w:rPr>
      </w:pPr>
      <w:r>
        <w:rPr>
          <w:rFonts w:hint="eastAsia" w:ascii="仿宋_GB2312"/>
          <w:b/>
          <w:color w:val="000000"/>
          <w:sz w:val="32"/>
        </w:rPr>
        <w:t>结果应用情况</w:t>
      </w:r>
    </w:p>
    <w:p>
      <w:pPr>
        <w:numPr>
          <w:ilvl w:val="0"/>
          <w:numId w:val="0"/>
        </w:numPr>
        <w:spacing w:beforeLines="0"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半年期累计执行支出58.49万元，支出占预算执行的进度为50.19%。2022年年初预算安排公务接待费0.06万元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相较2021年0.12万元减少0.06万元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减少50%。主要原因是本着严格执行厉行节约的要求，认真贯彻落实中央八项规定及省委省政府十项规定要求，严格控制接待规模及接待标准。</w:t>
      </w:r>
    </w:p>
    <w:p>
      <w:pPr>
        <w:numPr>
          <w:ilvl w:val="0"/>
          <w:numId w:val="0"/>
        </w:numPr>
        <w:spacing w:beforeLines="0" w:afterLines="0" w:line="560" w:lineRule="exact"/>
        <w:ind w:firstLine="640" w:firstLineChars="200"/>
        <w:rPr>
          <w:rFonts w:hint="eastAsia" w:ascii="仿宋_GB2312" w:hAnsi="仿宋_GB2312" w:eastAsia="仿宋_GB2312" w:cs="仿宋_GB2312"/>
          <w:b/>
          <w:color w:val="000000"/>
          <w:sz w:val="32"/>
          <w:szCs w:val="24"/>
        </w:rPr>
      </w:pPr>
      <w:r>
        <w:rPr>
          <w:rFonts w:hint="eastAsia" w:ascii="仿宋_GB2312" w:hAnsi="仿宋_GB2312" w:eastAsia="仿宋_GB2312" w:cs="仿宋_GB2312"/>
          <w:sz w:val="32"/>
          <w:szCs w:val="32"/>
        </w:rPr>
        <w:t>严格执行厉行节约的要求，认真贯彻落实中央八项规定及省委省政府十项规定要求，严格控制接待规模及接待标准，努力压缩公务接待费。公务用车购置及运行维护费，2022年年初预算未安排公务用车购置费，未安排公车运行维护费，相较2021</w:t>
      </w:r>
      <w:r>
        <w:rPr>
          <w:rFonts w:hint="eastAsia" w:ascii="仿宋_GB2312" w:hAnsi="仿宋_GB2312" w:eastAsia="仿宋_GB2312" w:cs="仿宋_GB2312"/>
          <w:sz w:val="28"/>
          <w:szCs w:val="24"/>
        </w:rPr>
        <w:t>年减少0.92万元</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减少100%。主要原因是我中心无公务用车，预算科目调整。</w:t>
      </w:r>
    </w:p>
    <w:p>
      <w:pPr>
        <w:spacing w:beforeLines="0" w:afterLines="0" w:line="560" w:lineRule="exact"/>
        <w:ind w:firstLine="640" w:firstLineChars="200"/>
        <w:rPr>
          <w:rFonts w:hint="eastAsia" w:ascii="仿宋_GB2312" w:hAnsi="仿宋_GB2312" w:eastAsia="仿宋_GB2312" w:cs="仿宋_GB2312"/>
          <w:color w:val="000000"/>
          <w:sz w:val="32"/>
          <w:szCs w:val="24"/>
        </w:rPr>
      </w:pPr>
      <w:r>
        <w:rPr>
          <w:rFonts w:hint="eastAsia" w:ascii="仿宋_GB2312" w:hAnsi="仿宋_GB2312" w:eastAsia="仿宋_GB2312" w:cs="仿宋_GB2312"/>
          <w:sz w:val="32"/>
          <w:szCs w:val="24"/>
        </w:rPr>
        <w:t>部门执行厉行节约和节能降耗情况下，全面保障我单位正常开展工作业务，为完成各项目标任务提供了经费保障。</w:t>
      </w:r>
      <w:r>
        <w:rPr>
          <w:rFonts w:hint="eastAsia" w:ascii="仿宋_GB2312" w:hAnsi="仿宋_GB2312" w:eastAsia="仿宋_GB2312" w:cs="仿宋_GB2312"/>
          <w:color w:val="000000"/>
          <w:sz w:val="32"/>
          <w:szCs w:val="24"/>
        </w:rPr>
        <w:t>社会科学事业有专门的管理办法，严格按照项目资金管理办法和申报时的执行进度安排进行项目的实施与资金</w:t>
      </w:r>
      <w:r>
        <w:rPr>
          <w:rFonts w:hint="eastAsia" w:ascii="仿宋_GB2312" w:hAnsi="仿宋_GB2312" w:eastAsia="仿宋_GB2312" w:cs="仿宋_GB2312"/>
          <w:color w:val="000000"/>
          <w:sz w:val="32"/>
          <w:szCs w:val="24"/>
          <w:lang w:eastAsia="zh-CN"/>
        </w:rPr>
        <w:t>拨付</w:t>
      </w:r>
      <w:r>
        <w:rPr>
          <w:rFonts w:hint="eastAsia" w:ascii="仿宋_GB2312" w:hAnsi="仿宋_GB2312" w:eastAsia="仿宋_GB2312" w:cs="仿宋_GB2312"/>
          <w:color w:val="000000"/>
          <w:sz w:val="32"/>
          <w:szCs w:val="24"/>
        </w:rPr>
        <w:t>与使用。</w:t>
      </w:r>
    </w:p>
    <w:p>
      <w:pPr>
        <w:spacing w:beforeLines="0" w:afterLines="0" w:line="560" w:lineRule="exact"/>
        <w:ind w:firstLine="640" w:firstLineChars="20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围绕松潘县志、年鉴、执政实录的组稿、撰稿、总纂、审定、出版等业务工作，不断调整工作思路创新思路，按照国家政策法规规定和本单位实际情况，建立健全财务管理制度和约束机制，严格实行收支两条线和规范的会计核算方法，依法、有效地使用财政资金，提高财政资金使用效率。</w:t>
      </w:r>
    </w:p>
    <w:p>
      <w:pPr>
        <w:numPr>
          <w:ilvl w:val="0"/>
          <w:numId w:val="6"/>
        </w:numPr>
        <w:spacing w:beforeLines="0" w:afterLines="0" w:line="560" w:lineRule="exact"/>
        <w:ind w:firstLine="643" w:firstLineChars="200"/>
        <w:rPr>
          <w:rFonts w:hint="eastAsia" w:ascii="仿宋_GB2312"/>
          <w:b/>
          <w:color w:val="000000"/>
          <w:sz w:val="32"/>
        </w:rPr>
      </w:pPr>
      <w:r>
        <w:rPr>
          <w:rFonts w:hint="eastAsia" w:ascii="仿宋_GB2312"/>
          <w:b/>
          <w:color w:val="000000"/>
          <w:sz w:val="32"/>
        </w:rPr>
        <w:t>评价结论及建议</w:t>
      </w:r>
    </w:p>
    <w:p>
      <w:pPr>
        <w:numPr>
          <w:ilvl w:val="0"/>
          <w:numId w:val="0"/>
        </w:numPr>
        <w:spacing w:beforeLines="0" w:afterLines="0" w:line="560" w:lineRule="exact"/>
        <w:ind w:firstLine="643" w:firstLineChars="200"/>
        <w:rPr>
          <w:rFonts w:hint="eastAsia" w:ascii="仿宋_GB2312"/>
          <w:b/>
          <w:color w:val="000000"/>
          <w:sz w:val="32"/>
        </w:rPr>
      </w:pPr>
      <w:r>
        <w:rPr>
          <w:rFonts w:hint="eastAsia" w:ascii="仿宋_GB2312"/>
          <w:b/>
          <w:color w:val="000000"/>
          <w:sz w:val="32"/>
        </w:rPr>
        <w:t>（一）评价结论</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根据财政绩效评价的工作要求，我单位每年都会开展绩效自评工作，对自评进行认真的研究和部署，使自评工作顺利开展、并</w:t>
      </w:r>
      <w:r>
        <w:rPr>
          <w:rFonts w:hint="eastAsia" w:ascii="仿宋_GB2312" w:hAnsi="仿宋_GB2312" w:eastAsia="仿宋_GB2312" w:cs="仿宋_GB2312"/>
          <w:color w:val="000000"/>
          <w:sz w:val="32"/>
          <w:lang w:val="en-US" w:eastAsia="zh-CN"/>
        </w:rPr>
        <w:t>针</w:t>
      </w:r>
      <w:r>
        <w:rPr>
          <w:rFonts w:hint="eastAsia" w:ascii="仿宋_GB2312" w:hAnsi="仿宋_GB2312" w:eastAsia="仿宋_GB2312" w:cs="仿宋_GB2312"/>
          <w:color w:val="000000"/>
          <w:sz w:val="32"/>
        </w:rPr>
        <w:t>对问题找出解决方法。做到了时间过半，资金使用量过半。下半年是出成果的时候，到时，我们的《年鉴</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rPr>
        <w:t>执政实录》、口述历史纪录片将以正式出版和视频的形式展现给大家，同时完成用于保障县史志中心机构的正常运转的日常支出。</w:t>
      </w:r>
    </w:p>
    <w:p>
      <w:pPr>
        <w:spacing w:beforeLines="0" w:afterLines="0" w:line="560" w:lineRule="exact"/>
        <w:ind w:firstLine="640" w:firstLineChars="200"/>
        <w:rPr>
          <w:rFonts w:hint="eastAsia" w:ascii="仿宋_GB2312"/>
          <w:color w:val="000000"/>
          <w:sz w:val="32"/>
        </w:rPr>
      </w:pPr>
      <w:r>
        <w:rPr>
          <w:rFonts w:hint="eastAsia" w:ascii="仿宋_GB2312"/>
          <w:color w:val="000000"/>
          <w:sz w:val="32"/>
        </w:rPr>
        <w:t>（二）存在问题</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1.评价内容较宏观，不能全面具体地对本部门的绩效进行评价。</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2.财务理论水平低，没有专业的财务人员，对财务绩效评价的设置感到无从下手。</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（三）改进建议</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1.在来年的财政支出绩效评价工作中根据定性指标内容设置一些具体明细的指标体系进行评价，使财政支出绩效评价更客观和更具有参考价值。</w:t>
      </w:r>
    </w:p>
    <w:p>
      <w:pPr>
        <w:spacing w:beforeLines="0" w:afterLines="0" w:line="560"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2.使用专业人员，提高财务人员积极性和热情，宣传财务工作的重要性。</w:t>
      </w:r>
    </w:p>
    <w:p>
      <w:pPr>
        <w:spacing w:beforeLines="0" w:afterLines="0" w:line="560" w:lineRule="exact"/>
        <w:ind w:firstLine="640" w:firstLineChars="200"/>
        <w:rPr>
          <w:rFonts w:hint="eastAsia" w:ascii="仿宋_GB2312"/>
          <w:color w:val="000000"/>
          <w:sz w:val="32"/>
        </w:rPr>
      </w:pPr>
    </w:p>
    <w:p>
      <w:pPr>
        <w:spacing w:line="560" w:lineRule="exact"/>
        <w:ind w:firstLine="640" w:firstLineChars="200"/>
        <w:rPr>
          <w:rFonts w:hint="eastAsia" w:ascii="仿宋_GB2312" w:hAnsi="仿宋_GB2312" w:eastAsia="仿宋_GB2312" w:cs="仿宋_GB2312"/>
          <w:color w:val="000000"/>
          <w:sz w:val="32"/>
          <w:szCs w:val="48"/>
        </w:rPr>
      </w:pPr>
    </w:p>
    <w:p>
      <w:pPr>
        <w:spacing w:line="560" w:lineRule="exact"/>
        <w:ind w:firstLine="640" w:firstLineChars="200"/>
        <w:rPr>
          <w:rFonts w:hint="eastAsia" w:ascii="仿宋_GB2312" w:eastAsia="仿宋_GB2312"/>
          <w:b w:val="0"/>
          <w:bCs/>
          <w:color w:val="000000"/>
          <w:sz w:val="32"/>
          <w:szCs w:val="32"/>
        </w:rPr>
      </w:pPr>
    </w:p>
    <w:p>
      <w:pPr>
        <w:spacing w:line="560" w:lineRule="exact"/>
        <w:ind w:firstLine="640" w:firstLineChars="200"/>
        <w:rPr>
          <w:rFonts w:hint="eastAsia" w:ascii="仿宋_GB2312" w:eastAsia="仿宋_GB2312"/>
          <w:b w:val="0"/>
          <w:bCs/>
          <w:color w:val="000000"/>
          <w:sz w:val="32"/>
          <w:szCs w:val="32"/>
        </w:rPr>
      </w:pPr>
    </w:p>
    <w:p>
      <w:pPr>
        <w:spacing w:line="560" w:lineRule="exact"/>
        <w:ind w:firstLine="640" w:firstLineChars="200"/>
        <w:rPr>
          <w:rFonts w:hint="eastAsia" w:ascii="仿宋_GB2312" w:eastAsia="仿宋_GB2312"/>
          <w:b w:val="0"/>
          <w:bCs/>
          <w:color w:val="000000"/>
          <w:sz w:val="32"/>
          <w:szCs w:val="32"/>
        </w:rPr>
      </w:pPr>
    </w:p>
    <w:p>
      <w:pPr>
        <w:spacing w:line="560" w:lineRule="exact"/>
        <w:ind w:firstLine="640" w:firstLineChars="200"/>
        <w:rPr>
          <w:rFonts w:hint="eastAsia" w:ascii="仿宋_GB2312" w:eastAsia="仿宋_GB2312"/>
          <w:b w:val="0"/>
          <w:bCs/>
          <w:color w:val="000000"/>
          <w:sz w:val="32"/>
          <w:szCs w:val="32"/>
        </w:rPr>
      </w:pPr>
    </w:p>
    <w:p>
      <w:pPr>
        <w:spacing w:line="560" w:lineRule="exact"/>
        <w:ind w:firstLine="640" w:firstLineChars="200"/>
        <w:rPr>
          <w:rFonts w:hint="eastAsia" w:ascii="仿宋_GB2312" w:eastAsia="仿宋_GB2312"/>
          <w:b w:val="0"/>
          <w:bCs/>
          <w:color w:val="000000"/>
          <w:sz w:val="32"/>
          <w:szCs w:val="32"/>
        </w:rPr>
      </w:pPr>
    </w:p>
    <w:p>
      <w:pPr>
        <w:spacing w:line="600" w:lineRule="exact"/>
        <w:jc w:val="center"/>
        <w:outlineLvl w:val="0"/>
        <w:rPr>
          <w:rFonts w:hint="eastAsia" w:ascii="黑体" w:hAnsi="黑体" w:eastAsia="黑体"/>
          <w:color w:val="000000"/>
          <w:sz w:val="44"/>
          <w:szCs w:val="44"/>
        </w:rPr>
      </w:pPr>
      <w:bookmarkStart w:id="115" w:name="_Toc79163885"/>
      <w:bookmarkStart w:id="116" w:name="_Toc79163635"/>
      <w:bookmarkStart w:id="117"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3"/>
          <w:rFonts w:hint="eastAsia"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12"/>
      <w:bookmarkEnd w:id="115"/>
      <w:bookmarkEnd w:id="116"/>
      <w:bookmarkEnd w:id="117"/>
    </w:p>
    <w:p>
      <w:pPr>
        <w:pStyle w:val="3"/>
        <w:rPr>
          <w:rStyle w:val="24"/>
          <w:rFonts w:hint="eastAsia" w:ascii="仿宋" w:hAnsi="仿宋" w:eastAsia="仿宋"/>
          <w:b w:val="0"/>
          <w:bCs w:val="0"/>
        </w:rPr>
      </w:pPr>
      <w:bookmarkStart w:id="118" w:name="_Toc15396619"/>
      <w:bookmarkStart w:id="119" w:name="_Toc79163636"/>
      <w:bookmarkStart w:id="120" w:name="_Toc79163886"/>
      <w:r>
        <w:rPr>
          <w:rFonts w:hint="eastAsia" w:ascii="仿宋" w:hAnsi="仿宋" w:eastAsia="仿宋"/>
          <w:b w:val="0"/>
          <w:color w:val="000000"/>
        </w:rPr>
        <w:t>一、收</w:t>
      </w:r>
      <w:r>
        <w:rPr>
          <w:rStyle w:val="24"/>
          <w:rFonts w:hint="eastAsia" w:ascii="仿宋" w:hAnsi="仿宋" w:eastAsia="仿宋"/>
          <w:b w:val="0"/>
          <w:bCs w:val="0"/>
        </w:rPr>
        <w:t>入支出决算总表</w:t>
      </w:r>
      <w:bookmarkEnd w:id="118"/>
      <w:bookmarkEnd w:id="119"/>
      <w:bookmarkEnd w:id="120"/>
    </w:p>
    <w:p>
      <w:bookmarkStart w:id="121" w:name="_Toc15396620"/>
      <w:bookmarkStart w:id="122" w:name="_Toc79163887"/>
      <w:bookmarkStart w:id="123" w:name="_Toc79163637"/>
      <w:r>
        <w:object>
          <v:shape id="_x0000_i1025" o:spt="75" type="#_x0000_t75" style="height:323.35pt;width:414.6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p>
      <w:pPr>
        <w:rPr>
          <w:rStyle w:val="24"/>
          <w:rFonts w:hint="eastAsia" w:ascii="仿宋" w:hAnsi="仿宋" w:eastAsia="仿宋"/>
          <w:b w:val="0"/>
          <w:bCs w:val="0"/>
        </w:rPr>
      </w:pPr>
      <w:r>
        <w:rPr>
          <w:rFonts w:hint="eastAsia" w:ascii="仿宋" w:hAnsi="仿宋" w:eastAsia="仿宋"/>
          <w:b w:val="0"/>
          <w:color w:val="000000"/>
          <w:sz w:val="32"/>
          <w:szCs w:val="40"/>
        </w:rPr>
        <w:t>二</w:t>
      </w:r>
      <w:r>
        <w:rPr>
          <w:rFonts w:hint="eastAsia" w:ascii="仿宋" w:hAnsi="仿宋" w:eastAsia="仿宋"/>
          <w:b w:val="0"/>
          <w:color w:val="000000"/>
        </w:rPr>
        <w:t>、</w:t>
      </w:r>
      <w:r>
        <w:rPr>
          <w:rFonts w:hint="eastAsia" w:ascii="仿宋" w:hAnsi="仿宋" w:eastAsia="仿宋"/>
          <w:b w:val="0"/>
          <w:color w:val="000000"/>
          <w:sz w:val="32"/>
          <w:szCs w:val="40"/>
        </w:rPr>
        <w:t>收</w:t>
      </w:r>
      <w:r>
        <w:rPr>
          <w:rStyle w:val="24"/>
          <w:rFonts w:hint="eastAsia" w:ascii="仿宋" w:hAnsi="仿宋" w:eastAsia="仿宋"/>
          <w:b w:val="0"/>
          <w:bCs w:val="0"/>
        </w:rPr>
        <w:t>入决算表</w:t>
      </w:r>
      <w:bookmarkEnd w:id="121"/>
      <w:bookmarkEnd w:id="122"/>
      <w:bookmarkEnd w:id="123"/>
    </w:p>
    <w:p>
      <w:pPr>
        <w:rPr>
          <w:rStyle w:val="24"/>
          <w:rFonts w:hint="eastAsia" w:ascii="仿宋" w:hAnsi="仿宋" w:eastAsia="仿宋"/>
          <w:b w:val="0"/>
          <w:bCs w:val="0"/>
        </w:rPr>
      </w:pPr>
      <w:r>
        <w:rPr>
          <w:rStyle w:val="24"/>
          <w:rFonts w:hint="eastAsia" w:ascii="仿宋" w:hAnsi="仿宋" w:eastAsia="仿宋"/>
          <w:b w:val="0"/>
          <w:bCs w:val="0"/>
        </w:rPr>
        <w:object>
          <v:shape id="_x0000_i1026" o:spt="75" type="#_x0000_t75" style="height:179.5pt;width:414.7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6" r:id="rId14">
            <o:LockedField>false</o:LockedField>
          </o:OLEObject>
        </w:object>
      </w:r>
    </w:p>
    <w:p>
      <w:pPr>
        <w:rPr>
          <w:rStyle w:val="24"/>
          <w:rFonts w:hint="eastAsia" w:ascii="仿宋" w:hAnsi="仿宋" w:eastAsia="仿宋"/>
          <w:b w:val="0"/>
          <w:bCs w:val="0"/>
        </w:rPr>
      </w:pPr>
      <w:bookmarkStart w:id="124" w:name="_Toc15396621"/>
      <w:bookmarkStart w:id="125" w:name="_Toc79163888"/>
      <w:bookmarkStart w:id="126" w:name="_Toc79163638"/>
    </w:p>
    <w:p>
      <w:pPr>
        <w:rPr>
          <w:rStyle w:val="24"/>
          <w:rFonts w:hint="eastAsia" w:ascii="仿宋" w:hAnsi="仿宋" w:eastAsia="仿宋"/>
          <w:b w:val="0"/>
          <w:bCs w:val="0"/>
        </w:rPr>
      </w:pPr>
      <w:r>
        <w:rPr>
          <w:rStyle w:val="24"/>
          <w:rFonts w:hint="eastAsia" w:ascii="仿宋" w:hAnsi="仿宋" w:eastAsia="仿宋"/>
          <w:b w:val="0"/>
          <w:bCs w:val="0"/>
        </w:rPr>
        <w:t>三、</w:t>
      </w:r>
      <w:r>
        <w:rPr>
          <w:rFonts w:hint="eastAsia" w:ascii="仿宋" w:hAnsi="仿宋" w:eastAsia="仿宋"/>
          <w:b w:val="0"/>
          <w:color w:val="000000"/>
          <w:sz w:val="32"/>
          <w:szCs w:val="40"/>
        </w:rPr>
        <w:t>支</w:t>
      </w:r>
      <w:r>
        <w:rPr>
          <w:rStyle w:val="24"/>
          <w:rFonts w:hint="eastAsia" w:ascii="仿宋" w:hAnsi="仿宋" w:eastAsia="仿宋"/>
          <w:b w:val="0"/>
          <w:bCs w:val="0"/>
        </w:rPr>
        <w:t>出决算表</w:t>
      </w:r>
      <w:bookmarkEnd w:id="124"/>
      <w:bookmarkEnd w:id="125"/>
      <w:bookmarkEnd w:id="126"/>
    </w:p>
    <w:p>
      <w:pPr>
        <w:rPr>
          <w:rStyle w:val="24"/>
          <w:rFonts w:hint="eastAsia" w:ascii="仿宋" w:hAnsi="仿宋" w:eastAsia="仿宋"/>
          <w:b w:val="0"/>
          <w:bCs w:val="0"/>
        </w:rPr>
      </w:pPr>
      <w:bookmarkStart w:id="127" w:name="_Toc15396622"/>
      <w:bookmarkStart w:id="128" w:name="_Toc79163889"/>
      <w:bookmarkStart w:id="129" w:name="_Toc79163639"/>
      <w:r>
        <w:rPr>
          <w:rStyle w:val="24"/>
          <w:rFonts w:hint="eastAsia" w:ascii="仿宋" w:hAnsi="仿宋" w:eastAsia="仿宋"/>
          <w:b w:val="0"/>
          <w:bCs w:val="0"/>
        </w:rPr>
        <w:object>
          <v:shape id="_x0000_i1027" o:spt="75" type="#_x0000_t75" style="height:200pt;width:414.6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27" r:id="rId16">
            <o:LockedField>false</o:LockedField>
          </o:OLEObject>
        </w:object>
      </w:r>
    </w:p>
    <w:p>
      <w:pPr>
        <w:rPr>
          <w:rStyle w:val="24"/>
          <w:rFonts w:hint="eastAsia" w:ascii="仿宋" w:hAnsi="仿宋" w:eastAsia="仿宋"/>
          <w:b w:val="0"/>
          <w:bCs w:val="0"/>
        </w:rPr>
      </w:pPr>
      <w:r>
        <w:rPr>
          <w:rStyle w:val="24"/>
          <w:rFonts w:hint="eastAsia" w:ascii="仿宋" w:hAnsi="仿宋" w:eastAsia="仿宋"/>
          <w:b w:val="0"/>
          <w:bCs w:val="0"/>
        </w:rPr>
        <w:t>四、</w:t>
      </w:r>
      <w:r>
        <w:rPr>
          <w:rFonts w:hint="eastAsia" w:ascii="仿宋" w:hAnsi="仿宋" w:eastAsia="仿宋"/>
          <w:b w:val="0"/>
          <w:color w:val="000000"/>
          <w:sz w:val="32"/>
          <w:szCs w:val="40"/>
        </w:rPr>
        <w:t>财</w:t>
      </w:r>
      <w:r>
        <w:rPr>
          <w:rStyle w:val="24"/>
          <w:rFonts w:hint="eastAsia" w:ascii="仿宋" w:hAnsi="仿宋" w:eastAsia="仿宋"/>
          <w:b w:val="0"/>
          <w:bCs w:val="0"/>
        </w:rPr>
        <w:t>政拨款收入支出决算总表</w:t>
      </w:r>
      <w:bookmarkEnd w:id="127"/>
      <w:bookmarkEnd w:id="128"/>
      <w:bookmarkEnd w:id="129"/>
    </w:p>
    <w:p>
      <w:pPr>
        <w:rPr>
          <w:rStyle w:val="24"/>
          <w:rFonts w:hint="eastAsia" w:ascii="仿宋" w:hAnsi="仿宋" w:eastAsia="仿宋"/>
          <w:b w:val="0"/>
          <w:bCs w:val="0"/>
        </w:rPr>
      </w:pPr>
      <w:bookmarkStart w:id="130" w:name="_Toc79163890"/>
      <w:bookmarkStart w:id="131" w:name="_Toc79163640"/>
      <w:bookmarkStart w:id="132" w:name="_Toc15396623"/>
      <w:r>
        <w:rPr>
          <w:rStyle w:val="24"/>
          <w:rFonts w:hint="eastAsia" w:ascii="仿宋" w:hAnsi="仿宋" w:eastAsia="仿宋"/>
          <w:b w:val="0"/>
          <w:bCs w:val="0"/>
        </w:rPr>
        <w:object>
          <v:shape id="_x0000_i1028" o:spt="75" type="#_x0000_t75" style="height:323.35pt;width:414.65pt;" o:ole="t" filled="f" o:preferrelative="t" stroked="f" coordsize="21600,21600">
            <v:path/>
            <v:fill on="f" focussize="0,0"/>
            <v:stroke on="f"/>
            <v:imagedata r:id="rId19" o:title=""/>
            <o:lock v:ext="edit" aspectratio="f"/>
            <w10:wrap type="none"/>
            <w10:anchorlock/>
          </v:shape>
          <o:OLEObject Type="Embed" ProgID="Excel.Sheet.12" ShapeID="_x0000_i1028" DrawAspect="Content" ObjectID="_1468075728" r:id="rId18">
            <o:LockedField>false</o:LockedField>
          </o:OLEObject>
        </w:object>
      </w:r>
    </w:p>
    <w:p>
      <w:pPr>
        <w:rPr>
          <w:rStyle w:val="24"/>
          <w:rFonts w:hint="eastAsia" w:ascii="仿宋" w:hAnsi="仿宋" w:eastAsia="仿宋"/>
          <w:b w:val="0"/>
          <w:bCs w:val="0"/>
        </w:rPr>
      </w:pPr>
    </w:p>
    <w:p>
      <w:pPr>
        <w:rPr>
          <w:rStyle w:val="24"/>
          <w:rFonts w:hint="eastAsia" w:ascii="仿宋" w:hAnsi="仿宋" w:eastAsia="仿宋"/>
          <w:b w:val="0"/>
          <w:bCs w:val="0"/>
        </w:rPr>
      </w:pPr>
    </w:p>
    <w:p>
      <w:pPr>
        <w:rPr>
          <w:rStyle w:val="24"/>
          <w:rFonts w:hint="eastAsia" w:ascii="仿宋" w:hAnsi="仿宋" w:eastAsia="仿宋"/>
          <w:b w:val="0"/>
          <w:bCs w:val="0"/>
        </w:rPr>
      </w:pPr>
      <w:r>
        <w:rPr>
          <w:rStyle w:val="24"/>
          <w:rFonts w:hint="eastAsia" w:ascii="仿宋" w:hAnsi="仿宋" w:eastAsia="仿宋"/>
          <w:b w:val="0"/>
          <w:bCs w:val="0"/>
        </w:rPr>
        <w:t>五、</w:t>
      </w:r>
      <w:r>
        <w:rPr>
          <w:rFonts w:hint="eastAsia" w:ascii="仿宋" w:hAnsi="仿宋" w:eastAsia="仿宋"/>
          <w:b w:val="0"/>
          <w:color w:val="000000"/>
          <w:sz w:val="32"/>
          <w:szCs w:val="40"/>
        </w:rPr>
        <w:t>财</w:t>
      </w:r>
      <w:r>
        <w:rPr>
          <w:rStyle w:val="24"/>
          <w:rFonts w:hint="eastAsia" w:ascii="仿宋" w:hAnsi="仿宋" w:eastAsia="仿宋"/>
          <w:b w:val="0"/>
          <w:bCs w:val="0"/>
        </w:rPr>
        <w:t>政拨款支出决算明细表</w:t>
      </w:r>
      <w:bookmarkEnd w:id="130"/>
      <w:bookmarkEnd w:id="131"/>
      <w:bookmarkEnd w:id="132"/>
      <w:bookmarkStart w:id="133" w:name="_Toc15396624"/>
    </w:p>
    <w:p>
      <w:r>
        <w:object>
          <v:shape id="_x0000_i1029" o:spt="75" type="#_x0000_t75" style="height:657.3pt;width:414.85pt;" o:ole="t" filled="f" o:preferrelative="t" stroked="f" coordsize="21600,21600">
            <v:path/>
            <v:fill on="f" focussize="0,0"/>
            <v:stroke on="f"/>
            <v:imagedata r:id="rId21" o:title=""/>
            <o:lock v:ext="edit" aspectratio="f"/>
            <w10:wrap type="none"/>
            <w10:anchorlock/>
          </v:shape>
          <o:OLEObject Type="Embed" ProgID="Excel.Sheet.12" ShapeID="_x0000_i1029" DrawAspect="Content" ObjectID="_1468075729" r:id="rId20">
            <o:LockedField>false</o:LockedField>
          </o:OLEObject>
        </w:object>
      </w:r>
    </w:p>
    <w:p>
      <w:pPr>
        <w:pStyle w:val="3"/>
        <w:rPr>
          <w:rStyle w:val="24"/>
          <w:rFonts w:hint="eastAsia" w:ascii="仿宋" w:hAnsi="仿宋" w:eastAsia="仿宋"/>
          <w:b w:val="0"/>
          <w:bCs w:val="0"/>
        </w:rPr>
      </w:pPr>
      <w:bookmarkStart w:id="134" w:name="_Toc79163891"/>
      <w:bookmarkStart w:id="135" w:name="_Toc7916364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3"/>
      <w:bookmarkEnd w:id="134"/>
      <w:bookmarkEnd w:id="135"/>
    </w:p>
    <w:p>
      <w:r>
        <w:object>
          <v:shape id="_x0000_i1030" o:spt="75" type="#_x0000_t75" style="height:279.95pt;width:414.85pt;" o:ole="t" filled="f" o:preferrelative="t" stroked="f" coordsize="21600,21600">
            <v:path/>
            <v:fill on="f" focussize="0,0"/>
            <v:stroke on="f"/>
            <v:imagedata r:id="rId23" o:title=""/>
            <o:lock v:ext="edit" aspectratio="f"/>
            <w10:wrap type="none"/>
            <w10:anchorlock/>
          </v:shape>
          <o:OLEObject Type="Embed" ProgID="Excel.Sheet.12" ShapeID="_x0000_i1030" DrawAspect="Content" ObjectID="_1468075730" r:id="rId22">
            <o:LockedField>false</o:LockedField>
          </o:OLEObject>
        </w:object>
      </w:r>
    </w:p>
    <w:p>
      <w:pPr>
        <w:pStyle w:val="3"/>
        <w:rPr>
          <w:rStyle w:val="24"/>
          <w:rFonts w:hint="eastAsia" w:ascii="仿宋" w:hAnsi="仿宋" w:eastAsia="仿宋"/>
          <w:b w:val="0"/>
          <w:bCs w:val="0"/>
        </w:rPr>
      </w:pPr>
      <w:bookmarkStart w:id="136" w:name="_Toc79163642"/>
      <w:bookmarkStart w:id="137" w:name="_Toc79163892"/>
      <w:bookmarkStart w:id="138" w:name="_Toc15396625"/>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6"/>
      <w:bookmarkEnd w:id="137"/>
      <w:bookmarkEnd w:id="138"/>
    </w:p>
    <w:p>
      <w:r>
        <w:object>
          <v:shape id="_x0000_i1031" o:spt="75" type="#_x0000_t75" style="height:62.4pt;width:414.6pt;" o:ole="t" filled="f" o:preferrelative="t" stroked="f" coordsize="21600,21600">
            <v:path/>
            <v:fill on="f" focussize="0,0"/>
            <v:stroke on="f"/>
            <v:imagedata r:id="rId25" o:title=""/>
            <o:lock v:ext="edit" aspectratio="f"/>
            <w10:wrap type="none"/>
            <w10:anchorlock/>
          </v:shape>
          <o:OLEObject Type="Embed" ProgID="Excel.Sheet.12" ShapeID="_x0000_i1031" DrawAspect="Content" ObjectID="_1468075731" r:id="rId24">
            <o:LockedField>false</o:LockedField>
          </o:OLEObject>
        </w:object>
      </w:r>
    </w:p>
    <w:p>
      <w:pPr>
        <w:pStyle w:val="3"/>
        <w:rPr>
          <w:rStyle w:val="24"/>
          <w:rFonts w:hint="eastAsia" w:ascii="仿宋" w:hAnsi="仿宋" w:eastAsia="仿宋"/>
          <w:b w:val="0"/>
          <w:bCs w:val="0"/>
        </w:rPr>
      </w:pPr>
      <w:bookmarkStart w:id="139" w:name="_Toc79163643"/>
      <w:bookmarkStart w:id="140" w:name="_Toc15396626"/>
      <w:bookmarkStart w:id="141"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39"/>
      <w:bookmarkEnd w:id="140"/>
      <w:bookmarkEnd w:id="141"/>
    </w:p>
    <w:p>
      <w:pPr>
        <w:rPr>
          <w:rStyle w:val="24"/>
          <w:rFonts w:hint="eastAsia" w:ascii="仿宋" w:hAnsi="仿宋" w:eastAsia="仿宋"/>
          <w:b w:val="0"/>
          <w:bCs w:val="0"/>
        </w:rPr>
      </w:pPr>
      <w:r>
        <w:object>
          <v:shape id="_x0000_i1032" o:spt="75" type="#_x0000_t75" style="height:285.2pt;width:414.45pt;" o:ole="t" filled="f" o:preferrelative="t" stroked="f" coordsize="21600,21600">
            <v:path/>
            <v:fill on="f" focussize="0,0"/>
            <v:stroke on="f"/>
            <v:imagedata r:id="rId27" o:title=""/>
            <o:lock v:ext="edit" aspectratio="f"/>
            <w10:wrap type="none"/>
            <w10:anchorlock/>
          </v:shape>
          <o:OLEObject Type="Embed" ProgID="Excel.Sheet.12" ShapeID="_x0000_i1032" DrawAspect="Content" ObjectID="_1468075732" r:id="rId26">
            <o:LockedField>false</o:LockedField>
          </o:OLEObject>
        </w:object>
      </w:r>
      <w:bookmarkStart w:id="142" w:name="_Toc79163644"/>
      <w:bookmarkStart w:id="143" w:name="_Toc15396627"/>
      <w:bookmarkStart w:id="144" w:name="_Toc7916389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2"/>
      <w:bookmarkEnd w:id="143"/>
      <w:bookmarkEnd w:id="144"/>
    </w:p>
    <w:p>
      <w:r>
        <w:object>
          <v:shape id="_x0000_i1033" o:spt="75" type="#_x0000_t75" style="height:319.8pt;width:414.95pt;" o:ole="t" filled="f" o:preferrelative="t" stroked="f" coordsize="21600,21600">
            <v:path/>
            <v:fill on="f" focussize="0,0"/>
            <v:stroke on="f"/>
            <v:imagedata r:id="rId29" o:title=""/>
            <o:lock v:ext="edit" aspectratio="f"/>
            <w10:wrap type="none"/>
            <w10:anchorlock/>
          </v:shape>
          <o:OLEObject Type="Embed" ProgID="Excel.Sheet.12" ShapeID="_x0000_i1033" DrawAspect="Content" ObjectID="_1468075733" r:id="rId28">
            <o:LockedField>false</o:LockedField>
          </o:OLEObject>
        </w:object>
      </w:r>
    </w:p>
    <w:p>
      <w:pPr>
        <w:pStyle w:val="3"/>
        <w:rPr>
          <w:rStyle w:val="24"/>
          <w:rFonts w:hint="eastAsia" w:ascii="仿宋" w:hAnsi="仿宋" w:eastAsia="仿宋"/>
          <w:b w:val="0"/>
          <w:bCs w:val="0"/>
        </w:rPr>
      </w:pPr>
      <w:bookmarkStart w:id="145" w:name="_Toc15396628"/>
      <w:bookmarkStart w:id="146" w:name="_Toc79163645"/>
      <w:bookmarkStart w:id="147" w:name="_Toc79163895"/>
      <w:r>
        <w:rPr>
          <w:rStyle w:val="24"/>
          <w:rFonts w:hint="eastAsia" w:ascii="仿宋" w:hAnsi="仿宋" w:eastAsia="仿宋"/>
          <w:b w:val="0"/>
          <w:bCs w:val="0"/>
        </w:rPr>
        <w:t>十、</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p>
    <w:p>
      <w:pPr>
        <w:rPr>
          <w:rFonts w:hint="eastAsia"/>
        </w:rPr>
      </w:pPr>
      <w:r>
        <w:rPr>
          <w:rFonts w:hint="eastAsia"/>
        </w:rPr>
        <w:object>
          <v:shape id="_x0000_i1034" o:spt="75" type="#_x0000_t75" style="height:110.3pt;width:415.15pt;" o:ole="t" filled="f" o:preferrelative="t" stroked="f" coordsize="21600,21600">
            <v:path/>
            <v:fill on="f" focussize="0,0"/>
            <v:stroke on="f"/>
            <v:imagedata r:id="rId31" o:title=""/>
            <o:lock v:ext="edit" aspectratio="f"/>
            <w10:wrap type="none"/>
            <w10:anchorlock/>
          </v:shape>
          <o:OLEObject Type="Embed" ProgID="Excel.Sheet.12" ShapeID="_x0000_i1034" DrawAspect="Content" ObjectID="_1468075734" r:id="rId30">
            <o:LockedField>false</o:LockedField>
          </o:OLEObject>
        </w:object>
      </w:r>
    </w:p>
    <w:p>
      <w:pPr>
        <w:rPr>
          <w:rStyle w:val="24"/>
          <w:rFonts w:hint="eastAsia" w:ascii="仿宋" w:hAnsi="仿宋" w:eastAsia="仿宋"/>
          <w:b w:val="0"/>
          <w:bCs w:val="0"/>
        </w:rPr>
      </w:pPr>
      <w:bookmarkStart w:id="148" w:name="_Toc15396629"/>
      <w:bookmarkStart w:id="149" w:name="_Toc79163646"/>
      <w:bookmarkStart w:id="150" w:name="_Toc79163896"/>
      <w:r>
        <w:rPr>
          <w:rStyle w:val="24"/>
          <w:rFonts w:hint="eastAsia" w:ascii="仿宋" w:hAnsi="仿宋" w:eastAsia="仿宋"/>
          <w:b w:val="0"/>
          <w:bCs w:val="0"/>
        </w:rPr>
        <w:t>十一、</w:t>
      </w:r>
      <w:bookmarkEnd w:id="148"/>
      <w:bookmarkEnd w:id="149"/>
      <w:bookmarkEnd w:id="150"/>
      <w:r>
        <w:rPr>
          <w:rStyle w:val="24"/>
          <w:rFonts w:hint="eastAsia" w:ascii="仿宋" w:hAnsi="仿宋" w:eastAsia="仿宋"/>
          <w:b w:val="0"/>
          <w:bCs w:val="0"/>
        </w:rPr>
        <w:t>国有资本经营预算财政拨款</w:t>
      </w:r>
      <w:r>
        <w:rPr>
          <w:rStyle w:val="24"/>
          <w:rFonts w:hint="eastAsia" w:ascii="仿宋" w:hAnsi="仿宋" w:eastAsia="仿宋"/>
          <w:b w:val="0"/>
          <w:bCs w:val="0"/>
          <w:lang w:eastAsia="zh-CN"/>
        </w:rPr>
        <w:t>收入</w:t>
      </w:r>
      <w:r>
        <w:rPr>
          <w:rStyle w:val="24"/>
          <w:rFonts w:hint="eastAsia" w:ascii="仿宋" w:hAnsi="仿宋" w:eastAsia="仿宋"/>
          <w:b w:val="0"/>
          <w:bCs w:val="0"/>
        </w:rPr>
        <w:t>支出决算表</w:t>
      </w:r>
    </w:p>
    <w:p>
      <w:pPr>
        <w:rPr>
          <w:rStyle w:val="24"/>
          <w:rFonts w:hint="eastAsia" w:ascii="仿宋" w:hAnsi="仿宋" w:eastAsia="仿宋"/>
          <w:b w:val="0"/>
          <w:bCs w:val="0"/>
        </w:rPr>
      </w:pPr>
      <w:r>
        <w:rPr>
          <w:rStyle w:val="24"/>
          <w:rFonts w:hint="eastAsia" w:ascii="仿宋" w:hAnsi="仿宋" w:eastAsia="仿宋"/>
          <w:b w:val="0"/>
          <w:bCs w:val="0"/>
        </w:rPr>
        <w:object>
          <v:shape id="_x0000_i1035" o:spt="75" type="#_x0000_t75" style="height:104.7pt;width:415.05pt;" o:ole="t" filled="f" o:preferrelative="t" stroked="f" coordsize="21600,21600">
            <v:path/>
            <v:fill on="f" focussize="0,0"/>
            <v:stroke on="f"/>
            <v:imagedata r:id="rId33" o:title=""/>
            <o:lock v:ext="edit" aspectratio="f"/>
            <w10:wrap type="none"/>
            <w10:anchorlock/>
          </v:shape>
          <o:OLEObject Type="Embed" ProgID="Excel.Sheet.12" ShapeID="_x0000_i1035" DrawAspect="Content" ObjectID="_1468075735" r:id="rId32">
            <o:LockedField>false</o:LockedField>
          </o:OLEObject>
        </w:object>
      </w:r>
    </w:p>
    <w:p>
      <w:pPr>
        <w:ind w:left="0" w:leftChars="0" w:firstLine="0" w:firstLineChars="0"/>
        <w:rPr>
          <w:rStyle w:val="24"/>
          <w:rFonts w:hint="eastAsia" w:ascii="仿宋" w:hAnsi="仿宋" w:eastAsia="仿宋"/>
          <w:b w:val="0"/>
          <w:bCs w:val="0"/>
        </w:rPr>
      </w:pPr>
      <w:r>
        <w:rPr>
          <w:rStyle w:val="24"/>
          <w:rFonts w:hint="eastAsia" w:ascii="仿宋" w:hAnsi="仿宋" w:eastAsia="仿宋"/>
          <w:b w:val="0"/>
          <w:bCs w:val="0"/>
        </w:rPr>
        <w:t>十二、国有资本经营预算财政拨款支出决算表</w:t>
      </w:r>
    </w:p>
    <w:p>
      <w:pPr>
        <w:rPr>
          <w:rStyle w:val="24"/>
          <w:rFonts w:hint="eastAsia" w:ascii="仿宋" w:hAnsi="仿宋" w:eastAsia="仿宋"/>
          <w:b w:val="0"/>
          <w:bCs w:val="0"/>
          <w:lang w:eastAsia="zh-CN"/>
        </w:rPr>
      </w:pPr>
      <w:r>
        <w:rPr>
          <w:rStyle w:val="24"/>
          <w:rFonts w:hint="eastAsia" w:ascii="仿宋" w:hAnsi="仿宋" w:eastAsia="仿宋"/>
          <w:b w:val="0"/>
          <w:bCs w:val="0"/>
          <w:lang w:eastAsia="zh-CN"/>
        </w:rPr>
        <w:object>
          <v:shape id="_x0000_i1036" o:spt="75" type="#_x0000_t75" style="height:204.05pt;width:414.95pt;" o:ole="t" filled="f" o:preferrelative="t" stroked="f" coordsize="21600,21600">
            <v:path/>
            <v:fill on="f" focussize="0,0"/>
            <v:stroke on="f"/>
            <v:imagedata r:id="rId35" o:title=""/>
            <o:lock v:ext="edit" aspectratio="f"/>
            <w10:wrap type="none"/>
            <w10:anchorlock/>
          </v:shape>
          <o:OLEObject Type="Embed" ProgID="Excel.Sheet.12" ShapeID="_x0000_i1036" DrawAspect="Content" ObjectID="_1468075736" r:id="rId34">
            <o:LockedField>false</o:LockedField>
          </o:OLEObject>
        </w:object>
      </w:r>
    </w:p>
    <w:p>
      <w:pPr>
        <w:pStyle w:val="3"/>
        <w:rPr>
          <w:rStyle w:val="24"/>
          <w:rFonts w:hint="eastAsia" w:ascii="仿宋" w:hAnsi="仿宋" w:eastAsia="仿宋"/>
          <w:b w:val="0"/>
          <w:bCs w:val="0"/>
        </w:rPr>
      </w:pPr>
      <w:bookmarkStart w:id="151" w:name="_Toc79163648"/>
      <w:bookmarkStart w:id="152" w:name="_Toc79163898"/>
      <w:bookmarkStart w:id="153" w:name="_Toc15396631"/>
      <w:r>
        <w:rPr>
          <w:rStyle w:val="24"/>
          <w:rFonts w:hint="eastAsia" w:ascii="仿宋" w:hAnsi="仿宋" w:eastAsia="仿宋"/>
          <w:b w:val="0"/>
          <w:bCs w:val="0"/>
        </w:rPr>
        <w:t>十三、</w:t>
      </w:r>
      <w:bookmarkEnd w:id="151"/>
      <w:bookmarkEnd w:id="152"/>
      <w:bookmarkEnd w:id="153"/>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5"/>
      <w:bookmarkEnd w:id="146"/>
      <w:bookmarkEnd w:id="147"/>
    </w:p>
    <w:p>
      <w:pPr>
        <w:rPr>
          <w:rFonts w:hint="eastAsia"/>
        </w:rPr>
      </w:pPr>
      <w:r>
        <w:rPr>
          <w:rFonts w:hint="eastAsia"/>
        </w:rPr>
        <w:object>
          <v:shape id="_x0000_i1037" o:spt="75" type="#_x0000_t75" style="height:116.85pt;width:414.9pt;" o:ole="t" filled="f" o:preferrelative="t" stroked="f" coordsize="21600,21600">
            <v:path/>
            <v:fill on="f" focussize="0,0"/>
            <v:stroke on="f"/>
            <v:imagedata r:id="rId37" o:title=""/>
            <o:lock v:ext="edit" aspectratio="f"/>
            <w10:wrap type="none"/>
            <w10:anchorlock/>
          </v:shape>
          <o:OLEObject Type="Embed" ProgID="Excel.Sheet.12" ShapeID="_x0000_i1037" DrawAspect="Content" ObjectID="_1468075737" r:id="rId36">
            <o:LockedField>false</o:LockedField>
          </o:OLEObject>
        </w:objec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8B0D0DE"/>
    <w:multiLevelType w:val="singleLevel"/>
    <w:tmpl w:val="E8B0D0DE"/>
    <w:lvl w:ilvl="0" w:tentative="0">
      <w:start w:val="3"/>
      <w:numFmt w:val="decimal"/>
      <w:lvlText w:val="%1."/>
      <w:lvlJc w:val="left"/>
      <w:pPr>
        <w:tabs>
          <w:tab w:val="left" w:pos="312"/>
        </w:tabs>
      </w:pPr>
    </w:lvl>
  </w:abstractNum>
  <w:abstractNum w:abstractNumId="3">
    <w:nsid w:val="EBB386A1"/>
    <w:multiLevelType w:val="multilevel"/>
    <w:tmpl w:val="EBB386A1"/>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5890373B"/>
    <w:multiLevelType w:val="multilevel"/>
    <w:tmpl w:val="5890373B"/>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3E97942"/>
    <w:rsid w:val="0A2032A3"/>
    <w:rsid w:val="10C055FF"/>
    <w:rsid w:val="118107EC"/>
    <w:rsid w:val="11F20D65"/>
    <w:rsid w:val="138D013C"/>
    <w:rsid w:val="16BB723D"/>
    <w:rsid w:val="175F3E6B"/>
    <w:rsid w:val="18E45C41"/>
    <w:rsid w:val="1D155CEE"/>
    <w:rsid w:val="21390F98"/>
    <w:rsid w:val="240371BF"/>
    <w:rsid w:val="258E6CAC"/>
    <w:rsid w:val="28975BA8"/>
    <w:rsid w:val="29FD04D3"/>
    <w:rsid w:val="2A716361"/>
    <w:rsid w:val="2D115EA2"/>
    <w:rsid w:val="2D1B0927"/>
    <w:rsid w:val="2E765554"/>
    <w:rsid w:val="30E02C8F"/>
    <w:rsid w:val="319F7F4E"/>
    <w:rsid w:val="32D97DEF"/>
    <w:rsid w:val="36D82AB2"/>
    <w:rsid w:val="3AD80CA6"/>
    <w:rsid w:val="3F51792C"/>
    <w:rsid w:val="3F7A1737"/>
    <w:rsid w:val="41004331"/>
    <w:rsid w:val="439D3F12"/>
    <w:rsid w:val="453D474E"/>
    <w:rsid w:val="456B423B"/>
    <w:rsid w:val="46F605E8"/>
    <w:rsid w:val="471468CD"/>
    <w:rsid w:val="49A86E81"/>
    <w:rsid w:val="4DF22433"/>
    <w:rsid w:val="4ECE2238"/>
    <w:rsid w:val="50BE11A4"/>
    <w:rsid w:val="50D662A1"/>
    <w:rsid w:val="50F82F13"/>
    <w:rsid w:val="54EF3426"/>
    <w:rsid w:val="5A4F17B8"/>
    <w:rsid w:val="5F2E2A66"/>
    <w:rsid w:val="6174627B"/>
    <w:rsid w:val="6603327C"/>
    <w:rsid w:val="67271E8B"/>
    <w:rsid w:val="67BE69EF"/>
    <w:rsid w:val="68C13C5D"/>
    <w:rsid w:val="6A2F6B6B"/>
    <w:rsid w:val="6C4A05C8"/>
    <w:rsid w:val="6CC23B6B"/>
    <w:rsid w:val="72734D90"/>
    <w:rsid w:val="736F6010"/>
    <w:rsid w:val="753C6899"/>
    <w:rsid w:val="762E4D57"/>
    <w:rsid w:val="773278D6"/>
    <w:rsid w:val="77EC13FF"/>
    <w:rsid w:val="7A6960D6"/>
    <w:rsid w:val="7CCA1A92"/>
    <w:rsid w:val="7D00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字符"/>
    <w:basedOn w:val="20"/>
    <w:link w:val="2"/>
    <w:qFormat/>
    <w:locked/>
    <w:uiPriority w:val="9"/>
    <w:rPr>
      <w:rFonts w:ascii="Times New Roman" w:hAnsi="Times New Roman" w:cs="Times New Roman"/>
      <w:b/>
      <w:bCs/>
      <w:kern w:val="44"/>
      <w:sz w:val="44"/>
      <w:szCs w:val="44"/>
    </w:rPr>
  </w:style>
  <w:style w:type="character" w:customStyle="1" w:styleId="24">
    <w:name w:val="标题 2 字符"/>
    <w:basedOn w:val="20"/>
    <w:link w:val="3"/>
    <w:qFormat/>
    <w:locked/>
    <w:uiPriority w:val="9"/>
    <w:rPr>
      <w:rFonts w:ascii="Cambria" w:hAnsi="Cambria" w:eastAsia="宋体" w:cs="Times New Roman"/>
      <w:b/>
      <w:bCs/>
      <w:kern w:val="2"/>
      <w:sz w:val="32"/>
      <w:szCs w:val="32"/>
    </w:rPr>
  </w:style>
  <w:style w:type="character" w:customStyle="1" w:styleId="25">
    <w:name w:val="标题 3 字符"/>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字符"/>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字符"/>
    <w:link w:val="12"/>
    <w:semiHidden/>
    <w:qFormat/>
    <w:locked/>
    <w:uiPriority w:val="99"/>
    <w:rPr>
      <w:sz w:val="18"/>
    </w:rPr>
  </w:style>
  <w:style w:type="character" w:customStyle="1" w:styleId="31">
    <w:name w:val="页脚 字符"/>
    <w:link w:val="11"/>
    <w:qFormat/>
    <w:locked/>
    <w:uiPriority w:val="99"/>
    <w:rPr>
      <w:sz w:val="18"/>
    </w:rPr>
  </w:style>
  <w:style w:type="character" w:customStyle="1" w:styleId="32">
    <w:name w:val="正文文本 字符"/>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19.emf"/><Relationship Id="rId36" Type="http://schemas.openxmlformats.org/officeDocument/2006/relationships/oleObject" Target="embeddings/oleObject13.bin"/><Relationship Id="rId35" Type="http://schemas.openxmlformats.org/officeDocument/2006/relationships/image" Target="media/image18.e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emf"/><Relationship Id="rId28" Type="http://schemas.openxmlformats.org/officeDocument/2006/relationships/oleObject" Target="embeddings/oleObject9.bin"/><Relationship Id="rId27" Type="http://schemas.openxmlformats.org/officeDocument/2006/relationships/image" Target="media/image14.emf"/><Relationship Id="rId26" Type="http://schemas.openxmlformats.org/officeDocument/2006/relationships/oleObject" Target="embeddings/oleObject8.bin"/><Relationship Id="rId25" Type="http://schemas.openxmlformats.org/officeDocument/2006/relationships/image" Target="media/image13.emf"/><Relationship Id="rId24" Type="http://schemas.openxmlformats.org/officeDocument/2006/relationships/oleObject" Target="embeddings/oleObject7.bin"/><Relationship Id="rId23" Type="http://schemas.openxmlformats.org/officeDocument/2006/relationships/image" Target="media/image12.emf"/><Relationship Id="rId22" Type="http://schemas.openxmlformats.org/officeDocument/2006/relationships/oleObject" Target="embeddings/oleObject6.bin"/><Relationship Id="rId21" Type="http://schemas.openxmlformats.org/officeDocument/2006/relationships/image" Target="media/image11.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oleObject" Target="embeddings/oleObject4.bin"/><Relationship Id="rId17" Type="http://schemas.openxmlformats.org/officeDocument/2006/relationships/image" Target="media/image9.emf"/><Relationship Id="rId16" Type="http://schemas.openxmlformats.org/officeDocument/2006/relationships/oleObject" Target="embeddings/oleObject3.bin"/><Relationship Id="rId15" Type="http://schemas.openxmlformats.org/officeDocument/2006/relationships/image" Target="media/image8.emf"/><Relationship Id="rId14" Type="http://schemas.openxmlformats.org/officeDocument/2006/relationships/oleObject" Target="embeddings/oleObject2.bin"/><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1576</Words>
  <Characters>8984</Characters>
  <Lines>74</Lines>
  <Paragraphs>21</Paragraphs>
  <TotalTime>86</TotalTime>
  <ScaleCrop>false</ScaleCrop>
  <LinksUpToDate>false</LinksUpToDate>
  <CharactersWithSpaces>10539</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2023-09-09T01:58:00Z</cp:lastPrinted>
  <dcterms:modified xsi:type="dcterms:W3CDTF">2023-09-10T01:25:34Z</dcterms:modified>
  <dc:title>阿坝州部门决算说明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049227B29D8E48C2AAD3C8C8AEA8F41D_12</vt:lpwstr>
  </property>
</Properties>
</file>