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578E1">
      <w:pPr>
        <w:spacing w:line="600" w:lineRule="exact"/>
        <w:jc w:val="center"/>
        <w:outlineLvl w:val="0"/>
        <w:rPr>
          <w:rFonts w:ascii="方正小标宋简体" w:hAnsi="宋体" w:eastAsia="方正小标宋简体"/>
          <w:color w:val="000000"/>
          <w:sz w:val="72"/>
          <w:szCs w:val="72"/>
        </w:rPr>
      </w:pPr>
      <w:bookmarkStart w:id="0" w:name="_Toc15306267"/>
    </w:p>
    <w:p w14:paraId="327B157F">
      <w:pPr>
        <w:spacing w:line="600" w:lineRule="exact"/>
        <w:jc w:val="center"/>
        <w:outlineLvl w:val="0"/>
        <w:rPr>
          <w:rFonts w:ascii="方正小标宋简体" w:hAnsi="宋体" w:eastAsia="方正小标宋简体"/>
          <w:color w:val="000000"/>
          <w:sz w:val="72"/>
          <w:szCs w:val="72"/>
        </w:rPr>
      </w:pPr>
    </w:p>
    <w:p w14:paraId="374444A8">
      <w:pPr>
        <w:spacing w:line="600" w:lineRule="exact"/>
        <w:jc w:val="center"/>
        <w:outlineLvl w:val="0"/>
        <w:rPr>
          <w:rFonts w:ascii="方正小标宋简体" w:hAnsi="宋体" w:eastAsia="方正小标宋简体"/>
          <w:color w:val="000000"/>
          <w:sz w:val="72"/>
          <w:szCs w:val="72"/>
        </w:rPr>
      </w:pPr>
    </w:p>
    <w:p w14:paraId="45A84ED0">
      <w:pPr>
        <w:spacing w:line="600" w:lineRule="exact"/>
        <w:jc w:val="center"/>
        <w:outlineLvl w:val="0"/>
        <w:rPr>
          <w:rFonts w:ascii="方正小标宋简体" w:hAnsi="宋体" w:eastAsia="方正小标宋简体"/>
          <w:color w:val="000000"/>
          <w:sz w:val="72"/>
          <w:szCs w:val="72"/>
        </w:rPr>
      </w:pPr>
    </w:p>
    <w:p w14:paraId="6156648F">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475"/>
      <w:bookmarkStart w:id="2" w:name="_Toc15377193"/>
      <w:bookmarkStart w:id="3" w:name="_Toc15396597"/>
      <w:bookmarkStart w:id="4" w:name="_Toc15377425"/>
      <w:bookmarkStart w:id="5" w:name="_Toc15378441"/>
      <w:r>
        <w:rPr>
          <w:rFonts w:ascii="黑体" w:hAnsi="黑体" w:eastAsia="黑体"/>
          <w:color w:val="000000"/>
          <w:sz w:val="72"/>
          <w:szCs w:val="72"/>
        </w:rPr>
        <w:t>20</w:t>
      </w:r>
      <w:r>
        <w:rPr>
          <w:rFonts w:hint="eastAsia" w:ascii="黑体" w:hAnsi="黑体" w:eastAsia="黑体"/>
          <w:color w:val="000000"/>
          <w:sz w:val="72"/>
          <w:szCs w:val="72"/>
        </w:rPr>
        <w:t>20</w:t>
      </w:r>
      <w:r>
        <w:rPr>
          <w:rFonts w:hint="eastAsia" w:ascii="方正小标宋简体" w:hAnsi="宋体" w:eastAsia="方正小标宋简体"/>
          <w:color w:val="000000"/>
          <w:sz w:val="72"/>
          <w:szCs w:val="72"/>
        </w:rPr>
        <w:t>年度</w:t>
      </w:r>
      <w:bookmarkEnd w:id="1"/>
      <w:bookmarkEnd w:id="2"/>
      <w:bookmarkEnd w:id="3"/>
      <w:bookmarkEnd w:id="4"/>
      <w:bookmarkEnd w:id="5"/>
    </w:p>
    <w:p w14:paraId="087963B7">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96598"/>
      <w:bookmarkStart w:id="7" w:name="_Toc15377426"/>
      <w:bookmarkStart w:id="8" w:name="_Toc15378442"/>
      <w:bookmarkStart w:id="9" w:name="_Toc15396476"/>
      <w:bookmarkStart w:id="10" w:name="_Toc15377194"/>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松潘县信访局决算</w:t>
      </w:r>
      <w:bookmarkEnd w:id="6"/>
      <w:bookmarkEnd w:id="7"/>
      <w:bookmarkEnd w:id="8"/>
      <w:bookmarkEnd w:id="9"/>
      <w:bookmarkEnd w:id="10"/>
      <w:bookmarkEnd w:id="11"/>
      <w:r>
        <w:rPr>
          <w:rFonts w:hint="eastAsia" w:ascii="方正小标宋简体" w:hAnsi="宋体" w:eastAsia="方正小标宋简体"/>
          <w:color w:val="000000"/>
          <w:sz w:val="72"/>
          <w:szCs w:val="72"/>
        </w:rPr>
        <w:t>编制说明</w:t>
      </w:r>
    </w:p>
    <w:p w14:paraId="78B924F0">
      <w:pPr>
        <w:adjustRightInd w:val="0"/>
        <w:snapToGrid w:val="0"/>
        <w:spacing w:line="360" w:lineRule="auto"/>
        <w:jc w:val="center"/>
        <w:outlineLvl w:val="0"/>
        <w:rPr>
          <w:rFonts w:ascii="方正小标宋简体" w:hAnsi="宋体" w:eastAsia="方正小标宋简体"/>
          <w:color w:val="000000"/>
          <w:sz w:val="52"/>
          <w:szCs w:val="52"/>
        </w:rPr>
      </w:pPr>
    </w:p>
    <w:p w14:paraId="478260F8">
      <w:pPr>
        <w:widowControl/>
        <w:jc w:val="center"/>
        <w:rPr>
          <w:rFonts w:hint="eastAsia" w:ascii="方正小标宋简体" w:hAnsi="宋体" w:eastAsia="方正小标宋简体"/>
          <w:color w:val="000000"/>
          <w:sz w:val="36"/>
          <w:szCs w:val="36"/>
        </w:rPr>
      </w:pPr>
    </w:p>
    <w:p w14:paraId="13B155AD">
      <w:pPr>
        <w:widowControl/>
        <w:jc w:val="center"/>
        <w:rPr>
          <w:rFonts w:hint="eastAsia" w:ascii="方正小标宋简体" w:hAnsi="宋体" w:eastAsia="方正小标宋简体"/>
          <w:color w:val="000000"/>
          <w:sz w:val="36"/>
          <w:szCs w:val="36"/>
        </w:rPr>
      </w:pPr>
    </w:p>
    <w:p w14:paraId="0AE17BA6">
      <w:pPr>
        <w:widowControl/>
        <w:jc w:val="center"/>
        <w:rPr>
          <w:rFonts w:hint="eastAsia" w:ascii="方正小标宋简体" w:hAnsi="宋体" w:eastAsia="方正小标宋简体"/>
          <w:color w:val="000000"/>
          <w:sz w:val="36"/>
          <w:szCs w:val="36"/>
        </w:rPr>
      </w:pPr>
    </w:p>
    <w:p w14:paraId="43EA41FD">
      <w:pPr>
        <w:widowControl/>
        <w:jc w:val="center"/>
        <w:rPr>
          <w:rFonts w:hint="eastAsia" w:ascii="方正小标宋简体" w:hAnsi="宋体" w:eastAsia="方正小标宋简体"/>
          <w:color w:val="000000"/>
          <w:sz w:val="36"/>
          <w:szCs w:val="36"/>
        </w:rPr>
      </w:pPr>
    </w:p>
    <w:p w14:paraId="3DAA625C">
      <w:pPr>
        <w:widowControl/>
        <w:jc w:val="center"/>
        <w:rPr>
          <w:rFonts w:hint="eastAsia" w:ascii="方正小标宋简体" w:hAnsi="宋体" w:eastAsia="方正小标宋简体"/>
          <w:color w:val="000000"/>
          <w:sz w:val="36"/>
          <w:szCs w:val="36"/>
        </w:rPr>
      </w:pPr>
    </w:p>
    <w:p w14:paraId="0CC644F2">
      <w:pPr>
        <w:autoSpaceDE w:val="0"/>
        <w:autoSpaceDN w:val="0"/>
        <w:adjustRightInd w:val="0"/>
        <w:ind w:left="420" w:leftChars="200" w:firstLine="800" w:firstLineChars="250"/>
        <w:jc w:val="left"/>
        <w:rPr>
          <w:rFonts w:ascii="宋体" w:hAnsi="宋体"/>
          <w:sz w:val="32"/>
          <w:szCs w:val="32"/>
        </w:rPr>
      </w:pPr>
      <w:r>
        <w:rPr>
          <w:rFonts w:hint="eastAsia" w:ascii="宋体" w:hAnsi="宋体" w:cs="仿宋_GB2312"/>
          <w:sz w:val="32"/>
          <w:szCs w:val="32"/>
        </w:rPr>
        <w:t>保密审查情况：已审查，内容审定</w:t>
      </w:r>
    </w:p>
    <w:p w14:paraId="7222B1B6">
      <w:pPr>
        <w:autoSpaceDE w:val="0"/>
        <w:autoSpaceDN w:val="0"/>
        <w:adjustRightInd w:val="0"/>
        <w:ind w:left="420" w:leftChars="200" w:firstLine="160" w:firstLineChars="50"/>
        <w:jc w:val="left"/>
        <w:rPr>
          <w:rFonts w:ascii="宋体" w:hAnsi="宋体"/>
          <w:sz w:val="32"/>
          <w:szCs w:val="32"/>
        </w:rPr>
      </w:pPr>
      <w:r>
        <w:rPr>
          <w:rFonts w:hint="eastAsia" w:ascii="宋体" w:hAnsi="宋体" w:cs="仿宋_GB2312"/>
          <w:sz w:val="32"/>
          <w:szCs w:val="32"/>
        </w:rPr>
        <w:t>部门主要负责人审签情况：已审签，同意对外公开</w:t>
      </w:r>
    </w:p>
    <w:p w14:paraId="6E02C8CE">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14:paraId="088529FF">
      <w:pPr>
        <w:widowControl/>
        <w:jc w:val="center"/>
        <w:rPr>
          <w:rFonts w:ascii="黑体" w:hAnsi="黑体" w:eastAsia="黑体" w:cstheme="minorBidi"/>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14:paraId="287FDD48">
      <w:pPr>
        <w:pStyle w:val="12"/>
        <w:jc w:val="both"/>
        <w:rPr>
          <w:rFonts w:cstheme="minorBidi"/>
        </w:rPr>
      </w:pPr>
      <w:r>
        <w:fldChar w:fldCharType="begin"/>
      </w:r>
      <w:r>
        <w:instrText xml:space="preserve"> HYPERLINK \l "_Toc15396599" </w:instrText>
      </w:r>
      <w:r>
        <w:fldChar w:fldCharType="separate"/>
      </w:r>
      <w:r>
        <w:rPr>
          <w:rStyle w:val="19"/>
          <w:rFonts w:hint="eastAsia"/>
        </w:rPr>
        <w:t>第一部分</w:t>
      </w:r>
      <w:r>
        <w:rPr>
          <w:rStyle w:val="19"/>
        </w:rPr>
        <w:t xml:space="preserve"> </w:t>
      </w:r>
      <w:r>
        <w:rPr>
          <w:rStyle w:val="19"/>
          <w:rFonts w:hint="eastAsia"/>
        </w:rPr>
        <w:t>部门概况</w:t>
      </w:r>
      <w:r>
        <w:tab/>
      </w:r>
      <w:r>
        <w:rPr>
          <w:rFonts w:hint="eastAsia"/>
        </w:rPr>
        <w:t>4</w:t>
      </w:r>
      <w:r>
        <w:rPr>
          <w:rFonts w:hint="eastAsia"/>
        </w:rPr>
        <w:fldChar w:fldCharType="end"/>
      </w:r>
    </w:p>
    <w:p w14:paraId="15FBCC8A">
      <w:pPr>
        <w:pStyle w:val="13"/>
        <w:rPr>
          <w:rFonts w:ascii="仿宋" w:hAnsi="仿宋" w:eastAsia="仿宋" w:cstheme="minorBidi"/>
          <w:sz w:val="28"/>
          <w:szCs w:val="28"/>
        </w:rPr>
      </w:pPr>
      <w:r>
        <w:fldChar w:fldCharType="begin"/>
      </w:r>
      <w:r>
        <w:instrText xml:space="preserve"> HYPERLINK \l "_Toc15396600" </w:instrText>
      </w:r>
      <w:r>
        <w:fldChar w:fldCharType="separate"/>
      </w:r>
      <w:r>
        <w:rPr>
          <w:rStyle w:val="19"/>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rPr>
        <w:t>4</w:t>
      </w:r>
      <w:r>
        <w:rPr>
          <w:rFonts w:hint="eastAsia" w:ascii="仿宋" w:hAnsi="仿宋" w:eastAsia="仿宋"/>
          <w:sz w:val="28"/>
          <w:szCs w:val="28"/>
        </w:rPr>
        <w:fldChar w:fldCharType="end"/>
      </w:r>
    </w:p>
    <w:p w14:paraId="30D36F88">
      <w:pPr>
        <w:pStyle w:val="13"/>
        <w:rPr>
          <w:rFonts w:ascii="仿宋" w:hAnsi="仿宋" w:eastAsia="仿宋" w:cstheme="minorBidi"/>
          <w:sz w:val="28"/>
          <w:szCs w:val="28"/>
        </w:rPr>
      </w:pPr>
      <w:r>
        <w:fldChar w:fldCharType="begin"/>
      </w:r>
      <w:r>
        <w:instrText xml:space="preserve"> HYPERLINK \l "_Toc15396601" </w:instrText>
      </w:r>
      <w:r>
        <w:fldChar w:fldCharType="separate"/>
      </w:r>
      <w:r>
        <w:rPr>
          <w:rStyle w:val="19"/>
          <w:rFonts w:hint="eastAsia" w:ascii="仿宋" w:hAnsi="仿宋" w:eastAsia="仿宋"/>
          <w:sz w:val="28"/>
          <w:szCs w:val="28"/>
        </w:rPr>
        <w:t>二、机构设置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_Toc15396601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14:paraId="65640246">
      <w:pPr>
        <w:pStyle w:val="12"/>
      </w:pPr>
      <w:r>
        <w:fldChar w:fldCharType="begin"/>
      </w:r>
      <w:r>
        <w:instrText xml:space="preserve"> HYPERLINK \l "_Toc15396602" </w:instrText>
      </w:r>
      <w:r>
        <w:fldChar w:fldCharType="separate"/>
      </w:r>
      <w:r>
        <w:rPr>
          <w:rStyle w:val="19"/>
          <w:rFonts w:hint="eastAsia"/>
        </w:rPr>
        <w:t>第二部分</w:t>
      </w:r>
      <w:r>
        <w:rPr>
          <w:rStyle w:val="19"/>
        </w:rPr>
        <w:t xml:space="preserve"> 20</w:t>
      </w:r>
      <w:r>
        <w:rPr>
          <w:rStyle w:val="19"/>
          <w:rFonts w:hint="eastAsia"/>
        </w:rPr>
        <w:t>20年度部门决算情况说明</w:t>
      </w:r>
      <w:r>
        <w:tab/>
      </w:r>
      <w:r>
        <w:fldChar w:fldCharType="begin"/>
      </w:r>
      <w:r>
        <w:instrText xml:space="preserve"> PAGEREF _Toc15396602 \h </w:instrText>
      </w:r>
      <w:r>
        <w:fldChar w:fldCharType="separate"/>
      </w:r>
      <w:r>
        <w:t>10</w:t>
      </w:r>
      <w:r>
        <w:fldChar w:fldCharType="end"/>
      </w:r>
      <w:r>
        <w:fldChar w:fldCharType="end"/>
      </w:r>
    </w:p>
    <w:p w14:paraId="229D0AC0">
      <w:pPr>
        <w:pStyle w:val="13"/>
        <w:rPr>
          <w:rFonts w:ascii="仿宋" w:hAnsi="仿宋" w:eastAsia="仿宋" w:cstheme="minorBidi"/>
          <w:sz w:val="28"/>
          <w:szCs w:val="28"/>
        </w:rPr>
      </w:pPr>
      <w:r>
        <w:fldChar w:fldCharType="begin"/>
      </w:r>
      <w:r>
        <w:instrText xml:space="preserve"> HYPERLINK \l "_Toc15396603" </w:instrText>
      </w:r>
      <w:r>
        <w:fldChar w:fldCharType="separate"/>
      </w:r>
      <w:r>
        <w:rPr>
          <w:rStyle w:val="19"/>
          <w:rFonts w:hint="eastAsia" w:ascii="仿宋" w:hAnsi="仿宋" w:eastAsia="仿宋" w:cstheme="majorBidi"/>
          <w:bCs/>
          <w:sz w:val="28"/>
          <w:szCs w:val="28"/>
        </w:rPr>
        <w:t>一、</w:t>
      </w:r>
      <w:r>
        <w:rPr>
          <w:rStyle w:val="19"/>
          <w:rFonts w:hint="eastAsia" w:ascii="仿宋" w:hAnsi="仿宋" w:eastAsia="仿宋"/>
          <w:sz w:val="28"/>
          <w:szCs w:val="28"/>
        </w:rPr>
        <w:t>收</w:t>
      </w:r>
      <w:r>
        <w:rPr>
          <w:rStyle w:val="19"/>
          <w:rFonts w:hint="eastAsia" w:ascii="仿宋" w:hAnsi="仿宋" w:eastAsia="仿宋" w:cstheme="majorBidi"/>
          <w:bCs/>
          <w:sz w:val="28"/>
          <w:szCs w:val="28"/>
        </w:rPr>
        <w:t>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_Toc15396603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14:paraId="3782375C">
      <w:pPr>
        <w:pStyle w:val="13"/>
        <w:rPr>
          <w:rFonts w:ascii="仿宋" w:hAnsi="仿宋" w:eastAsia="仿宋" w:cstheme="minorBidi"/>
          <w:sz w:val="28"/>
          <w:szCs w:val="28"/>
        </w:rPr>
      </w:pPr>
      <w:r>
        <w:fldChar w:fldCharType="begin"/>
      </w:r>
      <w:r>
        <w:instrText xml:space="preserve"> HYPERLINK \l "_Toc15396604" </w:instrText>
      </w:r>
      <w:r>
        <w:fldChar w:fldCharType="separate"/>
      </w:r>
      <w:r>
        <w:rPr>
          <w:rStyle w:val="19"/>
          <w:rFonts w:hint="eastAsia" w:ascii="仿宋" w:hAnsi="仿宋" w:eastAsia="仿宋" w:cstheme="majorBidi"/>
          <w:bCs/>
          <w:sz w:val="28"/>
          <w:szCs w:val="28"/>
        </w:rPr>
        <w:t>二、</w:t>
      </w:r>
      <w:r>
        <w:rPr>
          <w:rStyle w:val="19"/>
          <w:rFonts w:hint="eastAsia" w:ascii="仿宋" w:hAnsi="仿宋" w:eastAsia="仿宋"/>
          <w:sz w:val="28"/>
          <w:szCs w:val="28"/>
        </w:rPr>
        <w:t>收</w:t>
      </w:r>
      <w:r>
        <w:rPr>
          <w:rStyle w:val="19"/>
          <w:rFonts w:hint="eastAsia" w:ascii="仿宋" w:hAnsi="仿宋" w:eastAsia="仿宋" w:cstheme="majorBidi"/>
          <w:bCs/>
          <w:sz w:val="28"/>
          <w:szCs w:val="28"/>
        </w:rPr>
        <w:t>入决算情况说明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_Toc15396604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14:paraId="6F139D28">
      <w:pPr>
        <w:pStyle w:val="13"/>
        <w:rPr>
          <w:rFonts w:ascii="仿宋" w:hAnsi="仿宋" w:eastAsia="仿宋" w:cstheme="minorBidi"/>
          <w:sz w:val="28"/>
          <w:szCs w:val="28"/>
        </w:rPr>
      </w:pPr>
      <w:r>
        <w:fldChar w:fldCharType="begin"/>
      </w:r>
      <w:r>
        <w:instrText xml:space="preserve"> HYPERLINK \l "_Toc15396605" </w:instrText>
      </w:r>
      <w:r>
        <w:fldChar w:fldCharType="separate"/>
      </w:r>
      <w:r>
        <w:rPr>
          <w:rStyle w:val="19"/>
          <w:rFonts w:hint="eastAsia" w:ascii="仿宋" w:hAnsi="仿宋" w:eastAsia="仿宋" w:cstheme="majorBidi"/>
          <w:bCs/>
          <w:sz w:val="28"/>
          <w:szCs w:val="28"/>
        </w:rPr>
        <w:t>三、</w:t>
      </w:r>
      <w:r>
        <w:rPr>
          <w:rStyle w:val="19"/>
          <w:rFonts w:hint="eastAsia" w:ascii="仿宋" w:hAnsi="仿宋" w:eastAsia="仿宋"/>
          <w:sz w:val="28"/>
          <w:szCs w:val="28"/>
        </w:rPr>
        <w:t>支</w:t>
      </w:r>
      <w:r>
        <w:rPr>
          <w:rStyle w:val="19"/>
          <w:rFonts w:hint="eastAsia" w:ascii="仿宋" w:hAnsi="仿宋" w:eastAsia="仿宋" w:cstheme="majorBidi"/>
          <w:bCs/>
          <w:sz w:val="28"/>
          <w:szCs w:val="28"/>
        </w:rPr>
        <w:t>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_Toc15396605 \h </w:instrText>
      </w:r>
      <w:r>
        <w:rPr>
          <w:rFonts w:ascii="仿宋" w:hAnsi="仿宋" w:eastAsia="仿宋"/>
          <w:sz w:val="28"/>
          <w:szCs w:val="28"/>
        </w:rPr>
        <w:fldChar w:fldCharType="separate"/>
      </w:r>
      <w:r>
        <w:rPr>
          <w:rFonts w:ascii="仿宋" w:hAnsi="仿宋" w:eastAsia="仿宋"/>
          <w:sz w:val="28"/>
          <w:szCs w:val="28"/>
        </w:rPr>
        <w:t>11</w:t>
      </w:r>
      <w:r>
        <w:rPr>
          <w:rFonts w:ascii="仿宋" w:hAnsi="仿宋" w:eastAsia="仿宋"/>
          <w:sz w:val="28"/>
          <w:szCs w:val="28"/>
        </w:rPr>
        <w:fldChar w:fldCharType="end"/>
      </w:r>
      <w:r>
        <w:rPr>
          <w:rFonts w:ascii="仿宋" w:hAnsi="仿宋" w:eastAsia="仿宋"/>
          <w:sz w:val="28"/>
          <w:szCs w:val="28"/>
        </w:rPr>
        <w:fldChar w:fldCharType="end"/>
      </w:r>
    </w:p>
    <w:p w14:paraId="582FB5DA">
      <w:pPr>
        <w:pStyle w:val="13"/>
        <w:rPr>
          <w:rFonts w:ascii="仿宋" w:hAnsi="仿宋" w:eastAsia="仿宋" w:cstheme="minorBidi"/>
          <w:sz w:val="28"/>
          <w:szCs w:val="28"/>
        </w:rPr>
      </w:pPr>
      <w:r>
        <w:fldChar w:fldCharType="begin"/>
      </w:r>
      <w:r>
        <w:instrText xml:space="preserve"> HYPERLINK \l "_Toc15396606" </w:instrText>
      </w:r>
      <w:r>
        <w:fldChar w:fldCharType="separate"/>
      </w:r>
      <w:r>
        <w:rPr>
          <w:rStyle w:val="19"/>
          <w:rFonts w:hint="eastAsia" w:ascii="仿宋" w:hAnsi="仿宋" w:eastAsia="仿宋"/>
          <w:sz w:val="28"/>
          <w:szCs w:val="28"/>
        </w:rPr>
        <w:t>四、财</w:t>
      </w:r>
      <w:r>
        <w:rPr>
          <w:rStyle w:val="19"/>
          <w:rFonts w:hint="eastAsia" w:ascii="仿宋" w:hAnsi="仿宋" w:eastAsia="仿宋" w:cstheme="majorBidi"/>
          <w:bCs/>
          <w:sz w:val="28"/>
          <w:szCs w:val="28"/>
        </w:rPr>
        <w:t>政拨款收入支出决算总体情况说明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_Toc15396606 \h </w:instrText>
      </w:r>
      <w:r>
        <w:rPr>
          <w:rFonts w:ascii="仿宋" w:hAnsi="仿宋" w:eastAsia="仿宋"/>
          <w:sz w:val="28"/>
          <w:szCs w:val="28"/>
        </w:rPr>
        <w:fldChar w:fldCharType="separate"/>
      </w:r>
      <w:r>
        <w:rPr>
          <w:rFonts w:ascii="仿宋" w:hAnsi="仿宋" w:eastAsia="仿宋"/>
          <w:sz w:val="28"/>
          <w:szCs w:val="28"/>
        </w:rPr>
        <w:t>11</w:t>
      </w:r>
      <w:r>
        <w:rPr>
          <w:rFonts w:ascii="仿宋" w:hAnsi="仿宋" w:eastAsia="仿宋"/>
          <w:sz w:val="28"/>
          <w:szCs w:val="28"/>
        </w:rPr>
        <w:fldChar w:fldCharType="end"/>
      </w:r>
      <w:r>
        <w:rPr>
          <w:rFonts w:ascii="仿宋" w:hAnsi="仿宋" w:eastAsia="仿宋"/>
          <w:sz w:val="28"/>
          <w:szCs w:val="28"/>
        </w:rPr>
        <w:fldChar w:fldCharType="end"/>
      </w:r>
    </w:p>
    <w:p w14:paraId="029AB66E">
      <w:pPr>
        <w:pStyle w:val="13"/>
        <w:rPr>
          <w:rFonts w:ascii="仿宋" w:hAnsi="仿宋" w:eastAsia="仿宋" w:cstheme="minorBidi"/>
          <w:sz w:val="28"/>
          <w:szCs w:val="28"/>
        </w:rPr>
      </w:pPr>
      <w:r>
        <w:fldChar w:fldCharType="begin"/>
      </w:r>
      <w:r>
        <w:instrText xml:space="preserve"> HYPERLINK \l "_Toc15396607" </w:instrText>
      </w:r>
      <w:r>
        <w:fldChar w:fldCharType="separate"/>
      </w:r>
      <w:r>
        <w:rPr>
          <w:rStyle w:val="19"/>
          <w:rFonts w:hint="eastAsia" w:ascii="仿宋" w:hAnsi="仿宋" w:eastAsia="仿宋"/>
          <w:sz w:val="28"/>
          <w:szCs w:val="28"/>
        </w:rPr>
        <w:t>五、一</w:t>
      </w:r>
      <w:r>
        <w:rPr>
          <w:rStyle w:val="19"/>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_Toc15396607 \h </w:instrText>
      </w:r>
      <w:r>
        <w:rPr>
          <w:rFonts w:ascii="仿宋" w:hAnsi="仿宋" w:eastAsia="仿宋"/>
          <w:sz w:val="28"/>
          <w:szCs w:val="28"/>
        </w:rPr>
        <w:fldChar w:fldCharType="separate"/>
      </w:r>
      <w:r>
        <w:rPr>
          <w:rFonts w:ascii="仿宋" w:hAnsi="仿宋" w:eastAsia="仿宋"/>
          <w:sz w:val="28"/>
          <w:szCs w:val="28"/>
        </w:rPr>
        <w:t>11</w:t>
      </w:r>
      <w:r>
        <w:rPr>
          <w:rFonts w:ascii="仿宋" w:hAnsi="仿宋" w:eastAsia="仿宋"/>
          <w:sz w:val="28"/>
          <w:szCs w:val="28"/>
        </w:rPr>
        <w:fldChar w:fldCharType="end"/>
      </w:r>
      <w:r>
        <w:rPr>
          <w:rFonts w:ascii="仿宋" w:hAnsi="仿宋" w:eastAsia="仿宋"/>
          <w:sz w:val="28"/>
          <w:szCs w:val="28"/>
        </w:rPr>
        <w:fldChar w:fldCharType="end"/>
      </w:r>
    </w:p>
    <w:p w14:paraId="53360309">
      <w:pPr>
        <w:pStyle w:val="13"/>
        <w:rPr>
          <w:rFonts w:ascii="仿宋" w:hAnsi="仿宋" w:eastAsia="仿宋" w:cstheme="minorBidi"/>
          <w:sz w:val="28"/>
          <w:szCs w:val="28"/>
        </w:rPr>
      </w:pPr>
      <w:r>
        <w:fldChar w:fldCharType="begin"/>
      </w:r>
      <w:r>
        <w:instrText xml:space="preserve"> HYPERLINK \l "_Toc15396608" </w:instrText>
      </w:r>
      <w:r>
        <w:fldChar w:fldCharType="separate"/>
      </w:r>
      <w:r>
        <w:rPr>
          <w:rStyle w:val="19"/>
          <w:rFonts w:hint="eastAsia" w:ascii="仿宋" w:hAnsi="仿宋" w:eastAsia="仿宋"/>
          <w:sz w:val="28"/>
          <w:szCs w:val="28"/>
        </w:rPr>
        <w:t>六、一</w:t>
      </w:r>
      <w:r>
        <w:rPr>
          <w:rStyle w:val="19"/>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_Toc15396608 \h </w:instrText>
      </w:r>
      <w:r>
        <w:rPr>
          <w:rFonts w:ascii="仿宋" w:hAnsi="仿宋" w:eastAsia="仿宋"/>
          <w:sz w:val="28"/>
          <w:szCs w:val="28"/>
        </w:rPr>
        <w:fldChar w:fldCharType="separate"/>
      </w:r>
      <w:r>
        <w:rPr>
          <w:rFonts w:ascii="仿宋" w:hAnsi="仿宋" w:eastAsia="仿宋"/>
          <w:sz w:val="28"/>
          <w:szCs w:val="28"/>
        </w:rPr>
        <w:t>12</w:t>
      </w:r>
      <w:r>
        <w:rPr>
          <w:rFonts w:ascii="仿宋" w:hAnsi="仿宋" w:eastAsia="仿宋"/>
          <w:sz w:val="28"/>
          <w:szCs w:val="28"/>
        </w:rPr>
        <w:fldChar w:fldCharType="end"/>
      </w:r>
      <w:r>
        <w:rPr>
          <w:rFonts w:ascii="仿宋" w:hAnsi="仿宋" w:eastAsia="仿宋"/>
          <w:sz w:val="28"/>
          <w:szCs w:val="28"/>
        </w:rPr>
        <w:fldChar w:fldCharType="end"/>
      </w:r>
    </w:p>
    <w:p w14:paraId="592088DB">
      <w:pPr>
        <w:pStyle w:val="13"/>
        <w:rPr>
          <w:rFonts w:ascii="仿宋" w:hAnsi="仿宋" w:eastAsia="仿宋" w:cstheme="minorBidi"/>
          <w:sz w:val="28"/>
          <w:szCs w:val="28"/>
        </w:rPr>
      </w:pPr>
      <w:r>
        <w:fldChar w:fldCharType="begin"/>
      </w:r>
      <w:r>
        <w:instrText xml:space="preserve"> HYPERLINK \l "_Toc15396609" </w:instrText>
      </w:r>
      <w:r>
        <w:fldChar w:fldCharType="separate"/>
      </w:r>
      <w:r>
        <w:rPr>
          <w:rStyle w:val="19"/>
          <w:rFonts w:hint="eastAsia" w:ascii="仿宋" w:hAnsi="仿宋" w:eastAsia="仿宋"/>
          <w:sz w:val="28"/>
          <w:szCs w:val="28"/>
        </w:rPr>
        <w:t>七、</w:t>
      </w:r>
      <w:r>
        <w:rPr>
          <w:rStyle w:val="19"/>
          <w:rFonts w:ascii="仿宋" w:hAnsi="仿宋" w:eastAsia="仿宋"/>
          <w:sz w:val="28"/>
          <w:szCs w:val="28"/>
        </w:rPr>
        <w:t>“</w:t>
      </w:r>
      <w:r>
        <w:rPr>
          <w:rStyle w:val="19"/>
          <w:rFonts w:hint="eastAsia" w:ascii="仿宋" w:hAnsi="仿宋" w:eastAsia="仿宋" w:cstheme="majorBidi"/>
          <w:bCs/>
          <w:sz w:val="28"/>
          <w:szCs w:val="28"/>
        </w:rPr>
        <w:t>三公”经费财政拨款支出决算情况说明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_Toc15396609 \h </w:instrText>
      </w:r>
      <w:r>
        <w:rPr>
          <w:rFonts w:ascii="仿宋" w:hAnsi="仿宋" w:eastAsia="仿宋"/>
          <w:sz w:val="28"/>
          <w:szCs w:val="28"/>
        </w:rPr>
        <w:fldChar w:fldCharType="separate"/>
      </w:r>
      <w:r>
        <w:rPr>
          <w:rFonts w:ascii="仿宋" w:hAnsi="仿宋" w:eastAsia="仿宋"/>
          <w:sz w:val="28"/>
          <w:szCs w:val="28"/>
        </w:rPr>
        <w:t>13</w:t>
      </w:r>
      <w:r>
        <w:rPr>
          <w:rFonts w:ascii="仿宋" w:hAnsi="仿宋" w:eastAsia="仿宋"/>
          <w:sz w:val="28"/>
          <w:szCs w:val="28"/>
        </w:rPr>
        <w:fldChar w:fldCharType="end"/>
      </w:r>
      <w:r>
        <w:rPr>
          <w:rFonts w:ascii="仿宋" w:hAnsi="仿宋" w:eastAsia="仿宋"/>
          <w:sz w:val="28"/>
          <w:szCs w:val="28"/>
        </w:rPr>
        <w:fldChar w:fldCharType="end"/>
      </w:r>
    </w:p>
    <w:p w14:paraId="4C6C20B9">
      <w:pPr>
        <w:pStyle w:val="13"/>
        <w:rPr>
          <w:rFonts w:ascii="仿宋" w:hAnsi="仿宋" w:eastAsia="仿宋" w:cstheme="minorBidi"/>
          <w:sz w:val="28"/>
          <w:szCs w:val="28"/>
        </w:rPr>
      </w:pPr>
      <w:r>
        <w:fldChar w:fldCharType="begin"/>
      </w:r>
      <w:r>
        <w:instrText xml:space="preserve"> HYPERLINK \l "_Toc15396610" </w:instrText>
      </w:r>
      <w:r>
        <w:fldChar w:fldCharType="separate"/>
      </w:r>
      <w:r>
        <w:rPr>
          <w:rStyle w:val="19"/>
          <w:rFonts w:hint="eastAsia" w:ascii="仿宋" w:hAnsi="仿宋" w:eastAsia="仿宋"/>
          <w:sz w:val="28"/>
          <w:szCs w:val="28"/>
        </w:rPr>
        <w:t>八、</w:t>
      </w:r>
      <w:r>
        <w:rPr>
          <w:rStyle w:val="19"/>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_Toc15396610 \h </w:instrText>
      </w:r>
      <w:r>
        <w:rPr>
          <w:rFonts w:ascii="仿宋" w:hAnsi="仿宋" w:eastAsia="仿宋"/>
          <w:sz w:val="28"/>
          <w:szCs w:val="28"/>
        </w:rPr>
        <w:fldChar w:fldCharType="separate"/>
      </w:r>
      <w:r>
        <w:rPr>
          <w:rFonts w:ascii="仿宋" w:hAnsi="仿宋" w:eastAsia="仿宋"/>
          <w:sz w:val="28"/>
          <w:szCs w:val="28"/>
        </w:rPr>
        <w:t>14</w:t>
      </w:r>
      <w:r>
        <w:rPr>
          <w:rFonts w:ascii="仿宋" w:hAnsi="仿宋" w:eastAsia="仿宋"/>
          <w:sz w:val="28"/>
          <w:szCs w:val="28"/>
        </w:rPr>
        <w:fldChar w:fldCharType="end"/>
      </w:r>
      <w:r>
        <w:rPr>
          <w:rFonts w:ascii="仿宋" w:hAnsi="仿宋" w:eastAsia="仿宋"/>
          <w:sz w:val="28"/>
          <w:szCs w:val="28"/>
        </w:rPr>
        <w:fldChar w:fldCharType="end"/>
      </w:r>
    </w:p>
    <w:p w14:paraId="483EA82C">
      <w:pPr>
        <w:pStyle w:val="13"/>
        <w:rPr>
          <w:rFonts w:ascii="仿宋" w:hAnsi="仿宋" w:eastAsia="仿宋" w:cstheme="minorBidi"/>
          <w:sz w:val="28"/>
          <w:szCs w:val="28"/>
        </w:rPr>
      </w:pPr>
      <w:r>
        <w:fldChar w:fldCharType="begin"/>
      </w:r>
      <w:r>
        <w:instrText xml:space="preserve"> HYPERLINK \l "_Toc15396611" </w:instrText>
      </w:r>
      <w:r>
        <w:fldChar w:fldCharType="separate"/>
      </w:r>
      <w:r>
        <w:rPr>
          <w:rStyle w:val="19"/>
          <w:rFonts w:hint="eastAsia" w:ascii="仿宋" w:hAnsi="仿宋" w:eastAsia="仿宋" w:cstheme="majorBidi"/>
          <w:bCs/>
          <w:sz w:val="28"/>
          <w:szCs w:val="28"/>
        </w:rPr>
        <w:t>九、</w:t>
      </w:r>
      <w:r>
        <w:rPr>
          <w:rStyle w:val="19"/>
          <w:rFonts w:hint="eastAsia" w:ascii="仿宋" w:hAnsi="仿宋" w:eastAsia="仿宋"/>
          <w:sz w:val="28"/>
          <w:szCs w:val="28"/>
        </w:rPr>
        <w:t xml:space="preserve"> 国</w:t>
      </w:r>
      <w:r>
        <w:rPr>
          <w:rStyle w:val="19"/>
          <w:rFonts w:hint="eastAsia" w:ascii="仿宋" w:hAnsi="仿宋" w:eastAsia="仿宋" w:cstheme="majorBidi"/>
          <w:bCs/>
          <w:sz w:val="28"/>
          <w:szCs w:val="28"/>
        </w:rPr>
        <w:t>有资本经营预算支出决算情况说明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14</w:t>
      </w:r>
      <w:r>
        <w:rPr>
          <w:rFonts w:ascii="仿宋" w:hAnsi="仿宋" w:eastAsia="仿宋"/>
          <w:sz w:val="28"/>
          <w:szCs w:val="28"/>
        </w:rPr>
        <w:fldChar w:fldCharType="end"/>
      </w:r>
      <w:r>
        <w:rPr>
          <w:rFonts w:ascii="仿宋" w:hAnsi="仿宋" w:eastAsia="仿宋"/>
          <w:sz w:val="28"/>
          <w:szCs w:val="28"/>
        </w:rPr>
        <w:fldChar w:fldCharType="end"/>
      </w:r>
    </w:p>
    <w:p w14:paraId="4A7A1DDE">
      <w:pPr>
        <w:pStyle w:val="13"/>
        <w:rPr>
          <w:rFonts w:ascii="仿宋" w:hAnsi="仿宋" w:eastAsia="仿宋" w:cstheme="minorBidi"/>
          <w:sz w:val="28"/>
          <w:szCs w:val="28"/>
        </w:rPr>
      </w:pPr>
      <w:r>
        <w:fldChar w:fldCharType="begin"/>
      </w:r>
      <w:r>
        <w:instrText xml:space="preserve"> HYPERLINK \l "_Toc15396612" </w:instrText>
      </w:r>
      <w:r>
        <w:fldChar w:fldCharType="separate"/>
      </w:r>
      <w:r>
        <w:rPr>
          <w:rStyle w:val="19"/>
          <w:rFonts w:hint="eastAsia" w:ascii="仿宋" w:hAnsi="仿宋" w:eastAsia="仿宋"/>
          <w:sz w:val="28"/>
          <w:szCs w:val="28"/>
        </w:rPr>
        <w:t>十</w:t>
      </w:r>
      <w:r>
        <w:rPr>
          <w:rStyle w:val="19"/>
          <w:rFonts w:hint="eastAsia" w:ascii="仿宋" w:hAnsi="仿宋" w:eastAsia="仿宋" w:cstheme="majorBidi"/>
          <w:bCs/>
          <w:sz w:val="28"/>
          <w:szCs w:val="28"/>
        </w:rPr>
        <w:t>一、其他重要事项的情况说明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_Toc15396612 \h </w:instrText>
      </w:r>
      <w:r>
        <w:rPr>
          <w:rFonts w:ascii="仿宋" w:hAnsi="仿宋" w:eastAsia="仿宋"/>
          <w:sz w:val="28"/>
          <w:szCs w:val="28"/>
        </w:rPr>
        <w:fldChar w:fldCharType="separate"/>
      </w:r>
      <w:r>
        <w:rPr>
          <w:rFonts w:ascii="仿宋" w:hAnsi="仿宋" w:eastAsia="仿宋"/>
          <w:sz w:val="28"/>
          <w:szCs w:val="28"/>
        </w:rPr>
        <w:t>15</w:t>
      </w:r>
      <w:r>
        <w:rPr>
          <w:rFonts w:ascii="仿宋" w:hAnsi="仿宋" w:eastAsia="仿宋"/>
          <w:sz w:val="28"/>
          <w:szCs w:val="28"/>
        </w:rPr>
        <w:fldChar w:fldCharType="end"/>
      </w:r>
      <w:r>
        <w:rPr>
          <w:rFonts w:ascii="仿宋" w:hAnsi="仿宋" w:eastAsia="仿宋"/>
          <w:sz w:val="28"/>
          <w:szCs w:val="28"/>
        </w:rPr>
        <w:fldChar w:fldCharType="end"/>
      </w:r>
    </w:p>
    <w:p w14:paraId="19C53880">
      <w:pPr>
        <w:pStyle w:val="12"/>
        <w:rPr>
          <w:rFonts w:cstheme="minorBidi"/>
        </w:rPr>
      </w:pPr>
      <w:r>
        <w:fldChar w:fldCharType="begin"/>
      </w:r>
      <w:r>
        <w:instrText xml:space="preserve"> HYPERLINK \l "_Toc15396613" </w:instrText>
      </w:r>
      <w:r>
        <w:fldChar w:fldCharType="separate"/>
      </w:r>
      <w:r>
        <w:rPr>
          <w:rStyle w:val="19"/>
          <w:rFonts w:hint="eastAsia"/>
          <w:bCs/>
          <w:kern w:val="44"/>
        </w:rPr>
        <w:t>第三部分</w:t>
      </w:r>
      <w:r>
        <w:rPr>
          <w:rStyle w:val="19"/>
          <w:rFonts w:hint="eastAsia"/>
        </w:rPr>
        <w:t xml:space="preserve"> 名</w:t>
      </w:r>
      <w:r>
        <w:rPr>
          <w:rStyle w:val="19"/>
          <w:rFonts w:hint="eastAsia"/>
          <w:bCs/>
          <w:kern w:val="44"/>
        </w:rPr>
        <w:t>词解释</w:t>
      </w:r>
      <w:r>
        <w:tab/>
      </w:r>
      <w:r>
        <w:fldChar w:fldCharType="begin"/>
      </w:r>
      <w:r>
        <w:instrText xml:space="preserve"> PAGEREF _Toc15396613 \h </w:instrText>
      </w:r>
      <w:r>
        <w:fldChar w:fldCharType="separate"/>
      </w:r>
      <w:r>
        <w:t>16</w:t>
      </w:r>
      <w:r>
        <w:fldChar w:fldCharType="end"/>
      </w:r>
      <w:r>
        <w:fldChar w:fldCharType="end"/>
      </w:r>
    </w:p>
    <w:p w14:paraId="3106ED0A">
      <w:pPr>
        <w:pStyle w:val="12"/>
        <w:rPr>
          <w:rFonts w:cstheme="minorBidi"/>
        </w:rPr>
      </w:pPr>
      <w:r>
        <w:fldChar w:fldCharType="begin"/>
      </w:r>
      <w:r>
        <w:instrText xml:space="preserve"> HYPERLINK \l "_Toc15396614" </w:instrText>
      </w:r>
      <w:r>
        <w:fldChar w:fldCharType="separate"/>
      </w:r>
      <w:r>
        <w:rPr>
          <w:rStyle w:val="19"/>
          <w:rFonts w:hint="eastAsia"/>
        </w:rPr>
        <w:t>第</w:t>
      </w:r>
      <w:r>
        <w:rPr>
          <w:rStyle w:val="19"/>
          <w:rFonts w:hint="eastAsia"/>
          <w:bCs/>
          <w:kern w:val="44"/>
        </w:rPr>
        <w:t>四部分</w:t>
      </w:r>
      <w:r>
        <w:rPr>
          <w:rStyle w:val="19"/>
          <w:bCs/>
          <w:kern w:val="44"/>
        </w:rPr>
        <w:t xml:space="preserve"> </w:t>
      </w:r>
      <w:r>
        <w:rPr>
          <w:rStyle w:val="19"/>
          <w:rFonts w:hint="eastAsia"/>
          <w:bCs/>
          <w:kern w:val="44"/>
        </w:rPr>
        <w:t>附件</w:t>
      </w:r>
      <w:r>
        <w:tab/>
      </w:r>
      <w:r>
        <w:fldChar w:fldCharType="begin"/>
      </w:r>
      <w:r>
        <w:instrText xml:space="preserve"> PAGEREF _Toc15396614 \h </w:instrText>
      </w:r>
      <w:r>
        <w:fldChar w:fldCharType="separate"/>
      </w:r>
      <w:r>
        <w:t>18</w:t>
      </w:r>
      <w:r>
        <w:fldChar w:fldCharType="end"/>
      </w:r>
      <w:r>
        <w:fldChar w:fldCharType="end"/>
      </w:r>
    </w:p>
    <w:p w14:paraId="3C51E5A6">
      <w:pPr>
        <w:pStyle w:val="13"/>
        <w:rPr>
          <w:rFonts w:ascii="仿宋" w:hAnsi="仿宋" w:eastAsia="仿宋" w:cstheme="minorBidi"/>
          <w:sz w:val="28"/>
          <w:szCs w:val="28"/>
        </w:rPr>
      </w:pPr>
      <w:r>
        <w:fldChar w:fldCharType="begin"/>
      </w:r>
      <w:r>
        <w:instrText xml:space="preserve"> HYPERLINK \l "_Toc15396615" </w:instrText>
      </w:r>
      <w:r>
        <w:fldChar w:fldCharType="separate"/>
      </w:r>
      <w:r>
        <w:rPr>
          <w:rStyle w:val="19"/>
          <w:rFonts w:hint="eastAsia" w:ascii="仿宋" w:hAnsi="仿宋" w:eastAsia="仿宋"/>
          <w:kern w:val="44"/>
          <w:sz w:val="28"/>
          <w:szCs w:val="28"/>
        </w:rPr>
        <w:t>附件</w:t>
      </w:r>
      <w:r>
        <w:rPr>
          <w:rStyle w:val="19"/>
          <w:rFonts w:ascii="仿宋" w:hAnsi="仿宋" w:eastAsia="仿宋"/>
          <w:kern w:val="44"/>
          <w:sz w:val="28"/>
          <w:szCs w:val="28"/>
        </w:rPr>
        <w:t>1</w:t>
      </w:r>
      <w:r>
        <w:rPr>
          <w:rFonts w:ascii="仿宋" w:hAnsi="仿宋" w:eastAsia="仿宋"/>
          <w:sz w:val="28"/>
          <w:szCs w:val="28"/>
        </w:rPr>
        <w:tab/>
      </w:r>
      <w:r>
        <w:rPr>
          <w:rFonts w:hint="eastAsia" w:ascii="仿宋" w:hAnsi="仿宋" w:eastAsia="仿宋"/>
          <w:sz w:val="28"/>
          <w:szCs w:val="28"/>
        </w:rPr>
        <w:t>1</w:t>
      </w:r>
      <w:r>
        <w:rPr>
          <w:rFonts w:hint="eastAsia" w:ascii="仿宋" w:hAnsi="仿宋" w:eastAsia="仿宋"/>
          <w:sz w:val="28"/>
          <w:szCs w:val="28"/>
        </w:rPr>
        <w:fldChar w:fldCharType="end"/>
      </w:r>
      <w:r>
        <w:rPr>
          <w:rFonts w:hint="eastAsia" w:ascii="仿宋" w:hAnsi="仿宋" w:eastAsia="仿宋"/>
          <w:sz w:val="28"/>
          <w:szCs w:val="28"/>
        </w:rPr>
        <w:t>8</w:t>
      </w:r>
    </w:p>
    <w:p w14:paraId="0A00228D">
      <w:pPr>
        <w:pStyle w:val="13"/>
        <w:rPr>
          <w:rFonts w:ascii="仿宋" w:hAnsi="仿宋" w:eastAsia="仿宋" w:cstheme="minorBidi"/>
          <w:sz w:val="28"/>
          <w:szCs w:val="28"/>
        </w:rPr>
      </w:pPr>
      <w:r>
        <w:fldChar w:fldCharType="begin"/>
      </w:r>
      <w:r>
        <w:instrText xml:space="preserve"> HYPERLINK \l "_Toc15396617" </w:instrText>
      </w:r>
      <w:r>
        <w:fldChar w:fldCharType="separate"/>
      </w:r>
      <w:r>
        <w:rPr>
          <w:rStyle w:val="19"/>
          <w:rFonts w:hint="eastAsia" w:ascii="仿宋" w:hAnsi="仿宋" w:eastAsia="仿宋"/>
          <w:kern w:val="44"/>
          <w:sz w:val="28"/>
          <w:szCs w:val="28"/>
        </w:rPr>
        <w:t>附件</w:t>
      </w:r>
      <w:r>
        <w:rPr>
          <w:rStyle w:val="19"/>
          <w:rFonts w:ascii="仿宋" w:hAnsi="仿宋" w:eastAsia="仿宋"/>
          <w:kern w:val="44"/>
          <w:sz w:val="28"/>
          <w:szCs w:val="28"/>
        </w:rPr>
        <w:t>2</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rPr>
        <w:fldChar w:fldCharType="end"/>
      </w:r>
      <w:r>
        <w:rPr>
          <w:rFonts w:hint="eastAsia" w:ascii="仿宋" w:hAnsi="仿宋" w:eastAsia="仿宋"/>
          <w:sz w:val="28"/>
          <w:szCs w:val="28"/>
        </w:rPr>
        <w:t>2</w:t>
      </w:r>
    </w:p>
    <w:p w14:paraId="3C6837A1">
      <w:pPr>
        <w:pStyle w:val="12"/>
        <w:rPr>
          <w:rFonts w:cstheme="minorBidi"/>
        </w:rPr>
      </w:pPr>
      <w:r>
        <w:fldChar w:fldCharType="begin"/>
      </w:r>
      <w:r>
        <w:instrText xml:space="preserve"> HYPERLINK \l "_Toc15396618" </w:instrText>
      </w:r>
      <w:r>
        <w:fldChar w:fldCharType="separate"/>
      </w:r>
      <w:r>
        <w:rPr>
          <w:rStyle w:val="19"/>
          <w:rFonts w:hint="eastAsia"/>
        </w:rPr>
        <w:t>第</w:t>
      </w:r>
      <w:r>
        <w:rPr>
          <w:rStyle w:val="19"/>
          <w:rFonts w:hint="eastAsia"/>
          <w:bCs/>
          <w:kern w:val="44"/>
        </w:rPr>
        <w:t>五部分</w:t>
      </w:r>
      <w:r>
        <w:rPr>
          <w:rStyle w:val="19"/>
          <w:bCs/>
          <w:kern w:val="44"/>
        </w:rPr>
        <w:t xml:space="preserve"> </w:t>
      </w:r>
      <w:r>
        <w:rPr>
          <w:rStyle w:val="19"/>
          <w:rFonts w:hint="eastAsia"/>
          <w:bCs/>
          <w:kern w:val="44"/>
        </w:rPr>
        <w:t>附表</w:t>
      </w:r>
      <w:r>
        <w:tab/>
      </w:r>
      <w:r>
        <w:fldChar w:fldCharType="begin"/>
      </w:r>
      <w:r>
        <w:instrText xml:space="preserve"> PAGEREF _Toc15396618 \h </w:instrText>
      </w:r>
      <w:r>
        <w:fldChar w:fldCharType="separate"/>
      </w:r>
      <w:r>
        <w:t>25</w:t>
      </w:r>
      <w:r>
        <w:fldChar w:fldCharType="end"/>
      </w:r>
      <w:r>
        <w:fldChar w:fldCharType="end"/>
      </w:r>
    </w:p>
    <w:p w14:paraId="2EAA46A4">
      <w:pPr>
        <w:pStyle w:val="13"/>
        <w:rPr>
          <w:rFonts w:ascii="仿宋" w:hAnsi="仿宋" w:eastAsia="仿宋" w:cstheme="minorBidi"/>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9"/>
          <w:rFonts w:hint="eastAsia" w:ascii="仿宋" w:hAnsi="仿宋" w:eastAsia="仿宋"/>
          <w:sz w:val="28"/>
          <w:szCs w:val="28"/>
        </w:rPr>
        <w:t>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_Toc15396619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14:paraId="43F727D1">
      <w:pPr>
        <w:pStyle w:val="13"/>
        <w:rPr>
          <w:rFonts w:ascii="仿宋" w:hAnsi="仿宋" w:eastAsia="仿宋" w:cstheme="minorBidi"/>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9"/>
          <w:rFonts w:hint="eastAsia" w:ascii="仿宋" w:hAnsi="仿宋" w:eastAsia="仿宋"/>
          <w:sz w:val="28"/>
          <w:szCs w:val="28"/>
        </w:rPr>
        <w:t>收入总表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_Toc15396620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14:paraId="0386931F">
      <w:pPr>
        <w:pStyle w:val="13"/>
        <w:rPr>
          <w:rFonts w:ascii="仿宋" w:hAnsi="仿宋" w:eastAsia="仿宋" w:cstheme="minorBidi"/>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9"/>
          <w:rFonts w:hint="eastAsia" w:ascii="仿宋" w:hAnsi="仿宋" w:eastAsia="仿宋"/>
          <w:sz w:val="28"/>
          <w:szCs w:val="28"/>
        </w:rPr>
        <w:t>支出总表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_Toc15396621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14:paraId="0FCAF5EF">
      <w:pPr>
        <w:pStyle w:val="13"/>
        <w:rPr>
          <w:rFonts w:ascii="仿宋" w:hAnsi="仿宋" w:eastAsia="仿宋" w:cstheme="minorBidi"/>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9"/>
          <w:rFonts w:hint="eastAsia" w:ascii="仿宋" w:hAnsi="仿宋" w:eastAsia="仿宋"/>
          <w:sz w:val="28"/>
          <w:szCs w:val="28"/>
        </w:rPr>
        <w:t>财政拨款收入支出决算总表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_Toc15396622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14:paraId="20F3EFA1">
      <w:pPr>
        <w:pStyle w:val="13"/>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_Toc15396623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14:paraId="2FCD3265">
      <w:pPr>
        <w:pStyle w:val="13"/>
        <w:rPr>
          <w:rFonts w:ascii="仿宋" w:hAnsi="仿宋" w:eastAsia="仿宋" w:cstheme="minorBidi"/>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9"/>
          <w:rFonts w:hint="eastAsia" w:ascii="仿宋" w:hAnsi="仿宋" w:eastAsia="仿宋"/>
          <w:sz w:val="28"/>
          <w:szCs w:val="28"/>
        </w:rPr>
        <w:t>一般公共预算财政拨款支出决算表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_Toc15396624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14:paraId="77204E34">
      <w:pPr>
        <w:pStyle w:val="13"/>
        <w:rPr>
          <w:rFonts w:ascii="仿宋" w:hAnsi="仿宋" w:eastAsia="仿宋" w:cstheme="minorBidi"/>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9"/>
          <w:rFonts w:hint="eastAsia" w:ascii="仿宋" w:hAnsi="仿宋" w:eastAsia="仿宋"/>
          <w:sz w:val="28"/>
          <w:szCs w:val="28"/>
        </w:rPr>
        <w:t>一般公共预算财政拨款支出决算明细表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_Toc15396625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14:paraId="35F60578">
      <w:pPr>
        <w:pStyle w:val="13"/>
        <w:rPr>
          <w:rFonts w:ascii="仿宋" w:hAnsi="仿宋" w:eastAsia="仿宋" w:cstheme="minorBidi"/>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9"/>
          <w:rFonts w:hint="eastAsia" w:ascii="仿宋" w:hAnsi="仿宋" w:eastAsia="仿宋"/>
          <w:sz w:val="28"/>
          <w:szCs w:val="28"/>
        </w:rPr>
        <w:t>一般公共预算财政拨款基本支出决算表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_Toc15396626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14:paraId="646013BB">
      <w:pPr>
        <w:pStyle w:val="13"/>
        <w:rPr>
          <w:rFonts w:ascii="仿宋" w:hAnsi="仿宋" w:eastAsia="仿宋" w:cstheme="minorBidi"/>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9"/>
          <w:rFonts w:hint="eastAsia" w:ascii="仿宋" w:hAnsi="仿宋" w:eastAsia="仿宋"/>
          <w:sz w:val="28"/>
          <w:szCs w:val="28"/>
        </w:rPr>
        <w:t>一般公共预算财政拨款项目支出决算表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_Toc15396627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14:paraId="4385D1C2">
      <w:pPr>
        <w:pStyle w:val="13"/>
        <w:rPr>
          <w:rFonts w:ascii="仿宋" w:hAnsi="仿宋" w:eastAsia="仿宋" w:cstheme="minorBidi"/>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9"/>
          <w:rFonts w:hint="eastAsia" w:ascii="仿宋" w:hAnsi="仿宋" w:eastAsia="仿宋"/>
          <w:sz w:val="28"/>
          <w:szCs w:val="28"/>
        </w:rPr>
        <w:t>一般公共预算财政拨款“三公”经费支出决算表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_Toc15396628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14:paraId="54F80259">
      <w:pPr>
        <w:pStyle w:val="13"/>
        <w:rPr>
          <w:rFonts w:ascii="仿宋" w:hAnsi="仿宋" w:eastAsia="仿宋" w:cstheme="minorBidi"/>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9"/>
          <w:rFonts w:hint="eastAsia" w:ascii="仿宋" w:hAnsi="仿宋" w:eastAsia="仿宋"/>
          <w:sz w:val="28"/>
          <w:szCs w:val="28"/>
        </w:rPr>
        <w:t>政府性基金预算财政拨款收入支出决算表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_Toc15396629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14:paraId="7F43BA2B">
      <w:pPr>
        <w:pStyle w:val="13"/>
        <w:rPr>
          <w:rFonts w:ascii="仿宋" w:hAnsi="仿宋" w:eastAsia="仿宋" w:cstheme="minorBidi"/>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9"/>
          <w:rFonts w:hint="eastAsia" w:ascii="仿宋" w:hAnsi="仿宋" w:eastAsia="仿宋"/>
          <w:sz w:val="28"/>
          <w:szCs w:val="28"/>
        </w:rPr>
        <w:t>政府性基金预算财政拨款“三公”经费支出决算表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_Toc15396630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14:paraId="1DE9B0A4">
      <w:pPr>
        <w:pStyle w:val="13"/>
        <w:rPr>
          <w:rFonts w:ascii="仿宋" w:hAnsi="仿宋" w:eastAsia="仿宋" w:cstheme="minorBidi"/>
          <w:sz w:val="24"/>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9"/>
          <w:rFonts w:hint="eastAsia" w:ascii="仿宋" w:hAnsi="仿宋" w:eastAsia="仿宋"/>
          <w:sz w:val="28"/>
          <w:szCs w:val="28"/>
        </w:rPr>
        <w:t>国有资本经营预算支出决算表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_Toc15396631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14:paraId="37DC1FDA">
      <w:pPr>
        <w:widowControl/>
        <w:jc w:val="left"/>
        <w:rPr>
          <w:rFonts w:ascii="仿宋" w:hAnsi="仿宋" w:eastAsia="仿宋"/>
          <w:color w:val="000000"/>
          <w:sz w:val="24"/>
        </w:rPr>
      </w:pPr>
      <w:r>
        <w:rPr>
          <w:rFonts w:ascii="仿宋" w:hAnsi="仿宋" w:eastAsia="仿宋"/>
          <w:color w:val="000000"/>
          <w:sz w:val="24"/>
        </w:rPr>
        <w:fldChar w:fldCharType="end"/>
      </w:r>
    </w:p>
    <w:p w14:paraId="4A09D610">
      <w:pPr>
        <w:widowControl/>
        <w:jc w:val="left"/>
        <w:rPr>
          <w:rFonts w:ascii="黑体" w:hAnsi="黑体" w:eastAsia="黑体"/>
          <w:bCs/>
          <w:kern w:val="44"/>
          <w:sz w:val="44"/>
          <w:szCs w:val="44"/>
        </w:rPr>
      </w:pPr>
      <w:bookmarkStart w:id="12" w:name="_Toc15377196"/>
      <w:bookmarkStart w:id="13" w:name="_Toc15396599"/>
      <w:r>
        <w:rPr>
          <w:rFonts w:ascii="黑体" w:hAnsi="黑体" w:eastAsia="黑体"/>
          <w:b/>
        </w:rPr>
        <w:br w:type="page"/>
      </w:r>
    </w:p>
    <w:p w14:paraId="6C374C33">
      <w:pPr>
        <w:pStyle w:val="3"/>
        <w:spacing w:line="576" w:lineRule="exact"/>
        <w:jc w:val="center"/>
        <w:rPr>
          <w:rStyle w:val="28"/>
          <w:rFonts w:ascii="黑体" w:hAnsi="黑体" w:eastAsia="黑体"/>
          <w:b/>
          <w:bCs w:val="0"/>
        </w:rPr>
      </w:pPr>
      <w:r>
        <w:rPr>
          <w:rFonts w:hint="eastAsia" w:ascii="黑体" w:hAnsi="黑体" w:eastAsia="黑体"/>
          <w:b w:val="0"/>
        </w:rPr>
        <w:t xml:space="preserve">第一部分 </w:t>
      </w:r>
      <w:r>
        <w:rPr>
          <w:rStyle w:val="28"/>
          <w:rFonts w:hint="eastAsia" w:ascii="黑体" w:hAnsi="黑体" w:eastAsia="黑体"/>
          <w:b w:val="0"/>
          <w:bCs w:val="0"/>
        </w:rPr>
        <w:t>部门概况</w:t>
      </w:r>
      <w:bookmarkEnd w:id="12"/>
      <w:bookmarkEnd w:id="13"/>
    </w:p>
    <w:p w14:paraId="2E8A05A6">
      <w:pPr>
        <w:widowControl/>
        <w:spacing w:line="576" w:lineRule="exact"/>
        <w:jc w:val="left"/>
        <w:rPr>
          <w:rFonts w:ascii="黑体" w:eastAsia="黑体"/>
          <w:color w:val="000000"/>
          <w:sz w:val="32"/>
          <w:szCs w:val="32"/>
        </w:rPr>
      </w:pPr>
    </w:p>
    <w:p w14:paraId="24210287">
      <w:pPr>
        <w:pStyle w:val="4"/>
        <w:spacing w:line="576" w:lineRule="exact"/>
        <w:rPr>
          <w:rStyle w:val="29"/>
          <w:rFonts w:ascii="黑体" w:hAnsi="黑体" w:eastAsia="黑体"/>
          <w:b w:val="0"/>
          <w:bCs w:val="0"/>
        </w:rPr>
      </w:pPr>
      <w:bookmarkStart w:id="14" w:name="_Toc15396600"/>
      <w:bookmarkStart w:id="15" w:name="_Toc15377197"/>
      <w:r>
        <w:rPr>
          <w:rFonts w:hint="eastAsia" w:ascii="黑体" w:hAnsi="黑体" w:eastAsia="黑体"/>
          <w:b w:val="0"/>
          <w:color w:val="000000"/>
        </w:rPr>
        <w:t>一、基</w:t>
      </w:r>
      <w:r>
        <w:rPr>
          <w:rStyle w:val="29"/>
          <w:rFonts w:hint="eastAsia" w:ascii="黑体" w:hAnsi="黑体" w:eastAsia="黑体"/>
          <w:b w:val="0"/>
          <w:bCs w:val="0"/>
        </w:rPr>
        <w:t>本职能及主要工作</w:t>
      </w:r>
      <w:bookmarkEnd w:id="14"/>
      <w:bookmarkEnd w:id="15"/>
      <w:bookmarkStart w:id="16" w:name="_Toc15377198"/>
      <w:bookmarkStart w:id="17" w:name="_Toc15378445"/>
    </w:p>
    <w:p w14:paraId="1348E6EF">
      <w:pPr>
        <w:pStyle w:val="4"/>
        <w:spacing w:line="576" w:lineRule="exact"/>
        <w:rPr>
          <w:rFonts w:ascii="仿宋" w:hAnsi="仿宋" w:eastAsia="仿宋"/>
          <w:b w:val="0"/>
          <w:bCs w:val="0"/>
        </w:rPr>
      </w:pPr>
      <w:r>
        <w:rPr>
          <w:rFonts w:hint="eastAsia" w:ascii="楷体_GB2312" w:hAnsi="楷体_GB2312" w:eastAsia="楷体_GB2312" w:cs="楷体_GB2312"/>
          <w:color w:val="000000"/>
        </w:rPr>
        <w:t>（一）主要职能。</w:t>
      </w:r>
    </w:p>
    <w:p w14:paraId="298446C6">
      <w:pPr>
        <w:snapToGrid w:val="0"/>
        <w:spacing w:line="576" w:lineRule="exact"/>
        <w:ind w:firstLine="643" w:firstLineChars="200"/>
        <w:rPr>
          <w:rFonts w:ascii="仿宋_GB2312" w:hAnsi="宋体" w:eastAsia="仿宋_GB2312"/>
          <w:color w:val="000000"/>
          <w:sz w:val="32"/>
          <w:szCs w:val="32"/>
        </w:rPr>
      </w:pPr>
      <w:r>
        <w:rPr>
          <w:rFonts w:hint="eastAsia" w:ascii="仿宋_GB2312" w:hAnsi="仿宋_GB2312" w:eastAsia="仿宋_GB2312" w:cs="仿宋_GB2312"/>
          <w:b/>
          <w:bCs/>
          <w:color w:val="000000"/>
          <w:sz w:val="32"/>
          <w:szCs w:val="32"/>
        </w:rPr>
        <w:t>第一条</w:t>
      </w:r>
      <w:r>
        <w:rPr>
          <w:rFonts w:hint="eastAsia" w:ascii="黑体" w:hAnsi="宋体" w:eastAsia="黑体"/>
          <w:color w:val="000000"/>
          <w:sz w:val="32"/>
          <w:szCs w:val="32"/>
        </w:rPr>
        <w:t xml:space="preserve"> </w:t>
      </w:r>
      <w:r>
        <w:rPr>
          <w:rFonts w:hint="eastAsia" w:ascii="仿宋_GB2312" w:hAnsi="宋体" w:eastAsia="仿宋_GB2312"/>
          <w:color w:val="000000"/>
          <w:sz w:val="32"/>
          <w:szCs w:val="32"/>
        </w:rPr>
        <w:t>根据中共松潘县委机构编制委员会印发《关于&lt;松潘县机构改革方案&gt;的实施意见的通知》（松机改办〔2019〕4号），制定本规定。</w:t>
      </w:r>
    </w:p>
    <w:p w14:paraId="4FE4AAFB">
      <w:pPr>
        <w:snapToGrid w:val="0"/>
        <w:spacing w:line="576" w:lineRule="exact"/>
        <w:ind w:firstLine="643" w:firstLineChars="200"/>
        <w:rPr>
          <w:rFonts w:ascii="仿宋_GB2312" w:hAnsi="宋体" w:eastAsia="仿宋_GB2312"/>
          <w:color w:val="000000"/>
          <w:sz w:val="32"/>
          <w:szCs w:val="32"/>
          <w:u w:val="single"/>
        </w:rPr>
      </w:pPr>
      <w:r>
        <w:rPr>
          <w:rFonts w:hint="eastAsia" w:ascii="仿宋_GB2312" w:hAnsi="仿宋_GB2312" w:eastAsia="仿宋_GB2312" w:cs="仿宋_GB2312"/>
          <w:b/>
          <w:bCs/>
          <w:color w:val="000000"/>
          <w:sz w:val="32"/>
          <w:szCs w:val="32"/>
        </w:rPr>
        <w:t>第二条</w:t>
      </w:r>
      <w:r>
        <w:rPr>
          <w:rFonts w:hint="eastAsia" w:ascii="黑体" w:hAnsi="宋体" w:eastAsia="黑体"/>
          <w:color w:val="000000"/>
          <w:sz w:val="32"/>
          <w:szCs w:val="32"/>
        </w:rPr>
        <w:t xml:space="preserve">  </w:t>
      </w:r>
      <w:r>
        <w:rPr>
          <w:rFonts w:hint="eastAsia" w:ascii="仿宋_GB2312" w:hAnsi="宋体" w:eastAsia="仿宋_GB2312"/>
          <w:color w:val="000000"/>
          <w:sz w:val="32"/>
          <w:szCs w:val="32"/>
        </w:rPr>
        <w:t>松潘县信访局（简称县信访局）是松潘县政府工作部门，为正科级。</w:t>
      </w:r>
    </w:p>
    <w:p w14:paraId="1B0B70F6">
      <w:pPr>
        <w:spacing w:line="576" w:lineRule="exact"/>
        <w:ind w:firstLine="639" w:firstLineChars="199"/>
        <w:rPr>
          <w:rFonts w:ascii="仿宋_GB2312" w:hAnsi="宋体" w:eastAsia="仿宋_GB2312"/>
          <w:color w:val="000000"/>
          <w:sz w:val="32"/>
          <w:szCs w:val="32"/>
        </w:rPr>
      </w:pPr>
      <w:r>
        <w:rPr>
          <w:rFonts w:hint="eastAsia" w:ascii="仿宋_GB2312" w:hAnsi="仿宋_GB2312" w:eastAsia="仿宋_GB2312" w:cs="仿宋_GB2312"/>
          <w:b/>
          <w:bCs/>
          <w:color w:val="000000"/>
          <w:sz w:val="32"/>
          <w:szCs w:val="32"/>
        </w:rPr>
        <w:t>第三条</w:t>
      </w:r>
      <w:r>
        <w:rPr>
          <w:rFonts w:hint="eastAsia" w:ascii="黑体" w:hAnsi="宋体" w:eastAsia="黑体"/>
          <w:color w:val="000000"/>
          <w:sz w:val="32"/>
          <w:szCs w:val="32"/>
        </w:rPr>
        <w:t xml:space="preserve"> </w:t>
      </w:r>
      <w:r>
        <w:rPr>
          <w:rFonts w:hint="eastAsia" w:ascii="仿宋_GB2312" w:hAnsi="宋体" w:eastAsia="仿宋_GB2312"/>
          <w:color w:val="000000"/>
          <w:sz w:val="32"/>
          <w:szCs w:val="32"/>
        </w:rPr>
        <w:t>坚持和加强党的全面领导，根据《中国共产党党组工作条例（试行）》，县信访局党组主要工作职责是：</w:t>
      </w:r>
    </w:p>
    <w:p w14:paraId="163102CE">
      <w:pPr>
        <w:spacing w:line="576" w:lineRule="exact"/>
        <w:ind w:firstLine="636" w:firstLineChars="199"/>
        <w:rPr>
          <w:rFonts w:ascii="仿宋_GB2312" w:hAnsi="宋体" w:eastAsia="仿宋_GB2312"/>
          <w:color w:val="000000"/>
          <w:sz w:val="32"/>
          <w:szCs w:val="32"/>
        </w:rPr>
      </w:pPr>
      <w:r>
        <w:rPr>
          <w:rFonts w:hint="eastAsia" w:ascii="仿宋_GB2312" w:hAnsi="宋体" w:eastAsia="仿宋_GB2312"/>
          <w:color w:val="000000"/>
          <w:sz w:val="32"/>
          <w:szCs w:val="32"/>
        </w:rPr>
        <w:t>（一）履行政治领导责任，做好理论武装和思想政治工作，负责学习、宣传、贯彻执行党的理论和路线方针政策，贯彻落实党中央、省委、州委和县委的决策部署，发挥好把方向、管大局、保落实的重要作用。</w:t>
      </w:r>
    </w:p>
    <w:p w14:paraId="15A27CCA">
      <w:pPr>
        <w:spacing w:line="576" w:lineRule="exact"/>
        <w:ind w:firstLine="636" w:firstLineChars="199"/>
        <w:rPr>
          <w:rFonts w:ascii="仿宋_GB2312" w:hAnsi="宋体" w:eastAsia="仿宋_GB2312"/>
          <w:color w:val="000000"/>
          <w:sz w:val="32"/>
          <w:szCs w:val="32"/>
        </w:rPr>
      </w:pPr>
      <w:r>
        <w:rPr>
          <w:rFonts w:hint="eastAsia" w:ascii="仿宋_GB2312" w:hAnsi="宋体" w:eastAsia="仿宋_GB2312"/>
          <w:color w:val="000000"/>
          <w:sz w:val="32"/>
          <w:szCs w:val="32"/>
        </w:rPr>
        <w:t>（二）讨论和决定本单位下列重大问题。党的路线方针政策、国家法律法规和上级党组织重要会议、重要文件、重大决策部署的贯彻落实事项；需要向上级党组织请示报告的重要事项；内部机构设置、职责、人员编制等事项；重大决策、重要人事任免、重大项目安排、大额资金使用等事项；基层党组织和党员队伍建设方面的重要事项；意识形态工作、思想政治工作和精神文明建设方面的重要事项；党风廉政建设和反腐败工作方面的重要事项；其他应当由党委讨论和决定的重大问题。</w:t>
      </w:r>
    </w:p>
    <w:p w14:paraId="7688381B">
      <w:pPr>
        <w:spacing w:line="576" w:lineRule="exact"/>
        <w:ind w:firstLine="636" w:firstLineChars="199"/>
        <w:rPr>
          <w:rFonts w:ascii="仿宋_GB2312" w:hAnsi="宋体" w:eastAsia="仿宋_GB2312"/>
          <w:color w:val="000000"/>
          <w:sz w:val="32"/>
          <w:szCs w:val="32"/>
        </w:rPr>
      </w:pPr>
      <w:r>
        <w:rPr>
          <w:rFonts w:hint="eastAsia" w:ascii="仿宋_GB2312" w:hAnsi="宋体" w:eastAsia="仿宋_GB2312"/>
          <w:color w:val="000000"/>
          <w:sz w:val="32"/>
          <w:szCs w:val="32"/>
        </w:rPr>
        <w:t>（三）贯彻党管干部原则，加强干部队伍建设，完善干部培养选拔机制，加强干部教育管理监督；贯彻党管人才原则，加强人才队伍建设；加强对本单位统战工作和工会、共青团、妇联等群团工作的领导。</w:t>
      </w:r>
    </w:p>
    <w:p w14:paraId="4EE39C2C">
      <w:pPr>
        <w:spacing w:line="576" w:lineRule="exact"/>
        <w:ind w:firstLine="636" w:firstLineChars="199"/>
        <w:rPr>
          <w:rFonts w:ascii="黑体" w:hAnsi="宋体" w:eastAsia="黑体"/>
          <w:color w:val="000000"/>
          <w:sz w:val="32"/>
          <w:szCs w:val="32"/>
        </w:rPr>
      </w:pPr>
      <w:r>
        <w:rPr>
          <w:rFonts w:hint="eastAsia" w:ascii="仿宋_GB2312" w:hAnsi="宋体" w:eastAsia="仿宋_GB2312"/>
          <w:color w:val="000000"/>
          <w:sz w:val="32"/>
          <w:szCs w:val="32"/>
        </w:rPr>
        <w:t>（四）履行党要管党、从严治党责任，加强对本单位党的建设的领导，落实党建工作责任制。认真履行党风廉政建设主体责任，支持纪检监察机构履行监督责任。</w:t>
      </w:r>
    </w:p>
    <w:p w14:paraId="7FC5EC43">
      <w:pPr>
        <w:spacing w:line="576" w:lineRule="exact"/>
        <w:ind w:firstLine="639" w:firstLineChars="199"/>
        <w:rPr>
          <w:rFonts w:ascii="仿宋_GB2312" w:eastAsia="仿宋_GB2312"/>
          <w:color w:val="000000"/>
          <w:sz w:val="32"/>
          <w:szCs w:val="32"/>
        </w:rPr>
      </w:pPr>
      <w:r>
        <w:rPr>
          <w:rFonts w:hint="eastAsia" w:ascii="仿宋_GB2312" w:hAnsi="仿宋_GB2312" w:eastAsia="仿宋_GB2312" w:cs="仿宋_GB2312"/>
          <w:b/>
          <w:bCs/>
          <w:color w:val="000000"/>
          <w:sz w:val="32"/>
          <w:szCs w:val="32"/>
        </w:rPr>
        <w:t xml:space="preserve"> 第四条</w:t>
      </w:r>
      <w:r>
        <w:rPr>
          <w:rFonts w:hint="eastAsia" w:ascii="黑体" w:hAnsi="宋体" w:eastAsia="黑体"/>
          <w:color w:val="000000"/>
          <w:sz w:val="32"/>
          <w:szCs w:val="32"/>
        </w:rPr>
        <w:t xml:space="preserve">  </w:t>
      </w:r>
      <w:r>
        <w:rPr>
          <w:rFonts w:hint="eastAsia" w:ascii="仿宋_GB2312" w:hAnsi="宋体" w:eastAsia="仿宋_GB2312"/>
          <w:color w:val="000000"/>
          <w:sz w:val="32"/>
          <w:szCs w:val="32"/>
        </w:rPr>
        <w:t>主要职责：</w:t>
      </w:r>
    </w:p>
    <w:p w14:paraId="0DB7675B">
      <w:pPr>
        <w:widowControl/>
        <w:spacing w:line="576" w:lineRule="exact"/>
        <w:ind w:firstLine="640" w:firstLineChars="200"/>
        <w:jc w:val="left"/>
        <w:rPr>
          <w:rFonts w:ascii="仿宋_GB2312" w:eastAsia="仿宋_GB2312" w:cs="宋体"/>
          <w:color w:val="000000"/>
          <w:kern w:val="0"/>
          <w:sz w:val="32"/>
          <w:szCs w:val="32"/>
        </w:rPr>
      </w:pPr>
      <w:r>
        <w:rPr>
          <w:rFonts w:hint="eastAsia" w:ascii="仿宋_GB2312" w:hAnsi="宋体" w:eastAsia="仿宋_GB2312" w:cs="宋体"/>
          <w:color w:val="000000"/>
          <w:kern w:val="0"/>
          <w:sz w:val="32"/>
          <w:szCs w:val="32"/>
        </w:rPr>
        <w:t>（一）起草有关信访工作的地方性法规、规章草案和政策规定；制定信访问题排查化解、风险评估等制度并组织实施，提出改进和加强信访工作的意见和建议。负责本部门依法行政工作。</w:t>
      </w:r>
      <w:r>
        <w:rPr>
          <w:rFonts w:hint="eastAsia" w:ascii="仿宋_GB2312" w:eastAsia="仿宋_GB2312"/>
          <w:color w:val="000000"/>
          <w:kern w:val="0"/>
          <w:sz w:val="32"/>
          <w:szCs w:val="32"/>
        </w:rPr>
        <w:br w:type="textWrapping"/>
      </w:r>
      <w:r>
        <w:rPr>
          <w:rFonts w:hint="eastAsia" w:ascii="仿宋_GB2312" w:eastAsia="仿宋_GB2312"/>
          <w:color w:val="000000"/>
          <w:kern w:val="0"/>
          <w:sz w:val="32"/>
          <w:szCs w:val="32"/>
        </w:rPr>
        <w:t xml:space="preserve">   </w:t>
      </w:r>
      <w:r>
        <w:rPr>
          <w:rFonts w:hint="eastAsia" w:ascii="仿宋_GB2312" w:hAnsi="宋体" w:eastAsia="仿宋_GB2312" w:cs="宋体"/>
          <w:color w:val="000000"/>
          <w:kern w:val="0"/>
          <w:sz w:val="32"/>
          <w:szCs w:val="32"/>
        </w:rPr>
        <w:t>（二）负责向县委、县政府反映来信来电来访中提出的重要建议、意见和问题，综合研判信访信息，开展调查研究，提出相关建议。</w:t>
      </w:r>
      <w:r>
        <w:rPr>
          <w:rFonts w:hint="eastAsia" w:ascii="仿宋_GB2312" w:eastAsia="仿宋_GB2312"/>
          <w:color w:val="000000"/>
          <w:kern w:val="0"/>
          <w:sz w:val="32"/>
          <w:szCs w:val="32"/>
        </w:rPr>
        <w:br w:type="textWrapping"/>
      </w:r>
      <w:r>
        <w:rPr>
          <w:rFonts w:hint="eastAsia" w:ascii="仿宋_GB2312" w:eastAsia="仿宋_GB2312"/>
          <w:color w:val="000000"/>
          <w:kern w:val="0"/>
          <w:sz w:val="32"/>
          <w:szCs w:val="32"/>
        </w:rPr>
        <w:t xml:space="preserve">   </w:t>
      </w:r>
      <w:r>
        <w:rPr>
          <w:rFonts w:hint="eastAsia" w:ascii="仿宋_GB2312" w:hAnsi="宋体" w:eastAsia="仿宋_GB2312" w:cs="宋体"/>
          <w:color w:val="000000"/>
          <w:kern w:val="0"/>
          <w:sz w:val="32"/>
          <w:szCs w:val="32"/>
        </w:rPr>
        <w:t>（三）综合协调指导全县信访工作，推动建立健全信访工作的协调配合机制。督促检查县直各部门（单位）和各乡镇信访工作，总结推广信访工作先进经验，协调信访工作宣传和信息发布。</w:t>
      </w:r>
      <w:r>
        <w:rPr>
          <w:rFonts w:hint="eastAsia" w:ascii="仿宋_GB2312" w:eastAsia="仿宋_GB2312"/>
          <w:color w:val="000000"/>
          <w:kern w:val="0"/>
          <w:sz w:val="32"/>
          <w:szCs w:val="32"/>
        </w:rPr>
        <w:br w:type="textWrapping"/>
      </w:r>
      <w:r>
        <w:rPr>
          <w:rFonts w:hint="eastAsia" w:ascii="仿宋_GB2312" w:eastAsia="仿宋_GB2312"/>
          <w:color w:val="000000"/>
          <w:kern w:val="0"/>
          <w:sz w:val="32"/>
          <w:szCs w:val="32"/>
        </w:rPr>
        <w:t xml:space="preserve">   </w:t>
      </w:r>
      <w:r>
        <w:rPr>
          <w:rFonts w:hint="eastAsia" w:ascii="仿宋_GB2312" w:hAnsi="宋体" w:eastAsia="仿宋_GB2312" w:cs="宋体"/>
          <w:color w:val="000000"/>
          <w:kern w:val="0"/>
          <w:sz w:val="32"/>
          <w:szCs w:val="32"/>
        </w:rPr>
        <w:t>（四）负责处理县内外群众、境外人士、法人及其他组织通过信访渠道给县委、县政府及领导同志的来信来电，接待来访。</w:t>
      </w:r>
      <w:r>
        <w:rPr>
          <w:rFonts w:hint="eastAsia" w:ascii="仿宋_GB2312" w:eastAsia="仿宋_GB2312"/>
          <w:color w:val="000000"/>
          <w:kern w:val="0"/>
          <w:sz w:val="32"/>
          <w:szCs w:val="32"/>
        </w:rPr>
        <w:br w:type="textWrapping"/>
      </w:r>
      <w:r>
        <w:rPr>
          <w:rFonts w:hint="eastAsia" w:ascii="仿宋_GB2312" w:eastAsia="仿宋_GB2312"/>
          <w:color w:val="000000"/>
          <w:kern w:val="0"/>
          <w:sz w:val="32"/>
          <w:szCs w:val="32"/>
        </w:rPr>
        <w:t xml:space="preserve">    </w:t>
      </w:r>
      <w:r>
        <w:rPr>
          <w:rFonts w:hint="eastAsia" w:ascii="仿宋_GB2312" w:hAnsi="宋体" w:eastAsia="仿宋_GB2312" w:cs="宋体"/>
          <w:color w:val="000000"/>
          <w:kern w:val="0"/>
          <w:sz w:val="32"/>
          <w:szCs w:val="32"/>
        </w:rPr>
        <w:t>（五）承担协调处理群众进京到省来州到县集体上访和非正常上访的责任，综合协调处理跨地区、跨部门的重要信访问题。</w:t>
      </w:r>
      <w:r>
        <w:rPr>
          <w:rFonts w:hint="eastAsia" w:ascii="仿宋_GB2312" w:eastAsia="仿宋_GB2312"/>
          <w:color w:val="000000"/>
          <w:kern w:val="0"/>
          <w:sz w:val="32"/>
          <w:szCs w:val="32"/>
        </w:rPr>
        <w:br w:type="textWrapping"/>
      </w:r>
      <w:r>
        <w:rPr>
          <w:rFonts w:hint="eastAsia" w:ascii="仿宋_GB2312" w:eastAsia="仿宋_GB2312"/>
          <w:color w:val="000000"/>
          <w:kern w:val="0"/>
          <w:sz w:val="32"/>
          <w:szCs w:val="32"/>
        </w:rPr>
        <w:t xml:space="preserve">    </w:t>
      </w:r>
      <w:r>
        <w:rPr>
          <w:rFonts w:hint="eastAsia" w:ascii="仿宋_GB2312" w:hAnsi="宋体" w:eastAsia="仿宋_GB2312" w:cs="宋体"/>
          <w:color w:val="000000"/>
          <w:kern w:val="0"/>
          <w:sz w:val="32"/>
          <w:szCs w:val="32"/>
        </w:rPr>
        <w:t>（六）负责落实党中央、省、州、县领导批示交办信访事项，向各部门、各乡镇转办、交办信访事项，督促检查重要信访事项的处理和落实。</w:t>
      </w:r>
      <w:r>
        <w:rPr>
          <w:rFonts w:hint="eastAsia" w:ascii="仿宋_GB2312" w:eastAsia="仿宋_GB2312"/>
          <w:color w:val="000000"/>
          <w:kern w:val="0"/>
          <w:sz w:val="32"/>
          <w:szCs w:val="32"/>
        </w:rPr>
        <w:br w:type="textWrapping"/>
      </w:r>
      <w:r>
        <w:rPr>
          <w:rFonts w:hint="eastAsia" w:ascii="仿宋_GB2312" w:eastAsia="仿宋_GB2312"/>
          <w:color w:val="000000"/>
          <w:kern w:val="0"/>
          <w:sz w:val="32"/>
          <w:szCs w:val="32"/>
        </w:rPr>
        <w:t xml:space="preserve">    </w:t>
      </w:r>
      <w:r>
        <w:rPr>
          <w:rFonts w:hint="eastAsia" w:ascii="仿宋_GB2312" w:hAnsi="宋体" w:eastAsia="仿宋_GB2312" w:cs="宋体"/>
          <w:color w:val="000000"/>
          <w:kern w:val="0"/>
          <w:sz w:val="32"/>
          <w:szCs w:val="32"/>
        </w:rPr>
        <w:t>（七）建立和完善信访信息汇集分析机制，指导信访信息系统建设和应用。</w:t>
      </w:r>
      <w:r>
        <w:rPr>
          <w:rFonts w:hint="eastAsia" w:ascii="仿宋_GB2312" w:eastAsia="仿宋_GB2312"/>
          <w:color w:val="000000"/>
          <w:kern w:val="0"/>
          <w:sz w:val="32"/>
          <w:szCs w:val="32"/>
        </w:rPr>
        <w:br w:type="textWrapping"/>
      </w:r>
      <w:r>
        <w:rPr>
          <w:rFonts w:hint="eastAsia" w:ascii="仿宋_GB2312" w:eastAsia="仿宋_GB2312"/>
          <w:color w:val="000000"/>
          <w:kern w:val="0"/>
          <w:sz w:val="32"/>
          <w:szCs w:val="32"/>
        </w:rPr>
        <w:t xml:space="preserve">    </w:t>
      </w:r>
      <w:r>
        <w:rPr>
          <w:rFonts w:hint="eastAsia" w:ascii="仿宋_GB2312" w:hAnsi="宋体" w:eastAsia="仿宋_GB2312" w:cs="宋体"/>
          <w:color w:val="000000"/>
          <w:kern w:val="0"/>
          <w:sz w:val="32"/>
          <w:szCs w:val="32"/>
        </w:rPr>
        <w:t>（八）加强对信访问题排查化解和社情民意汇集分析，重点开展法律法规政策宣传和思想教育疏导，将信访工作的重心由事后处理转移到事前排查化解，增强信访工作的预见性和针对性。</w:t>
      </w:r>
      <w:r>
        <w:rPr>
          <w:rFonts w:hint="eastAsia" w:ascii="仿宋_GB2312" w:eastAsia="仿宋_GB2312"/>
          <w:color w:val="000000"/>
          <w:kern w:val="0"/>
          <w:sz w:val="32"/>
          <w:szCs w:val="32"/>
        </w:rPr>
        <w:br w:type="textWrapping"/>
      </w:r>
      <w:r>
        <w:rPr>
          <w:rFonts w:hint="eastAsia" w:ascii="仿宋_GB2312" w:eastAsia="仿宋_GB2312"/>
          <w:color w:val="000000"/>
          <w:kern w:val="0"/>
          <w:sz w:val="32"/>
          <w:szCs w:val="32"/>
        </w:rPr>
        <w:t xml:space="preserve">    </w:t>
      </w:r>
      <w:r>
        <w:rPr>
          <w:rFonts w:hint="eastAsia" w:ascii="仿宋_GB2312" w:hAnsi="宋体" w:eastAsia="仿宋_GB2312" w:cs="宋体"/>
          <w:color w:val="000000"/>
          <w:kern w:val="0"/>
          <w:sz w:val="32"/>
          <w:szCs w:val="32"/>
        </w:rPr>
        <w:t>（九）加强对重大信访事项的督查督办，完善信访诉求表达方式，进一步畅通信访渠道，确保信访工作决策部署得到贯彻落实，推动群众信访问题得到妥善解决。</w:t>
      </w:r>
    </w:p>
    <w:p w14:paraId="335E1B87">
      <w:pPr>
        <w:widowControl/>
        <w:spacing w:line="576" w:lineRule="exact"/>
        <w:ind w:firstLine="640" w:firstLineChars="200"/>
        <w:jc w:val="left"/>
        <w:rPr>
          <w:rFonts w:ascii="仿宋_GB2312" w:hAnsi="Calibri" w:eastAsia="仿宋_GB2312"/>
          <w:color w:val="000000"/>
          <w:sz w:val="32"/>
          <w:szCs w:val="32"/>
        </w:rPr>
      </w:pPr>
      <w:r>
        <w:rPr>
          <w:rFonts w:hint="eastAsia" w:ascii="仿宋_GB2312" w:hAnsi="宋体" w:eastAsia="仿宋_GB2312" w:cs="宋体"/>
          <w:color w:val="000000"/>
          <w:kern w:val="0"/>
          <w:sz w:val="32"/>
          <w:szCs w:val="32"/>
        </w:rPr>
        <w:t>(十)开展网上信访工作，探索</w:t>
      </w:r>
      <w:r>
        <w:rPr>
          <w:rFonts w:hint="eastAsia" w:ascii="仿宋_GB2312" w:eastAsia="仿宋_GB2312" w:cs="宋体"/>
          <w:color w:val="000000"/>
          <w:kern w:val="0"/>
          <w:sz w:val="32"/>
          <w:szCs w:val="32"/>
        </w:rPr>
        <w:t>“</w:t>
      </w:r>
      <w:r>
        <w:rPr>
          <w:rFonts w:hint="eastAsia" w:ascii="仿宋_GB2312" w:hAnsi="宋体" w:eastAsia="仿宋_GB2312" w:cs="宋体"/>
          <w:color w:val="000000"/>
          <w:kern w:val="0"/>
          <w:sz w:val="32"/>
          <w:szCs w:val="32"/>
        </w:rPr>
        <w:t>互联网+信访</w:t>
      </w:r>
      <w:r>
        <w:rPr>
          <w:rFonts w:hint="eastAsia" w:ascii="仿宋_GB2312" w:eastAsia="仿宋_GB2312" w:cs="宋体"/>
          <w:color w:val="000000"/>
          <w:kern w:val="0"/>
          <w:sz w:val="32"/>
          <w:szCs w:val="32"/>
        </w:rPr>
        <w:t>”</w:t>
      </w:r>
      <w:r>
        <w:rPr>
          <w:rFonts w:hint="eastAsia" w:ascii="仿宋_GB2312" w:hAnsi="宋体" w:eastAsia="仿宋_GB2312" w:cs="宋体"/>
          <w:color w:val="000000"/>
          <w:kern w:val="0"/>
          <w:sz w:val="32"/>
          <w:szCs w:val="32"/>
        </w:rPr>
        <w:t>新模式，推动信访信息化建设。</w:t>
      </w:r>
      <w:r>
        <w:rPr>
          <w:rFonts w:hint="eastAsia" w:ascii="仿宋_GB2312" w:eastAsia="仿宋_GB2312"/>
          <w:color w:val="000000"/>
          <w:kern w:val="0"/>
          <w:sz w:val="32"/>
          <w:szCs w:val="32"/>
        </w:rPr>
        <w:br w:type="textWrapping"/>
      </w:r>
      <w:r>
        <w:rPr>
          <w:rFonts w:hint="eastAsia" w:ascii="仿宋_GB2312" w:eastAsia="仿宋_GB2312"/>
          <w:color w:val="000000"/>
          <w:kern w:val="0"/>
          <w:sz w:val="32"/>
          <w:szCs w:val="32"/>
        </w:rPr>
        <w:t xml:space="preserve">    </w:t>
      </w:r>
      <w:r>
        <w:rPr>
          <w:rFonts w:hint="eastAsia" w:ascii="仿宋_GB2312" w:hAnsi="宋体" w:eastAsia="仿宋_GB2312" w:cs="宋体"/>
          <w:color w:val="000000"/>
          <w:kern w:val="0"/>
          <w:sz w:val="32"/>
          <w:szCs w:val="32"/>
        </w:rPr>
        <w:t>（十一）承担县信访工作联席会议、县政府信访事项复查复核委员会日常工作，督促落实有关事项。</w:t>
      </w:r>
      <w:r>
        <w:rPr>
          <w:rFonts w:hint="eastAsia" w:ascii="仿宋_GB2312" w:eastAsia="仿宋_GB2312"/>
          <w:color w:val="000000"/>
          <w:kern w:val="0"/>
          <w:sz w:val="32"/>
          <w:szCs w:val="32"/>
        </w:rPr>
        <w:br w:type="textWrapping"/>
      </w:r>
      <w:r>
        <w:rPr>
          <w:rFonts w:hint="eastAsia" w:ascii="仿宋_GB2312" w:eastAsia="仿宋_GB2312"/>
          <w:color w:val="000000"/>
          <w:kern w:val="0"/>
          <w:sz w:val="32"/>
          <w:szCs w:val="32"/>
        </w:rPr>
        <w:t xml:space="preserve">    </w:t>
      </w:r>
      <w:r>
        <w:rPr>
          <w:rFonts w:hint="eastAsia" w:ascii="仿宋_GB2312" w:hAnsi="宋体" w:eastAsia="仿宋_GB2312" w:cs="宋体"/>
          <w:color w:val="000000"/>
          <w:kern w:val="0"/>
          <w:sz w:val="32"/>
          <w:szCs w:val="32"/>
        </w:rPr>
        <w:t xml:space="preserve">（十二）承办县委、县政府交办的其他任务。 </w:t>
      </w:r>
    </w:p>
    <w:p w14:paraId="37AC8E62">
      <w:pPr>
        <w:snapToGrid w:val="0"/>
        <w:spacing w:line="576" w:lineRule="exact"/>
        <w:ind w:firstLine="643" w:firstLineChars="200"/>
        <w:rPr>
          <w:rFonts w:ascii="仿宋_GB2312" w:eastAsia="仿宋_GB2312"/>
          <w:color w:val="000000"/>
          <w:sz w:val="32"/>
          <w:szCs w:val="32"/>
        </w:rPr>
      </w:pPr>
      <w:r>
        <w:rPr>
          <w:rFonts w:hint="eastAsia" w:ascii="仿宋_GB2312" w:hAnsi="仿宋_GB2312" w:eastAsia="仿宋_GB2312" w:cs="仿宋_GB2312"/>
          <w:b/>
          <w:bCs/>
          <w:color w:val="000000"/>
          <w:sz w:val="32"/>
          <w:szCs w:val="32"/>
        </w:rPr>
        <w:t>第五条</w:t>
      </w:r>
      <w:r>
        <w:rPr>
          <w:rFonts w:hint="eastAsia" w:ascii="黑体" w:hAnsi="宋体" w:eastAsia="黑体"/>
          <w:color w:val="000000"/>
          <w:sz w:val="32"/>
          <w:szCs w:val="32"/>
        </w:rPr>
        <w:t xml:space="preserve">  </w:t>
      </w:r>
      <w:r>
        <w:rPr>
          <w:rFonts w:hint="eastAsia" w:ascii="仿宋_GB2312" w:hAnsi="宋体" w:eastAsia="仿宋_GB2312"/>
          <w:color w:val="000000"/>
          <w:sz w:val="32"/>
          <w:szCs w:val="32"/>
        </w:rPr>
        <w:t>本规定由中共松潘县委机构编制委员会办公室负责解释，其调整由中共松潘县委机构编制委员会办公室按规定程序办理。</w:t>
      </w:r>
    </w:p>
    <w:p w14:paraId="02068FA9">
      <w:pPr>
        <w:snapToGrid w:val="0"/>
        <w:spacing w:line="576" w:lineRule="exact"/>
        <w:ind w:firstLine="800" w:firstLineChars="250"/>
        <w:rPr>
          <w:rFonts w:ascii="仿宋_GB2312" w:eastAsia="仿宋_GB2312"/>
          <w:color w:val="000000"/>
          <w:sz w:val="32"/>
          <w:szCs w:val="32"/>
        </w:rPr>
      </w:pPr>
      <w:r>
        <w:rPr>
          <w:rFonts w:hint="eastAsia" w:ascii="仿宋_GB2312" w:hAnsi="宋体" w:eastAsia="仿宋_GB2312"/>
          <w:color w:val="000000"/>
          <w:sz w:val="32"/>
          <w:szCs w:val="32"/>
        </w:rPr>
        <w:t xml:space="preserve"> </w:t>
      </w:r>
    </w:p>
    <w:bookmarkEnd w:id="16"/>
    <w:bookmarkEnd w:id="17"/>
    <w:p w14:paraId="7B2FE8B8">
      <w:pPr>
        <w:spacing w:line="576" w:lineRule="exact"/>
        <w:ind w:firstLine="643" w:firstLineChars="200"/>
        <w:rPr>
          <w:rFonts w:ascii="楷体_GB2312" w:hAnsi="楷体_GB2312" w:eastAsia="楷体_GB2312" w:cs="楷体_GB2312"/>
          <w:b/>
          <w:color w:val="000000"/>
          <w:sz w:val="32"/>
          <w:szCs w:val="32"/>
        </w:rPr>
      </w:pPr>
      <w:bookmarkStart w:id="18" w:name="_Toc15378446"/>
      <w:bookmarkStart w:id="19" w:name="_Toc15377199"/>
      <w:r>
        <w:rPr>
          <w:rFonts w:hint="eastAsia" w:ascii="楷体_GB2312" w:hAnsi="楷体_GB2312" w:eastAsia="楷体_GB2312" w:cs="楷体_GB2312"/>
          <w:b/>
          <w:color w:val="000000"/>
          <w:sz w:val="32"/>
          <w:szCs w:val="32"/>
        </w:rPr>
        <w:t>（二）2020年重点工作完成情况。</w:t>
      </w:r>
      <w:bookmarkEnd w:id="18"/>
      <w:bookmarkEnd w:id="19"/>
    </w:p>
    <w:p w14:paraId="4C41B2AC">
      <w:pPr>
        <w:spacing w:line="576"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color w:val="000000"/>
          <w:sz w:val="32"/>
          <w:szCs w:val="32"/>
        </w:rPr>
        <w:t>（一）</w:t>
      </w:r>
      <w:r>
        <w:rPr>
          <w:rFonts w:hint="eastAsia" w:ascii="仿宋_GB2312" w:hAnsi="仿宋_GB2312" w:eastAsia="仿宋_GB2312" w:cs="仿宋_GB2312"/>
          <w:b/>
          <w:bCs/>
          <w:sz w:val="32"/>
          <w:szCs w:val="32"/>
        </w:rPr>
        <w:t>以“六个突出”为着力点，主动处理信访问题。</w:t>
      </w:r>
    </w:p>
    <w:p w14:paraId="7E0A4557">
      <w:pPr>
        <w:spacing w:line="57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color w:val="000000"/>
          <w:sz w:val="32"/>
          <w:szCs w:val="32"/>
        </w:rPr>
        <w:t>1.突出</w:t>
      </w:r>
      <w:r>
        <w:rPr>
          <w:rFonts w:hint="eastAsia" w:ascii="仿宋_GB2312" w:hAnsi="仿宋_GB2312" w:eastAsia="仿宋_GB2312" w:cs="仿宋_GB2312"/>
          <w:b/>
          <w:bCs/>
          <w:color w:val="000000"/>
          <w:kern w:val="0"/>
          <w:sz w:val="32"/>
          <w:szCs w:val="32"/>
        </w:rPr>
        <w:t>深度研判，有效预判信访矛盾。</w:t>
      </w:r>
      <w:r>
        <w:rPr>
          <w:rFonts w:hint="eastAsia" w:ascii="仿宋_GB2312" w:hAnsi="仿宋_GB2312" w:eastAsia="仿宋_GB2312" w:cs="仿宋_GB2312"/>
          <w:color w:val="000000"/>
          <w:kern w:val="0"/>
          <w:sz w:val="32"/>
          <w:szCs w:val="32"/>
        </w:rPr>
        <w:t>一年来，全县召开了一次全县信访联席会议，并定期召开信访形势研判会议，梳理阶段内信访办理情况，聚焦重点人员、重点区域、关键环节，采用“层层剥笋”的方式，找准凸显的矛盾和问题根源，提出解决问题、化解矛盾的办法和思路。特别是在全国全省全州“两会”“3月、</w:t>
      </w:r>
      <w:r>
        <w:rPr>
          <w:rFonts w:hint="eastAsia" w:ascii="仿宋_GB2312" w:hAnsi="仿宋_GB2312" w:eastAsia="仿宋_GB2312" w:cs="仿宋_GB2312"/>
          <w:color w:val="000000"/>
          <w:sz w:val="32"/>
          <w:szCs w:val="32"/>
        </w:rPr>
        <w:t>5月、7月</w:t>
      </w:r>
      <w:r>
        <w:rPr>
          <w:rFonts w:hint="eastAsia" w:ascii="仿宋_GB2312" w:hAnsi="仿宋_GB2312" w:eastAsia="仿宋_GB2312" w:cs="仿宋_GB2312"/>
          <w:color w:val="000000"/>
          <w:kern w:val="0"/>
          <w:sz w:val="32"/>
          <w:szCs w:val="32"/>
        </w:rPr>
        <w:t>敏感期”、全国“一带一路”国际高峰论坛及省</w:t>
      </w:r>
      <w:r>
        <w:rPr>
          <w:rFonts w:hint="eastAsia" w:ascii="仿宋_GB2312" w:hAnsi="仿宋_GB2312" w:eastAsia="仿宋_GB2312" w:cs="仿宋_GB2312"/>
          <w:color w:val="000000"/>
          <w:kern w:val="0"/>
          <w:sz w:val="32"/>
          <w:szCs w:val="32"/>
          <w:lang w:val="en-US" w:eastAsia="zh-CN"/>
        </w:rPr>
        <w:t>第</w:t>
      </w:r>
      <w:bookmarkStart w:id="78" w:name="_GoBack"/>
      <w:bookmarkEnd w:id="78"/>
      <w:r>
        <w:rPr>
          <w:rFonts w:hint="eastAsia" w:ascii="仿宋_GB2312" w:hAnsi="仿宋_GB2312" w:eastAsia="仿宋_GB2312" w:cs="仿宋_GB2312"/>
          <w:color w:val="000000"/>
          <w:kern w:val="0"/>
          <w:sz w:val="32"/>
          <w:szCs w:val="32"/>
        </w:rPr>
        <w:t>十一次党代会、“亚洲文明对话大会”、</w:t>
      </w:r>
      <w:r>
        <w:rPr>
          <w:rFonts w:hint="eastAsia" w:ascii="仿宋_GB2312" w:hAnsi="仿宋_GB2312" w:eastAsia="仿宋_GB2312" w:cs="仿宋_GB2312"/>
          <w:color w:val="000000"/>
          <w:sz w:val="32"/>
          <w:szCs w:val="32"/>
        </w:rPr>
        <w:t>新中国成立71周年庆祝活动</w:t>
      </w:r>
      <w:r>
        <w:rPr>
          <w:rFonts w:hint="eastAsia" w:ascii="仿宋_GB2312" w:hAnsi="仿宋_GB2312" w:eastAsia="仿宋_GB2312" w:cs="仿宋_GB2312"/>
          <w:color w:val="000000"/>
          <w:kern w:val="0"/>
          <w:sz w:val="32"/>
          <w:szCs w:val="32"/>
        </w:rPr>
        <w:t>等重点时段的信访维稳形势研判工作，</w:t>
      </w:r>
      <w:r>
        <w:rPr>
          <w:rFonts w:hint="eastAsia" w:ascii="仿宋_GB2312" w:hAnsi="仿宋_GB2312" w:eastAsia="仿宋_GB2312" w:cs="仿宋_GB2312"/>
          <w:color w:val="000000"/>
          <w:sz w:val="32"/>
          <w:szCs w:val="32"/>
        </w:rPr>
        <w:t>松潘县信访工作联席会议办公室制定了信访维稳工作方案、预案，同时，分别下发了《松潘县信访工作联席会议办公室关于做好全省两会及春节期间信访矛盾排解的通知》和《松潘县信访联席会议办公室关于做好全国两会期间信访维稳工作的通知》，《松潘县信访工作联席会议办公室关于切实做好新中国成立71周年庆祝活动信访保障工作的通知》《松潘县信访工作联席会议办公室关于切实做好“亚洲文明对话大会”期间信访维稳工作的通知》《松潘县信访工作联席会议办公室关于切实做好新中国成立71周年庆祝活动期间信访保障工作的工作方案》《松潘县信访工作联席会议办公室关于新中国成立71周年庆祝活动期间信访维稳工作应急预案》等，要求</w:t>
      </w:r>
      <w:r>
        <w:rPr>
          <w:rFonts w:hint="eastAsia" w:ascii="仿宋_GB2312" w:hAnsi="仿宋_GB2312" w:eastAsia="仿宋_GB2312" w:cs="仿宋_GB2312"/>
          <w:sz w:val="32"/>
          <w:szCs w:val="32"/>
        </w:rPr>
        <w:t>各乡（镇）党委、政府和县级各部门加大矛盾纠纷排查，做到重点事项排查不漏项、重点人员排查不漏人，确保不留空白、不留死角,及时化解矛盾纠纷和信访突出问题。于9月派出1名工作人员到京15天参加省驻京维稳工作组，统一配合</w:t>
      </w:r>
      <w:r>
        <w:rPr>
          <w:rFonts w:hint="eastAsia" w:ascii="仿宋_GB2312" w:hAnsi="仿宋_GB2312" w:eastAsia="仿宋_GB2312" w:cs="仿宋_GB2312"/>
          <w:color w:val="000000"/>
          <w:sz w:val="32"/>
          <w:szCs w:val="32"/>
        </w:rPr>
        <w:t>新中国成立70周年庆祝活动期间</w:t>
      </w:r>
      <w:r>
        <w:rPr>
          <w:rFonts w:hint="eastAsia" w:ascii="仿宋_GB2312" w:hAnsi="仿宋_GB2312" w:eastAsia="仿宋_GB2312" w:cs="仿宋_GB2312"/>
          <w:sz w:val="32"/>
          <w:szCs w:val="32"/>
        </w:rPr>
        <w:t>信访维稳工作。严格执行领导带班值班制度，实行24小时稳控，采取“日报告”和“零报告”制度，确保了省“两会”和国家“两会”及“一带一路”国际高峰论坛期间、</w:t>
      </w:r>
      <w:r>
        <w:rPr>
          <w:rFonts w:hint="eastAsia" w:ascii="仿宋_GB2312" w:hAnsi="仿宋_GB2312" w:eastAsia="仿宋_GB2312" w:cs="仿宋_GB2312"/>
          <w:color w:val="000000"/>
          <w:sz w:val="32"/>
          <w:szCs w:val="32"/>
        </w:rPr>
        <w:t>新中国成立71周年庆祝活动期间</w:t>
      </w:r>
      <w:r>
        <w:rPr>
          <w:rFonts w:hint="eastAsia" w:ascii="仿宋_GB2312" w:hAnsi="仿宋_GB2312" w:eastAsia="仿宋_GB2312" w:cs="仿宋_GB2312"/>
          <w:sz w:val="32"/>
          <w:szCs w:val="32"/>
        </w:rPr>
        <w:t>等社会和谐稳定，取得了无到省进京上访的优异成绩。</w:t>
      </w:r>
    </w:p>
    <w:p w14:paraId="2893C634">
      <w:pPr>
        <w:shd w:val="clear" w:color="auto" w:fill="FFFFFF"/>
        <w:spacing w:line="576" w:lineRule="exact"/>
        <w:ind w:firstLine="643" w:firstLineChars="200"/>
        <w:rPr>
          <w:rFonts w:ascii="仿宋_GB2312" w:hAnsi="仿宋_GB2312" w:eastAsia="仿宋_GB2312" w:cs="仿宋_GB2312"/>
          <w:color w:val="0000FF"/>
          <w:kern w:val="0"/>
          <w:sz w:val="32"/>
          <w:szCs w:val="32"/>
        </w:rPr>
      </w:pPr>
      <w:r>
        <w:rPr>
          <w:rFonts w:hint="eastAsia" w:ascii="仿宋_GB2312" w:hAnsi="仿宋_GB2312" w:eastAsia="仿宋_GB2312" w:cs="仿宋_GB2312"/>
          <w:b/>
          <w:bCs/>
          <w:color w:val="000000"/>
          <w:sz w:val="32"/>
          <w:szCs w:val="32"/>
        </w:rPr>
        <w:t>2.突出联动协调，有序处理信访矛盾。</w:t>
      </w:r>
      <w:r>
        <w:rPr>
          <w:rFonts w:hint="eastAsia" w:ascii="仿宋_GB2312" w:hAnsi="仿宋_GB2312" w:eastAsia="仿宋_GB2312" w:cs="仿宋_GB2312"/>
          <w:color w:val="000000"/>
          <w:kern w:val="0"/>
          <w:sz w:val="32"/>
          <w:szCs w:val="32"/>
        </w:rPr>
        <w:t>充分发挥村级源头治理、乡（镇）和部门分类治理、联席会议及政法系统综合治理作用，深入推进以自我管理、自我服务为主要内容的民主治理实践，促进民事民议、民事民办、民事民管。</w:t>
      </w:r>
    </w:p>
    <w:p w14:paraId="2930F251">
      <w:pPr>
        <w:spacing w:line="576" w:lineRule="exact"/>
        <w:ind w:firstLine="643"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sz w:val="32"/>
          <w:szCs w:val="32"/>
        </w:rPr>
        <w:t>3.突出第三方介入，科学化解信访矛盾。</w:t>
      </w:r>
      <w:r>
        <w:rPr>
          <w:rFonts w:hint="eastAsia" w:ascii="仿宋_GB2312" w:hAnsi="仿宋_GB2312" w:eastAsia="仿宋_GB2312" w:cs="仿宋_GB2312"/>
          <w:color w:val="000000"/>
          <w:kern w:val="0"/>
          <w:sz w:val="32"/>
          <w:szCs w:val="32"/>
        </w:rPr>
        <w:t>建立健全人大代表、政协委员、党代表联系所在地信访矛盾化解机制，利用人大代表、政协委员、党代表善于与群众交谈沟通和疏导情绪的优势，进一步将代表意见、群众诉求以及信访工作紧密结合，确保有效解决群众的实际困难和问题。</w:t>
      </w:r>
      <w:r>
        <w:rPr>
          <w:rFonts w:hint="eastAsia" w:ascii="仿宋_GB2312" w:hAnsi="仿宋_GB2312" w:eastAsia="仿宋_GB2312" w:cs="仿宋_GB2312"/>
          <w:bCs/>
          <w:color w:val="000000"/>
          <w:kern w:val="0"/>
          <w:sz w:val="32"/>
          <w:szCs w:val="32"/>
        </w:rPr>
        <w:t>同时，</w:t>
      </w:r>
      <w:r>
        <w:rPr>
          <w:rFonts w:hint="eastAsia" w:ascii="仿宋_GB2312" w:hAnsi="仿宋_GB2312" w:eastAsia="仿宋_GB2312" w:cs="仿宋_GB2312"/>
          <w:color w:val="000000"/>
          <w:kern w:val="0"/>
          <w:sz w:val="32"/>
          <w:szCs w:val="32"/>
        </w:rPr>
        <w:t xml:space="preserve">发挥第三方参加协调处理矛盾纠纷机制。 </w:t>
      </w:r>
    </w:p>
    <w:p w14:paraId="0726A0CA">
      <w:pPr>
        <w:spacing w:line="576" w:lineRule="exact"/>
        <w:ind w:firstLine="643" w:firstLineChars="200"/>
        <w:rPr>
          <w:rFonts w:ascii="仿宋_GB2312" w:hAnsi="仿宋_GB2312" w:eastAsia="仿宋_GB2312" w:cs="仿宋_GB2312"/>
          <w:b/>
          <w:bCs/>
          <w:color w:val="C00000"/>
          <w:sz w:val="32"/>
          <w:szCs w:val="32"/>
        </w:rPr>
      </w:pPr>
      <w:r>
        <w:rPr>
          <w:rFonts w:hint="eastAsia" w:ascii="仿宋_GB2312" w:hAnsi="仿宋_GB2312" w:eastAsia="仿宋_GB2312" w:cs="仿宋_GB2312"/>
          <w:b/>
          <w:bCs/>
          <w:color w:val="000000"/>
          <w:sz w:val="32"/>
          <w:szCs w:val="32"/>
        </w:rPr>
        <w:t>4.</w:t>
      </w:r>
      <w:r>
        <w:rPr>
          <w:rFonts w:hint="eastAsia" w:ascii="仿宋_GB2312" w:hAnsi="仿宋_GB2312" w:eastAsia="仿宋_GB2312" w:cs="仿宋_GB2312"/>
          <w:b/>
          <w:kern w:val="0"/>
          <w:sz w:val="32"/>
          <w:szCs w:val="32"/>
        </w:rPr>
        <w:t>突出诉访分离，分类化解涉法涉诉信访。</w:t>
      </w:r>
      <w:r>
        <w:rPr>
          <w:rFonts w:hint="eastAsia" w:ascii="仿宋_GB2312" w:hAnsi="仿宋_GB2312" w:eastAsia="仿宋_GB2312" w:cs="仿宋_GB2312"/>
          <w:kern w:val="0"/>
          <w:sz w:val="32"/>
          <w:szCs w:val="32"/>
        </w:rPr>
        <w:t xml:space="preserve">坚持依法引导分流涉法涉诉信访问题，通过信访启动法律程序等工作方式，进一步加强与政法部门的沟通、研判和对接，保护合法信访，制止非访、闹访，实现案结事了、息诉息访，切实做到群众合法权益与司法公正权威统一。  </w:t>
      </w:r>
      <w:r>
        <w:rPr>
          <w:rFonts w:hint="eastAsia" w:ascii="仿宋_GB2312" w:hAnsi="仿宋_GB2312" w:eastAsia="仿宋_GB2312" w:cs="仿宋_GB2312"/>
          <w:color w:val="0000FF"/>
          <w:kern w:val="0"/>
          <w:sz w:val="32"/>
          <w:szCs w:val="32"/>
        </w:rPr>
        <w:t xml:space="preserve">  </w:t>
      </w:r>
    </w:p>
    <w:p w14:paraId="4A99C4D8">
      <w:pPr>
        <w:spacing w:line="576"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kern w:val="0"/>
          <w:sz w:val="32"/>
          <w:szCs w:val="32"/>
        </w:rPr>
        <w:t>5.</w:t>
      </w:r>
      <w:r>
        <w:rPr>
          <w:rFonts w:hint="eastAsia" w:ascii="仿宋_GB2312" w:hAnsi="仿宋_GB2312" w:eastAsia="仿宋_GB2312" w:cs="仿宋_GB2312"/>
          <w:b/>
          <w:bCs/>
          <w:color w:val="000000"/>
          <w:sz w:val="32"/>
          <w:szCs w:val="32"/>
        </w:rPr>
        <w:t>突出满意度评价，客观评价信访工作。</w:t>
      </w:r>
      <w:r>
        <w:rPr>
          <w:rFonts w:hint="eastAsia" w:ascii="仿宋_GB2312" w:hAnsi="仿宋_GB2312" w:eastAsia="仿宋_GB2312" w:cs="仿宋_GB2312"/>
          <w:color w:val="000000"/>
          <w:sz w:val="32"/>
          <w:szCs w:val="32"/>
        </w:rPr>
        <w:t>高度重视每位来访群众，规范收集信访相关材料，并及时转办交办至相关职能单位，并做好解释工作，视情况积极帮助协调。同时，开展群众满意度测评，确保信访工作高效提质。截至目前，我县无省转办纳入信访事项群众满意度评价的信访件，信访</w:t>
      </w:r>
      <w:r>
        <w:rPr>
          <w:rFonts w:hint="eastAsia" w:ascii="仿宋_GB2312" w:hAnsi="仿宋_GB2312" w:eastAsia="仿宋_GB2312" w:cs="仿宋_GB2312"/>
          <w:color w:val="000000"/>
          <w:kern w:val="0"/>
          <w:sz w:val="32"/>
          <w:szCs w:val="32"/>
        </w:rPr>
        <w:t>部门</w:t>
      </w:r>
      <w:r>
        <w:rPr>
          <w:rFonts w:hint="eastAsia" w:ascii="仿宋_GB2312" w:hAnsi="仿宋_GB2312" w:eastAsia="仿宋_GB2312" w:cs="仿宋_GB2312"/>
          <w:color w:val="000000"/>
          <w:sz w:val="32"/>
          <w:szCs w:val="32"/>
        </w:rPr>
        <w:t>满意度</w:t>
      </w:r>
      <w:r>
        <w:rPr>
          <w:rFonts w:hint="eastAsia" w:ascii="仿宋_GB2312" w:hAnsi="仿宋_GB2312" w:eastAsia="仿宋_GB2312" w:cs="仿宋_GB2312"/>
          <w:color w:val="000000"/>
          <w:kern w:val="0"/>
          <w:sz w:val="32"/>
          <w:szCs w:val="32"/>
        </w:rPr>
        <w:t>为</w:t>
      </w:r>
      <w:r>
        <w:rPr>
          <w:rFonts w:hint="eastAsia" w:ascii="仿宋_GB2312" w:hAnsi="仿宋_GB2312" w:eastAsia="仿宋_GB2312" w:cs="仿宋_GB2312"/>
          <w:color w:val="000000"/>
          <w:sz w:val="32"/>
          <w:szCs w:val="32"/>
        </w:rPr>
        <w:t>100%、</w:t>
      </w:r>
      <w:r>
        <w:rPr>
          <w:rFonts w:hint="eastAsia" w:ascii="仿宋_GB2312" w:hAnsi="仿宋_GB2312" w:eastAsia="仿宋_GB2312" w:cs="仿宋_GB2312"/>
          <w:color w:val="000000"/>
          <w:kern w:val="0"/>
          <w:sz w:val="32"/>
          <w:szCs w:val="32"/>
        </w:rPr>
        <w:t>责任部门</w:t>
      </w:r>
      <w:r>
        <w:rPr>
          <w:rFonts w:hint="eastAsia" w:ascii="仿宋_GB2312" w:hAnsi="仿宋_GB2312" w:eastAsia="仿宋_GB2312" w:cs="仿宋_GB2312"/>
          <w:color w:val="000000"/>
          <w:sz w:val="32"/>
          <w:szCs w:val="32"/>
        </w:rPr>
        <w:t>满意度</w:t>
      </w:r>
      <w:r>
        <w:rPr>
          <w:rFonts w:hint="eastAsia" w:ascii="仿宋_GB2312" w:hAnsi="仿宋_GB2312" w:eastAsia="仿宋_GB2312" w:cs="仿宋_GB2312"/>
          <w:color w:val="000000"/>
          <w:kern w:val="0"/>
          <w:sz w:val="32"/>
          <w:szCs w:val="32"/>
        </w:rPr>
        <w:t>为</w:t>
      </w:r>
      <w:r>
        <w:rPr>
          <w:rFonts w:hint="eastAsia" w:ascii="仿宋_GB2312" w:hAnsi="仿宋_GB2312" w:eastAsia="仿宋_GB2312" w:cs="仿宋_GB2312"/>
          <w:color w:val="000000"/>
          <w:sz w:val="32"/>
          <w:szCs w:val="32"/>
        </w:rPr>
        <w:t>100%、</w:t>
      </w:r>
      <w:r>
        <w:rPr>
          <w:rFonts w:hint="eastAsia" w:ascii="仿宋_GB2312" w:hAnsi="仿宋_GB2312" w:eastAsia="仿宋_GB2312" w:cs="仿宋_GB2312"/>
          <w:color w:val="000000"/>
          <w:kern w:val="0"/>
          <w:sz w:val="32"/>
          <w:szCs w:val="32"/>
        </w:rPr>
        <w:t>受理率为</w:t>
      </w:r>
      <w:r>
        <w:rPr>
          <w:rFonts w:hint="eastAsia" w:ascii="仿宋_GB2312" w:hAnsi="仿宋_GB2312" w:eastAsia="仿宋_GB2312" w:cs="仿宋_GB2312"/>
          <w:color w:val="000000"/>
          <w:sz w:val="32"/>
          <w:szCs w:val="32"/>
        </w:rPr>
        <w:t>100%，按期办结率达100%，为下一步我县创建全省“人民满意窗口”打下了夯实的基础。</w:t>
      </w:r>
    </w:p>
    <w:p w14:paraId="6DF3CFBA">
      <w:pPr>
        <w:spacing w:line="576"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kern w:val="0"/>
          <w:sz w:val="32"/>
          <w:szCs w:val="32"/>
        </w:rPr>
        <w:t>（二）以“三个多元”为突破口</w:t>
      </w:r>
      <w:r>
        <w:rPr>
          <w:rFonts w:hint="eastAsia" w:ascii="仿宋_GB2312" w:hAnsi="仿宋_GB2312" w:eastAsia="仿宋_GB2312" w:cs="仿宋_GB2312"/>
          <w:b/>
          <w:color w:val="000000"/>
          <w:kern w:val="0"/>
          <w:sz w:val="32"/>
          <w:szCs w:val="32"/>
        </w:rPr>
        <w:t>，确保矛盾在</w:t>
      </w:r>
      <w:r>
        <w:rPr>
          <w:rFonts w:hint="eastAsia" w:ascii="仿宋_GB2312" w:hAnsi="仿宋_GB2312" w:eastAsia="仿宋_GB2312" w:cs="仿宋_GB2312"/>
          <w:b/>
          <w:bCs/>
          <w:sz w:val="32"/>
          <w:szCs w:val="32"/>
        </w:rPr>
        <w:t>源头化解。</w:t>
      </w:r>
    </w:p>
    <w:p w14:paraId="2D3E19F4">
      <w:pPr>
        <w:pStyle w:val="15"/>
        <w:spacing w:after="0" w:line="576" w:lineRule="exact"/>
        <w:ind w:left="0" w:leftChars="0" w:firstLine="643"/>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1.完善信访责任机制，多元压实工作责任。</w:t>
      </w:r>
      <w:r>
        <w:rPr>
          <w:rFonts w:hint="eastAsia" w:ascii="仿宋_GB2312" w:hAnsi="仿宋_GB2312" w:eastAsia="仿宋_GB2312" w:cs="仿宋_GB2312"/>
          <w:b/>
          <w:bCs/>
          <w:color w:val="000000"/>
          <w:kern w:val="0"/>
          <w:sz w:val="32"/>
          <w:szCs w:val="32"/>
        </w:rPr>
        <w:t>一是</w:t>
      </w:r>
      <w:r>
        <w:rPr>
          <w:rFonts w:hint="eastAsia" w:ascii="仿宋_GB2312" w:hAnsi="仿宋_GB2312" w:eastAsia="仿宋_GB2312" w:cs="仿宋_GB2312"/>
          <w:b/>
          <w:bCs/>
          <w:color w:val="000000"/>
          <w:sz w:val="32"/>
          <w:szCs w:val="32"/>
        </w:rPr>
        <w:t>落实积案化解责任</w:t>
      </w:r>
      <w:r>
        <w:rPr>
          <w:rFonts w:hint="eastAsia" w:ascii="仿宋_GB2312" w:hAnsi="仿宋_GB2312" w:eastAsia="仿宋_GB2312" w:cs="仿宋_GB2312"/>
          <w:color w:val="000000"/>
          <w:sz w:val="32"/>
          <w:szCs w:val="32"/>
        </w:rPr>
        <w:t>。持续传导信访“一岗双责”压力，要求科级以上干部须对分管行业领域矛盾纠纷正面回应、主动介入，并综合运用调解、仲裁、诉讼等方式予以化解。</w:t>
      </w:r>
      <w:r>
        <w:rPr>
          <w:rFonts w:hint="eastAsia" w:ascii="仿宋_GB2312" w:hAnsi="仿宋_GB2312" w:eastAsia="仿宋_GB2312" w:cs="仿宋_GB2312"/>
          <w:b/>
          <w:bCs/>
          <w:color w:val="000000"/>
          <w:sz w:val="32"/>
          <w:szCs w:val="32"/>
        </w:rPr>
        <w:t>二是落实领导接访责任</w:t>
      </w:r>
      <w:r>
        <w:rPr>
          <w:rFonts w:hint="eastAsia" w:ascii="仿宋_GB2312" w:hAnsi="仿宋_GB2312" w:eastAsia="仿宋_GB2312" w:cs="仿宋_GB2312"/>
          <w:color w:val="000000"/>
          <w:sz w:val="32"/>
          <w:szCs w:val="32"/>
        </w:rPr>
        <w:t>。按照县委</w:t>
      </w:r>
      <w:r>
        <w:rPr>
          <w:rFonts w:hint="eastAsia" w:ascii="仿宋_GB2312" w:hAnsi="仿宋_GB2312" w:eastAsia="仿宋_GB2312" w:cs="仿宋_GB2312"/>
          <w:color w:val="000000"/>
          <w:sz w:val="32"/>
          <w:szCs w:val="32"/>
          <w:lang w:val="en-US" w:eastAsia="zh-CN"/>
        </w:rPr>
        <w:t>县</w:t>
      </w:r>
      <w:r>
        <w:rPr>
          <w:rFonts w:hint="eastAsia" w:ascii="仿宋_GB2312" w:hAnsi="仿宋_GB2312" w:eastAsia="仿宋_GB2312" w:cs="仿宋_GB2312"/>
          <w:color w:val="000000"/>
          <w:sz w:val="32"/>
          <w:szCs w:val="32"/>
        </w:rPr>
        <w:t>政府总体部署进一步落实县级领导大接访，年初，我县制定下发了《中共松潘县委办公室松潘县人民政府办公室关于开展县委县政府领导“大接访”活动的通知》（松委办</w:t>
      </w:r>
      <w:r>
        <w:rPr>
          <w:rFonts w:hint="eastAsia" w:ascii="仿宋_GB2312" w:hAnsi="仿宋_GB2312" w:eastAsia="仿宋_GB2312" w:cs="仿宋_GB2312"/>
          <w:sz w:val="32"/>
          <w:szCs w:val="32"/>
        </w:rPr>
        <w:t>〔2019〕34号</w:t>
      </w:r>
      <w:r>
        <w:rPr>
          <w:rFonts w:hint="eastAsia" w:ascii="仿宋_GB2312" w:hAnsi="仿宋_GB2312" w:eastAsia="仿宋_GB2312" w:cs="仿宋_GB2312"/>
          <w:color w:val="000000"/>
          <w:sz w:val="32"/>
          <w:szCs w:val="32"/>
        </w:rPr>
        <w:t>）文件</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进一步健全县级领导接访制度，要求县级领导轮流到县群众工作中心接访，确保每月有四名县级领导接待来访群众，并同步建立了乡镇领导定期接访制度。截至目前，县级领导接访、约访13次，乡镇领导接访20 次。</w:t>
      </w:r>
      <w:r>
        <w:rPr>
          <w:rFonts w:hint="eastAsia" w:ascii="仿宋_GB2312" w:hAnsi="仿宋_GB2312" w:eastAsia="仿宋_GB2312" w:cs="仿宋_GB2312"/>
          <w:b/>
          <w:bCs/>
          <w:color w:val="000000"/>
          <w:sz w:val="32"/>
          <w:szCs w:val="32"/>
        </w:rPr>
        <w:t>三是落实案件联办包案责任。</w:t>
      </w:r>
      <w:r>
        <w:rPr>
          <w:rFonts w:hint="eastAsia" w:ascii="仿宋_GB2312" w:hAnsi="仿宋_GB2312" w:eastAsia="仿宋_GB2312" w:cs="仿宋_GB2312"/>
          <w:color w:val="000000"/>
          <w:sz w:val="32"/>
          <w:szCs w:val="32"/>
        </w:rPr>
        <w:t>实行复杂案件联合协调制度，对重大疑难案件，乡镇、部门不能独立解决或通过相互协调亦不能解决的，实行案件联合会审制度，组成案件联合协调小组，对案件进行联合核审、综合施治，</w:t>
      </w:r>
      <w:r>
        <w:rPr>
          <w:rFonts w:hint="eastAsia" w:ascii="仿宋_GB2312" w:hAnsi="仿宋_GB2312" w:eastAsia="仿宋_GB2312" w:cs="仿宋_GB2312"/>
          <w:sz w:val="32"/>
          <w:szCs w:val="32"/>
        </w:rPr>
        <w:t>大力推行责任督办、带案下访、按时回访等制度，实行领导包案督办制，通过开展信访不定期“回头看”，跟踪了解信访案件查办情况、办件人员履职情况，对所有排查出的信访问题，一律由分管领导包案督办，各责任领导主动深入实地专项督查，真正使群众反映的问题件件有着落、事事有回音。</w:t>
      </w:r>
      <w:r>
        <w:rPr>
          <w:rFonts w:hint="eastAsia" w:ascii="仿宋_GB2312" w:hAnsi="仿宋_GB2312" w:eastAsia="仿宋_GB2312" w:cs="仿宋_GB2312"/>
          <w:color w:val="000000"/>
          <w:sz w:val="32"/>
          <w:szCs w:val="32"/>
        </w:rPr>
        <w:t>3月底，松潘县信访工作联席会议办公室交办了17件信访突出案件（《松潘县信访工作联席会议办公室关于交办2019年度信访积案、历史遗留、涉法涉诉等信访问题的通知》松信联办〔2019〕2 号），明确了包案领导、责任单位。</w:t>
      </w:r>
      <w:r>
        <w:rPr>
          <w:rFonts w:hint="eastAsia" w:ascii="仿宋_GB2312" w:hAnsi="仿宋_GB2312" w:eastAsia="仿宋_GB2312" w:cs="仿宋_GB2312"/>
          <w:color w:val="000000"/>
          <w:sz w:val="32"/>
          <w:szCs w:val="32"/>
          <w:lang w:eastAsia="zh-CN"/>
        </w:rPr>
        <w:t>截至</w:t>
      </w:r>
      <w:r>
        <w:rPr>
          <w:rFonts w:hint="eastAsia" w:ascii="仿宋_GB2312" w:hAnsi="仿宋_GB2312" w:eastAsia="仿宋_GB2312" w:cs="仿宋_GB2312"/>
          <w:color w:val="000000"/>
          <w:sz w:val="32"/>
          <w:szCs w:val="32"/>
        </w:rPr>
        <w:t>目前已化解7件，其余案件正在化解稳控中。</w:t>
      </w:r>
    </w:p>
    <w:p w14:paraId="73D5FEC5">
      <w:pPr>
        <w:spacing w:line="576" w:lineRule="exact"/>
        <w:ind w:firstLine="643"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b/>
          <w:bCs/>
          <w:color w:val="000000"/>
          <w:sz w:val="32"/>
          <w:szCs w:val="32"/>
        </w:rPr>
        <w:t>2.充分利用“互联网+信访”，多元搭建诉求平台。</w:t>
      </w:r>
      <w:r>
        <w:rPr>
          <w:rFonts w:hint="eastAsia" w:ascii="仿宋_GB2312" w:hAnsi="仿宋_GB2312" w:eastAsia="仿宋_GB2312" w:cs="仿宋_GB2312"/>
          <w:color w:val="000000"/>
          <w:sz w:val="32"/>
          <w:szCs w:val="32"/>
        </w:rPr>
        <w:t>充分利用信访联席会议、复查复核、信访投诉、多元化解中心，1+3+N平台化解社会矛盾。</w:t>
      </w:r>
      <w:r>
        <w:rPr>
          <w:rFonts w:hint="eastAsia" w:ascii="仿宋_GB2312" w:hAnsi="仿宋_GB2312" w:eastAsia="仿宋_GB2312" w:cs="仿宋_GB2312"/>
          <w:color w:val="000000"/>
          <w:kern w:val="0"/>
          <w:sz w:val="32"/>
          <w:szCs w:val="32"/>
        </w:rPr>
        <w:t>通过</w:t>
      </w:r>
      <w:r>
        <w:rPr>
          <w:rFonts w:hint="eastAsia" w:ascii="仿宋_GB2312" w:hAnsi="仿宋_GB2312" w:eastAsia="仿宋_GB2312" w:cs="仿宋_GB2312"/>
          <w:bCs/>
          <w:color w:val="000000"/>
          <w:kern w:val="0"/>
          <w:sz w:val="32"/>
          <w:szCs w:val="32"/>
        </w:rPr>
        <w:t>全县147个村（社区）建立微信群和QQ群信息平台，能及时将政策法规、乡村治理、民生工程、脱贫攻坚、生态建设等情况及时通过平台发布，避免群众出现政策盲区，导致非访、缠访、越级访。进一步强化群众评价、咨询等互动体验。</w:t>
      </w:r>
    </w:p>
    <w:p w14:paraId="5FA9BE0E">
      <w:pPr>
        <w:spacing w:line="57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color w:val="000000"/>
          <w:sz w:val="32"/>
          <w:szCs w:val="32"/>
        </w:rPr>
        <w:t>3.认真践行一线工作法，多元融合干群关系。</w:t>
      </w:r>
      <w:r>
        <w:rPr>
          <w:rFonts w:hint="eastAsia" w:ascii="仿宋_GB2312" w:hAnsi="仿宋_GB2312" w:eastAsia="仿宋_GB2312" w:cs="仿宋_GB2312"/>
          <w:color w:val="000000"/>
          <w:sz w:val="32"/>
          <w:szCs w:val="32"/>
        </w:rPr>
        <w:t>结合全县脱贫攻坚工作，</w:t>
      </w:r>
      <w:r>
        <w:rPr>
          <w:rFonts w:hint="eastAsia" w:ascii="仿宋_GB2312" w:hAnsi="仿宋_GB2312" w:eastAsia="仿宋_GB2312" w:cs="仿宋_GB2312"/>
          <w:color w:val="000000"/>
          <w:kern w:val="0"/>
          <w:sz w:val="32"/>
          <w:szCs w:val="32"/>
        </w:rPr>
        <w:t>到联系村开展社情民意大梳理、群众诉求</w:t>
      </w:r>
      <w:r>
        <w:rPr>
          <w:rFonts w:hint="eastAsia" w:ascii="仿宋_GB2312" w:hAnsi="仿宋_GB2312" w:eastAsia="仿宋_GB2312" w:cs="仿宋_GB2312"/>
          <w:color w:val="000000"/>
          <w:sz w:val="32"/>
          <w:szCs w:val="32"/>
        </w:rPr>
        <w:t>大研判、矛盾纠纷大化解、处理情况大反馈以及部门乡镇大联动工作。</w:t>
      </w:r>
      <w:r>
        <w:rPr>
          <w:rFonts w:hint="eastAsia" w:ascii="仿宋_GB2312" w:hAnsi="仿宋_GB2312" w:eastAsia="仿宋_GB2312" w:cs="仿宋_GB2312"/>
          <w:color w:val="000000"/>
          <w:kern w:val="0"/>
          <w:sz w:val="32"/>
          <w:szCs w:val="32"/>
        </w:rPr>
        <w:t>截至目前，县级领导、联乡包村部门和结对帮扶干部深入联系点</w:t>
      </w:r>
      <w:r>
        <w:rPr>
          <w:rFonts w:hint="eastAsia" w:ascii="仿宋_GB2312" w:hAnsi="仿宋_GB2312" w:eastAsia="仿宋_GB2312" w:cs="仿宋_GB2312"/>
          <w:color w:val="000000"/>
          <w:sz w:val="32"/>
          <w:szCs w:val="32"/>
        </w:rPr>
        <w:t>持续深化“两联一进”群众工作全覆盖和“户户访·人人忙”专题实践活动4场，全县信访等专业培训1场，紧扣惠民政策宣讲、脱贫攻坚摘帽、“两不愁三保障”回头看大排查、党风廉政建设和扫黑除恶专项斗争、合法有序信访等重点工作，在县委党校培训教室、深入田间地头、农户家中察民情、算民账、解民忧、聚民心，收集群众诉求953条，办结800余条，</w:t>
      </w:r>
      <w:r>
        <w:rPr>
          <w:rFonts w:hint="eastAsia" w:ascii="仿宋_GB2312" w:hAnsi="仿宋_GB2312" w:eastAsia="仿宋_GB2312" w:cs="仿宋_GB2312"/>
          <w:color w:val="000000"/>
          <w:kern w:val="0"/>
          <w:sz w:val="32"/>
          <w:szCs w:val="32"/>
        </w:rPr>
        <w:t>当场处理解决问题15条，现场解释答疑7条，有效从源头化解社会矛盾。</w:t>
      </w:r>
    </w:p>
    <w:p w14:paraId="4E32BEAC">
      <w:pPr>
        <w:spacing w:line="576" w:lineRule="exact"/>
        <w:ind w:firstLine="900" w:firstLineChars="250"/>
        <w:rPr>
          <w:rStyle w:val="29"/>
          <w:rFonts w:ascii="黑体" w:hAnsi="黑体" w:eastAsia="黑体" w:cs="Times New Roman"/>
          <w:b w:val="0"/>
          <w:bCs w:val="0"/>
          <w:sz w:val="36"/>
          <w:szCs w:val="36"/>
        </w:rPr>
      </w:pPr>
      <w:bookmarkStart w:id="20" w:name="_Toc15396601"/>
      <w:bookmarkStart w:id="21" w:name="_Toc15377200"/>
      <w:r>
        <w:rPr>
          <w:rFonts w:hint="eastAsia" w:ascii="黑体" w:hAnsi="黑体" w:eastAsia="黑体"/>
          <w:color w:val="000000"/>
          <w:sz w:val="36"/>
          <w:szCs w:val="36"/>
        </w:rPr>
        <w:t>二、机</w:t>
      </w:r>
      <w:r>
        <w:rPr>
          <w:rStyle w:val="29"/>
          <w:rFonts w:hint="eastAsia" w:ascii="黑体" w:hAnsi="黑体" w:eastAsia="黑体"/>
          <w:sz w:val="36"/>
          <w:szCs w:val="36"/>
        </w:rPr>
        <w:t>构设置</w:t>
      </w:r>
      <w:bookmarkEnd w:id="20"/>
      <w:bookmarkEnd w:id="21"/>
    </w:p>
    <w:p w14:paraId="5FF8327B">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一）办公室。承担电文、档案、保密、财务、目标考核、机要、资产管理、应急、信息、后勤等机关日常运转管理事项。负责承办综合性会议及重要文稿起草、机构编制、组织人事、工资管理、教育培训、党风廉政建设、意识形态等工作。</w:t>
      </w:r>
    </w:p>
    <w:p w14:paraId="4C1573CD">
      <w:pPr>
        <w:spacing w:line="560" w:lineRule="exact"/>
        <w:ind w:firstLine="640" w:firstLineChars="200"/>
        <w:rPr>
          <w:rFonts w:ascii="仿宋_GB2312" w:eastAsia="仿宋_GB2312"/>
          <w:color w:val="000000"/>
          <w:sz w:val="32"/>
          <w:szCs w:val="32"/>
        </w:rPr>
      </w:pPr>
      <w:r>
        <w:rPr>
          <w:rFonts w:hint="eastAsia" w:ascii="仿宋_GB2312" w:hAnsi="宋体" w:eastAsia="仿宋_GB2312"/>
          <w:color w:val="000000"/>
          <w:sz w:val="32"/>
          <w:szCs w:val="32"/>
        </w:rPr>
        <w:t>松潘县信访局所属事业单位的设置、职责和编制事项另行规定。</w:t>
      </w:r>
    </w:p>
    <w:p w14:paraId="2C6446CE">
      <w:pPr>
        <w:pStyle w:val="6"/>
        <w:adjustRightInd w:val="0"/>
        <w:snapToGrid w:val="0"/>
        <w:spacing w:before="93" w:line="576"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纳入信访局2020年度部门决算编制范围的二级预算单位包括：</w:t>
      </w:r>
    </w:p>
    <w:p w14:paraId="73E4E116">
      <w:pPr>
        <w:pStyle w:val="6"/>
        <w:adjustRightInd w:val="0"/>
        <w:snapToGrid w:val="0"/>
        <w:spacing w:before="93" w:line="576" w:lineRule="exact"/>
        <w:rPr>
          <w:rFonts w:ascii="仿宋" w:hAnsi="仿宋" w:eastAsia="仿宋"/>
          <w:color w:val="000000"/>
          <w:sz w:val="32"/>
          <w:szCs w:val="32"/>
        </w:rPr>
      </w:pPr>
      <w:r>
        <w:rPr>
          <w:rFonts w:hint="eastAsia" w:ascii="仿宋" w:hAnsi="仿宋" w:eastAsia="仿宋"/>
          <w:color w:val="000000"/>
          <w:sz w:val="32"/>
          <w:szCs w:val="32"/>
        </w:rPr>
        <w:t>无</w:t>
      </w:r>
    </w:p>
    <w:p w14:paraId="75886977">
      <w:pPr>
        <w:pStyle w:val="3"/>
        <w:spacing w:line="576" w:lineRule="exact"/>
        <w:jc w:val="center"/>
        <w:rPr>
          <w:rFonts w:hint="eastAsia" w:ascii="黑体" w:hAnsi="黑体" w:eastAsia="黑体"/>
          <w:b w:val="0"/>
        </w:rPr>
      </w:pPr>
      <w:bookmarkStart w:id="22" w:name="_Toc15377204"/>
      <w:bookmarkStart w:id="23" w:name="_Toc15396602"/>
      <w:r>
        <w:rPr>
          <w:rFonts w:hint="eastAsia" w:ascii="黑体" w:hAnsi="黑体" w:eastAsia="黑体"/>
          <w:b w:val="0"/>
        </w:rPr>
        <w:t xml:space="preserve">第二部分 </w:t>
      </w:r>
      <w:r>
        <w:rPr>
          <w:rFonts w:hint="eastAsia" w:ascii="黑体" w:hAnsi="黑体" w:eastAsia="黑体"/>
          <w:b w:val="0"/>
          <w:lang w:val="en-US" w:eastAsia="zh-CN"/>
        </w:rPr>
        <w:t>2020</w:t>
      </w:r>
      <w:r>
        <w:rPr>
          <w:rFonts w:hint="eastAsia" w:ascii="黑体" w:hAnsi="黑体" w:eastAsia="黑体"/>
          <w:b w:val="0"/>
        </w:rPr>
        <w:t>年度部门决算情况</w:t>
      </w:r>
      <w:r>
        <w:rPr>
          <w:rFonts w:hint="eastAsia" w:ascii="黑体" w:hAnsi="黑体" w:eastAsia="黑体"/>
          <w:b w:val="0"/>
          <w:lang w:eastAsia="zh-CN"/>
        </w:rPr>
        <w:t>说</w:t>
      </w:r>
      <w:r>
        <w:rPr>
          <w:rFonts w:hint="eastAsia" w:ascii="黑体" w:hAnsi="黑体" w:eastAsia="黑体"/>
          <w:b w:val="0"/>
        </w:rPr>
        <w:t>明</w:t>
      </w:r>
      <w:bookmarkEnd w:id="22"/>
      <w:bookmarkEnd w:id="23"/>
    </w:p>
    <w:p w14:paraId="5B51B87D">
      <w:pPr>
        <w:widowControl/>
        <w:spacing w:line="576" w:lineRule="exact"/>
        <w:ind w:firstLine="640" w:firstLineChars="200"/>
        <w:jc w:val="left"/>
        <w:rPr>
          <w:rStyle w:val="29"/>
          <w:rFonts w:ascii="仿宋" w:hAnsi="仿宋" w:eastAsia="仿宋" w:cs="Times New Roman"/>
          <w:b w:val="0"/>
          <w:bCs w:val="0"/>
          <w:color w:val="000000"/>
          <w:kern w:val="0"/>
        </w:rPr>
      </w:pPr>
      <w:bookmarkStart w:id="24" w:name="_Toc15377205"/>
      <w:bookmarkStart w:id="25" w:name="_Toc15396603"/>
      <w:r>
        <w:rPr>
          <w:rFonts w:hint="eastAsia" w:ascii="仿宋" w:hAnsi="仿宋" w:eastAsia="仿宋"/>
          <w:color w:val="000000"/>
          <w:kern w:val="0"/>
          <w:sz w:val="32"/>
          <w:szCs w:val="32"/>
        </w:rPr>
        <w:t>一、</w:t>
      </w:r>
      <w:r>
        <w:rPr>
          <w:rFonts w:hint="eastAsia" w:ascii="黑体" w:hAnsi="黑体" w:eastAsia="黑体"/>
          <w:color w:val="000000"/>
          <w:sz w:val="32"/>
          <w:szCs w:val="32"/>
        </w:rPr>
        <w:t>收</w:t>
      </w:r>
      <w:r>
        <w:rPr>
          <w:rStyle w:val="29"/>
          <w:rFonts w:hint="eastAsia" w:ascii="黑体" w:hAnsi="黑体" w:eastAsia="黑体"/>
          <w:b w:val="0"/>
        </w:rPr>
        <w:t>入支出决算总体情况说明</w:t>
      </w:r>
      <w:bookmarkEnd w:id="24"/>
      <w:bookmarkEnd w:id="25"/>
    </w:p>
    <w:p w14:paraId="18046959">
      <w:pPr>
        <w:snapToGrid w:val="0"/>
        <w:spacing w:line="578" w:lineRule="exact"/>
        <w:ind w:firstLine="640" w:firstLineChars="200"/>
        <w:rPr>
          <w:rFonts w:ascii="仿宋" w:hAnsi="仿宋" w:eastAsia="仿宋"/>
          <w:color w:val="000000"/>
          <w:sz w:val="32"/>
          <w:szCs w:val="32"/>
        </w:rPr>
      </w:pPr>
      <w:bookmarkStart w:id="26" w:name="_Toc15377206"/>
      <w:bookmarkStart w:id="27" w:name="_Toc15396604"/>
      <w:r>
        <w:rPr>
          <w:rFonts w:hint="eastAsia" w:ascii="仿宋" w:hAnsi="仿宋" w:eastAsia="仿宋"/>
          <w:color w:val="000000"/>
          <w:sz w:val="32"/>
          <w:szCs w:val="32"/>
        </w:rPr>
        <w:t>2020年财政拨款收入196.31万元，支出196.31万元，2019年财政拨款收入187.21万元，支出189.21万元；与2019年度相比财政拨款收入增加9.1万元，支出增加9.1万元，增加的主要原因住房公积金纳入了收入支出。</w:t>
      </w:r>
    </w:p>
    <w:p w14:paraId="420697AD">
      <w:pPr>
        <w:pStyle w:val="27"/>
        <w:spacing w:line="576" w:lineRule="exact"/>
        <w:ind w:firstLine="640"/>
        <w:outlineLvl w:val="1"/>
        <w:rPr>
          <w:rStyle w:val="29"/>
          <w:rFonts w:ascii="黑体" w:hAnsi="黑体" w:eastAsia="黑体"/>
          <w:b w:val="0"/>
        </w:rPr>
      </w:pPr>
      <w:r>
        <w:rPr>
          <w:rFonts w:hint="eastAsia" w:ascii="黑体" w:hAnsi="黑体" w:eastAsia="黑体"/>
          <w:color w:val="000000"/>
          <w:sz w:val="32"/>
          <w:szCs w:val="32"/>
        </w:rPr>
        <w:t>二、收</w:t>
      </w:r>
      <w:r>
        <w:rPr>
          <w:rStyle w:val="29"/>
          <w:rFonts w:hint="eastAsia" w:ascii="黑体" w:hAnsi="黑体" w:eastAsia="黑体"/>
          <w:b w:val="0"/>
        </w:rPr>
        <w:t>入决算情况说明</w:t>
      </w:r>
      <w:bookmarkEnd w:id="26"/>
      <w:bookmarkEnd w:id="27"/>
    </w:p>
    <w:p w14:paraId="19DB5B5A">
      <w:pPr>
        <w:spacing w:line="576"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20年本年收入合计196.31万元，其中：一般公共预算财政拨款收入196.31元，占100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；政府性基金预算财政拨款收入0万元；国有资本经营预算财政拨款收入0万元，占；事业收入0万元；经营收入0万元，占；附属单位上缴收入0万元，；其他收入0万元。</w:t>
      </w:r>
    </w:p>
    <w:p w14:paraId="1B7235FC">
      <w:pPr>
        <w:spacing w:line="576" w:lineRule="exact"/>
        <w:ind w:firstLine="640" w:firstLineChars="200"/>
        <w:rPr>
          <w:rStyle w:val="29"/>
          <w:rFonts w:ascii="仿宋" w:hAnsi="仿宋" w:eastAsia="仿宋" w:cs="Times New Roman"/>
          <w:b w:val="0"/>
          <w:bCs w:val="0"/>
          <w:color w:val="000000" w:themeColor="text1"/>
        </w:rPr>
      </w:pPr>
      <w:bookmarkStart w:id="28" w:name="_Toc15377207"/>
      <w:bookmarkStart w:id="29" w:name="_Toc15396605"/>
      <w:r>
        <w:rPr>
          <w:rFonts w:hint="eastAsia" w:ascii="黑体" w:hAnsi="黑体" w:eastAsia="黑体"/>
          <w:color w:val="000000"/>
          <w:sz w:val="32"/>
          <w:szCs w:val="32"/>
        </w:rPr>
        <w:t>三、支</w:t>
      </w:r>
      <w:r>
        <w:rPr>
          <w:rStyle w:val="29"/>
          <w:rFonts w:hint="eastAsia" w:ascii="黑体" w:hAnsi="黑体" w:eastAsia="黑体"/>
          <w:b w:val="0"/>
        </w:rPr>
        <w:t>出决算情况说明</w:t>
      </w:r>
      <w:bookmarkEnd w:id="28"/>
      <w:bookmarkEnd w:id="29"/>
    </w:p>
    <w:p w14:paraId="19D1BE28">
      <w:pPr>
        <w:spacing w:line="576" w:lineRule="exact"/>
        <w:ind w:firstLine="640"/>
        <w:rPr>
          <w:rFonts w:ascii="仿宋" w:hAnsi="仿宋" w:eastAsia="仿宋"/>
          <w:color w:val="000000"/>
          <w:sz w:val="32"/>
          <w:szCs w:val="32"/>
          <w:shd w:val="pct10" w:color="auto" w:fill="FFFFFF"/>
        </w:rPr>
      </w:pPr>
      <w:r>
        <w:rPr>
          <w:rFonts w:ascii="仿宋" w:hAnsi="仿宋" w:eastAsia="仿宋"/>
          <w:color w:val="000000"/>
          <w:sz w:val="32"/>
          <w:szCs w:val="32"/>
        </w:rPr>
        <w:t>20</w:t>
      </w:r>
      <w:r>
        <w:rPr>
          <w:rFonts w:hint="eastAsia" w:ascii="仿宋" w:hAnsi="仿宋" w:eastAsia="仿宋"/>
          <w:color w:val="000000"/>
          <w:sz w:val="32"/>
          <w:szCs w:val="32"/>
        </w:rPr>
        <w:t>20年本年支出合计196.31万元，其中：基本支出176.51万元，占100</w:t>
      </w:r>
      <w:r>
        <w:rPr>
          <w:rFonts w:ascii="仿宋" w:hAnsi="仿宋" w:eastAsia="仿宋"/>
          <w:color w:val="000000"/>
          <w:sz w:val="32"/>
          <w:szCs w:val="32"/>
        </w:rPr>
        <w:t>%</w:t>
      </w:r>
      <w:r>
        <w:rPr>
          <w:rFonts w:hint="eastAsia" w:ascii="仿宋" w:hAnsi="仿宋" w:eastAsia="仿宋"/>
          <w:color w:val="000000"/>
          <w:sz w:val="32"/>
          <w:szCs w:val="32"/>
        </w:rPr>
        <w:t>；项目支出19.8万元；上缴上级支出0万元；经营支出0万元；对附属单位补助支出0万元。</w:t>
      </w:r>
    </w:p>
    <w:p w14:paraId="1A2AEDB1">
      <w:pPr>
        <w:spacing w:line="576" w:lineRule="exact"/>
        <w:ind w:firstLine="640" w:firstLineChars="200"/>
        <w:rPr>
          <w:rStyle w:val="29"/>
          <w:rFonts w:ascii="仿宋" w:hAnsi="仿宋" w:eastAsia="仿宋" w:cs="Times New Roman"/>
          <w:b w:val="0"/>
          <w:bCs w:val="0"/>
          <w:color w:val="000000" w:themeColor="text1"/>
        </w:rPr>
      </w:pPr>
      <w:r>
        <w:rPr>
          <w:rFonts w:hint="eastAsia" w:ascii="仿宋" w:hAnsi="仿宋" w:eastAsia="仿宋"/>
          <w:color w:val="000000" w:themeColor="text1"/>
          <w:sz w:val="32"/>
          <w:szCs w:val="32"/>
        </w:rPr>
        <w:t xml:space="preserve"> </w:t>
      </w:r>
      <w:bookmarkStart w:id="30" w:name="_Toc15377208"/>
      <w:bookmarkStart w:id="31" w:name="_Toc15396606"/>
      <w:r>
        <w:rPr>
          <w:rFonts w:hint="eastAsia" w:ascii="黑体" w:hAnsi="黑体" w:eastAsia="黑体"/>
          <w:color w:val="000000"/>
          <w:sz w:val="32"/>
          <w:szCs w:val="32"/>
        </w:rPr>
        <w:t>四、财</w:t>
      </w:r>
      <w:r>
        <w:rPr>
          <w:rStyle w:val="29"/>
          <w:rFonts w:hint="eastAsia" w:ascii="黑体" w:hAnsi="黑体" w:eastAsia="黑体"/>
          <w:b w:val="0"/>
        </w:rPr>
        <w:t>政拨款收入支出决算总体情况说明</w:t>
      </w:r>
      <w:bookmarkEnd w:id="30"/>
      <w:bookmarkEnd w:id="31"/>
    </w:p>
    <w:p w14:paraId="77CDCD58">
      <w:pPr>
        <w:spacing w:line="576" w:lineRule="exact"/>
        <w:ind w:firstLine="640" w:firstLineChars="20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20年财政拨款收、支总计万392.32元。与</w:t>
      </w:r>
      <w:r>
        <w:rPr>
          <w:rFonts w:ascii="仿宋" w:hAnsi="仿宋" w:eastAsia="仿宋"/>
          <w:color w:val="000000"/>
          <w:sz w:val="32"/>
          <w:szCs w:val="32"/>
        </w:rPr>
        <w:t>20</w:t>
      </w:r>
      <w:r>
        <w:rPr>
          <w:rFonts w:hint="eastAsia" w:ascii="仿宋" w:hAnsi="仿宋" w:eastAsia="仿宋"/>
          <w:color w:val="000000"/>
          <w:sz w:val="32"/>
          <w:szCs w:val="32"/>
        </w:rPr>
        <w:t>19年相比，收入增加9.1增加4</w:t>
      </w:r>
      <w:r>
        <w:rPr>
          <w:rFonts w:ascii="仿宋" w:hAnsi="仿宋" w:eastAsia="仿宋"/>
          <w:color w:val="000000"/>
          <w:sz w:val="32"/>
          <w:szCs w:val="32"/>
        </w:rPr>
        <w:t>%</w:t>
      </w:r>
      <w:r>
        <w:rPr>
          <w:rFonts w:hint="eastAsia" w:ascii="仿宋" w:hAnsi="仿宋" w:eastAsia="仿宋"/>
          <w:color w:val="000000"/>
          <w:sz w:val="32"/>
          <w:szCs w:val="32"/>
        </w:rPr>
        <w:t>，支出总计增加9.1万元，增加4</w:t>
      </w:r>
      <w:r>
        <w:rPr>
          <w:rFonts w:ascii="仿宋" w:hAnsi="仿宋" w:eastAsia="仿宋"/>
          <w:color w:val="000000"/>
          <w:sz w:val="32"/>
          <w:szCs w:val="32"/>
        </w:rPr>
        <w:t>%</w:t>
      </w:r>
      <w:r>
        <w:rPr>
          <w:rFonts w:hint="eastAsia" w:ascii="仿宋" w:hAnsi="仿宋" w:eastAsia="仿宋"/>
          <w:color w:val="000000"/>
          <w:sz w:val="32"/>
          <w:szCs w:val="32"/>
        </w:rPr>
        <w:t>。</w:t>
      </w:r>
      <w:bookmarkStart w:id="32" w:name="_Toc15396607"/>
      <w:bookmarkStart w:id="33" w:name="_Toc15377209"/>
      <w:r>
        <w:rPr>
          <w:rFonts w:hint="eastAsia" w:ascii="仿宋" w:hAnsi="仿宋" w:eastAsia="仿宋"/>
          <w:color w:val="000000"/>
          <w:sz w:val="32"/>
          <w:szCs w:val="32"/>
        </w:rPr>
        <w:t>增加的主要原因20年住房公积金纳入了收入支出</w:t>
      </w:r>
    </w:p>
    <w:p w14:paraId="5196FD5A">
      <w:pPr>
        <w:spacing w:line="576" w:lineRule="exact"/>
        <w:ind w:firstLine="640" w:firstLineChars="200"/>
        <w:rPr>
          <w:rStyle w:val="29"/>
          <w:rFonts w:ascii="仿宋" w:hAnsi="仿宋" w:eastAsia="仿宋" w:cs="Times New Roman"/>
          <w:bCs w:val="0"/>
          <w:color w:val="00B050"/>
        </w:rPr>
      </w:pPr>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9"/>
          <w:rFonts w:hint="eastAsia" w:ascii="黑体" w:hAnsi="黑体" w:eastAsia="黑体"/>
          <w:b w:val="0"/>
        </w:rPr>
        <w:t>般公共预算财政拨款支出决算情况说明</w:t>
      </w:r>
      <w:bookmarkEnd w:id="32"/>
      <w:bookmarkEnd w:id="33"/>
      <w:bookmarkStart w:id="34" w:name="_Toc15377210"/>
    </w:p>
    <w:p w14:paraId="40F17FEA">
      <w:pPr>
        <w:spacing w:line="576" w:lineRule="exact"/>
        <w:ind w:firstLine="640"/>
        <w:rPr>
          <w:rFonts w:ascii="楷体_GB2312" w:hAnsi="楷体_GB2312" w:eastAsia="楷体_GB2312" w:cs="楷体_GB2312"/>
          <w:b/>
          <w:color w:val="00B050"/>
          <w:sz w:val="32"/>
          <w:szCs w:val="32"/>
        </w:rPr>
      </w:pPr>
      <w:r>
        <w:rPr>
          <w:rFonts w:hint="eastAsia" w:ascii="楷体_GB2312" w:hAnsi="楷体_GB2312" w:eastAsia="楷体_GB2312" w:cs="楷体_GB2312"/>
          <w:b/>
          <w:color w:val="000000"/>
          <w:sz w:val="32"/>
          <w:szCs w:val="32"/>
        </w:rPr>
        <w:t>（一）一般公共预算财政拨款支出决算总体情况</w:t>
      </w:r>
      <w:bookmarkEnd w:id="34"/>
    </w:p>
    <w:p w14:paraId="043FF539">
      <w:pPr>
        <w:spacing w:line="576"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9年一般公共预算财政拨款支出196.31万元，占本年支出合计的100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9年相比，一般公共预算财政拨款增加9.1、增长4</w:t>
      </w:r>
      <w:r>
        <w:rPr>
          <w:rFonts w:ascii="仿宋" w:hAnsi="仿宋" w:eastAsia="仿宋"/>
          <w:color w:val="000000"/>
          <w:sz w:val="32"/>
          <w:szCs w:val="32"/>
        </w:rPr>
        <w:t>%</w:t>
      </w:r>
      <w:r>
        <w:rPr>
          <w:rFonts w:hint="eastAsia" w:ascii="仿宋" w:hAnsi="仿宋" w:eastAsia="仿宋"/>
          <w:color w:val="000000"/>
          <w:sz w:val="32"/>
          <w:szCs w:val="32"/>
        </w:rPr>
        <w:t>，支出总计</w:t>
      </w:r>
      <w:bookmarkStart w:id="35" w:name="_Toc15377211"/>
      <w:r>
        <w:rPr>
          <w:rFonts w:hint="eastAsia" w:ascii="仿宋" w:hAnsi="仿宋" w:eastAsia="仿宋"/>
          <w:color w:val="000000"/>
          <w:sz w:val="32"/>
          <w:szCs w:val="32"/>
        </w:rPr>
        <w:t>增加支出增加9. 1万元，增加的主要原因20年住房公积金纳入了收入支出。</w:t>
      </w:r>
    </w:p>
    <w:p w14:paraId="4FF41E87">
      <w:pPr>
        <w:spacing w:line="576" w:lineRule="exact"/>
        <w:ind w:firstLine="643" w:firstLineChars="200"/>
        <w:rPr>
          <w:rFonts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（二）一般公共预算财政拨款支出决算结构情况</w:t>
      </w:r>
      <w:bookmarkEnd w:id="35"/>
    </w:p>
    <w:p w14:paraId="2142911E">
      <w:pPr>
        <w:spacing w:line="576" w:lineRule="exact"/>
        <w:ind w:firstLine="640"/>
        <w:rPr>
          <w:rFonts w:ascii="仿宋" w:hAnsi="仿宋" w:eastAsia="仿宋"/>
          <w:color w:val="000000" w:themeColor="text1"/>
          <w:sz w:val="32"/>
          <w:szCs w:val="32"/>
        </w:rPr>
      </w:pPr>
      <w:r>
        <w:rPr>
          <w:rFonts w:ascii="仿宋" w:hAnsi="仿宋" w:eastAsia="仿宋"/>
          <w:color w:val="000000"/>
          <w:sz w:val="32"/>
          <w:szCs w:val="32"/>
        </w:rPr>
        <w:t>20</w:t>
      </w:r>
      <w:r>
        <w:rPr>
          <w:rFonts w:hint="eastAsia" w:ascii="仿宋" w:hAnsi="仿宋" w:eastAsia="仿宋"/>
          <w:color w:val="000000"/>
          <w:sz w:val="32"/>
          <w:szCs w:val="32"/>
        </w:rPr>
        <w:t>20年一般公共预算财</w:t>
      </w:r>
      <w:r>
        <w:rPr>
          <w:rFonts w:hint="eastAsia" w:ascii="仿宋" w:hAnsi="仿宋" w:eastAsia="仿宋"/>
          <w:color w:val="000000" w:themeColor="text1"/>
          <w:sz w:val="32"/>
          <w:szCs w:val="32"/>
        </w:rPr>
        <w:t>政拨款支出196.31万元，主要用于以下方面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一般公共服务（类）</w:t>
      </w:r>
      <w:r>
        <w:rPr>
          <w:rFonts w:hint="eastAsia" w:ascii="仿宋" w:hAnsi="仿宋" w:eastAsia="仿宋"/>
          <w:color w:val="000000" w:themeColor="text1"/>
          <w:sz w:val="32"/>
          <w:szCs w:val="32"/>
        </w:rPr>
        <w:t>支出159.21万元，占81</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 xml:space="preserve"> 社会保障和就业（类）</w:t>
      </w:r>
      <w:r>
        <w:rPr>
          <w:rFonts w:hint="eastAsia" w:ascii="仿宋" w:hAnsi="仿宋" w:eastAsia="仿宋"/>
          <w:color w:val="000000" w:themeColor="text1"/>
          <w:sz w:val="32"/>
          <w:szCs w:val="32"/>
        </w:rPr>
        <w:t>支出15.33万元，占8</w:t>
      </w:r>
      <w:r>
        <w:rPr>
          <w:rFonts w:ascii="仿宋" w:hAnsi="仿宋" w:eastAsia="仿宋"/>
          <w:color w:val="000000" w:themeColor="text1"/>
          <w:sz w:val="32"/>
          <w:szCs w:val="32"/>
        </w:rPr>
        <w:t>%</w:t>
      </w:r>
      <w:r>
        <w:rPr>
          <w:rFonts w:hint="eastAsia" w:ascii="仿宋" w:hAnsi="仿宋" w:eastAsia="仿宋"/>
          <w:color w:val="000000" w:themeColor="text1"/>
          <w:sz w:val="32"/>
          <w:szCs w:val="32"/>
        </w:rPr>
        <w:t>；医疗卫生支出8.54万元，占5</w:t>
      </w:r>
      <w:r>
        <w:rPr>
          <w:rFonts w:ascii="仿宋" w:hAnsi="仿宋" w:eastAsia="仿宋"/>
          <w:color w:val="000000" w:themeColor="text1"/>
          <w:sz w:val="32"/>
          <w:szCs w:val="32"/>
        </w:rPr>
        <w:t>%</w:t>
      </w:r>
      <w:r>
        <w:rPr>
          <w:rFonts w:hint="eastAsia" w:ascii="仿宋" w:hAnsi="仿宋" w:eastAsia="仿宋"/>
          <w:color w:val="000000" w:themeColor="text1"/>
          <w:sz w:val="32"/>
          <w:szCs w:val="32"/>
        </w:rPr>
        <w:t>；住房保障支出13.23万元，占6</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14:paraId="2AE119A0">
      <w:pPr>
        <w:spacing w:line="576" w:lineRule="exact"/>
        <w:ind w:firstLine="643" w:firstLineChars="200"/>
        <w:rPr>
          <w:rFonts w:ascii="楷体_GB2312" w:hAnsi="楷体_GB2312" w:eastAsia="楷体_GB2312" w:cs="楷体_GB2312"/>
          <w:color w:val="000000"/>
          <w:sz w:val="32"/>
          <w:szCs w:val="32"/>
        </w:rPr>
      </w:pPr>
      <w:bookmarkStart w:id="36" w:name="_Toc15377212"/>
      <w:r>
        <w:rPr>
          <w:rFonts w:hint="eastAsia" w:ascii="楷体_GB2312" w:hAnsi="楷体_GB2312" w:eastAsia="楷体_GB2312" w:cs="楷体_GB2312"/>
          <w:b/>
          <w:color w:val="000000"/>
          <w:sz w:val="32"/>
          <w:szCs w:val="32"/>
        </w:rPr>
        <w:t>（三）一般公共预算财政拨款支出决算具体情况</w:t>
      </w:r>
      <w:bookmarkEnd w:id="36"/>
    </w:p>
    <w:p w14:paraId="6E06F29F">
      <w:pPr>
        <w:spacing w:line="576" w:lineRule="exact"/>
        <w:ind w:firstLine="643" w:firstLineChars="200"/>
        <w:outlineLvl w:val="2"/>
        <w:rPr>
          <w:rFonts w:ascii="仿宋" w:hAnsi="仿宋" w:eastAsia="仿宋"/>
          <w:color w:val="FF0000"/>
          <w:sz w:val="32"/>
          <w:szCs w:val="32"/>
        </w:rPr>
      </w:pPr>
      <w:bookmarkStart w:id="37" w:name="_Toc15377444"/>
      <w:bookmarkStart w:id="38" w:name="_Toc15377213"/>
      <w:bookmarkStart w:id="39" w:name="_Toc15378460"/>
      <w:r>
        <w:rPr>
          <w:rFonts w:hint="eastAsia" w:ascii="仿宋" w:hAnsi="仿宋" w:eastAsia="仿宋"/>
          <w:b/>
          <w:color w:val="000000" w:themeColor="text1"/>
          <w:sz w:val="32"/>
          <w:szCs w:val="32"/>
        </w:rPr>
        <w:t>2020年一般公共预算支出决算数为196.31元</w:t>
      </w:r>
      <w:r>
        <w:rPr>
          <w:rFonts w:hint="eastAsia" w:ascii="仿宋" w:hAnsi="仿宋" w:eastAsia="仿宋"/>
          <w:color w:val="000000" w:themeColor="text1"/>
          <w:sz w:val="32"/>
          <w:szCs w:val="32"/>
        </w:rPr>
        <w:t>，</w:t>
      </w:r>
      <w:r>
        <w:rPr>
          <w:rStyle w:val="18"/>
          <w:rFonts w:hint="eastAsia" w:ascii="仿宋" w:hAnsi="仿宋" w:eastAsia="仿宋"/>
          <w:bCs/>
          <w:color w:val="000000" w:themeColor="text1"/>
          <w:sz w:val="32"/>
          <w:szCs w:val="32"/>
        </w:rPr>
        <w:t>完成</w:t>
      </w:r>
      <w:r>
        <w:rPr>
          <w:rStyle w:val="18"/>
          <w:rFonts w:hint="eastAsia" w:ascii="仿宋" w:hAnsi="仿宋" w:eastAsia="仿宋"/>
          <w:bCs/>
          <w:color w:val="000000"/>
          <w:sz w:val="32"/>
          <w:szCs w:val="32"/>
        </w:rPr>
        <w:t>预算100</w:t>
      </w:r>
      <w:r>
        <w:rPr>
          <w:rStyle w:val="18"/>
          <w:rFonts w:ascii="仿宋" w:hAnsi="仿宋" w:eastAsia="仿宋"/>
          <w:bCs/>
          <w:color w:val="000000"/>
          <w:sz w:val="32"/>
          <w:szCs w:val="32"/>
        </w:rPr>
        <w:t>%</w:t>
      </w:r>
      <w:r>
        <w:rPr>
          <w:rStyle w:val="18"/>
          <w:rFonts w:hint="eastAsia" w:ascii="仿宋" w:hAnsi="仿宋" w:eastAsia="仿宋"/>
          <w:bCs/>
          <w:color w:val="000000"/>
          <w:sz w:val="32"/>
          <w:szCs w:val="32"/>
        </w:rPr>
        <w:t>。其中：</w:t>
      </w:r>
      <w:bookmarkEnd w:id="37"/>
      <w:bookmarkEnd w:id="38"/>
      <w:bookmarkEnd w:id="39"/>
    </w:p>
    <w:p w14:paraId="395EB660">
      <w:pPr>
        <w:spacing w:line="576" w:lineRule="exact"/>
        <w:ind w:firstLine="645"/>
        <w:rPr>
          <w:rFonts w:ascii="仿宋" w:hAnsi="仿宋" w:eastAsia="仿宋"/>
          <w:color w:val="000000"/>
          <w:sz w:val="32"/>
          <w:szCs w:val="32"/>
        </w:rPr>
      </w:pPr>
      <w:r>
        <w:rPr>
          <w:rStyle w:val="18"/>
          <w:rFonts w:ascii="仿宋" w:hAnsi="仿宋" w:eastAsia="仿宋"/>
          <w:bCs/>
          <w:color w:val="000000"/>
          <w:sz w:val="32"/>
          <w:szCs w:val="32"/>
        </w:rPr>
        <w:t>1.</w:t>
      </w:r>
      <w:r>
        <w:rPr>
          <w:rStyle w:val="18"/>
          <w:rFonts w:hint="eastAsia" w:ascii="仿宋" w:hAnsi="仿宋" w:eastAsia="仿宋"/>
          <w:bCs/>
          <w:color w:val="000000"/>
          <w:sz w:val="32"/>
          <w:szCs w:val="32"/>
        </w:rPr>
        <w:t>一般公共服务支出</w:t>
      </w:r>
      <w:r>
        <w:rPr>
          <w:rFonts w:hint="eastAsia" w:ascii="仿宋" w:hAnsi="仿宋" w:eastAsia="仿宋"/>
          <w:color w:val="000000"/>
          <w:sz w:val="32"/>
          <w:szCs w:val="32"/>
        </w:rPr>
        <w:t>2010301;</w:t>
      </w:r>
      <w:r>
        <w:rPr>
          <w:rStyle w:val="18"/>
          <w:rFonts w:hint="eastAsia" w:ascii="仿宋" w:hAnsi="仿宋" w:eastAsia="仿宋"/>
          <w:b w:val="0"/>
          <w:bCs/>
          <w:color w:val="000000"/>
          <w:sz w:val="32"/>
          <w:szCs w:val="32"/>
        </w:rPr>
        <w:t>支出决算为</w:t>
      </w:r>
      <w:r>
        <w:rPr>
          <w:rFonts w:hint="eastAsia" w:ascii="仿宋" w:hAnsi="仿宋" w:eastAsia="仿宋"/>
          <w:color w:val="000000"/>
          <w:sz w:val="32"/>
          <w:szCs w:val="32"/>
        </w:rPr>
        <w:t>139.41</w:t>
      </w:r>
      <w:r>
        <w:rPr>
          <w:rStyle w:val="18"/>
          <w:rFonts w:hint="eastAsia" w:ascii="仿宋" w:hAnsi="仿宋" w:eastAsia="仿宋"/>
          <w:b w:val="0"/>
          <w:bCs/>
          <w:color w:val="000000"/>
          <w:sz w:val="32"/>
          <w:szCs w:val="32"/>
        </w:rPr>
        <w:t>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，等于预算数 。</w:t>
      </w:r>
    </w:p>
    <w:p w14:paraId="181A3C89">
      <w:pPr>
        <w:spacing w:line="576"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2住房保障支出</w:t>
      </w:r>
      <w:r>
        <w:rPr>
          <w:rFonts w:hint="eastAsia" w:ascii="仿宋" w:hAnsi="仿宋" w:eastAsia="仿宋"/>
          <w:color w:val="000000"/>
          <w:sz w:val="32"/>
          <w:szCs w:val="32"/>
        </w:rPr>
        <w:t>2210201；为13.23万元</w:t>
      </w:r>
    </w:p>
    <w:p w14:paraId="39CAFE00">
      <w:pPr>
        <w:spacing w:line="576" w:lineRule="exact"/>
        <w:ind w:firstLine="643" w:firstLineChars="200"/>
        <w:rPr>
          <w:rFonts w:ascii="仿宋" w:hAnsi="仿宋" w:eastAsia="仿宋"/>
          <w:b/>
          <w:color w:val="000000"/>
          <w:sz w:val="32"/>
          <w:szCs w:val="32"/>
        </w:rPr>
      </w:pPr>
      <w:r>
        <w:rPr>
          <w:rStyle w:val="18"/>
          <w:rFonts w:ascii="仿宋" w:hAnsi="仿宋" w:eastAsia="仿宋"/>
          <w:bCs/>
          <w:color w:val="000000"/>
          <w:sz w:val="32"/>
          <w:szCs w:val="32"/>
        </w:rPr>
        <w:t>5.</w:t>
      </w:r>
      <w:r>
        <w:rPr>
          <w:rStyle w:val="18"/>
          <w:rFonts w:hint="eastAsia" w:ascii="仿宋" w:hAnsi="仿宋" w:eastAsia="仿宋"/>
          <w:bCs/>
          <w:color w:val="000000"/>
          <w:sz w:val="32"/>
          <w:szCs w:val="32"/>
        </w:rPr>
        <w:t>社会保障和就业</w:t>
      </w:r>
      <w:r>
        <w:rPr>
          <w:rFonts w:hint="eastAsia" w:ascii="仿宋" w:hAnsi="仿宋" w:eastAsia="仿宋"/>
          <w:color w:val="000000"/>
          <w:sz w:val="32"/>
          <w:szCs w:val="32"/>
        </w:rPr>
        <w:t>2080505：机关事业单位基本养老保险缴费支出15.33万元，</w:t>
      </w:r>
      <w:r>
        <w:rPr>
          <w:rStyle w:val="18"/>
          <w:rFonts w:hint="eastAsia" w:ascii="仿宋" w:hAnsi="仿宋" w:eastAsia="仿宋"/>
          <w:b w:val="0"/>
          <w:bCs/>
          <w:color w:val="000000"/>
          <w:sz w:val="32"/>
          <w:szCs w:val="32"/>
        </w:rPr>
        <w:t xml:space="preserve"> 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 等于预算数 。</w:t>
      </w:r>
    </w:p>
    <w:p w14:paraId="3F012BD6">
      <w:pPr>
        <w:spacing w:line="576" w:lineRule="exact"/>
        <w:ind w:firstLine="643" w:firstLineChars="200"/>
        <w:rPr>
          <w:rStyle w:val="18"/>
          <w:rFonts w:ascii="仿宋" w:hAnsi="仿宋" w:eastAsia="仿宋"/>
          <w:b w:val="0"/>
          <w:bCs/>
          <w:color w:val="000000"/>
          <w:sz w:val="32"/>
          <w:szCs w:val="32"/>
        </w:rPr>
      </w:pPr>
      <w:r>
        <w:rPr>
          <w:rStyle w:val="18"/>
          <w:rFonts w:ascii="仿宋" w:hAnsi="仿宋" w:eastAsia="仿宋"/>
          <w:bCs/>
          <w:color w:val="000000"/>
          <w:sz w:val="32"/>
          <w:szCs w:val="32"/>
        </w:rPr>
        <w:t>6.</w:t>
      </w:r>
      <w:r>
        <w:rPr>
          <w:rStyle w:val="18"/>
          <w:rFonts w:hint="eastAsia" w:ascii="仿宋" w:hAnsi="仿宋" w:eastAsia="仿宋"/>
          <w:bCs/>
          <w:color w:val="000000"/>
          <w:sz w:val="32"/>
          <w:szCs w:val="32"/>
        </w:rPr>
        <w:t xml:space="preserve">医疗卫生与计划生育 </w:t>
      </w:r>
      <w:r>
        <w:rPr>
          <w:rStyle w:val="18"/>
          <w:rFonts w:ascii="仿宋" w:hAnsi="仿宋" w:eastAsia="仿宋"/>
          <w:bCs/>
          <w:color w:val="000000"/>
          <w:sz w:val="32"/>
          <w:szCs w:val="32"/>
        </w:rPr>
        <w:t>:</w:t>
      </w:r>
      <w:r>
        <w:rPr>
          <w:rFonts w:hint="eastAsia" w:ascii="仿宋" w:hAnsi="仿宋" w:eastAsia="仿宋"/>
          <w:color w:val="000000"/>
          <w:sz w:val="32"/>
          <w:szCs w:val="32"/>
        </w:rPr>
        <w:t xml:space="preserve"> （其中2101101行政单位医疗4.37万元，2101102事业单位医疗3.24，2101103公务员医疗救助0.93万元），</w:t>
      </w:r>
      <w:r>
        <w:rPr>
          <w:rStyle w:val="18"/>
          <w:rFonts w:hint="eastAsia" w:ascii="仿宋" w:hAnsi="仿宋" w:eastAsia="仿宋"/>
          <w:b w:val="0"/>
          <w:bCs/>
          <w:color w:val="000000"/>
          <w:sz w:val="32"/>
          <w:szCs w:val="32"/>
        </w:rPr>
        <w:t>支出决算为8.54万元，完成预算100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 等于预算数 。</w:t>
      </w:r>
    </w:p>
    <w:p w14:paraId="7C15EE45">
      <w:pPr>
        <w:tabs>
          <w:tab w:val="left" w:pos="4965"/>
        </w:tabs>
        <w:spacing w:line="576" w:lineRule="exact"/>
        <w:ind w:firstLine="643" w:firstLineChars="200"/>
        <w:rPr>
          <w:rFonts w:ascii="仿宋" w:hAnsi="仿宋" w:eastAsia="仿宋"/>
          <w:color w:val="000000"/>
          <w:sz w:val="32"/>
          <w:szCs w:val="32"/>
        </w:rPr>
      </w:pPr>
      <w:r>
        <w:rPr>
          <w:rStyle w:val="18"/>
          <w:rFonts w:hint="eastAsia" w:ascii="仿宋" w:hAnsi="仿宋" w:eastAsia="仿宋"/>
          <w:bCs/>
          <w:color w:val="000000"/>
          <w:sz w:val="32"/>
          <w:szCs w:val="32"/>
        </w:rPr>
        <w:t>7.一般行政管理和事务：</w:t>
      </w:r>
      <w:r>
        <w:rPr>
          <w:rFonts w:hint="eastAsia" w:ascii="仿宋" w:hAnsi="仿宋" w:eastAsia="仿宋"/>
          <w:color w:val="000000"/>
          <w:sz w:val="32"/>
          <w:szCs w:val="32"/>
        </w:rPr>
        <w:t>2103602其他商品和服务支出3万元。</w:t>
      </w:r>
    </w:p>
    <w:p w14:paraId="30CD6E6E">
      <w:pPr>
        <w:tabs>
          <w:tab w:val="left" w:pos="4965"/>
        </w:tabs>
        <w:spacing w:line="576" w:lineRule="exact"/>
        <w:ind w:firstLine="643" w:firstLineChars="200"/>
        <w:rPr>
          <w:rFonts w:ascii="仿宋" w:hAnsi="仿宋" w:eastAsia="仿宋"/>
          <w:b/>
          <w:color w:val="000000"/>
          <w:sz w:val="32"/>
          <w:szCs w:val="32"/>
        </w:rPr>
      </w:pPr>
      <w:r>
        <w:rPr>
          <w:rStyle w:val="18"/>
          <w:rFonts w:hint="eastAsia" w:ascii="仿宋" w:hAnsi="仿宋" w:eastAsia="仿宋"/>
          <w:bCs/>
          <w:color w:val="000000"/>
          <w:sz w:val="32"/>
          <w:szCs w:val="32"/>
        </w:rPr>
        <w:t>8.</w:t>
      </w:r>
      <w:r>
        <w:rPr>
          <w:rStyle w:val="18"/>
          <w:rFonts w:hint="eastAsia" w:ascii="仿宋" w:hAnsi="仿宋" w:eastAsia="仿宋"/>
          <w:b w:val="0"/>
          <w:bCs/>
          <w:color w:val="000000"/>
          <w:sz w:val="32"/>
          <w:szCs w:val="32"/>
        </w:rPr>
        <w:t>信访事务：</w:t>
      </w:r>
      <w:r>
        <w:rPr>
          <w:rFonts w:hint="eastAsia" w:ascii="仿宋" w:hAnsi="仿宋" w:eastAsia="仿宋"/>
          <w:b/>
          <w:color w:val="000000"/>
          <w:sz w:val="32"/>
          <w:szCs w:val="32"/>
        </w:rPr>
        <w:t xml:space="preserve"> 2010308其他商品和服务支出19.8万元。</w:t>
      </w:r>
    </w:p>
    <w:p w14:paraId="2AE9AD79">
      <w:pPr>
        <w:tabs>
          <w:tab w:val="left" w:pos="4965"/>
        </w:tabs>
        <w:spacing w:line="576" w:lineRule="exact"/>
        <w:ind w:firstLine="643" w:firstLineChars="200"/>
        <w:rPr>
          <w:rFonts w:ascii="仿宋" w:hAnsi="仿宋" w:eastAsia="仿宋"/>
          <w:b/>
          <w:color w:val="000000"/>
          <w:sz w:val="32"/>
          <w:szCs w:val="32"/>
        </w:rPr>
      </w:pPr>
    </w:p>
    <w:p w14:paraId="7FD02D21">
      <w:pPr>
        <w:tabs>
          <w:tab w:val="right" w:pos="8306"/>
        </w:tabs>
        <w:spacing w:line="576" w:lineRule="exact"/>
        <w:ind w:firstLine="640" w:firstLineChars="200"/>
        <w:outlineLvl w:val="1"/>
        <w:rPr>
          <w:rStyle w:val="29"/>
        </w:rPr>
      </w:pPr>
      <w:bookmarkStart w:id="40" w:name="_Toc15396608"/>
      <w:bookmarkStart w:id="4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9"/>
          <w:rFonts w:hint="eastAsia" w:ascii="黑体" w:hAnsi="黑体" w:eastAsia="黑体"/>
          <w:b w:val="0"/>
        </w:rPr>
        <w:t>般公共预算财政拨款基本支出决算情况说明</w:t>
      </w:r>
      <w:bookmarkEnd w:id="40"/>
      <w:bookmarkEnd w:id="41"/>
      <w:r>
        <w:rPr>
          <w:rStyle w:val="29"/>
          <w:rFonts w:ascii="黑体" w:hAnsi="黑体" w:eastAsia="黑体"/>
          <w:b w:val="0"/>
        </w:rPr>
        <w:tab/>
      </w:r>
    </w:p>
    <w:p w14:paraId="75FC25FB">
      <w:pPr>
        <w:spacing w:line="576" w:lineRule="exact"/>
        <w:ind w:firstLine="645"/>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20年一般公共预算财政拨款基本支出176.52万元，其中：</w:t>
      </w:r>
    </w:p>
    <w:p w14:paraId="2B6FCD29">
      <w:pPr>
        <w:spacing w:line="576" w:lineRule="exact"/>
        <w:ind w:firstLine="645"/>
        <w:rPr>
          <w:rFonts w:ascii="仿宋" w:hAnsi="仿宋" w:eastAsia="仿宋"/>
          <w:color w:val="000000"/>
          <w:sz w:val="32"/>
          <w:szCs w:val="32"/>
        </w:rPr>
      </w:pPr>
      <w:r>
        <w:rPr>
          <w:rFonts w:hint="eastAsia" w:ascii="仿宋" w:hAnsi="仿宋" w:eastAsia="仿宋"/>
          <w:color w:val="000000"/>
          <w:sz w:val="32"/>
          <w:szCs w:val="32"/>
        </w:rPr>
        <w:t>人员经费151.25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xml:space="preserve">　　公用经费25.27万元，主要包括：办公费、印刷费、咨、                </w:t>
      </w:r>
    </w:p>
    <w:p w14:paraId="7E5D6774">
      <w:pPr>
        <w:spacing w:line="576" w:lineRule="exact"/>
        <w:ind w:firstLine="645"/>
        <w:rPr>
          <w:rFonts w:ascii="仿宋" w:hAnsi="仿宋" w:eastAsia="仿宋"/>
          <w:color w:val="000000"/>
          <w:sz w:val="32"/>
          <w:szCs w:val="32"/>
        </w:rPr>
      </w:pPr>
      <w:r>
        <w:rPr>
          <w:rFonts w:hint="eastAsia" w:ascii="仿宋" w:hAnsi="仿宋" w:eastAsia="仿宋"/>
          <w:color w:val="000000"/>
          <w:sz w:val="32"/>
          <w:szCs w:val="32"/>
        </w:rPr>
        <w:t>2010301行政运行一般公共服务支出139.41万元，2010308信访事务项目支出19.8万元。</w:t>
      </w:r>
    </w:p>
    <w:p w14:paraId="1EDD6BD0">
      <w:pPr>
        <w:spacing w:line="576" w:lineRule="exact"/>
        <w:ind w:firstLine="645"/>
        <w:rPr>
          <w:rFonts w:ascii="仿宋" w:hAnsi="仿宋" w:eastAsia="仿宋"/>
          <w:b/>
          <w:color w:val="FF0000"/>
          <w:sz w:val="32"/>
          <w:szCs w:val="32"/>
        </w:rPr>
      </w:pPr>
      <w:r>
        <w:rPr>
          <w:rFonts w:hint="eastAsia" w:ascii="仿宋" w:hAnsi="仿宋" w:eastAsia="仿宋"/>
          <w:color w:val="000000"/>
          <w:sz w:val="32"/>
          <w:szCs w:val="32"/>
        </w:rPr>
        <w:t>2080505机关事业单位基本养老保险缴费支出15.33万元，医疗卫生和计划生育支出8.54万元（其中2101101行政单位医疗4.37万元，2101102事业单位医疗3.24，2101103公务员医疗救助0.93万元），221住房保障支出2210201住房公积金13.23万元，一般行政管理和事务支出（2103602）3万元</w:t>
      </w:r>
    </w:p>
    <w:p w14:paraId="1BEDB438">
      <w:pPr>
        <w:spacing w:line="576" w:lineRule="exact"/>
        <w:ind w:firstLine="640"/>
        <w:outlineLvl w:val="1"/>
        <w:rPr>
          <w:rStyle w:val="29"/>
          <w:rFonts w:ascii="黑体" w:hAnsi="黑体" w:eastAsia="黑体"/>
          <w:b w:val="0"/>
        </w:rPr>
      </w:pPr>
      <w:bookmarkStart w:id="42" w:name="_Toc15396609"/>
      <w:bookmarkStart w:id="43" w:name="_Toc15377215"/>
      <w:r>
        <w:rPr>
          <w:rStyle w:val="29"/>
          <w:rFonts w:hint="eastAsia" w:ascii="黑体" w:hAnsi="黑体" w:eastAsia="黑体"/>
          <w:b w:val="0"/>
          <w:bCs w:val="0"/>
        </w:rPr>
        <w:t>七、“</w:t>
      </w:r>
      <w:r>
        <w:rPr>
          <w:rStyle w:val="29"/>
          <w:rFonts w:hint="eastAsia" w:ascii="黑体" w:hAnsi="黑体" w:eastAsia="黑体"/>
          <w:b w:val="0"/>
        </w:rPr>
        <w:t>三公”经费财政拨款支出决算情况说明</w:t>
      </w:r>
      <w:bookmarkEnd w:id="42"/>
      <w:bookmarkEnd w:id="43"/>
    </w:p>
    <w:p w14:paraId="326DCBDC">
      <w:pPr>
        <w:spacing w:line="576" w:lineRule="exact"/>
        <w:ind w:firstLine="640"/>
        <w:outlineLvl w:val="2"/>
        <w:rPr>
          <w:rFonts w:ascii="楷体_GB2312" w:hAnsi="楷体_GB2312" w:eastAsia="楷体_GB2312" w:cs="楷体_GB2312"/>
          <w:b/>
          <w:color w:val="000000"/>
          <w:sz w:val="32"/>
          <w:szCs w:val="32"/>
        </w:rPr>
      </w:pPr>
      <w:bookmarkStart w:id="44" w:name="_Toc15377216"/>
      <w:r>
        <w:rPr>
          <w:rFonts w:hint="eastAsia" w:ascii="楷体_GB2312" w:hAnsi="楷体_GB2312" w:eastAsia="楷体_GB2312" w:cs="楷体_GB2312"/>
          <w:b/>
          <w:color w:val="000000"/>
          <w:sz w:val="32"/>
          <w:szCs w:val="32"/>
        </w:rPr>
        <w:t>（一）“三公”经费财政拨款支出决算总体情况说明</w:t>
      </w:r>
      <w:bookmarkEnd w:id="44"/>
    </w:p>
    <w:p w14:paraId="0253D24A">
      <w:pPr>
        <w:spacing w:line="576"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20年“三公”经费财政拨款支出决算为7.48万元，决算数与预算数持平）的主要原因是严格按照中央、省、州的相关规定厉行节约。</w:t>
      </w:r>
    </w:p>
    <w:p w14:paraId="5DEEAFB6">
      <w:pPr>
        <w:spacing w:line="576" w:lineRule="exact"/>
        <w:ind w:firstLine="640"/>
        <w:rPr>
          <w:rFonts w:ascii="楷体_GB2312" w:hAnsi="楷体_GB2312" w:eastAsia="楷体_GB2312" w:cs="楷体_GB2312"/>
          <w:b/>
          <w:color w:val="000000" w:themeColor="text1"/>
          <w:sz w:val="32"/>
          <w:szCs w:val="32"/>
        </w:rPr>
      </w:pPr>
      <w:r>
        <w:rPr>
          <w:rFonts w:hint="eastAsia" w:ascii="仿宋" w:hAnsi="仿宋" w:eastAsia="仿宋"/>
          <w:b/>
          <w:color w:val="000000"/>
          <w:sz w:val="32"/>
          <w:szCs w:val="32"/>
        </w:rPr>
        <w:t xml:space="preserve"> </w:t>
      </w:r>
      <w:bookmarkStart w:id="45" w:name="_Toc15377217"/>
      <w:r>
        <w:rPr>
          <w:rFonts w:hint="eastAsia" w:ascii="楷体_GB2312" w:hAnsi="楷体_GB2312" w:eastAsia="楷体_GB2312" w:cs="楷体_GB2312"/>
          <w:b/>
          <w:color w:val="000000"/>
          <w:sz w:val="32"/>
          <w:szCs w:val="32"/>
        </w:rPr>
        <w:t>（二）“三公”经费财政拨款支出决算具体情况说明</w:t>
      </w:r>
      <w:bookmarkEnd w:id="45"/>
    </w:p>
    <w:p w14:paraId="6EF58685">
      <w:pPr>
        <w:spacing w:line="576"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20年“三公”经费财政拨款支出决算中，因公出国（境）费支出决算0万元， 公务用车购置及运行维护费支出决算7.2万元，占96</w:t>
      </w:r>
      <w:r>
        <w:rPr>
          <w:rFonts w:ascii="仿宋" w:hAnsi="仿宋" w:eastAsia="仿宋"/>
          <w:color w:val="000000"/>
          <w:sz w:val="32"/>
          <w:szCs w:val="32"/>
        </w:rPr>
        <w:t>%</w:t>
      </w:r>
      <w:r>
        <w:rPr>
          <w:rFonts w:hint="eastAsia" w:ascii="仿宋" w:hAnsi="仿宋" w:eastAsia="仿宋"/>
          <w:color w:val="000000"/>
          <w:sz w:val="32"/>
          <w:szCs w:val="32"/>
        </w:rPr>
        <w:t>；公务接待费支出决算0.28万元，占0.03</w:t>
      </w:r>
      <w:r>
        <w:rPr>
          <w:rFonts w:ascii="仿宋" w:hAnsi="仿宋" w:eastAsia="仿宋"/>
          <w:color w:val="000000"/>
          <w:sz w:val="32"/>
          <w:szCs w:val="32"/>
        </w:rPr>
        <w:t>%</w:t>
      </w:r>
      <w:r>
        <w:rPr>
          <w:rFonts w:hint="eastAsia" w:ascii="仿宋" w:hAnsi="仿宋" w:eastAsia="仿宋"/>
          <w:color w:val="000000"/>
          <w:sz w:val="32"/>
          <w:szCs w:val="32"/>
        </w:rPr>
        <w:t>。具体情况如下：</w:t>
      </w:r>
    </w:p>
    <w:p w14:paraId="50DD9F0A">
      <w:pPr>
        <w:spacing w:line="576" w:lineRule="exact"/>
        <w:ind w:firstLine="640"/>
        <w:rPr>
          <w:rFonts w:ascii="仿宋" w:hAnsi="仿宋" w:eastAsia="仿宋"/>
          <w:color w:val="000000"/>
          <w:sz w:val="32"/>
          <w:szCs w:val="32"/>
        </w:rPr>
      </w:pPr>
      <w:r>
        <w:rPr>
          <w:rFonts w:hint="eastAsia" w:ascii="仿宋" w:hAnsi="仿宋" w:eastAsia="仿宋"/>
          <w:color w:val="000000"/>
          <w:sz w:val="32"/>
          <w:szCs w:val="32"/>
        </w:rPr>
        <w:t xml:space="preserve"> </w:t>
      </w: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8"/>
          <w:rFonts w:hint="eastAsia" w:ascii="仿宋" w:hAnsi="仿宋" w:eastAsia="仿宋"/>
          <w:b w:val="0"/>
          <w:bCs/>
          <w:color w:val="000000"/>
          <w:sz w:val="32"/>
          <w:szCs w:val="32"/>
        </w:rPr>
        <w:t xml:space="preserve"> </w:t>
      </w:r>
      <w:r>
        <w:rPr>
          <w:rFonts w:hint="eastAsia" w:ascii="仿宋_GB2312" w:eastAsia="仿宋_GB2312"/>
          <w:color w:val="000000"/>
          <w:sz w:val="32"/>
          <w:szCs w:val="32"/>
        </w:rPr>
        <w:t>全年安排因公出国（境）团组0次，出国（境）0人。因公出国（境）支出决算比</w:t>
      </w:r>
      <w:r>
        <w:rPr>
          <w:rFonts w:ascii="仿宋_GB2312" w:eastAsia="仿宋_GB2312"/>
          <w:color w:val="000000"/>
          <w:sz w:val="32"/>
          <w:szCs w:val="32"/>
        </w:rPr>
        <w:t>20</w:t>
      </w:r>
      <w:r>
        <w:rPr>
          <w:rFonts w:hint="eastAsia" w:ascii="仿宋_GB2312" w:eastAsia="仿宋_GB2312"/>
          <w:color w:val="000000"/>
          <w:sz w:val="32"/>
          <w:szCs w:val="32"/>
        </w:rPr>
        <w:t>19年增加 0万元 。</w:t>
      </w:r>
      <w:r>
        <w:rPr>
          <w:rFonts w:hint="eastAsia" w:ascii="仿宋" w:hAnsi="仿宋" w:eastAsia="仿宋"/>
          <w:color w:val="000000"/>
          <w:sz w:val="32"/>
          <w:szCs w:val="32"/>
        </w:rPr>
        <w:t>主要原因是严格按照中央、省、州的相关规定厉行节约，严格控制接待规模及接待标准。</w:t>
      </w:r>
    </w:p>
    <w:p w14:paraId="22542D32">
      <w:pPr>
        <w:spacing w:line="576" w:lineRule="exact"/>
        <w:ind w:firstLine="640" w:firstLineChars="200"/>
        <w:rPr>
          <w:rFonts w:ascii="仿宋" w:hAnsi="仿宋" w:eastAsia="仿宋"/>
          <w:color w:val="000000"/>
          <w:sz w:val="32"/>
          <w:szCs w:val="32"/>
        </w:rPr>
      </w:pPr>
      <w:r>
        <w:rPr>
          <w:rFonts w:hint="eastAsia" w:ascii="仿宋_GB2312" w:eastAsia="仿宋_GB2312"/>
          <w:color w:val="000000"/>
          <w:sz w:val="32"/>
          <w:szCs w:val="32"/>
        </w:rPr>
        <w:t xml:space="preserve"> </w:t>
      </w: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7.2万元,</w:t>
      </w:r>
      <w:r>
        <w:rPr>
          <w:rStyle w:val="18"/>
          <w:rFonts w:hint="eastAsia" w:ascii="仿宋" w:hAnsi="仿宋" w:eastAsia="仿宋"/>
          <w:b w:val="0"/>
          <w:bCs/>
          <w:color w:val="000000"/>
          <w:sz w:val="32"/>
          <w:szCs w:val="32"/>
        </w:rPr>
        <w:t>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w:t>
      </w:r>
      <w:r>
        <w:rPr>
          <w:rFonts w:hint="eastAsia" w:ascii="仿宋_GB2312" w:eastAsia="仿宋_GB2312"/>
          <w:color w:val="000000"/>
          <w:sz w:val="32"/>
          <w:szCs w:val="32"/>
        </w:rPr>
        <w:t>19年增加0万元，</w:t>
      </w:r>
      <w:r>
        <w:rPr>
          <w:rFonts w:hint="eastAsia" w:ascii="仿宋" w:hAnsi="仿宋" w:eastAsia="仿宋"/>
          <w:color w:val="000000"/>
          <w:sz w:val="32"/>
          <w:szCs w:val="32"/>
        </w:rPr>
        <w:t>主要原因是严格按照中央、省、州的相关规定厉行节约，严格控制接待规模及接待标准。</w:t>
      </w:r>
    </w:p>
    <w:p w14:paraId="16DF4B92">
      <w:pPr>
        <w:spacing w:line="576" w:lineRule="exact"/>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0万元。全年按规定更新购置公务用车0辆，其中：轿车0辆、金额0万元，越野车0辆、金额0万元，载客汽车0辆、金额0元。截至</w:t>
      </w:r>
      <w:r>
        <w:rPr>
          <w:rFonts w:ascii="仿宋_GB2312" w:eastAsia="仿宋_GB2312"/>
          <w:color w:val="000000"/>
          <w:sz w:val="32"/>
          <w:szCs w:val="32"/>
        </w:rPr>
        <w:t>20</w:t>
      </w:r>
      <w:r>
        <w:rPr>
          <w:rFonts w:hint="eastAsia" w:ascii="仿宋_GB2312" w:eastAsia="仿宋_GB2312"/>
          <w:color w:val="000000"/>
          <w:sz w:val="32"/>
          <w:szCs w:val="32"/>
        </w:rPr>
        <w:t>20年</w:t>
      </w:r>
      <w:r>
        <w:rPr>
          <w:rFonts w:ascii="仿宋_GB2312" w:eastAsia="仿宋_GB2312"/>
          <w:color w:val="000000"/>
          <w:sz w:val="32"/>
          <w:szCs w:val="32"/>
        </w:rPr>
        <w:t>12</w:t>
      </w:r>
      <w:r>
        <w:rPr>
          <w:rFonts w:hint="eastAsia" w:ascii="仿宋_GB2312" w:eastAsia="仿宋_GB2312"/>
          <w:color w:val="000000"/>
          <w:sz w:val="32"/>
          <w:szCs w:val="32"/>
        </w:rPr>
        <w:t>月底，单位共有公务用车1辆，其中：轿车0辆、越野车1辆、载客汽车0辆。</w:t>
      </w:r>
    </w:p>
    <w:p w14:paraId="3E5F9CAE">
      <w:pPr>
        <w:spacing w:line="576"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7.2万元。主要用于单位开展工作协调信访事项、维稳、精准扶贫下乡等所需的公务用车燃料费、维修费、过路过桥费、保险费等支出。</w:t>
      </w:r>
    </w:p>
    <w:p w14:paraId="19E8E4A0">
      <w:pPr>
        <w:spacing w:line="576" w:lineRule="exact"/>
        <w:ind w:firstLine="640"/>
        <w:rPr>
          <w:rFonts w:ascii="仿宋" w:hAnsi="仿宋" w:eastAsia="仿宋"/>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0.28万元，</w:t>
      </w:r>
      <w:r>
        <w:rPr>
          <w:rStyle w:val="18"/>
          <w:rFonts w:hint="eastAsia" w:ascii="仿宋" w:hAnsi="仿宋" w:eastAsia="仿宋"/>
          <w:b w:val="0"/>
          <w:bCs/>
          <w:color w:val="000000"/>
          <w:sz w:val="32"/>
          <w:szCs w:val="32"/>
        </w:rPr>
        <w:t>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w:t>
      </w:r>
      <w:r>
        <w:rPr>
          <w:rFonts w:hint="eastAsia" w:ascii="仿宋_GB2312" w:eastAsia="仿宋_GB2312"/>
          <w:color w:val="000000"/>
          <w:sz w:val="32"/>
          <w:szCs w:val="32"/>
        </w:rPr>
        <w:t>19 无增减，主要原因</w:t>
      </w:r>
      <w:r>
        <w:rPr>
          <w:rFonts w:hint="eastAsia" w:ascii="仿宋" w:hAnsi="仿宋" w:eastAsia="仿宋"/>
          <w:color w:val="000000"/>
          <w:sz w:val="32"/>
          <w:szCs w:val="32"/>
        </w:rPr>
        <w:t>是严格按照中央、省、州的相关规定厉行节约，压缩“三公”经费。</w:t>
      </w:r>
    </w:p>
    <w:p w14:paraId="2A4B7DBA">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主要用于执行公务、开展业务活动开支的交通费、住宿费、用餐费等。国内公务接待3批次，20人次（不包括陪同人员），共计支出0.28万元，具体内容包括： 州信访局到松潘信访维稳餐费0.2万元，接待上访户餐费0.08万元。其中：</w:t>
      </w:r>
    </w:p>
    <w:p w14:paraId="7B0C8454">
      <w:pPr>
        <w:spacing w:line="576" w:lineRule="exact"/>
        <w:ind w:firstLine="643" w:firstLineChars="200"/>
        <w:rPr>
          <w:rFonts w:ascii="仿宋_GB2312" w:eastAsia="仿宋_GB2312"/>
          <w:color w:val="000000" w:themeColor="text1"/>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rPr>
        <w:t>，外事接待0批次，0人，共计支出0万元。</w:t>
      </w:r>
    </w:p>
    <w:p w14:paraId="20F8DE56">
      <w:pPr>
        <w:spacing w:line="576" w:lineRule="exact"/>
        <w:ind w:firstLine="640"/>
        <w:rPr>
          <w:rFonts w:ascii="黑体" w:eastAsia="黑体"/>
          <w:color w:val="000000"/>
          <w:sz w:val="32"/>
          <w:szCs w:val="32"/>
        </w:rPr>
      </w:pPr>
      <w:r>
        <w:rPr>
          <w:rFonts w:hint="eastAsia" w:ascii="仿宋" w:hAnsi="仿宋" w:eastAsia="仿宋"/>
          <w:b/>
          <w:color w:val="000000"/>
          <w:sz w:val="32"/>
          <w:szCs w:val="32"/>
        </w:rPr>
        <w:t>其他国内公务接待支出</w:t>
      </w:r>
      <w:r>
        <w:rPr>
          <w:rFonts w:hint="eastAsia" w:ascii="仿宋" w:hAnsi="仿宋" w:eastAsia="仿宋"/>
          <w:color w:val="000000"/>
          <w:sz w:val="32"/>
          <w:szCs w:val="32"/>
        </w:rPr>
        <w:t>0.28</w:t>
      </w:r>
      <w:r>
        <w:rPr>
          <w:rFonts w:hint="eastAsia" w:ascii="仿宋_GB2312" w:eastAsia="仿宋_GB2312"/>
          <w:color w:val="000000"/>
          <w:sz w:val="32"/>
          <w:szCs w:val="32"/>
        </w:rPr>
        <w:t>万元，主要用于 州信访局到松潘信访维稳餐费0.2万元，接待上访户餐费0.08万元。</w:t>
      </w:r>
      <w:bookmarkStart w:id="46" w:name="_Toc15396610"/>
      <w:bookmarkStart w:id="47" w:name="_Toc15377218"/>
    </w:p>
    <w:p w14:paraId="4D7E202A">
      <w:pPr>
        <w:spacing w:line="576" w:lineRule="exact"/>
        <w:ind w:firstLine="640"/>
        <w:outlineLvl w:val="1"/>
        <w:rPr>
          <w:rStyle w:val="29"/>
          <w:rFonts w:ascii="黑体" w:hAnsi="黑体" w:eastAsia="黑体"/>
        </w:rPr>
      </w:pPr>
      <w:r>
        <w:rPr>
          <w:rFonts w:hint="eastAsia" w:ascii="黑体" w:eastAsia="黑体"/>
          <w:color w:val="000000"/>
          <w:sz w:val="32"/>
          <w:szCs w:val="32"/>
        </w:rPr>
        <w:t>八、</w:t>
      </w:r>
      <w:r>
        <w:rPr>
          <w:rStyle w:val="29"/>
          <w:rFonts w:hint="eastAsia" w:ascii="黑体" w:hAnsi="黑体" w:eastAsia="黑体"/>
          <w:b w:val="0"/>
        </w:rPr>
        <w:t>政府性基金预算支出决算情况说明</w:t>
      </w:r>
      <w:bookmarkEnd w:id="46"/>
      <w:bookmarkEnd w:id="47"/>
    </w:p>
    <w:p w14:paraId="7CF763A0">
      <w:pPr>
        <w:spacing w:line="576"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8年政府性基金预算拨款支出0万元。</w:t>
      </w:r>
    </w:p>
    <w:p w14:paraId="566378E6">
      <w:pPr>
        <w:numPr>
          <w:ilvl w:val="0"/>
          <w:numId w:val="1"/>
        </w:numPr>
        <w:spacing w:line="576" w:lineRule="exact"/>
        <w:ind w:firstLine="640"/>
        <w:outlineLvl w:val="1"/>
        <w:rPr>
          <w:rStyle w:val="29"/>
          <w:rFonts w:ascii="黑体" w:hAnsi="黑体" w:eastAsia="黑体"/>
          <w:b w:val="0"/>
        </w:rPr>
      </w:pPr>
      <w:bookmarkStart w:id="48" w:name="_Toc15396611"/>
      <w:bookmarkStart w:id="49" w:name="_Toc15377219"/>
      <w:r>
        <w:rPr>
          <w:rStyle w:val="29"/>
          <w:rFonts w:hint="eastAsia" w:ascii="黑体" w:hAnsi="黑体" w:eastAsia="黑体"/>
          <w:b w:val="0"/>
        </w:rPr>
        <w:t>国有资本经营预算支出决算情况说明</w:t>
      </w:r>
      <w:bookmarkEnd w:id="48"/>
      <w:bookmarkEnd w:id="49"/>
    </w:p>
    <w:p w14:paraId="6E2D7034">
      <w:pPr>
        <w:spacing w:line="576"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8年国有资本经营预算拨款支出0万元。</w:t>
      </w:r>
    </w:p>
    <w:p w14:paraId="0251CA2C">
      <w:pPr>
        <w:spacing w:line="576" w:lineRule="exact"/>
        <w:ind w:firstLine="640" w:firstLineChars="200"/>
        <w:outlineLvl w:val="1"/>
        <w:rPr>
          <w:rStyle w:val="29"/>
          <w:rFonts w:ascii="黑体" w:hAnsi="黑体" w:eastAsia="黑体"/>
        </w:rPr>
      </w:pPr>
      <w:bookmarkStart w:id="50" w:name="_Toc15396612"/>
      <w:bookmarkStart w:id="51" w:name="_Toc15377221"/>
      <w:r>
        <w:rPr>
          <w:rFonts w:hint="eastAsia" w:ascii="黑体" w:hAnsi="黑体" w:eastAsia="黑体"/>
          <w:color w:val="000000"/>
          <w:sz w:val="32"/>
          <w:szCs w:val="32"/>
        </w:rPr>
        <w:t>十</w:t>
      </w:r>
      <w:r>
        <w:rPr>
          <w:rStyle w:val="29"/>
          <w:rFonts w:hint="eastAsia" w:ascii="黑体" w:hAnsi="黑体" w:eastAsia="黑体"/>
        </w:rPr>
        <w:t>、</w:t>
      </w:r>
      <w:r>
        <w:rPr>
          <w:rStyle w:val="29"/>
          <w:rFonts w:hint="eastAsia" w:ascii="黑体" w:hAnsi="黑体" w:eastAsia="黑体"/>
          <w:b w:val="0"/>
        </w:rPr>
        <w:t>其他重要事项的情况说明</w:t>
      </w:r>
      <w:bookmarkEnd w:id="50"/>
      <w:bookmarkEnd w:id="51"/>
    </w:p>
    <w:p w14:paraId="0702132A">
      <w:pPr>
        <w:spacing w:line="576" w:lineRule="exact"/>
        <w:ind w:firstLine="643" w:firstLineChars="200"/>
        <w:outlineLvl w:val="2"/>
        <w:rPr>
          <w:rFonts w:ascii="楷体_GB2312" w:hAnsi="楷体_GB2312" w:eastAsia="楷体_GB2312" w:cs="楷体_GB2312"/>
          <w:color w:val="000000"/>
          <w:sz w:val="32"/>
          <w:szCs w:val="32"/>
        </w:rPr>
      </w:pPr>
      <w:bookmarkStart w:id="52" w:name="_Toc15377222"/>
      <w:r>
        <w:rPr>
          <w:rFonts w:hint="eastAsia" w:ascii="楷体_GB2312" w:hAnsi="楷体_GB2312" w:eastAsia="楷体_GB2312" w:cs="楷体_GB2312"/>
          <w:b/>
          <w:color w:val="000000"/>
          <w:sz w:val="32"/>
          <w:szCs w:val="32"/>
        </w:rPr>
        <w:t>（一）机关运行经费支出情况</w:t>
      </w:r>
      <w:bookmarkEnd w:id="52"/>
    </w:p>
    <w:p w14:paraId="693AD096">
      <w:pPr>
        <w:spacing w:line="576" w:lineRule="exact"/>
        <w:ind w:firstLine="640"/>
        <w:rPr>
          <w:rFonts w:ascii="仿宋" w:hAnsi="仿宋" w:eastAsia="仿宋"/>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20年，信访局机关运行经费支出25.26万元，比</w:t>
      </w:r>
      <w:r>
        <w:rPr>
          <w:rFonts w:ascii="仿宋_GB2312" w:eastAsia="仿宋_GB2312"/>
          <w:color w:val="000000"/>
          <w:sz w:val="32"/>
          <w:szCs w:val="32"/>
        </w:rPr>
        <w:t>201</w:t>
      </w:r>
      <w:r>
        <w:rPr>
          <w:rFonts w:hint="eastAsia" w:ascii="仿宋_GB2312" w:eastAsia="仿宋_GB2312"/>
          <w:color w:val="000000"/>
          <w:sz w:val="32"/>
          <w:szCs w:val="32"/>
        </w:rPr>
        <w:t>9年减少18.6万元，减少的</w:t>
      </w:r>
      <w:r>
        <w:rPr>
          <w:rFonts w:hint="eastAsia" w:ascii="仿宋" w:hAnsi="仿宋" w:eastAsia="仿宋"/>
          <w:color w:val="000000"/>
          <w:sz w:val="32"/>
          <w:szCs w:val="32"/>
        </w:rPr>
        <w:t>主要原因20年无项目建设创建人民满意度窗 ，严格按照中央、省、州的相关规定厉行节约，压缩“三公”经费。</w:t>
      </w:r>
    </w:p>
    <w:p w14:paraId="329E0BC9">
      <w:pPr>
        <w:spacing w:line="576" w:lineRule="exact"/>
        <w:ind w:firstLine="640" w:firstLineChars="200"/>
        <w:rPr>
          <w:rFonts w:ascii="仿宋_GB2312" w:eastAsia="仿宋_GB2312"/>
          <w:color w:val="000000" w:themeColor="text1"/>
          <w:sz w:val="32"/>
          <w:szCs w:val="32"/>
        </w:rPr>
      </w:pPr>
    </w:p>
    <w:p w14:paraId="5416BA0F">
      <w:pPr>
        <w:spacing w:line="576" w:lineRule="exact"/>
        <w:ind w:firstLine="640"/>
        <w:rPr>
          <w:rFonts w:ascii="楷体_GB2312" w:hAnsi="楷体_GB2312" w:eastAsia="楷体_GB2312" w:cs="楷体_GB2312"/>
          <w:b/>
          <w:color w:val="000000"/>
          <w:sz w:val="32"/>
          <w:szCs w:val="32"/>
        </w:rPr>
      </w:pPr>
      <w:r>
        <w:rPr>
          <w:rFonts w:hint="eastAsia" w:ascii="仿宋" w:hAnsi="仿宋" w:eastAsia="仿宋"/>
          <w:b/>
          <w:color w:val="000000"/>
          <w:sz w:val="32"/>
          <w:szCs w:val="32"/>
        </w:rPr>
        <w:t xml:space="preserve"> </w:t>
      </w:r>
      <w:bookmarkStart w:id="53" w:name="_Toc15377223"/>
      <w:r>
        <w:rPr>
          <w:rFonts w:hint="eastAsia" w:ascii="楷体_GB2312" w:hAnsi="楷体_GB2312" w:eastAsia="楷体_GB2312" w:cs="楷体_GB2312"/>
          <w:b/>
          <w:color w:val="000000"/>
          <w:sz w:val="32"/>
          <w:szCs w:val="32"/>
        </w:rPr>
        <w:t>（二）政府采购支出情况</w:t>
      </w:r>
      <w:bookmarkEnd w:id="53"/>
    </w:p>
    <w:p w14:paraId="3580A80F">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8年， 无政府采购。</w:t>
      </w:r>
    </w:p>
    <w:p w14:paraId="5861B134">
      <w:pPr>
        <w:autoSpaceDE w:val="0"/>
        <w:autoSpaceDN w:val="0"/>
        <w:adjustRightInd w:val="0"/>
        <w:spacing w:line="576" w:lineRule="exact"/>
        <w:ind w:firstLine="643" w:firstLineChars="200"/>
        <w:jc w:val="left"/>
        <w:outlineLvl w:val="2"/>
        <w:rPr>
          <w:rFonts w:ascii="楷体_GB2312" w:hAnsi="楷体_GB2312" w:eastAsia="楷体_GB2312" w:cs="楷体_GB2312"/>
          <w:b/>
          <w:color w:val="000000"/>
          <w:sz w:val="32"/>
          <w:szCs w:val="32"/>
        </w:rPr>
      </w:pPr>
      <w:r>
        <w:rPr>
          <w:rFonts w:hint="eastAsia" w:ascii="仿宋" w:hAnsi="仿宋" w:eastAsia="仿宋"/>
          <w:b/>
          <w:color w:val="000000"/>
          <w:sz w:val="32"/>
          <w:szCs w:val="32"/>
        </w:rPr>
        <w:t xml:space="preserve"> </w:t>
      </w:r>
      <w:bookmarkStart w:id="54" w:name="_Toc15377224"/>
      <w:r>
        <w:rPr>
          <w:rFonts w:hint="eastAsia" w:ascii="楷体_GB2312" w:hAnsi="楷体_GB2312" w:eastAsia="楷体_GB2312" w:cs="楷体_GB2312"/>
          <w:b/>
          <w:color w:val="000000"/>
          <w:sz w:val="32"/>
          <w:szCs w:val="32"/>
        </w:rPr>
        <w:t>（三）国有资产占有使用情况</w:t>
      </w:r>
      <w:bookmarkEnd w:id="54"/>
    </w:p>
    <w:p w14:paraId="45FF6A50">
      <w:pPr>
        <w:autoSpaceDE w:val="0"/>
        <w:autoSpaceDN w:val="0"/>
        <w:adjustRightInd w:val="0"/>
        <w:spacing w:line="576"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rPr>
        <w:t>20年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日，信访局共有车辆1辆，其中：部级领导干部用车0辆、一般公务用车1辆、一般执法执勤用车0辆、特种专业技术用车0辆、其他用车0辆，</w:t>
      </w:r>
      <w:r>
        <w:rPr>
          <w:rFonts w:hint="eastAsia" w:ascii="仿宋_GB2312" w:eastAsia="仿宋_GB2312"/>
          <w:color w:val="000000" w:themeColor="text1"/>
          <w:sz w:val="32"/>
          <w:szCs w:val="32"/>
        </w:rPr>
        <w:t>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万元以上通用设备0台，单价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万元以上专用设备0台。</w:t>
      </w:r>
    </w:p>
    <w:p w14:paraId="23CECC18">
      <w:pPr>
        <w:spacing w:line="576" w:lineRule="exact"/>
        <w:ind w:firstLine="643" w:firstLineChars="200"/>
        <w:rPr>
          <w:rFonts w:ascii="仿宋_GB2312" w:eastAsia="仿宋_GB2312"/>
          <w:b/>
          <w:color w:val="000000"/>
          <w:sz w:val="32"/>
          <w:szCs w:val="32"/>
        </w:rPr>
      </w:pPr>
      <w:r>
        <w:rPr>
          <w:rFonts w:hint="eastAsia" w:ascii="仿宋" w:hAnsi="仿宋" w:eastAsia="仿宋"/>
          <w:b/>
          <w:color w:val="000000"/>
          <w:sz w:val="32"/>
          <w:szCs w:val="32"/>
        </w:rPr>
        <w:t xml:space="preserve"> </w:t>
      </w:r>
    </w:p>
    <w:p w14:paraId="06CE4F71">
      <w:pPr>
        <w:widowControl/>
        <w:spacing w:line="576" w:lineRule="exact"/>
        <w:jc w:val="left"/>
        <w:rPr>
          <w:rFonts w:ascii="仿宋_GB2312" w:eastAsia="仿宋_GB2312"/>
          <w:b/>
          <w:color w:val="000000"/>
          <w:sz w:val="32"/>
          <w:szCs w:val="32"/>
        </w:rPr>
      </w:pPr>
      <w:r>
        <w:rPr>
          <w:rFonts w:ascii="仿宋_GB2312" w:eastAsia="仿宋_GB2312"/>
          <w:b/>
          <w:color w:val="000000"/>
          <w:sz w:val="32"/>
          <w:szCs w:val="32"/>
        </w:rPr>
        <w:br w:type="page"/>
      </w:r>
    </w:p>
    <w:p w14:paraId="59BA8D0D">
      <w:pPr>
        <w:numPr>
          <w:ilvl w:val="0"/>
          <w:numId w:val="2"/>
        </w:numPr>
        <w:spacing w:line="576" w:lineRule="exact"/>
        <w:ind w:firstLine="660" w:firstLineChars="150"/>
        <w:jc w:val="center"/>
        <w:outlineLvl w:val="0"/>
        <w:rPr>
          <w:rStyle w:val="28"/>
          <w:rFonts w:ascii="方正小标宋简体" w:hAnsi="方正小标宋简体" w:eastAsia="方正小标宋简体" w:cs="方正小标宋简体"/>
          <w:b w:val="0"/>
        </w:rPr>
      </w:pPr>
      <w:bookmarkStart w:id="55" w:name="_Toc15396613"/>
      <w:bookmarkStart w:id="56" w:name="_Toc15377225"/>
      <w:r>
        <w:rPr>
          <w:rFonts w:hint="eastAsia" w:ascii="方正小标宋简体" w:hAnsi="方正小标宋简体" w:eastAsia="方正小标宋简体" w:cs="方正小标宋简体"/>
          <w:bCs/>
          <w:color w:val="000000"/>
          <w:sz w:val="44"/>
          <w:szCs w:val="44"/>
        </w:rPr>
        <w:t>名</w:t>
      </w:r>
      <w:r>
        <w:rPr>
          <w:rStyle w:val="28"/>
          <w:rFonts w:hint="eastAsia" w:ascii="方正小标宋简体" w:hAnsi="方正小标宋简体" w:eastAsia="方正小标宋简体" w:cs="方正小标宋简体"/>
          <w:b w:val="0"/>
        </w:rPr>
        <w:t>词解释</w:t>
      </w:r>
      <w:bookmarkEnd w:id="55"/>
      <w:bookmarkEnd w:id="56"/>
    </w:p>
    <w:p w14:paraId="04547C86">
      <w:pPr>
        <w:spacing w:line="576" w:lineRule="exact"/>
        <w:jc w:val="left"/>
        <w:rPr>
          <w:rFonts w:ascii="宋体"/>
          <w:b/>
          <w:color w:val="000000"/>
          <w:sz w:val="44"/>
          <w:szCs w:val="44"/>
        </w:rPr>
      </w:pPr>
    </w:p>
    <w:p w14:paraId="1BEB9A63">
      <w:pPr>
        <w:pStyle w:val="26"/>
        <w:spacing w:line="576"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6EE97789">
      <w:pPr>
        <w:pStyle w:val="26"/>
        <w:spacing w:line="576"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14:paraId="17C2AB5D">
      <w:pPr>
        <w:pStyle w:val="26"/>
        <w:spacing w:line="576"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14:paraId="04762BB6">
      <w:pPr>
        <w:pStyle w:val="26"/>
        <w:spacing w:line="576"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14:paraId="2A70D8A4">
      <w:pPr>
        <w:pStyle w:val="26"/>
        <w:spacing w:line="576"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14:paraId="6ADED5FB">
      <w:pPr>
        <w:pStyle w:val="26"/>
        <w:spacing w:line="576"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2C408B97">
      <w:pPr>
        <w:pStyle w:val="26"/>
        <w:spacing w:line="576"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14:paraId="1D55D565">
      <w:pPr>
        <w:pStyle w:val="26"/>
        <w:spacing w:line="576"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14:paraId="618BEC3B">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一般公共服务2010308指信访事务。</w:t>
      </w:r>
    </w:p>
    <w:p w14:paraId="5B0F90E2">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0</w:t>
      </w:r>
      <w:r>
        <w:rPr>
          <w:rFonts w:ascii="仿宋_GB2312" w:eastAsia="仿宋_GB2312"/>
          <w:color w:val="000000"/>
          <w:sz w:val="32"/>
          <w:szCs w:val="32"/>
        </w:rPr>
        <w:t>.</w:t>
      </w:r>
      <w:r>
        <w:rPr>
          <w:rFonts w:hint="eastAsia" w:ascii="仿宋_GB2312" w:eastAsia="仿宋_GB2312"/>
          <w:color w:val="000000"/>
          <w:sz w:val="32"/>
          <w:szCs w:val="32"/>
        </w:rPr>
        <w:t>社会保障和就业 2080505：指 机关事业单位基本养老保险缴费支出</w:t>
      </w:r>
    </w:p>
    <w:p w14:paraId="7AE38665">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1</w:t>
      </w:r>
      <w:r>
        <w:rPr>
          <w:rFonts w:ascii="仿宋_GB2312" w:eastAsia="仿宋_GB2312"/>
          <w:color w:val="000000"/>
          <w:sz w:val="32"/>
          <w:szCs w:val="32"/>
        </w:rPr>
        <w:t>.</w:t>
      </w:r>
      <w:r>
        <w:rPr>
          <w:rFonts w:hint="eastAsia" w:ascii="仿宋_GB2312" w:eastAsia="仿宋_GB2312"/>
          <w:color w:val="000000"/>
          <w:sz w:val="32"/>
          <w:szCs w:val="32"/>
        </w:rPr>
        <w:t>医疗卫生与计划生育 2101101：指行政单位医疗</w:t>
      </w:r>
    </w:p>
    <w:p w14:paraId="2E46FD7B">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2101102：指事业单位医疗</w:t>
      </w:r>
    </w:p>
    <w:p w14:paraId="7DE47BC8">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12</w:t>
      </w:r>
      <w:r>
        <w:rPr>
          <w:rFonts w:ascii="仿宋_GB2312" w:eastAsia="仿宋_GB2312"/>
          <w:color w:val="000000"/>
          <w:sz w:val="32"/>
          <w:szCs w:val="32"/>
        </w:rPr>
        <w:t>.</w:t>
      </w:r>
      <w:r>
        <w:rPr>
          <w:rFonts w:hint="eastAsia" w:ascii="仿宋_GB2312" w:eastAsia="仿宋_GB2312"/>
          <w:color w:val="000000"/>
          <w:sz w:val="32"/>
          <w:szCs w:val="32"/>
        </w:rPr>
        <w:t>住房保障 2210201：指住房公积金。</w:t>
      </w:r>
    </w:p>
    <w:p w14:paraId="7572D4F1">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13</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14:paraId="49B54EE6">
      <w:pPr>
        <w:spacing w:line="576" w:lineRule="exact"/>
        <w:ind w:firstLine="640" w:firstLineChars="200"/>
        <w:rPr>
          <w:rFonts w:ascii="仿宋_GB2312" w:eastAsia="仿宋_GB2312"/>
          <w:color w:val="000000"/>
          <w:sz w:val="32"/>
          <w:szCs w:val="32"/>
        </w:rPr>
      </w:pPr>
      <w:r>
        <w:rPr>
          <w:rFonts w:hint="eastAsia" w:ascii="仿宋_GB2312" w:eastAsia="仿宋_GB2312"/>
          <w:sz w:val="32"/>
          <w:szCs w:val="32"/>
        </w:rPr>
        <w:t>14</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1F13815">
      <w:pPr>
        <w:pStyle w:val="26"/>
        <w:spacing w:line="576" w:lineRule="exact"/>
        <w:ind w:firstLine="640" w:firstLineChars="200"/>
        <w:rPr>
          <w:rFonts w:ascii="仿宋_GB2312" w:eastAsia="仿宋_GB2312"/>
          <w:sz w:val="32"/>
          <w:szCs w:val="32"/>
        </w:rPr>
      </w:pPr>
      <w:r>
        <w:rPr>
          <w:rFonts w:hint="eastAsia" w:ascii="仿宋_GB2312" w:eastAsia="仿宋_GB2312"/>
          <w:sz w:val="32"/>
          <w:szCs w:val="32"/>
        </w:rPr>
        <w:t>15</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1816638">
      <w:pPr>
        <w:pStyle w:val="26"/>
        <w:spacing w:line="576" w:lineRule="exact"/>
        <w:ind w:firstLine="640" w:firstLineChars="200"/>
        <w:rPr>
          <w:rFonts w:ascii="仿宋_GB2312" w:eastAsia="仿宋_GB2312"/>
          <w:sz w:val="32"/>
          <w:szCs w:val="32"/>
        </w:rPr>
      </w:pPr>
      <w:r>
        <w:rPr>
          <w:rFonts w:hint="eastAsia" w:ascii="仿宋_GB2312" w:eastAsia="仿宋_GB2312"/>
          <w:sz w:val="32"/>
          <w:szCs w:val="32"/>
        </w:rPr>
        <w:t>16一般行政管理和服务2013602指其他商品和服务支出。</w:t>
      </w:r>
    </w:p>
    <w:p w14:paraId="3E69D7AB">
      <w:pPr>
        <w:pStyle w:val="26"/>
        <w:spacing w:line="576" w:lineRule="exact"/>
        <w:ind w:firstLine="640" w:firstLineChars="200"/>
        <w:rPr>
          <w:rFonts w:ascii="仿宋_GB2312" w:eastAsia="仿宋_GB2312" w:cs="黑体"/>
          <w:sz w:val="32"/>
          <w:szCs w:val="32"/>
        </w:rPr>
      </w:pPr>
    </w:p>
    <w:p w14:paraId="600C7B90">
      <w:pPr>
        <w:spacing w:line="576" w:lineRule="exact"/>
        <w:ind w:firstLine="643" w:firstLineChars="200"/>
        <w:rPr>
          <w:rFonts w:ascii="仿宋" w:hAnsi="仿宋" w:eastAsia="仿宋"/>
          <w:b/>
          <w:color w:val="000000"/>
          <w:sz w:val="32"/>
          <w:szCs w:val="32"/>
        </w:rPr>
      </w:pPr>
    </w:p>
    <w:p w14:paraId="06276DE9">
      <w:pPr>
        <w:spacing w:line="576" w:lineRule="exact"/>
        <w:jc w:val="center"/>
        <w:outlineLvl w:val="0"/>
        <w:rPr>
          <w:rStyle w:val="28"/>
          <w:rFonts w:ascii="方正小标宋简体" w:hAnsi="方正小标宋简体" w:eastAsia="方正小标宋简体" w:cs="方正小标宋简体"/>
          <w:b w:val="0"/>
        </w:rPr>
      </w:pPr>
      <w:bookmarkStart w:id="57" w:name="_Toc15377226"/>
      <w:r>
        <w:rPr>
          <w:rFonts w:ascii="宋体"/>
          <w:b/>
          <w:color w:val="000000"/>
          <w:sz w:val="44"/>
          <w:szCs w:val="44"/>
        </w:rPr>
        <w:br w:type="page"/>
      </w:r>
      <w:bookmarkStart w:id="58" w:name="_Toc15396614"/>
      <w:r>
        <w:rPr>
          <w:rFonts w:hint="eastAsia" w:ascii="方正小标宋简体" w:hAnsi="方正小标宋简体" w:eastAsia="方正小标宋简体" w:cs="方正小标宋简体"/>
          <w:color w:val="000000"/>
          <w:sz w:val="44"/>
          <w:szCs w:val="44"/>
        </w:rPr>
        <w:t>第</w:t>
      </w:r>
      <w:r>
        <w:rPr>
          <w:rStyle w:val="28"/>
          <w:rFonts w:hint="eastAsia" w:ascii="方正小标宋简体" w:hAnsi="方正小标宋简体" w:eastAsia="方正小标宋简体" w:cs="方正小标宋简体"/>
          <w:b w:val="0"/>
        </w:rPr>
        <w:t>四部分 附件</w:t>
      </w:r>
      <w:bookmarkEnd w:id="58"/>
    </w:p>
    <w:p w14:paraId="1C20FA67">
      <w:pPr>
        <w:spacing w:line="576" w:lineRule="exact"/>
        <w:jc w:val="center"/>
        <w:outlineLvl w:val="0"/>
        <w:rPr>
          <w:rStyle w:val="28"/>
        </w:rPr>
      </w:pPr>
    </w:p>
    <w:p w14:paraId="5ED20BF5">
      <w:pPr>
        <w:spacing w:line="576" w:lineRule="exact"/>
        <w:jc w:val="center"/>
        <w:outlineLvl w:val="0"/>
        <w:rPr>
          <w:rFonts w:ascii="方正小标宋简体" w:hAnsi="方正小标宋简体" w:eastAsia="方正小标宋简体" w:cs="方正小标宋简体"/>
          <w:sz w:val="36"/>
          <w:szCs w:val="36"/>
        </w:rPr>
      </w:pPr>
      <w:bookmarkStart w:id="59" w:name="_Toc15396616"/>
      <w:r>
        <w:rPr>
          <w:rFonts w:hint="eastAsia" w:ascii="方正小标宋简体" w:hAnsi="方正小标宋简体" w:eastAsia="方正小标宋简体" w:cs="方正小标宋简体"/>
          <w:sz w:val="36"/>
          <w:szCs w:val="36"/>
        </w:rPr>
        <w:t>信访局</w:t>
      </w:r>
      <w:r>
        <w:rPr>
          <w:rFonts w:hint="eastAsia" w:ascii="方正小标宋简体" w:hAnsi="方正小标宋简体" w:eastAsia="方正小标宋简体" w:cs="方正小标宋简体"/>
          <w:sz w:val="36"/>
          <w:szCs w:val="36"/>
          <w:lang w:val="en-US" w:eastAsia="zh-CN"/>
        </w:rPr>
        <w:t>2020</w:t>
      </w:r>
      <w:r>
        <w:rPr>
          <w:rFonts w:hint="eastAsia" w:ascii="方正小标宋简体" w:hAnsi="方正小标宋简体" w:eastAsia="方正小标宋简体" w:cs="方正小标宋简体"/>
          <w:sz w:val="36"/>
          <w:szCs w:val="36"/>
        </w:rPr>
        <w:t>年部门整体支出绩效评价报告</w:t>
      </w:r>
      <w:bookmarkEnd w:id="59"/>
    </w:p>
    <w:p w14:paraId="11269264">
      <w:pPr>
        <w:spacing w:line="576" w:lineRule="exact"/>
        <w:ind w:firstLine="640" w:firstLineChars="200"/>
        <w:rPr>
          <w:rFonts w:ascii="黑体" w:hAnsi="黑体" w:eastAsia="黑体" w:cs="黑体"/>
          <w:sz w:val="32"/>
          <w:szCs w:val="32"/>
        </w:rPr>
      </w:pPr>
    </w:p>
    <w:p w14:paraId="79EF4226">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一、部门（单位）概况</w:t>
      </w:r>
    </w:p>
    <w:p w14:paraId="0814A5F7">
      <w:pPr>
        <w:spacing w:line="576" w:lineRule="exact"/>
        <w:ind w:firstLine="555"/>
        <w:rPr>
          <w:rFonts w:ascii="仿宋_GB2312" w:eastAsia="仿宋_GB2312"/>
          <w:color w:val="000000"/>
          <w:sz w:val="32"/>
          <w:szCs w:val="32"/>
        </w:rPr>
      </w:pPr>
      <w:r>
        <w:rPr>
          <w:rFonts w:ascii="仿宋" w:hAnsi="仿宋" w:eastAsia="仿宋" w:cs="仿宋_GB2312"/>
          <w:sz w:val="32"/>
          <w:szCs w:val="32"/>
        </w:rPr>
        <w:t>（一）机构组成。</w:t>
      </w:r>
    </w:p>
    <w:p w14:paraId="5E75AC60">
      <w:pPr>
        <w:spacing w:line="576" w:lineRule="exact"/>
        <w:ind w:firstLine="640" w:firstLineChars="200"/>
        <w:rPr>
          <w:rFonts w:ascii="仿宋_GB2312" w:eastAsia="仿宋_GB2312"/>
          <w:color w:val="000000"/>
          <w:sz w:val="32"/>
          <w:szCs w:val="32"/>
        </w:rPr>
      </w:pPr>
      <w:r>
        <w:rPr>
          <w:rFonts w:hint="eastAsia" w:ascii="仿宋_GB2312" w:hAnsi="宋体" w:eastAsia="仿宋_GB2312"/>
          <w:color w:val="000000"/>
          <w:sz w:val="32"/>
          <w:szCs w:val="32"/>
        </w:rPr>
        <w:t>（一）办公室。承担电文、档案、保密、财务、目标考核、机要、资产管理、应急、信息、后勤等机关日常运转管理事项。负责承办综合性会议及重要文稿起草、机构编制、组织人事、工资管理、教育培训、党风廉政建设、意识形态等工作。</w:t>
      </w:r>
    </w:p>
    <w:p w14:paraId="5D2A538A">
      <w:pPr>
        <w:pStyle w:val="4"/>
        <w:spacing w:line="576" w:lineRule="exact"/>
        <w:ind w:firstLine="643" w:firstLineChars="200"/>
        <w:rPr>
          <w:rFonts w:ascii="楷体_GB2312" w:hAnsi="楷体_GB2312" w:eastAsia="楷体_GB2312" w:cs="楷体_GB2312"/>
        </w:rPr>
      </w:pPr>
      <w:r>
        <w:rPr>
          <w:rFonts w:hint="eastAsia" w:ascii="楷体_GB2312" w:hAnsi="楷体_GB2312" w:eastAsia="楷体_GB2312" w:cs="楷体_GB2312"/>
        </w:rPr>
        <w:t>（二）机构职能。</w:t>
      </w:r>
    </w:p>
    <w:p w14:paraId="5019A396">
      <w:pPr>
        <w:pStyle w:val="4"/>
        <w:spacing w:line="576" w:lineRule="exact"/>
        <w:ind w:firstLine="643" w:firstLineChars="200"/>
        <w:rPr>
          <w:rFonts w:ascii="仿宋" w:hAnsi="仿宋" w:eastAsia="仿宋"/>
          <w:b w:val="0"/>
          <w:bCs w:val="0"/>
        </w:rPr>
      </w:pPr>
      <w:r>
        <w:rPr>
          <w:rFonts w:hint="eastAsia" w:ascii="仿宋_GB2312" w:hAnsi="仿宋_GB2312" w:eastAsia="仿宋_GB2312" w:cs="仿宋_GB2312"/>
          <w:color w:val="000000"/>
        </w:rPr>
        <w:t>（一）主要职能。</w:t>
      </w:r>
    </w:p>
    <w:p w14:paraId="60561E34">
      <w:pPr>
        <w:snapToGrid w:val="0"/>
        <w:spacing w:line="576" w:lineRule="exact"/>
        <w:ind w:firstLine="643" w:firstLineChars="200"/>
        <w:rPr>
          <w:rFonts w:ascii="仿宋_GB2312" w:hAnsi="宋体" w:eastAsia="仿宋_GB2312"/>
          <w:color w:val="000000"/>
          <w:sz w:val="32"/>
          <w:szCs w:val="32"/>
        </w:rPr>
      </w:pPr>
      <w:r>
        <w:rPr>
          <w:rFonts w:hint="eastAsia" w:ascii="仿宋_GB2312" w:hAnsi="仿宋_GB2312" w:eastAsia="仿宋_GB2312" w:cs="仿宋_GB2312"/>
          <w:b/>
          <w:bCs/>
          <w:color w:val="000000"/>
          <w:sz w:val="32"/>
          <w:szCs w:val="32"/>
        </w:rPr>
        <w:t xml:space="preserve">第一条 </w:t>
      </w:r>
      <w:r>
        <w:rPr>
          <w:rFonts w:hint="eastAsia" w:ascii="仿宋_GB2312" w:hAnsi="宋体" w:eastAsia="仿宋_GB2312"/>
          <w:color w:val="000000"/>
          <w:sz w:val="32"/>
          <w:szCs w:val="32"/>
        </w:rPr>
        <w:t>根据中共松潘县委机构编制委员会印发《关于&lt;松潘县机构改革方案&gt;的实施意见的通知》（松机改办〔2019〕4号），制定本规定。</w:t>
      </w:r>
    </w:p>
    <w:p w14:paraId="696A3C16">
      <w:pPr>
        <w:snapToGrid w:val="0"/>
        <w:spacing w:line="576" w:lineRule="exact"/>
        <w:ind w:firstLine="643" w:firstLineChars="200"/>
        <w:rPr>
          <w:rFonts w:ascii="仿宋_GB2312" w:hAnsi="宋体" w:eastAsia="仿宋_GB2312"/>
          <w:color w:val="000000"/>
          <w:sz w:val="32"/>
          <w:szCs w:val="32"/>
          <w:u w:val="single"/>
        </w:rPr>
      </w:pPr>
      <w:r>
        <w:rPr>
          <w:rFonts w:hint="eastAsia" w:ascii="仿宋_GB2312" w:hAnsi="仿宋_GB2312" w:eastAsia="仿宋_GB2312" w:cs="仿宋_GB2312"/>
          <w:b/>
          <w:bCs/>
          <w:color w:val="000000"/>
          <w:sz w:val="32"/>
          <w:szCs w:val="32"/>
        </w:rPr>
        <w:t xml:space="preserve">第二条 </w:t>
      </w:r>
      <w:r>
        <w:rPr>
          <w:rFonts w:hint="eastAsia" w:ascii="黑体" w:hAnsi="宋体" w:eastAsia="黑体"/>
          <w:color w:val="000000"/>
          <w:sz w:val="32"/>
          <w:szCs w:val="32"/>
        </w:rPr>
        <w:t xml:space="preserve"> </w:t>
      </w:r>
      <w:r>
        <w:rPr>
          <w:rFonts w:hint="eastAsia" w:ascii="仿宋_GB2312" w:hAnsi="宋体" w:eastAsia="仿宋_GB2312"/>
          <w:color w:val="000000"/>
          <w:sz w:val="32"/>
          <w:szCs w:val="32"/>
        </w:rPr>
        <w:t>松潘县信访局（简称县信访局）是松潘县政府工作部门，为正科级。</w:t>
      </w:r>
    </w:p>
    <w:p w14:paraId="29871955">
      <w:pPr>
        <w:spacing w:line="576" w:lineRule="exact"/>
        <w:ind w:firstLine="639" w:firstLineChars="199"/>
        <w:rPr>
          <w:rFonts w:ascii="仿宋_GB2312" w:hAnsi="宋体" w:eastAsia="仿宋_GB2312"/>
          <w:color w:val="000000"/>
          <w:sz w:val="32"/>
          <w:szCs w:val="32"/>
        </w:rPr>
      </w:pPr>
      <w:r>
        <w:rPr>
          <w:rFonts w:hint="eastAsia" w:ascii="仿宋_GB2312" w:hAnsi="仿宋_GB2312" w:eastAsia="仿宋_GB2312" w:cs="仿宋_GB2312"/>
          <w:b/>
          <w:bCs/>
          <w:color w:val="000000"/>
          <w:sz w:val="32"/>
          <w:szCs w:val="32"/>
        </w:rPr>
        <w:t>第三条</w:t>
      </w:r>
      <w:r>
        <w:rPr>
          <w:rFonts w:hint="eastAsia" w:ascii="黑体" w:hAnsi="宋体" w:eastAsia="黑体"/>
          <w:color w:val="000000"/>
          <w:sz w:val="32"/>
          <w:szCs w:val="32"/>
        </w:rPr>
        <w:t xml:space="preserve"> </w:t>
      </w:r>
      <w:r>
        <w:rPr>
          <w:rFonts w:hint="eastAsia" w:ascii="仿宋_GB2312" w:hAnsi="宋体" w:eastAsia="仿宋_GB2312"/>
          <w:color w:val="000000"/>
          <w:sz w:val="32"/>
          <w:szCs w:val="32"/>
        </w:rPr>
        <w:t>坚持和加强党的全面领导，根据《中国共产党党组工作条例（试行）》，县信访局党组主要工作职责是：</w:t>
      </w:r>
    </w:p>
    <w:p w14:paraId="4E0527F9">
      <w:pPr>
        <w:spacing w:line="576" w:lineRule="exact"/>
        <w:ind w:firstLine="636" w:firstLineChars="199"/>
        <w:rPr>
          <w:rFonts w:ascii="仿宋_GB2312" w:hAnsi="宋体" w:eastAsia="仿宋_GB2312"/>
          <w:color w:val="000000"/>
          <w:sz w:val="32"/>
          <w:szCs w:val="32"/>
        </w:rPr>
      </w:pPr>
      <w:r>
        <w:rPr>
          <w:rFonts w:hint="eastAsia" w:ascii="仿宋_GB2312" w:hAnsi="宋体" w:eastAsia="仿宋_GB2312"/>
          <w:color w:val="000000"/>
          <w:sz w:val="32"/>
          <w:szCs w:val="32"/>
        </w:rPr>
        <w:t>（一）履行政治领导责任，做好理论武装和思想政治工作，负责学习、宣传、贯彻执行党的理论和路线方针政策，贯彻落实党中央、省委、州委和县委的决策部署，发挥好把方向、管大局、保落实的重要作用。</w:t>
      </w:r>
    </w:p>
    <w:p w14:paraId="6647426A">
      <w:pPr>
        <w:spacing w:line="576" w:lineRule="exact"/>
        <w:ind w:firstLine="636" w:firstLineChars="199"/>
        <w:rPr>
          <w:rFonts w:ascii="仿宋_GB2312" w:hAnsi="宋体" w:eastAsia="仿宋_GB2312"/>
          <w:color w:val="000000"/>
          <w:sz w:val="32"/>
          <w:szCs w:val="32"/>
        </w:rPr>
      </w:pPr>
      <w:r>
        <w:rPr>
          <w:rFonts w:hint="eastAsia" w:ascii="仿宋_GB2312" w:hAnsi="宋体" w:eastAsia="仿宋_GB2312"/>
          <w:color w:val="000000"/>
          <w:sz w:val="32"/>
          <w:szCs w:val="32"/>
        </w:rPr>
        <w:t>（二）讨论和决定本单位下列重大问题。党的路线方针政策、国家法律法规和上级党组织重要会议、重要文件、重大决策部署的贯彻落实事项；需要向上级党组织请示报告的重要事项；内部机构设置、职责、人员编制等事项；重大决策、重要人事任免、重大项目安排、大额资金使用等事项；基层党组织和党员队伍建设方面的重要事项；意识形态工作、思想政治工作和精神文明建设方面的重要事项；党风廉政建设和反腐败工作方面的重要事项；其他应当由党委讨论和决定的重大问题。</w:t>
      </w:r>
    </w:p>
    <w:p w14:paraId="0143EFE3">
      <w:pPr>
        <w:spacing w:line="576" w:lineRule="exact"/>
        <w:ind w:firstLine="636" w:firstLineChars="199"/>
        <w:rPr>
          <w:rFonts w:ascii="仿宋_GB2312" w:hAnsi="宋体" w:eastAsia="仿宋_GB2312"/>
          <w:color w:val="000000"/>
          <w:sz w:val="32"/>
          <w:szCs w:val="32"/>
        </w:rPr>
      </w:pPr>
      <w:r>
        <w:rPr>
          <w:rFonts w:hint="eastAsia" w:ascii="仿宋_GB2312" w:hAnsi="宋体" w:eastAsia="仿宋_GB2312"/>
          <w:color w:val="000000"/>
          <w:sz w:val="32"/>
          <w:szCs w:val="32"/>
        </w:rPr>
        <w:t>（三）贯彻党管干部原则，加强干部队伍建设，完善干部培养选拔机制，加强干部教育管理监督；贯彻党管人才原则，加强人才队伍建设；加强对本单位统战工作和工会、共青团、妇联等群团工作的领导。</w:t>
      </w:r>
    </w:p>
    <w:p w14:paraId="7456619C">
      <w:pPr>
        <w:spacing w:line="576" w:lineRule="exact"/>
        <w:ind w:firstLine="636" w:firstLineChars="199"/>
        <w:rPr>
          <w:rFonts w:ascii="黑体" w:hAnsi="宋体" w:eastAsia="黑体"/>
          <w:color w:val="000000"/>
          <w:sz w:val="32"/>
          <w:szCs w:val="32"/>
        </w:rPr>
      </w:pPr>
      <w:r>
        <w:rPr>
          <w:rFonts w:hint="eastAsia" w:ascii="仿宋_GB2312" w:hAnsi="宋体" w:eastAsia="仿宋_GB2312"/>
          <w:color w:val="000000"/>
          <w:sz w:val="32"/>
          <w:szCs w:val="32"/>
        </w:rPr>
        <w:t>（四）履行党要管党、从严治党责任，加强对本单位党的建设的领导，落实党建工作责任制。认真履行党风廉政建设主体责任，支持纪检监察机构履行监督责任。</w:t>
      </w:r>
    </w:p>
    <w:p w14:paraId="22E9FA3D">
      <w:pPr>
        <w:spacing w:line="576" w:lineRule="exact"/>
        <w:ind w:firstLine="639" w:firstLineChars="199"/>
        <w:rPr>
          <w:rFonts w:ascii="仿宋_GB2312" w:eastAsia="仿宋_GB2312"/>
          <w:color w:val="000000"/>
          <w:sz w:val="32"/>
          <w:szCs w:val="32"/>
        </w:rPr>
      </w:pPr>
      <w:r>
        <w:rPr>
          <w:rFonts w:hint="eastAsia" w:ascii="仿宋_GB2312" w:hAnsi="仿宋_GB2312" w:eastAsia="仿宋_GB2312" w:cs="仿宋_GB2312"/>
          <w:b/>
          <w:bCs/>
          <w:color w:val="000000"/>
          <w:sz w:val="32"/>
          <w:szCs w:val="32"/>
        </w:rPr>
        <w:t xml:space="preserve"> 第四条 </w:t>
      </w:r>
      <w:r>
        <w:rPr>
          <w:rFonts w:hint="eastAsia" w:ascii="黑体" w:hAnsi="宋体" w:eastAsia="黑体"/>
          <w:color w:val="000000"/>
          <w:sz w:val="32"/>
          <w:szCs w:val="32"/>
        </w:rPr>
        <w:t xml:space="preserve"> </w:t>
      </w:r>
      <w:r>
        <w:rPr>
          <w:rFonts w:hint="eastAsia" w:ascii="仿宋_GB2312" w:hAnsi="宋体" w:eastAsia="仿宋_GB2312"/>
          <w:color w:val="000000"/>
          <w:sz w:val="32"/>
          <w:szCs w:val="32"/>
        </w:rPr>
        <w:t>主要职责：</w:t>
      </w:r>
    </w:p>
    <w:p w14:paraId="207FEF95">
      <w:pPr>
        <w:widowControl/>
        <w:spacing w:line="576" w:lineRule="exact"/>
        <w:ind w:firstLine="640" w:firstLineChars="200"/>
        <w:jc w:val="left"/>
        <w:rPr>
          <w:rFonts w:ascii="仿宋_GB2312" w:eastAsia="仿宋_GB2312" w:cs="宋体"/>
          <w:color w:val="000000"/>
          <w:kern w:val="0"/>
          <w:sz w:val="32"/>
          <w:szCs w:val="32"/>
        </w:rPr>
      </w:pPr>
      <w:r>
        <w:rPr>
          <w:rFonts w:hint="eastAsia" w:ascii="仿宋_GB2312" w:hAnsi="宋体" w:eastAsia="仿宋_GB2312" w:cs="宋体"/>
          <w:color w:val="000000"/>
          <w:kern w:val="0"/>
          <w:sz w:val="32"/>
          <w:szCs w:val="32"/>
        </w:rPr>
        <w:t>（一）起草有关信访工作的地方性法规、规章草案和政策规定；制定信访问题排查化解、风险评估等制度并组织实施，提出改进和加强信访工作的意见和建议。负责本部门依法行政工作。</w:t>
      </w:r>
      <w:r>
        <w:rPr>
          <w:rFonts w:hint="eastAsia" w:ascii="仿宋_GB2312" w:eastAsia="仿宋_GB2312"/>
          <w:color w:val="000000"/>
          <w:kern w:val="0"/>
          <w:sz w:val="32"/>
          <w:szCs w:val="32"/>
        </w:rPr>
        <w:br w:type="textWrapping"/>
      </w:r>
      <w:r>
        <w:rPr>
          <w:rFonts w:hint="eastAsia" w:ascii="仿宋_GB2312" w:eastAsia="仿宋_GB2312"/>
          <w:color w:val="000000"/>
          <w:kern w:val="0"/>
          <w:sz w:val="32"/>
          <w:szCs w:val="32"/>
        </w:rPr>
        <w:t xml:space="preserve">   </w:t>
      </w:r>
      <w:r>
        <w:rPr>
          <w:rFonts w:hint="eastAsia" w:ascii="仿宋_GB2312" w:hAnsi="宋体" w:eastAsia="仿宋_GB2312" w:cs="宋体"/>
          <w:color w:val="000000"/>
          <w:kern w:val="0"/>
          <w:sz w:val="32"/>
          <w:szCs w:val="32"/>
        </w:rPr>
        <w:t>（二）负责向县委、县政府反映来信来电来访中提出的重要建议、意见和问题，综合研判信访信息，开展调查研究，提出相关建议。</w:t>
      </w:r>
      <w:r>
        <w:rPr>
          <w:rFonts w:hint="eastAsia" w:ascii="仿宋_GB2312" w:eastAsia="仿宋_GB2312"/>
          <w:color w:val="000000"/>
          <w:kern w:val="0"/>
          <w:sz w:val="32"/>
          <w:szCs w:val="32"/>
        </w:rPr>
        <w:br w:type="textWrapping"/>
      </w:r>
      <w:r>
        <w:rPr>
          <w:rFonts w:hint="eastAsia" w:ascii="仿宋_GB2312" w:eastAsia="仿宋_GB2312"/>
          <w:color w:val="000000"/>
          <w:kern w:val="0"/>
          <w:sz w:val="32"/>
          <w:szCs w:val="32"/>
        </w:rPr>
        <w:t xml:space="preserve">   </w:t>
      </w:r>
      <w:r>
        <w:rPr>
          <w:rFonts w:hint="eastAsia" w:ascii="仿宋_GB2312" w:hAnsi="宋体" w:eastAsia="仿宋_GB2312" w:cs="宋体"/>
          <w:color w:val="000000"/>
          <w:kern w:val="0"/>
          <w:sz w:val="32"/>
          <w:szCs w:val="32"/>
        </w:rPr>
        <w:t>（三）综合协调指导全县信访工作，推动建立健全信访工作的协调配合机制。督促检查县直各部门（单位）和各乡镇信访工作，总结推广信访工作先进经验，协调信访工作宣传和信息发布。</w:t>
      </w:r>
      <w:r>
        <w:rPr>
          <w:rFonts w:hint="eastAsia" w:ascii="仿宋_GB2312" w:eastAsia="仿宋_GB2312"/>
          <w:color w:val="000000"/>
          <w:kern w:val="0"/>
          <w:sz w:val="32"/>
          <w:szCs w:val="32"/>
        </w:rPr>
        <w:br w:type="textWrapping"/>
      </w:r>
      <w:r>
        <w:rPr>
          <w:rFonts w:hint="eastAsia" w:ascii="仿宋_GB2312" w:eastAsia="仿宋_GB2312"/>
          <w:color w:val="000000"/>
          <w:kern w:val="0"/>
          <w:sz w:val="32"/>
          <w:szCs w:val="32"/>
        </w:rPr>
        <w:t xml:space="preserve">   </w:t>
      </w:r>
      <w:r>
        <w:rPr>
          <w:rFonts w:hint="eastAsia" w:ascii="仿宋_GB2312" w:hAnsi="宋体" w:eastAsia="仿宋_GB2312" w:cs="宋体"/>
          <w:color w:val="000000"/>
          <w:kern w:val="0"/>
          <w:sz w:val="32"/>
          <w:szCs w:val="32"/>
        </w:rPr>
        <w:t>（四）负责处理县内外群众、境外人士、法人及其他组织通过信访渠道给县委、县政府及领导同志的来信来电，接待来访。</w:t>
      </w:r>
      <w:r>
        <w:rPr>
          <w:rFonts w:hint="eastAsia" w:ascii="仿宋_GB2312" w:eastAsia="仿宋_GB2312"/>
          <w:color w:val="000000"/>
          <w:kern w:val="0"/>
          <w:sz w:val="32"/>
          <w:szCs w:val="32"/>
        </w:rPr>
        <w:br w:type="textWrapping"/>
      </w:r>
      <w:r>
        <w:rPr>
          <w:rFonts w:hint="eastAsia" w:ascii="仿宋_GB2312" w:eastAsia="仿宋_GB2312"/>
          <w:color w:val="000000"/>
          <w:kern w:val="0"/>
          <w:sz w:val="32"/>
          <w:szCs w:val="32"/>
        </w:rPr>
        <w:t xml:space="preserve">    </w:t>
      </w:r>
      <w:r>
        <w:rPr>
          <w:rFonts w:hint="eastAsia" w:ascii="仿宋_GB2312" w:hAnsi="宋体" w:eastAsia="仿宋_GB2312" w:cs="宋体"/>
          <w:color w:val="000000"/>
          <w:kern w:val="0"/>
          <w:sz w:val="32"/>
          <w:szCs w:val="32"/>
        </w:rPr>
        <w:t>（五）承担协调处理群众进京到省来州到县集体上访和非正常上访的责任，综合协调处理跨地区、跨部门的重要信访问题。</w:t>
      </w:r>
      <w:r>
        <w:rPr>
          <w:rFonts w:hint="eastAsia" w:ascii="仿宋_GB2312" w:eastAsia="仿宋_GB2312"/>
          <w:color w:val="000000"/>
          <w:kern w:val="0"/>
          <w:sz w:val="32"/>
          <w:szCs w:val="32"/>
        </w:rPr>
        <w:br w:type="textWrapping"/>
      </w:r>
      <w:r>
        <w:rPr>
          <w:rFonts w:hint="eastAsia" w:ascii="仿宋_GB2312" w:eastAsia="仿宋_GB2312"/>
          <w:color w:val="000000"/>
          <w:kern w:val="0"/>
          <w:sz w:val="32"/>
          <w:szCs w:val="32"/>
        </w:rPr>
        <w:t xml:space="preserve">    </w:t>
      </w:r>
      <w:r>
        <w:rPr>
          <w:rFonts w:hint="eastAsia" w:ascii="仿宋_GB2312" w:hAnsi="宋体" w:eastAsia="仿宋_GB2312" w:cs="宋体"/>
          <w:color w:val="000000"/>
          <w:kern w:val="0"/>
          <w:sz w:val="32"/>
          <w:szCs w:val="32"/>
        </w:rPr>
        <w:t>（六）负责落实党中央、省、州、县领导批示交办信访事项，向各部门、各乡镇转办、交办信访事项，督促检查重要信访事项的处理和落实。</w:t>
      </w:r>
      <w:r>
        <w:rPr>
          <w:rFonts w:hint="eastAsia" w:ascii="仿宋_GB2312" w:eastAsia="仿宋_GB2312"/>
          <w:color w:val="000000"/>
          <w:kern w:val="0"/>
          <w:sz w:val="32"/>
          <w:szCs w:val="32"/>
        </w:rPr>
        <w:br w:type="textWrapping"/>
      </w:r>
      <w:r>
        <w:rPr>
          <w:rFonts w:hint="eastAsia" w:ascii="仿宋_GB2312" w:eastAsia="仿宋_GB2312"/>
          <w:color w:val="000000"/>
          <w:kern w:val="0"/>
          <w:sz w:val="32"/>
          <w:szCs w:val="32"/>
        </w:rPr>
        <w:t xml:space="preserve">    </w:t>
      </w:r>
      <w:r>
        <w:rPr>
          <w:rFonts w:hint="eastAsia" w:ascii="仿宋_GB2312" w:hAnsi="宋体" w:eastAsia="仿宋_GB2312" w:cs="宋体"/>
          <w:color w:val="000000"/>
          <w:kern w:val="0"/>
          <w:sz w:val="32"/>
          <w:szCs w:val="32"/>
        </w:rPr>
        <w:t>（七）建立和完善信访信息汇集分析机制，指导信访信息系统建设和应用。</w:t>
      </w:r>
      <w:r>
        <w:rPr>
          <w:rFonts w:hint="eastAsia" w:ascii="仿宋_GB2312" w:eastAsia="仿宋_GB2312"/>
          <w:color w:val="000000"/>
          <w:kern w:val="0"/>
          <w:sz w:val="32"/>
          <w:szCs w:val="32"/>
        </w:rPr>
        <w:br w:type="textWrapping"/>
      </w:r>
      <w:r>
        <w:rPr>
          <w:rFonts w:hint="eastAsia" w:ascii="仿宋_GB2312" w:eastAsia="仿宋_GB2312"/>
          <w:color w:val="000000"/>
          <w:kern w:val="0"/>
          <w:sz w:val="32"/>
          <w:szCs w:val="32"/>
        </w:rPr>
        <w:t xml:space="preserve">    </w:t>
      </w:r>
      <w:r>
        <w:rPr>
          <w:rFonts w:hint="eastAsia" w:ascii="仿宋_GB2312" w:hAnsi="宋体" w:eastAsia="仿宋_GB2312" w:cs="宋体"/>
          <w:color w:val="000000"/>
          <w:kern w:val="0"/>
          <w:sz w:val="32"/>
          <w:szCs w:val="32"/>
        </w:rPr>
        <w:t>（八）加强对信访问题排查化解和社情民意汇集分析，重点开展法律法规政策宣传和思想教育疏导，将信访工作的重心由事后处理转移到事前排查化解，增强信访工作的预见性和针对性。</w:t>
      </w:r>
      <w:r>
        <w:rPr>
          <w:rFonts w:hint="eastAsia" w:ascii="仿宋_GB2312" w:eastAsia="仿宋_GB2312"/>
          <w:color w:val="000000"/>
          <w:kern w:val="0"/>
          <w:sz w:val="32"/>
          <w:szCs w:val="32"/>
        </w:rPr>
        <w:br w:type="textWrapping"/>
      </w:r>
      <w:r>
        <w:rPr>
          <w:rFonts w:hint="eastAsia" w:ascii="仿宋_GB2312" w:eastAsia="仿宋_GB2312"/>
          <w:color w:val="000000"/>
          <w:kern w:val="0"/>
          <w:sz w:val="32"/>
          <w:szCs w:val="32"/>
        </w:rPr>
        <w:t xml:space="preserve">    </w:t>
      </w:r>
      <w:r>
        <w:rPr>
          <w:rFonts w:hint="eastAsia" w:ascii="仿宋_GB2312" w:hAnsi="宋体" w:eastAsia="仿宋_GB2312" w:cs="宋体"/>
          <w:color w:val="000000"/>
          <w:kern w:val="0"/>
          <w:sz w:val="32"/>
          <w:szCs w:val="32"/>
        </w:rPr>
        <w:t>（九）加强对重大信访事项的督查督办，完善信访诉求表达方式，进一步畅通信访渠道，确保信访工作决策部署得到贯彻落实，推动群众信访问题得到妥善解决。</w:t>
      </w:r>
    </w:p>
    <w:p w14:paraId="0F473797">
      <w:pPr>
        <w:widowControl/>
        <w:spacing w:line="576" w:lineRule="exact"/>
        <w:ind w:firstLine="640" w:firstLineChars="200"/>
        <w:jc w:val="left"/>
        <w:rPr>
          <w:rFonts w:ascii="仿宋_GB2312" w:hAnsi="Calibri" w:eastAsia="仿宋_GB2312"/>
          <w:color w:val="000000"/>
          <w:sz w:val="32"/>
          <w:szCs w:val="32"/>
        </w:rPr>
      </w:pPr>
      <w:r>
        <w:rPr>
          <w:rFonts w:hint="eastAsia" w:ascii="仿宋_GB2312" w:hAnsi="宋体" w:eastAsia="仿宋_GB2312" w:cs="宋体"/>
          <w:color w:val="000000"/>
          <w:kern w:val="0"/>
          <w:sz w:val="32"/>
          <w:szCs w:val="32"/>
        </w:rPr>
        <w:t>(十)开展网上信访工作，探索</w:t>
      </w:r>
      <w:r>
        <w:rPr>
          <w:rFonts w:hint="eastAsia" w:ascii="仿宋_GB2312" w:eastAsia="仿宋_GB2312" w:cs="宋体"/>
          <w:color w:val="000000"/>
          <w:kern w:val="0"/>
          <w:sz w:val="32"/>
          <w:szCs w:val="32"/>
        </w:rPr>
        <w:t>“</w:t>
      </w:r>
      <w:r>
        <w:rPr>
          <w:rFonts w:hint="eastAsia" w:ascii="仿宋_GB2312" w:hAnsi="宋体" w:eastAsia="仿宋_GB2312" w:cs="宋体"/>
          <w:color w:val="000000"/>
          <w:kern w:val="0"/>
          <w:sz w:val="32"/>
          <w:szCs w:val="32"/>
        </w:rPr>
        <w:t>互联网+信访</w:t>
      </w:r>
      <w:r>
        <w:rPr>
          <w:rFonts w:hint="eastAsia" w:ascii="仿宋_GB2312" w:eastAsia="仿宋_GB2312" w:cs="宋体"/>
          <w:color w:val="000000"/>
          <w:kern w:val="0"/>
          <w:sz w:val="32"/>
          <w:szCs w:val="32"/>
        </w:rPr>
        <w:t>”</w:t>
      </w:r>
      <w:r>
        <w:rPr>
          <w:rFonts w:hint="eastAsia" w:ascii="仿宋_GB2312" w:hAnsi="宋体" w:eastAsia="仿宋_GB2312" w:cs="宋体"/>
          <w:color w:val="000000"/>
          <w:kern w:val="0"/>
          <w:sz w:val="32"/>
          <w:szCs w:val="32"/>
        </w:rPr>
        <w:t>新模式，推动信访信息化建设。</w:t>
      </w:r>
      <w:r>
        <w:rPr>
          <w:rFonts w:hint="eastAsia" w:ascii="仿宋_GB2312" w:eastAsia="仿宋_GB2312"/>
          <w:color w:val="000000"/>
          <w:kern w:val="0"/>
          <w:sz w:val="32"/>
          <w:szCs w:val="32"/>
        </w:rPr>
        <w:br w:type="textWrapping"/>
      </w:r>
      <w:r>
        <w:rPr>
          <w:rFonts w:hint="eastAsia" w:ascii="仿宋_GB2312" w:eastAsia="仿宋_GB2312"/>
          <w:color w:val="000000"/>
          <w:kern w:val="0"/>
          <w:sz w:val="32"/>
          <w:szCs w:val="32"/>
        </w:rPr>
        <w:t xml:space="preserve">    </w:t>
      </w:r>
      <w:r>
        <w:rPr>
          <w:rFonts w:hint="eastAsia" w:ascii="仿宋_GB2312" w:hAnsi="宋体" w:eastAsia="仿宋_GB2312" w:cs="宋体"/>
          <w:color w:val="000000"/>
          <w:kern w:val="0"/>
          <w:sz w:val="32"/>
          <w:szCs w:val="32"/>
        </w:rPr>
        <w:t>（十一）承担县信访工作联席会议、县政府信访事项复查复核委员会日常工作，督促落实有关事项。</w:t>
      </w:r>
      <w:r>
        <w:rPr>
          <w:rFonts w:hint="eastAsia" w:ascii="仿宋_GB2312" w:eastAsia="仿宋_GB2312"/>
          <w:color w:val="000000"/>
          <w:kern w:val="0"/>
          <w:sz w:val="32"/>
          <w:szCs w:val="32"/>
        </w:rPr>
        <w:br w:type="textWrapping"/>
      </w:r>
      <w:r>
        <w:rPr>
          <w:rFonts w:hint="eastAsia" w:ascii="仿宋_GB2312" w:eastAsia="仿宋_GB2312"/>
          <w:color w:val="000000"/>
          <w:kern w:val="0"/>
          <w:sz w:val="32"/>
          <w:szCs w:val="32"/>
        </w:rPr>
        <w:t xml:space="preserve">    </w:t>
      </w:r>
      <w:r>
        <w:rPr>
          <w:rFonts w:hint="eastAsia" w:ascii="仿宋_GB2312" w:hAnsi="宋体" w:eastAsia="仿宋_GB2312" w:cs="宋体"/>
          <w:color w:val="000000"/>
          <w:kern w:val="0"/>
          <w:sz w:val="32"/>
          <w:szCs w:val="32"/>
        </w:rPr>
        <w:t xml:space="preserve">（十二）承办县委、县政府交办的其他任务。 </w:t>
      </w:r>
    </w:p>
    <w:p w14:paraId="3A29A5A4">
      <w:pPr>
        <w:snapToGrid w:val="0"/>
        <w:spacing w:line="576" w:lineRule="exact"/>
        <w:ind w:firstLine="643" w:firstLineChars="200"/>
        <w:rPr>
          <w:rFonts w:ascii="仿宋_GB2312" w:eastAsia="仿宋_GB2312"/>
          <w:color w:val="000000"/>
          <w:sz w:val="32"/>
          <w:szCs w:val="32"/>
        </w:rPr>
      </w:pPr>
      <w:r>
        <w:rPr>
          <w:rFonts w:hint="eastAsia" w:ascii="仿宋_GB2312" w:hAnsi="仿宋_GB2312" w:eastAsia="仿宋_GB2312" w:cs="仿宋_GB2312"/>
          <w:b/>
          <w:bCs/>
          <w:color w:val="000000"/>
          <w:sz w:val="32"/>
          <w:szCs w:val="32"/>
        </w:rPr>
        <w:t>第五条</w:t>
      </w:r>
      <w:r>
        <w:rPr>
          <w:rFonts w:hint="eastAsia" w:ascii="黑体" w:hAnsi="宋体" w:eastAsia="黑体"/>
          <w:color w:val="000000"/>
          <w:sz w:val="32"/>
          <w:szCs w:val="32"/>
        </w:rPr>
        <w:t xml:space="preserve">  </w:t>
      </w:r>
      <w:r>
        <w:rPr>
          <w:rFonts w:hint="eastAsia" w:ascii="仿宋_GB2312" w:hAnsi="宋体" w:eastAsia="仿宋_GB2312"/>
          <w:color w:val="000000"/>
          <w:sz w:val="32"/>
          <w:szCs w:val="32"/>
        </w:rPr>
        <w:t>本规定由中共松潘县委机构编制委员会办公室负责解释，其调整由中共松潘县委机构编制委员会办公室按规定程序办理。</w:t>
      </w:r>
    </w:p>
    <w:p w14:paraId="11FA3A8D">
      <w:pPr>
        <w:spacing w:line="576" w:lineRule="exact"/>
        <w:ind w:firstLine="640" w:firstLineChars="200"/>
        <w:rPr>
          <w:rFonts w:ascii="仿宋" w:hAnsi="仿宋" w:eastAsia="仿宋" w:cs="仿宋_GB2312"/>
          <w:sz w:val="32"/>
          <w:szCs w:val="32"/>
        </w:rPr>
      </w:pPr>
      <w:r>
        <w:rPr>
          <w:rFonts w:ascii="仿宋" w:hAnsi="仿宋" w:eastAsia="仿宋" w:cs="仿宋_GB2312"/>
          <w:sz w:val="32"/>
          <w:szCs w:val="32"/>
        </w:rPr>
        <w:t>（三）人员概况。</w:t>
      </w:r>
    </w:p>
    <w:p w14:paraId="05D177A5">
      <w:pPr>
        <w:spacing w:line="576" w:lineRule="exact"/>
        <w:ind w:firstLine="640" w:firstLineChars="200"/>
        <w:rPr>
          <w:rFonts w:ascii="仿宋_GB2312" w:hAnsi="宋体" w:eastAsia="仿宋_GB2312"/>
          <w:color w:val="000000"/>
          <w:sz w:val="32"/>
          <w:szCs w:val="32"/>
        </w:rPr>
      </w:pPr>
      <w:r>
        <w:rPr>
          <w:rFonts w:hint="eastAsia" w:ascii="仿宋" w:hAnsi="仿宋" w:eastAsia="仿宋"/>
          <w:sz w:val="32"/>
          <w:szCs w:val="32"/>
        </w:rPr>
        <w:t>松</w:t>
      </w:r>
      <w:r>
        <w:rPr>
          <w:rFonts w:hint="eastAsia" w:ascii="仿宋_GB2312" w:hAnsi="宋体" w:eastAsia="仿宋_GB2312"/>
          <w:color w:val="000000"/>
          <w:sz w:val="32"/>
          <w:szCs w:val="32"/>
        </w:rPr>
        <w:t>潘县信访局机关行政编制3名。其中：局长1名，副局长2名；科级领导职数3名。事业编制5名， 其中科级领导1名，一般干部4名。</w:t>
      </w:r>
    </w:p>
    <w:p w14:paraId="7D6E3E6D">
      <w:pPr>
        <w:spacing w:line="576" w:lineRule="exact"/>
        <w:ind w:firstLine="800" w:firstLineChars="250"/>
        <w:rPr>
          <w:rFonts w:ascii="黑体" w:hAnsi="黑体" w:eastAsia="黑体" w:cs="黑体"/>
          <w:sz w:val="32"/>
          <w:szCs w:val="32"/>
        </w:rPr>
      </w:pPr>
      <w:r>
        <w:rPr>
          <w:rFonts w:ascii="黑体" w:hAnsi="黑体" w:eastAsia="黑体" w:cs="黑体"/>
          <w:sz w:val="32"/>
          <w:szCs w:val="32"/>
        </w:rPr>
        <w:t>二、部门财政资金收支情况</w:t>
      </w:r>
    </w:p>
    <w:p w14:paraId="2396DAD4">
      <w:pPr>
        <w:spacing w:line="576" w:lineRule="exact"/>
        <w:ind w:firstLine="640" w:firstLineChars="200"/>
        <w:rPr>
          <w:rFonts w:ascii="仿宋" w:hAnsi="仿宋" w:eastAsia="仿宋" w:cs="仿宋_GB2312"/>
          <w:sz w:val="32"/>
          <w:szCs w:val="32"/>
        </w:rPr>
      </w:pPr>
      <w:r>
        <w:rPr>
          <w:rFonts w:ascii="仿宋" w:hAnsi="仿宋" w:eastAsia="仿宋" w:cs="仿宋_GB2312"/>
          <w:sz w:val="32"/>
          <w:szCs w:val="32"/>
        </w:rPr>
        <w:t>（一）部门财政资金收入情况。</w:t>
      </w:r>
    </w:p>
    <w:p w14:paraId="550C1C43">
      <w:pPr>
        <w:spacing w:line="576"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   信访局一般公共预算财政拨款收入196.31万元</w:t>
      </w:r>
    </w:p>
    <w:p w14:paraId="5D2FFDE3">
      <w:pPr>
        <w:spacing w:line="576" w:lineRule="exact"/>
        <w:ind w:firstLine="640" w:firstLineChars="200"/>
        <w:rPr>
          <w:rFonts w:ascii="仿宋" w:hAnsi="仿宋" w:eastAsia="仿宋" w:cs="仿宋_GB2312"/>
          <w:sz w:val="32"/>
          <w:szCs w:val="32"/>
        </w:rPr>
      </w:pPr>
      <w:r>
        <w:rPr>
          <w:rFonts w:ascii="仿宋" w:hAnsi="仿宋" w:eastAsia="仿宋" w:cs="仿宋_GB2312"/>
          <w:sz w:val="32"/>
          <w:szCs w:val="32"/>
        </w:rPr>
        <w:t>（二）部门财政资金支出情况。</w:t>
      </w:r>
    </w:p>
    <w:p w14:paraId="4804FE42">
      <w:pPr>
        <w:spacing w:line="576" w:lineRule="exact"/>
        <w:ind w:firstLine="1120" w:firstLineChars="350"/>
        <w:rPr>
          <w:rFonts w:ascii="仿宋" w:hAnsi="仿宋" w:eastAsia="仿宋" w:cs="仿宋_GB2312"/>
          <w:sz w:val="32"/>
          <w:szCs w:val="32"/>
        </w:rPr>
      </w:pPr>
      <w:r>
        <w:rPr>
          <w:rFonts w:hint="eastAsia" w:ascii="仿宋" w:hAnsi="仿宋" w:eastAsia="仿宋" w:cs="仿宋_GB2312"/>
          <w:sz w:val="32"/>
          <w:szCs w:val="32"/>
        </w:rPr>
        <w:t>信访局财政资金支出合计196.31万元</w:t>
      </w:r>
    </w:p>
    <w:p w14:paraId="11D080FE">
      <w:pPr>
        <w:spacing w:line="576" w:lineRule="exact"/>
        <w:ind w:firstLine="640" w:firstLineChars="200"/>
        <w:rPr>
          <w:rFonts w:ascii="黑体" w:hAnsi="黑体" w:eastAsia="黑体" w:cs="黑体"/>
          <w:sz w:val="32"/>
          <w:szCs w:val="32"/>
        </w:rPr>
      </w:pPr>
      <w:r>
        <w:rPr>
          <w:rFonts w:ascii="黑体" w:hAnsi="黑体" w:eastAsia="黑体" w:cs="黑体"/>
          <w:sz w:val="32"/>
          <w:szCs w:val="32"/>
        </w:rPr>
        <w:t>三、部门整体预算绩效管理情况（根据适用指标体系进行调整）</w:t>
      </w:r>
    </w:p>
    <w:p w14:paraId="624C744F">
      <w:pPr>
        <w:tabs>
          <w:tab w:val="left" w:pos="750"/>
        </w:tabs>
        <w:spacing w:line="576" w:lineRule="exact"/>
        <w:ind w:firstLine="643"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32"/>
          <w:szCs w:val="32"/>
        </w:rPr>
        <w:t>（一）部门预算管理。</w:t>
      </w:r>
    </w:p>
    <w:p w14:paraId="4CE29FB0">
      <w:pPr>
        <w:tabs>
          <w:tab w:val="left" w:pos="750"/>
        </w:tabs>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1、预算编制质量</w:t>
      </w:r>
    </w:p>
    <w:p w14:paraId="67526283">
      <w:pPr>
        <w:tabs>
          <w:tab w:val="left" w:pos="750"/>
        </w:tabs>
        <w:spacing w:line="576" w:lineRule="exact"/>
        <w:ind w:firstLine="640" w:firstLineChars="200"/>
        <w:rPr>
          <w:rFonts w:ascii="仿宋_GB2312" w:hAnsi="仿宋_GB2312" w:eastAsia="仿宋_GB2312" w:cs="仿宋_GB2312"/>
          <w:sz w:val="32"/>
          <w:szCs w:val="32"/>
        </w:rPr>
      </w:pPr>
      <w:r>
        <w:rPr>
          <w:rFonts w:hint="eastAsia" w:ascii="仿宋_GB2312" w:eastAsia="仿宋_GB2312" w:cs="仿宋_GB2312"/>
          <w:color w:val="333333"/>
          <w:kern w:val="0"/>
          <w:sz w:val="32"/>
          <w:szCs w:val="32"/>
          <w:shd w:val="clear" w:color="auto" w:fill="FBFBFB"/>
        </w:rPr>
        <w:t>按照预算管理有关规定，目前部门预算的编制实行综合预算制度，即全部收入和支出都反映在预算中。</w:t>
      </w:r>
      <w:r>
        <w:rPr>
          <w:rFonts w:hint="eastAsia" w:ascii="仿宋_GB2312" w:hAnsi="仿宋_GB2312" w:eastAsia="仿宋_GB2312" w:cs="仿宋_GB2312"/>
          <w:sz w:val="32"/>
          <w:szCs w:val="32"/>
        </w:rPr>
        <w:t>本部门预算编制是由部门财务严格按照《预算法》的规定和财政部门预算股的要求，在即能保证本部门日常业务工作顺利开展的需要，又不浪费资金的前提下，合理编制出本部门的年度预算。</w:t>
      </w:r>
    </w:p>
    <w:p w14:paraId="1E52B86A">
      <w:pPr>
        <w:tabs>
          <w:tab w:val="left" w:pos="750"/>
        </w:tabs>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2、绩效目标填报</w:t>
      </w:r>
    </w:p>
    <w:p w14:paraId="75307DF1">
      <w:pPr>
        <w:tabs>
          <w:tab w:val="left" w:pos="750"/>
        </w:tabs>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本部门不涉及绩效考评相关项目。</w:t>
      </w:r>
    </w:p>
    <w:p w14:paraId="73B9311B">
      <w:pPr>
        <w:tabs>
          <w:tab w:val="left" w:pos="750"/>
        </w:tabs>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3、转移支付提前下达及专项转移支付分地区分项目编制情况</w:t>
      </w:r>
    </w:p>
    <w:p w14:paraId="01AC5202">
      <w:pPr>
        <w:tabs>
          <w:tab w:val="left" w:pos="750"/>
        </w:tabs>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本部门转移支付资金为中央转移、省级转移支付办案经费、业务装备经费、法律援助资金，转移支付资金本部门不参与预算编制，上级部门下达资金指标后，县财政部门按时足额将转移支付资金拨付到本部门。</w:t>
      </w:r>
    </w:p>
    <w:p w14:paraId="40887032">
      <w:pPr>
        <w:spacing w:line="576" w:lineRule="exact"/>
        <w:ind w:firstLine="482" w:firstLineChars="15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（二）结果应用情况。</w:t>
      </w:r>
    </w:p>
    <w:p w14:paraId="0E0905A7">
      <w:pPr>
        <w:pStyle w:val="14"/>
        <w:spacing w:before="0" w:beforeAutospacing="0" w:after="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我单位无政府性债务。</w:t>
      </w:r>
    </w:p>
    <w:p w14:paraId="294D68C1">
      <w:pPr>
        <w:pStyle w:val="14"/>
        <w:spacing w:before="0" w:beforeAutospacing="0" w:after="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非税收收入涉及公证处公证费，我单位每年将所收公证费全额上缴财政国库，无截留，挪用现象。</w:t>
      </w:r>
    </w:p>
    <w:p w14:paraId="41BBED5E">
      <w:pPr>
        <w:pStyle w:val="14"/>
        <w:spacing w:before="0" w:beforeAutospacing="0" w:after="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政府采购严格按照相关采购规定执行。</w:t>
      </w:r>
    </w:p>
    <w:p w14:paraId="6BD2490A">
      <w:pPr>
        <w:pStyle w:val="14"/>
        <w:spacing w:before="0" w:beforeAutospacing="0" w:after="0" w:afterAutospacing="0" w:line="576" w:lineRule="exact"/>
        <w:ind w:firstLine="640" w:firstLineChars="200"/>
        <w:rPr>
          <w:rFonts w:ascii="仿宋_GB2312" w:eastAsia="仿宋_GB2312"/>
          <w:color w:val="000000"/>
          <w:sz w:val="32"/>
          <w:szCs w:val="32"/>
        </w:rPr>
      </w:pPr>
      <w:r>
        <w:rPr>
          <w:rFonts w:hint="eastAsia" w:ascii="仿宋_GB2312" w:hAnsi="仿宋_GB2312" w:eastAsia="仿宋_GB2312" w:cs="仿宋_GB2312"/>
          <w:sz w:val="32"/>
          <w:szCs w:val="32"/>
        </w:rPr>
        <w:t>资产管理严格按照资产管理制度执行，</w:t>
      </w:r>
      <w:r>
        <w:rPr>
          <w:rFonts w:hint="eastAsia" w:ascii="仿宋_GB2312" w:eastAsia="仿宋_GB2312"/>
          <w:color w:val="000000"/>
          <w:sz w:val="32"/>
          <w:szCs w:val="32"/>
        </w:rPr>
        <w:t>严格执行法律、法规和有关规章制度;与行政单位履行职能需要相适应;科学合理,充分发挥资产使用效益;勤俭节约,从严控制。</w:t>
      </w:r>
    </w:p>
    <w:p w14:paraId="0A4F8579">
      <w:pPr>
        <w:pStyle w:val="14"/>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color w:val="000000"/>
          <w:sz w:val="32"/>
          <w:szCs w:val="32"/>
        </w:rPr>
        <w:t>建立单位内控制度，</w:t>
      </w:r>
      <w:r>
        <w:rPr>
          <w:rFonts w:hint="eastAsia" w:ascii="仿宋_GB2312" w:eastAsia="仿宋_GB2312"/>
          <w:sz w:val="32"/>
          <w:szCs w:val="32"/>
        </w:rPr>
        <w:t>在单位内部控制不断完善的基础上，针对其行政事业单位内部控制的独特性开展内部控制自我评价工作，可以使单位全体人员及时发现内部控制存在的问题，并采取有效改进措施，加大内部控制执行力度，保证行政事业单位内部控制目标的实现。</w:t>
      </w:r>
    </w:p>
    <w:p w14:paraId="0721B521">
      <w:pPr>
        <w:pStyle w:val="14"/>
        <w:spacing w:before="0" w:beforeAutospacing="0" w:after="0" w:afterAutospacing="0" w:line="576" w:lineRule="exact"/>
        <w:ind w:firstLine="640" w:firstLineChars="200"/>
        <w:rPr>
          <w:rFonts w:ascii="仿宋_GB2312" w:eastAsia="仿宋_GB2312" w:cs="仿宋_GB2312"/>
          <w:color w:val="000000"/>
          <w:sz w:val="32"/>
          <w:szCs w:val="32"/>
        </w:rPr>
      </w:pPr>
      <w:r>
        <w:rPr>
          <w:rFonts w:hint="eastAsia" w:ascii="仿宋_GB2312" w:eastAsia="仿宋_GB2312"/>
          <w:sz w:val="32"/>
          <w:szCs w:val="32"/>
        </w:rPr>
        <w:t>我部门将同级财政部门批复的本部门预决算报表及相关说明全部在政府门户网站公开，</w:t>
      </w:r>
      <w:r>
        <w:rPr>
          <w:rFonts w:hint="eastAsia" w:ascii="仿宋_GB2312" w:eastAsia="仿宋_GB2312" w:cs="仿宋_GB2312"/>
          <w:color w:val="000000"/>
          <w:sz w:val="32"/>
          <w:szCs w:val="32"/>
        </w:rPr>
        <w:t>包括部门收支总体情况和财政拨款收支情况，公开公示了我部门“三公”经费财政拨款预决算总额和分项数额。本部门公开预决算的同时，一并公开了本部门的职责、机构设置情况、预决算收支增减变化、机关运行经费安排以及政府采购等情况的说明，并对专业性较强的名词进行解释</w:t>
      </w:r>
    </w:p>
    <w:p w14:paraId="78AAF5EE">
      <w:pPr>
        <w:pStyle w:val="14"/>
        <w:spacing w:before="0" w:beforeAutospacing="0" w:after="0" w:afterAutospacing="0" w:line="576"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我部门财务各项工作自觉配合县财政和上级部门的监督检查，对检查中存在的问题，严肃对待，认真开展整改落实。</w:t>
      </w:r>
    </w:p>
    <w:p w14:paraId="6F90F510">
      <w:pPr>
        <w:spacing w:line="576" w:lineRule="exact"/>
        <w:ind w:firstLine="640" w:firstLineChars="200"/>
        <w:rPr>
          <w:rFonts w:ascii="黑体" w:hAnsi="黑体" w:eastAsia="黑体" w:cs="黑体"/>
          <w:sz w:val="32"/>
          <w:szCs w:val="32"/>
        </w:rPr>
      </w:pPr>
      <w:r>
        <w:rPr>
          <w:rFonts w:ascii="黑体" w:hAnsi="黑体" w:eastAsia="黑体" w:cs="黑体"/>
          <w:sz w:val="32"/>
          <w:szCs w:val="32"/>
        </w:rPr>
        <w:t>四、评价结论及建议</w:t>
      </w:r>
    </w:p>
    <w:p w14:paraId="71C0A82D">
      <w:pPr>
        <w:widowControl/>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（一）评价结论。</w:t>
      </w:r>
      <w:r>
        <w:rPr>
          <w:rFonts w:hint="eastAsia" w:ascii="仿宋_GB2312" w:hAnsi="仿宋_GB2312" w:eastAsia="仿宋_GB2312" w:cs="仿宋_GB2312"/>
          <w:color w:val="000000"/>
          <w:sz w:val="32"/>
          <w:szCs w:val="32"/>
        </w:rPr>
        <w:t>我部门预算执行整体情况正常，按照各项工作有序开展的进度，财政资金收支情况同时也按进度执行，有个别项目需要进一步加大力度开展。</w:t>
      </w:r>
    </w:p>
    <w:p w14:paraId="0BC2ED43">
      <w:pPr>
        <w:widowControl/>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（二）存在的问题</w:t>
      </w:r>
    </w:p>
    <w:p w14:paraId="41FC4EC2">
      <w:pPr>
        <w:widowControl/>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由于业务工作的特殊性，资金使用管理的局限性，部分项目资金的支付缓慢，如我单位法律援助上级转移支付资金这方面，因办案律师人少不足，加之案件的特殊性，律师在一定时间内不能顺利结案，导致法律援助经费的使用滞后。</w:t>
      </w:r>
    </w:p>
    <w:p w14:paraId="1D3A8824">
      <w:pPr>
        <w:widowControl/>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2、单位无专业财务人员，目前单位会计由乡镇司法助理员兼任，财务工作越来越繁重复杂，影响了本单位财务收支工作。</w:t>
      </w:r>
    </w:p>
    <w:p w14:paraId="20569ED2">
      <w:pPr>
        <w:widowControl/>
        <w:spacing w:line="576" w:lineRule="exact"/>
        <w:ind w:firstLine="480" w:firstLineChars="15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（三）改进建议</w:t>
      </w:r>
    </w:p>
    <w:p w14:paraId="3CE1958F">
      <w:pPr>
        <w:widowControl/>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1、针对部分项目资金使用缓慢的现象，建议能适当合理扩大资金使用范围，提高法律援助办案补贴标准。</w:t>
      </w:r>
    </w:p>
    <w:p w14:paraId="70A08E2F">
      <w:pPr>
        <w:widowControl/>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2、针对财务人员的素质问题，建议单位能补充财会专业人员，建议财政部门能组织各单位财务人员进行业务的培训，不断提升各单位财务人员的业务素质和职业道德。</w:t>
      </w:r>
    </w:p>
    <w:p w14:paraId="19EB0B7B">
      <w:pPr>
        <w:widowControl/>
        <w:spacing w:line="576" w:lineRule="exact"/>
        <w:ind w:firstLine="640" w:firstLineChars="200"/>
        <w:rPr>
          <w:rFonts w:ascii="仿宋_GB2312" w:hAnsi="仿宋_GB2312" w:eastAsia="仿宋_GB2312" w:cs="仿宋_GB2312"/>
          <w:color w:val="000000"/>
          <w:sz w:val="32"/>
          <w:szCs w:val="32"/>
        </w:rPr>
      </w:pPr>
    </w:p>
    <w:p w14:paraId="7C961B75">
      <w:pPr>
        <w:widowControl/>
        <w:spacing w:line="576" w:lineRule="exact"/>
        <w:ind w:firstLine="640" w:firstLineChars="200"/>
        <w:rPr>
          <w:rFonts w:ascii="仿宋_GB2312" w:hAnsi="仿宋_GB2312" w:eastAsia="仿宋_GB2312" w:cs="仿宋_GB2312"/>
          <w:color w:val="000000"/>
          <w:sz w:val="32"/>
          <w:szCs w:val="32"/>
        </w:rPr>
      </w:pPr>
    </w:p>
    <w:p w14:paraId="152F62CA">
      <w:pPr>
        <w:widowControl/>
        <w:spacing w:line="576" w:lineRule="exact"/>
        <w:ind w:firstLine="640" w:firstLineChars="200"/>
        <w:rPr>
          <w:rFonts w:ascii="仿宋_GB2312" w:hAnsi="仿宋_GB2312" w:eastAsia="仿宋_GB2312" w:cs="仿宋_GB2312"/>
          <w:color w:val="000000"/>
          <w:sz w:val="32"/>
          <w:szCs w:val="32"/>
        </w:rPr>
      </w:pPr>
    </w:p>
    <w:p w14:paraId="332D2751">
      <w:pPr>
        <w:widowControl/>
        <w:spacing w:line="576" w:lineRule="exact"/>
        <w:ind w:firstLine="640" w:firstLineChars="200"/>
        <w:rPr>
          <w:rFonts w:ascii="仿宋_GB2312" w:hAnsi="仿宋_GB2312" w:eastAsia="仿宋_GB2312" w:cs="仿宋_GB2312"/>
          <w:color w:val="000000"/>
          <w:sz w:val="32"/>
          <w:szCs w:val="32"/>
        </w:rPr>
      </w:pPr>
    </w:p>
    <w:p w14:paraId="062A7F9E">
      <w:pPr>
        <w:widowControl/>
        <w:spacing w:line="576" w:lineRule="exact"/>
        <w:ind w:firstLine="640" w:firstLineChars="200"/>
        <w:rPr>
          <w:rFonts w:ascii="仿宋_GB2312" w:hAnsi="仿宋_GB2312" w:eastAsia="仿宋_GB2312" w:cs="仿宋_GB2312"/>
          <w:color w:val="000000"/>
          <w:sz w:val="32"/>
          <w:szCs w:val="32"/>
        </w:rPr>
      </w:pPr>
    </w:p>
    <w:p w14:paraId="160B2574">
      <w:pPr>
        <w:widowControl/>
        <w:spacing w:line="576" w:lineRule="exact"/>
        <w:ind w:firstLine="640" w:firstLineChars="200"/>
        <w:rPr>
          <w:rFonts w:ascii="仿宋_GB2312" w:hAnsi="仿宋_GB2312" w:eastAsia="仿宋_GB2312" w:cs="仿宋_GB2312"/>
          <w:color w:val="000000"/>
          <w:sz w:val="32"/>
          <w:szCs w:val="32"/>
        </w:rPr>
      </w:pPr>
    </w:p>
    <w:p w14:paraId="6772458E">
      <w:pPr>
        <w:widowControl/>
        <w:spacing w:line="576" w:lineRule="exact"/>
        <w:ind w:firstLine="640" w:firstLineChars="200"/>
        <w:rPr>
          <w:rFonts w:ascii="仿宋_GB2312" w:hAnsi="仿宋_GB2312" w:eastAsia="仿宋_GB2312" w:cs="仿宋_GB2312"/>
          <w:color w:val="000000"/>
          <w:sz w:val="32"/>
          <w:szCs w:val="32"/>
        </w:rPr>
      </w:pPr>
    </w:p>
    <w:p w14:paraId="77CD8B93">
      <w:pPr>
        <w:widowControl/>
        <w:spacing w:line="576" w:lineRule="exact"/>
        <w:ind w:firstLine="640" w:firstLineChars="200"/>
        <w:rPr>
          <w:rFonts w:ascii="仿宋_GB2312" w:hAnsi="仿宋_GB2312" w:eastAsia="仿宋_GB2312" w:cs="仿宋_GB2312"/>
          <w:color w:val="000000"/>
          <w:sz w:val="32"/>
          <w:szCs w:val="32"/>
        </w:rPr>
      </w:pPr>
    </w:p>
    <w:p w14:paraId="57F62A11">
      <w:pPr>
        <w:widowControl/>
        <w:spacing w:line="576" w:lineRule="exact"/>
        <w:ind w:firstLine="640" w:firstLineChars="200"/>
        <w:rPr>
          <w:rFonts w:ascii="仿宋_GB2312" w:hAnsi="仿宋_GB2312" w:eastAsia="仿宋_GB2312" w:cs="仿宋_GB2312"/>
          <w:color w:val="000000"/>
          <w:sz w:val="32"/>
          <w:szCs w:val="32"/>
        </w:rPr>
      </w:pPr>
    </w:p>
    <w:p w14:paraId="4DDEE412">
      <w:pPr>
        <w:widowControl/>
        <w:spacing w:line="576" w:lineRule="exact"/>
        <w:ind w:firstLine="640" w:firstLineChars="200"/>
        <w:rPr>
          <w:rFonts w:ascii="仿宋_GB2312" w:hAnsi="仿宋_GB2312" w:eastAsia="仿宋_GB2312" w:cs="仿宋_GB2312"/>
          <w:color w:val="000000"/>
          <w:sz w:val="32"/>
          <w:szCs w:val="32"/>
        </w:rPr>
      </w:pPr>
    </w:p>
    <w:p w14:paraId="7358BA9E">
      <w:pPr>
        <w:widowControl/>
        <w:spacing w:line="576" w:lineRule="exact"/>
        <w:ind w:firstLine="640" w:firstLineChars="200"/>
        <w:rPr>
          <w:rFonts w:ascii="仿宋_GB2312" w:hAnsi="仿宋_GB2312" w:eastAsia="仿宋_GB2312" w:cs="仿宋_GB2312"/>
          <w:color w:val="000000"/>
          <w:sz w:val="32"/>
          <w:szCs w:val="32"/>
        </w:rPr>
      </w:pPr>
    </w:p>
    <w:p w14:paraId="27FAB74D">
      <w:pPr>
        <w:widowControl/>
        <w:spacing w:line="576" w:lineRule="exact"/>
        <w:ind w:firstLine="640" w:firstLineChars="200"/>
        <w:rPr>
          <w:rFonts w:ascii="仿宋_GB2312" w:hAnsi="仿宋_GB2312" w:eastAsia="仿宋_GB2312" w:cs="仿宋_GB2312"/>
          <w:color w:val="000000"/>
          <w:sz w:val="32"/>
          <w:szCs w:val="32"/>
        </w:rPr>
      </w:pPr>
    </w:p>
    <w:p w14:paraId="5168884A">
      <w:pPr>
        <w:widowControl/>
        <w:spacing w:line="576" w:lineRule="exact"/>
        <w:ind w:firstLine="640" w:firstLineChars="200"/>
        <w:rPr>
          <w:rFonts w:ascii="仿宋_GB2312" w:hAnsi="仿宋_GB2312" w:eastAsia="仿宋_GB2312" w:cs="仿宋_GB2312"/>
          <w:color w:val="000000"/>
          <w:sz w:val="32"/>
          <w:szCs w:val="32"/>
        </w:rPr>
      </w:pPr>
    </w:p>
    <w:p w14:paraId="4E6FCB6E">
      <w:pPr>
        <w:widowControl/>
        <w:spacing w:line="576" w:lineRule="exact"/>
        <w:ind w:firstLine="640" w:firstLineChars="200"/>
        <w:rPr>
          <w:rFonts w:ascii="仿宋_GB2312" w:hAnsi="仿宋_GB2312" w:eastAsia="仿宋_GB2312" w:cs="仿宋_GB2312"/>
          <w:color w:val="000000"/>
          <w:sz w:val="32"/>
          <w:szCs w:val="32"/>
        </w:rPr>
      </w:pPr>
    </w:p>
    <w:p w14:paraId="24EFDDF5">
      <w:pPr>
        <w:widowControl/>
        <w:spacing w:line="576" w:lineRule="exact"/>
        <w:ind w:firstLine="640" w:firstLineChars="200"/>
        <w:rPr>
          <w:rFonts w:ascii="仿宋_GB2312" w:hAnsi="仿宋_GB2312" w:eastAsia="仿宋_GB2312" w:cs="仿宋_GB2312"/>
          <w:color w:val="000000"/>
          <w:sz w:val="32"/>
          <w:szCs w:val="32"/>
        </w:rPr>
      </w:pPr>
    </w:p>
    <w:p w14:paraId="5458B217">
      <w:pPr>
        <w:widowControl/>
        <w:spacing w:line="576" w:lineRule="exact"/>
        <w:ind w:firstLine="640" w:firstLineChars="200"/>
        <w:rPr>
          <w:rFonts w:ascii="仿宋_GB2312" w:hAnsi="仿宋_GB2312" w:eastAsia="仿宋_GB2312" w:cs="仿宋_GB2312"/>
          <w:color w:val="000000"/>
          <w:sz w:val="32"/>
          <w:szCs w:val="32"/>
        </w:rPr>
      </w:pPr>
    </w:p>
    <w:p w14:paraId="434AB90B">
      <w:pPr>
        <w:widowControl/>
        <w:spacing w:line="576" w:lineRule="exact"/>
        <w:ind w:firstLine="640" w:firstLineChars="200"/>
        <w:rPr>
          <w:rFonts w:ascii="仿宋_GB2312" w:hAnsi="仿宋_GB2312" w:eastAsia="仿宋_GB2312" w:cs="仿宋_GB2312"/>
          <w:color w:val="000000"/>
          <w:sz w:val="32"/>
          <w:szCs w:val="32"/>
        </w:rPr>
      </w:pPr>
    </w:p>
    <w:p w14:paraId="43EBCB86">
      <w:pPr>
        <w:widowControl/>
        <w:spacing w:line="540" w:lineRule="exact"/>
        <w:ind w:firstLine="560" w:firstLineChars="200"/>
        <w:rPr>
          <w:rFonts w:ascii="仿宋_GB2312" w:eastAsia="仿宋_GB2312" w:cs="宋体"/>
          <w:color w:val="000000"/>
          <w:sz w:val="28"/>
          <w:szCs w:val="28"/>
        </w:rPr>
      </w:pPr>
    </w:p>
    <w:p w14:paraId="1FFBAF86">
      <w:pPr>
        <w:widowControl/>
        <w:spacing w:line="540" w:lineRule="exact"/>
        <w:ind w:firstLine="560" w:firstLineChars="200"/>
        <w:rPr>
          <w:rFonts w:ascii="仿宋_GB2312" w:eastAsia="仿宋_GB2312" w:cs="宋体"/>
          <w:color w:val="000000"/>
          <w:sz w:val="28"/>
          <w:szCs w:val="28"/>
        </w:rPr>
      </w:pPr>
    </w:p>
    <w:p w14:paraId="42A7CA6A">
      <w:pPr>
        <w:spacing w:line="600" w:lineRule="exact"/>
        <w:jc w:val="center"/>
        <w:outlineLvl w:val="0"/>
        <w:rPr>
          <w:rStyle w:val="28"/>
          <w:rFonts w:ascii="黑体" w:hAnsi="黑体" w:eastAsia="黑体"/>
          <w:b w:val="0"/>
        </w:rPr>
      </w:pPr>
      <w:bookmarkStart w:id="60" w:name="_Toc15396618"/>
      <w:r>
        <w:rPr>
          <w:rFonts w:hint="eastAsia" w:ascii="黑体" w:hAnsi="黑体" w:eastAsia="黑体"/>
          <w:color w:val="000000"/>
          <w:sz w:val="44"/>
          <w:szCs w:val="44"/>
        </w:rPr>
        <w:t>第</w:t>
      </w:r>
      <w:r>
        <w:rPr>
          <w:rStyle w:val="28"/>
          <w:rFonts w:hint="eastAsia" w:ascii="黑体" w:hAnsi="黑体" w:eastAsia="黑体"/>
          <w:b w:val="0"/>
        </w:rPr>
        <w:t>五部分 附表</w:t>
      </w:r>
      <w:bookmarkEnd w:id="60"/>
    </w:p>
    <w:p w14:paraId="518A46B4">
      <w:pPr>
        <w:pStyle w:val="4"/>
        <w:rPr>
          <w:rFonts w:ascii="仿宋" w:hAnsi="仿宋" w:eastAsia="仿宋"/>
          <w:color w:val="000000"/>
        </w:rPr>
      </w:pPr>
      <w:bookmarkStart w:id="61" w:name="_Toc15396619"/>
      <w:r>
        <w:rPr>
          <w:rFonts w:hint="eastAsia" w:ascii="仿宋" w:hAnsi="仿宋" w:eastAsia="仿宋"/>
          <w:b w:val="0"/>
          <w:color w:val="000000"/>
        </w:rPr>
        <w:t>一、收</w:t>
      </w:r>
      <w:r>
        <w:rPr>
          <w:rStyle w:val="29"/>
          <w:rFonts w:hint="eastAsia" w:ascii="仿宋" w:hAnsi="仿宋" w:eastAsia="仿宋"/>
          <w:b w:val="0"/>
          <w:bCs w:val="0"/>
        </w:rPr>
        <w:t>入支出决算总表</w:t>
      </w:r>
      <w:bookmarkEnd w:id="61"/>
    </w:p>
    <w:p w14:paraId="3A0CF244">
      <w:pPr>
        <w:pStyle w:val="4"/>
        <w:rPr>
          <w:rFonts w:ascii="仿宋" w:hAnsi="仿宋" w:eastAsia="仿宋"/>
          <w:color w:val="000000"/>
        </w:rPr>
      </w:pPr>
      <w:bookmarkStart w:id="62" w:name="_Toc15396620"/>
      <w:r>
        <w:rPr>
          <w:rFonts w:hint="eastAsia" w:ascii="仿宋" w:hAnsi="仿宋" w:eastAsia="仿宋"/>
          <w:b w:val="0"/>
          <w:color w:val="000000"/>
        </w:rPr>
        <w:t>二、收</w:t>
      </w:r>
      <w:r>
        <w:rPr>
          <w:rStyle w:val="29"/>
          <w:rFonts w:hint="eastAsia" w:ascii="仿宋" w:hAnsi="仿宋" w:eastAsia="仿宋"/>
          <w:b w:val="0"/>
          <w:bCs w:val="0"/>
        </w:rPr>
        <w:t>入总表</w:t>
      </w:r>
      <w:bookmarkEnd w:id="62"/>
    </w:p>
    <w:p w14:paraId="10A58F31">
      <w:pPr>
        <w:pStyle w:val="4"/>
        <w:rPr>
          <w:rFonts w:ascii="仿宋" w:hAnsi="仿宋" w:eastAsia="仿宋"/>
          <w:color w:val="000000"/>
        </w:rPr>
      </w:pPr>
      <w:bookmarkStart w:id="63" w:name="_Toc15396621"/>
      <w:r>
        <w:rPr>
          <w:rStyle w:val="29"/>
          <w:rFonts w:hint="eastAsia" w:ascii="仿宋" w:hAnsi="仿宋" w:eastAsia="仿宋"/>
          <w:b w:val="0"/>
          <w:bCs w:val="0"/>
        </w:rPr>
        <w:t>三、</w:t>
      </w:r>
      <w:r>
        <w:rPr>
          <w:rFonts w:hint="eastAsia" w:ascii="仿宋" w:hAnsi="仿宋" w:eastAsia="仿宋"/>
          <w:b w:val="0"/>
          <w:color w:val="000000"/>
        </w:rPr>
        <w:t>支</w:t>
      </w:r>
      <w:r>
        <w:rPr>
          <w:rStyle w:val="29"/>
          <w:rFonts w:hint="eastAsia" w:ascii="仿宋" w:hAnsi="仿宋" w:eastAsia="仿宋"/>
          <w:b w:val="0"/>
          <w:bCs w:val="0"/>
        </w:rPr>
        <w:t>出总表</w:t>
      </w:r>
      <w:bookmarkEnd w:id="63"/>
    </w:p>
    <w:p w14:paraId="4D865A91">
      <w:pPr>
        <w:pStyle w:val="4"/>
        <w:rPr>
          <w:rFonts w:ascii="仿宋" w:hAnsi="仿宋" w:eastAsia="仿宋"/>
          <w:b w:val="0"/>
          <w:color w:val="000000"/>
        </w:rPr>
      </w:pPr>
      <w:bookmarkStart w:id="64" w:name="_Toc15396622"/>
      <w:r>
        <w:rPr>
          <w:rStyle w:val="29"/>
          <w:rFonts w:hint="eastAsia" w:ascii="仿宋" w:hAnsi="仿宋" w:eastAsia="仿宋"/>
          <w:b w:val="0"/>
          <w:bCs w:val="0"/>
        </w:rPr>
        <w:t>四、</w:t>
      </w:r>
      <w:r>
        <w:rPr>
          <w:rFonts w:hint="eastAsia" w:ascii="仿宋" w:hAnsi="仿宋" w:eastAsia="仿宋"/>
          <w:b w:val="0"/>
          <w:color w:val="000000"/>
        </w:rPr>
        <w:t>财</w:t>
      </w:r>
      <w:r>
        <w:rPr>
          <w:rStyle w:val="29"/>
          <w:rFonts w:hint="eastAsia" w:ascii="仿宋" w:hAnsi="仿宋" w:eastAsia="仿宋"/>
          <w:b w:val="0"/>
          <w:bCs w:val="0"/>
        </w:rPr>
        <w:t>政拨款收入支出决算总表</w:t>
      </w:r>
      <w:bookmarkEnd w:id="64"/>
    </w:p>
    <w:p w14:paraId="4D712CA9">
      <w:pPr>
        <w:pStyle w:val="4"/>
        <w:rPr>
          <w:rFonts w:ascii="仿宋" w:hAnsi="仿宋" w:eastAsia="仿宋"/>
          <w:color w:val="000000"/>
        </w:rPr>
      </w:pPr>
      <w:bookmarkStart w:id="65" w:name="_Toc15396623"/>
      <w:r>
        <w:rPr>
          <w:rStyle w:val="29"/>
          <w:rFonts w:hint="eastAsia" w:ascii="仿宋" w:hAnsi="仿宋" w:eastAsia="仿宋"/>
          <w:b w:val="0"/>
          <w:bCs w:val="0"/>
        </w:rPr>
        <w:t>五、</w:t>
      </w:r>
      <w:r>
        <w:rPr>
          <w:rFonts w:hint="eastAsia" w:ascii="仿宋" w:hAnsi="仿宋" w:eastAsia="仿宋"/>
          <w:b w:val="0"/>
          <w:color w:val="000000"/>
        </w:rPr>
        <w:t>财</w:t>
      </w:r>
      <w:r>
        <w:rPr>
          <w:rStyle w:val="29"/>
          <w:rFonts w:hint="eastAsia" w:ascii="仿宋" w:hAnsi="仿宋" w:eastAsia="仿宋"/>
          <w:b w:val="0"/>
          <w:bCs w:val="0"/>
        </w:rPr>
        <w:t>政拨款支出决算明细表（政府经济分类科目）</w:t>
      </w:r>
      <w:bookmarkEnd w:id="65"/>
    </w:p>
    <w:p w14:paraId="0FCCE176">
      <w:pPr>
        <w:pStyle w:val="4"/>
        <w:rPr>
          <w:rFonts w:ascii="仿宋" w:hAnsi="仿宋" w:eastAsia="仿宋"/>
          <w:color w:val="000000"/>
        </w:rPr>
      </w:pPr>
      <w:bookmarkStart w:id="66" w:name="_Toc15396624"/>
      <w:r>
        <w:rPr>
          <w:rStyle w:val="29"/>
          <w:rFonts w:hint="eastAsia" w:ascii="仿宋" w:hAnsi="仿宋" w:eastAsia="仿宋"/>
          <w:b w:val="0"/>
          <w:bCs w:val="0"/>
        </w:rPr>
        <w:t>六、</w:t>
      </w:r>
      <w:r>
        <w:rPr>
          <w:rFonts w:hint="eastAsia" w:ascii="仿宋" w:hAnsi="仿宋" w:eastAsia="仿宋"/>
          <w:b w:val="0"/>
          <w:color w:val="000000"/>
        </w:rPr>
        <w:t>一</w:t>
      </w:r>
      <w:r>
        <w:rPr>
          <w:rStyle w:val="29"/>
          <w:rFonts w:hint="eastAsia" w:ascii="仿宋" w:hAnsi="仿宋" w:eastAsia="仿宋"/>
          <w:b w:val="0"/>
          <w:bCs w:val="0"/>
        </w:rPr>
        <w:t>般公共预算财政拨款支出决算表</w:t>
      </w:r>
      <w:bookmarkEnd w:id="66"/>
    </w:p>
    <w:p w14:paraId="714C6A07">
      <w:pPr>
        <w:pStyle w:val="4"/>
        <w:rPr>
          <w:rFonts w:ascii="仿宋" w:hAnsi="仿宋" w:eastAsia="仿宋"/>
          <w:color w:val="000000"/>
        </w:rPr>
      </w:pPr>
      <w:bookmarkStart w:id="67" w:name="_Toc15396625"/>
      <w:r>
        <w:rPr>
          <w:rStyle w:val="29"/>
          <w:rFonts w:hint="eastAsia" w:ascii="仿宋" w:hAnsi="仿宋" w:eastAsia="仿宋"/>
          <w:b w:val="0"/>
          <w:bCs w:val="0"/>
        </w:rPr>
        <w:t>七、</w:t>
      </w:r>
      <w:r>
        <w:rPr>
          <w:rFonts w:hint="eastAsia" w:ascii="仿宋" w:hAnsi="仿宋" w:eastAsia="仿宋"/>
          <w:b w:val="0"/>
          <w:color w:val="000000"/>
        </w:rPr>
        <w:t>一</w:t>
      </w:r>
      <w:r>
        <w:rPr>
          <w:rStyle w:val="29"/>
          <w:rFonts w:hint="eastAsia" w:ascii="仿宋" w:hAnsi="仿宋" w:eastAsia="仿宋"/>
          <w:b w:val="0"/>
          <w:bCs w:val="0"/>
        </w:rPr>
        <w:t>般公共预算财政拨款支出决算明细表</w:t>
      </w:r>
      <w:bookmarkEnd w:id="67"/>
    </w:p>
    <w:p w14:paraId="01CB176B">
      <w:pPr>
        <w:pStyle w:val="4"/>
        <w:rPr>
          <w:rFonts w:ascii="仿宋" w:hAnsi="仿宋" w:eastAsia="仿宋"/>
          <w:color w:val="000000"/>
        </w:rPr>
      </w:pPr>
      <w:bookmarkStart w:id="68" w:name="_Toc15396626"/>
      <w:r>
        <w:rPr>
          <w:rStyle w:val="29"/>
          <w:rFonts w:hint="eastAsia" w:ascii="仿宋" w:hAnsi="仿宋" w:eastAsia="仿宋"/>
          <w:b w:val="0"/>
          <w:bCs w:val="0"/>
        </w:rPr>
        <w:t>八、</w:t>
      </w:r>
      <w:r>
        <w:rPr>
          <w:rFonts w:hint="eastAsia" w:ascii="仿宋" w:hAnsi="仿宋" w:eastAsia="仿宋"/>
          <w:b w:val="0"/>
          <w:color w:val="000000"/>
        </w:rPr>
        <w:t>一</w:t>
      </w:r>
      <w:r>
        <w:rPr>
          <w:rStyle w:val="29"/>
          <w:rFonts w:hint="eastAsia" w:ascii="仿宋" w:hAnsi="仿宋" w:eastAsia="仿宋"/>
          <w:b w:val="0"/>
          <w:bCs w:val="0"/>
        </w:rPr>
        <w:t>般公共预算财政拨款基本支出决算表</w:t>
      </w:r>
      <w:bookmarkEnd w:id="68"/>
    </w:p>
    <w:p w14:paraId="3BF3DF28">
      <w:pPr>
        <w:pStyle w:val="4"/>
        <w:rPr>
          <w:rFonts w:ascii="仿宋" w:hAnsi="仿宋" w:eastAsia="仿宋"/>
          <w:color w:val="000000"/>
        </w:rPr>
      </w:pPr>
      <w:bookmarkStart w:id="69" w:name="_Toc15396627"/>
      <w:r>
        <w:rPr>
          <w:rStyle w:val="29"/>
          <w:rFonts w:hint="eastAsia" w:ascii="仿宋" w:hAnsi="仿宋" w:eastAsia="仿宋"/>
          <w:b w:val="0"/>
          <w:bCs w:val="0"/>
        </w:rPr>
        <w:t>九、</w:t>
      </w:r>
      <w:r>
        <w:rPr>
          <w:rFonts w:hint="eastAsia" w:ascii="仿宋" w:hAnsi="仿宋" w:eastAsia="仿宋"/>
          <w:b w:val="0"/>
          <w:color w:val="000000"/>
        </w:rPr>
        <w:t>一</w:t>
      </w:r>
      <w:r>
        <w:rPr>
          <w:rStyle w:val="29"/>
          <w:rFonts w:hint="eastAsia" w:ascii="仿宋" w:hAnsi="仿宋" w:eastAsia="仿宋"/>
          <w:b w:val="0"/>
          <w:bCs w:val="0"/>
        </w:rPr>
        <w:t>般公共预算财政拨款项目支出决算表</w:t>
      </w:r>
      <w:bookmarkEnd w:id="69"/>
    </w:p>
    <w:p w14:paraId="38AD9A47">
      <w:pPr>
        <w:pStyle w:val="4"/>
        <w:rPr>
          <w:rFonts w:ascii="仿宋" w:hAnsi="仿宋" w:eastAsia="仿宋"/>
          <w:color w:val="000000"/>
        </w:rPr>
      </w:pPr>
      <w:bookmarkStart w:id="70" w:name="_Toc15396628"/>
      <w:r>
        <w:rPr>
          <w:rStyle w:val="29"/>
          <w:rFonts w:hint="eastAsia" w:ascii="仿宋" w:hAnsi="仿宋" w:eastAsia="仿宋"/>
          <w:b w:val="0"/>
          <w:bCs w:val="0"/>
        </w:rPr>
        <w:t>十、</w:t>
      </w:r>
      <w:r>
        <w:rPr>
          <w:rFonts w:hint="eastAsia" w:ascii="仿宋" w:hAnsi="仿宋" w:eastAsia="仿宋"/>
          <w:b w:val="0"/>
          <w:color w:val="000000"/>
        </w:rPr>
        <w:t>一</w:t>
      </w:r>
      <w:r>
        <w:rPr>
          <w:rStyle w:val="29"/>
          <w:rFonts w:hint="eastAsia" w:ascii="仿宋" w:hAnsi="仿宋" w:eastAsia="仿宋"/>
          <w:b w:val="0"/>
          <w:bCs w:val="0"/>
        </w:rPr>
        <w:t>般公共预算财政拨款“三公”经费支出决算表</w:t>
      </w:r>
      <w:bookmarkEnd w:id="70"/>
    </w:p>
    <w:p w14:paraId="0DE696B4">
      <w:pPr>
        <w:pStyle w:val="4"/>
        <w:rPr>
          <w:rFonts w:ascii="仿宋" w:hAnsi="仿宋" w:eastAsia="仿宋"/>
          <w:color w:val="000000"/>
        </w:rPr>
      </w:pPr>
      <w:bookmarkStart w:id="71" w:name="_Toc15396629"/>
      <w:r>
        <w:rPr>
          <w:rStyle w:val="29"/>
          <w:rFonts w:hint="eastAsia" w:ascii="仿宋" w:hAnsi="仿宋" w:eastAsia="仿宋"/>
          <w:b w:val="0"/>
          <w:bCs w:val="0"/>
        </w:rPr>
        <w:t>十一、</w:t>
      </w:r>
      <w:r>
        <w:rPr>
          <w:rFonts w:hint="eastAsia" w:ascii="仿宋" w:hAnsi="仿宋" w:eastAsia="仿宋"/>
          <w:b w:val="0"/>
          <w:color w:val="000000"/>
        </w:rPr>
        <w:t>政</w:t>
      </w:r>
      <w:r>
        <w:rPr>
          <w:rStyle w:val="29"/>
          <w:rFonts w:hint="eastAsia" w:ascii="仿宋" w:hAnsi="仿宋" w:eastAsia="仿宋"/>
          <w:b w:val="0"/>
          <w:bCs w:val="0"/>
        </w:rPr>
        <w:t>府性基金预算财政拨款收入支出决算表</w:t>
      </w:r>
      <w:bookmarkEnd w:id="71"/>
    </w:p>
    <w:p w14:paraId="465D262E">
      <w:pPr>
        <w:pStyle w:val="4"/>
        <w:rPr>
          <w:rFonts w:ascii="仿宋" w:hAnsi="仿宋" w:eastAsia="仿宋"/>
          <w:color w:val="000000"/>
        </w:rPr>
      </w:pPr>
      <w:bookmarkStart w:id="72" w:name="_Toc15396630"/>
      <w:r>
        <w:rPr>
          <w:rStyle w:val="29"/>
          <w:rFonts w:hint="eastAsia" w:ascii="仿宋" w:hAnsi="仿宋" w:eastAsia="仿宋"/>
          <w:b w:val="0"/>
          <w:bCs w:val="0"/>
        </w:rPr>
        <w:t>十二、</w:t>
      </w:r>
      <w:r>
        <w:rPr>
          <w:rFonts w:hint="eastAsia" w:ascii="仿宋" w:hAnsi="仿宋" w:eastAsia="仿宋"/>
          <w:b w:val="0"/>
          <w:color w:val="000000"/>
        </w:rPr>
        <w:t>政</w:t>
      </w:r>
      <w:r>
        <w:rPr>
          <w:rStyle w:val="29"/>
          <w:rFonts w:hint="eastAsia" w:ascii="仿宋" w:hAnsi="仿宋" w:eastAsia="仿宋"/>
          <w:b w:val="0"/>
          <w:bCs w:val="0"/>
        </w:rPr>
        <w:t>府性基金预算财政拨款“三公”经费支出决算表</w:t>
      </w:r>
      <w:bookmarkEnd w:id="72"/>
    </w:p>
    <w:bookmarkEnd w:id="57"/>
    <w:p w14:paraId="069EBF2E">
      <w:pPr>
        <w:pStyle w:val="4"/>
        <w:rPr>
          <w:rStyle w:val="35"/>
          <w:rFonts w:ascii="仿宋" w:hAnsi="仿宋" w:eastAsia="仿宋"/>
          <w:b w:val="0"/>
          <w:bCs w:val="0"/>
        </w:rPr>
      </w:pPr>
      <w:bookmarkStart w:id="73" w:name="_Toc15396631"/>
      <w:bookmarkStart w:id="74" w:name="_Toc79163648"/>
      <w:bookmarkStart w:id="75" w:name="_Toc79163898"/>
      <w:r>
        <w:rPr>
          <w:rStyle w:val="35"/>
          <w:rFonts w:hint="eastAsia" w:ascii="仿宋" w:hAnsi="仿宋" w:eastAsia="仿宋"/>
          <w:b w:val="0"/>
          <w:bCs w:val="0"/>
        </w:rPr>
        <w:t>十三、</w:t>
      </w:r>
      <w:r>
        <w:rPr>
          <w:rFonts w:hint="eastAsia" w:ascii="仿宋" w:hAnsi="仿宋" w:eastAsia="仿宋"/>
          <w:b w:val="0"/>
          <w:color w:val="000000"/>
        </w:rPr>
        <w:t>国</w:t>
      </w:r>
      <w:r>
        <w:rPr>
          <w:rStyle w:val="35"/>
          <w:rFonts w:hint="eastAsia" w:ascii="仿宋" w:hAnsi="仿宋" w:eastAsia="仿宋"/>
          <w:b w:val="0"/>
          <w:bCs w:val="0"/>
        </w:rPr>
        <w:t>有资本经营预算财政拨款</w:t>
      </w:r>
      <w:r>
        <w:rPr>
          <w:rStyle w:val="35"/>
          <w:rFonts w:hint="eastAsia" w:ascii="仿宋" w:hAnsi="仿宋" w:eastAsia="仿宋"/>
          <w:b w:val="0"/>
          <w:bCs w:val="0"/>
          <w:lang w:eastAsia="zh-CN"/>
        </w:rPr>
        <w:t>收入</w:t>
      </w:r>
      <w:r>
        <w:rPr>
          <w:rStyle w:val="35"/>
          <w:rFonts w:hint="eastAsia" w:ascii="仿宋" w:hAnsi="仿宋" w:eastAsia="仿宋"/>
          <w:b w:val="0"/>
          <w:bCs w:val="0"/>
        </w:rPr>
        <w:t>支出决算表</w:t>
      </w:r>
      <w:bookmarkEnd w:id="73"/>
      <w:bookmarkEnd w:id="74"/>
      <w:bookmarkEnd w:id="75"/>
    </w:p>
    <w:p w14:paraId="758A6EEA">
      <w:pPr>
        <w:pStyle w:val="4"/>
        <w:rPr>
          <w:rStyle w:val="35"/>
          <w:rFonts w:ascii="仿宋" w:hAnsi="仿宋" w:eastAsia="仿宋"/>
          <w:b w:val="0"/>
          <w:bCs w:val="0"/>
        </w:rPr>
      </w:pPr>
      <w:bookmarkStart w:id="76" w:name="_Toc79163899"/>
      <w:bookmarkStart w:id="77" w:name="_Toc79163649"/>
      <w:r>
        <w:rPr>
          <w:rStyle w:val="35"/>
          <w:rFonts w:hint="eastAsia" w:ascii="仿宋" w:hAnsi="仿宋" w:eastAsia="仿宋"/>
          <w:b w:val="0"/>
          <w:bCs w:val="0"/>
        </w:rPr>
        <w:t>十四、国有资本经营预算财政拨款支出决算表</w:t>
      </w:r>
      <w:bookmarkEnd w:id="76"/>
      <w:bookmarkEnd w:id="77"/>
    </w:p>
    <w:p w14:paraId="00B6D176">
      <w:pPr>
        <w:spacing w:line="600" w:lineRule="exact"/>
        <w:jc w:val="center"/>
        <w:outlineLvl w:val="0"/>
        <w:rPr>
          <w:rFonts w:ascii="仿宋" w:hAnsi="仿宋" w:eastAsia="仿宋"/>
          <w:b/>
          <w:color w:val="000000"/>
          <w:sz w:val="44"/>
          <w:szCs w:val="44"/>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C533C38-9FDD-486C-AAE8-5F9D959ADE3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E040C28-94B7-49DF-A73A-F656A8A0D082}"/>
  </w:font>
  <w:font w:name="Cambria">
    <w:panose1 w:val="02040503050406030204"/>
    <w:charset w:val="00"/>
    <w:family w:val="roman"/>
    <w:pitch w:val="default"/>
    <w:sig w:usb0="E00006FF" w:usb1="420024FF" w:usb2="02000000" w:usb3="00000000" w:csb0="2000019F" w:csb1="00000000"/>
    <w:embedRegular r:id="rId3" w:fontKey="{9713CB42-793B-48D7-B816-A6D32B6F2F89}"/>
  </w:font>
  <w:font w:name="仿宋_GB2312">
    <w:panose1 w:val="02010609030101010101"/>
    <w:charset w:val="86"/>
    <w:family w:val="modern"/>
    <w:pitch w:val="default"/>
    <w:sig w:usb0="00000001" w:usb1="080E0000" w:usb2="00000000" w:usb3="00000000" w:csb0="00040000" w:csb1="00000000"/>
    <w:embedRegular r:id="rId4" w:fontKey="{B855ADC6-185F-44D2-99C2-71C77F9E3417}"/>
  </w:font>
  <w:font w:name="仿宋">
    <w:panose1 w:val="02010609060101010101"/>
    <w:charset w:val="86"/>
    <w:family w:val="modern"/>
    <w:pitch w:val="default"/>
    <w:sig w:usb0="800002BF" w:usb1="38CF7CFA" w:usb2="00000016" w:usb3="00000000" w:csb0="00040001" w:csb1="00000000"/>
    <w:embedRegular r:id="rId5" w:fontKey="{BFE2DB93-64E5-40FC-8166-81BF2B4AD64F}"/>
  </w:font>
  <w:font w:name="方正小标宋简体">
    <w:panose1 w:val="02010600010101010101"/>
    <w:charset w:val="86"/>
    <w:family w:val="auto"/>
    <w:pitch w:val="default"/>
    <w:sig w:usb0="00000001" w:usb1="080E0000" w:usb2="00000000" w:usb3="00000000" w:csb0="00040000" w:csb1="00000000"/>
    <w:embedRegular r:id="rId6" w:fontKey="{CC7D9F2A-867D-48B5-8055-5259798B23D2}"/>
  </w:font>
  <w:font w:name="楷体_GB2312">
    <w:panose1 w:val="02010609030101010101"/>
    <w:charset w:val="86"/>
    <w:family w:val="modern"/>
    <w:pitch w:val="default"/>
    <w:sig w:usb0="00000001" w:usb1="080E0000" w:usb2="00000000" w:usb3="00000000" w:csb0="00040000" w:csb1="00000000"/>
    <w:embedRegular r:id="rId7" w:fontKey="{4422F990-8BCC-48A6-8A50-2F38E6114CA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5053D617">
        <w:pPr>
          <w:pStyle w:val="10"/>
          <w:jc w:val="center"/>
        </w:pPr>
        <w:r>
          <w:fldChar w:fldCharType="begin"/>
        </w:r>
        <w:r>
          <w:instrText xml:space="preserve">PAGE   \* MERGEFORMAT</w:instrText>
        </w:r>
        <w:r>
          <w:fldChar w:fldCharType="separate"/>
        </w:r>
        <w:r>
          <w:rPr>
            <w:lang w:val="zh-CN"/>
          </w:rPr>
          <w:t>2</w:t>
        </w:r>
        <w:r>
          <w:rPr>
            <w:lang w:val="zh-CN"/>
          </w:rPr>
          <w:fldChar w:fldCharType="end"/>
        </w:r>
      </w:p>
    </w:sdtContent>
  </w:sdt>
  <w:p w14:paraId="75B3B91F">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450D">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1562E"/>
    <w:rsid w:val="000222C6"/>
    <w:rsid w:val="0002549F"/>
    <w:rsid w:val="00032B9A"/>
    <w:rsid w:val="0006487A"/>
    <w:rsid w:val="00065F8F"/>
    <w:rsid w:val="000768F2"/>
    <w:rsid w:val="000905DE"/>
    <w:rsid w:val="00090ED5"/>
    <w:rsid w:val="0009184B"/>
    <w:rsid w:val="0009593C"/>
    <w:rsid w:val="000A3963"/>
    <w:rsid w:val="000B02BE"/>
    <w:rsid w:val="000B047F"/>
    <w:rsid w:val="000B5923"/>
    <w:rsid w:val="000B5A48"/>
    <w:rsid w:val="000B6FF3"/>
    <w:rsid w:val="000B7A61"/>
    <w:rsid w:val="000C3467"/>
    <w:rsid w:val="000C3CA6"/>
    <w:rsid w:val="000C6647"/>
    <w:rsid w:val="000D1267"/>
    <w:rsid w:val="000D1D50"/>
    <w:rsid w:val="000D5782"/>
    <w:rsid w:val="000E6613"/>
    <w:rsid w:val="000E7119"/>
    <w:rsid w:val="000F0382"/>
    <w:rsid w:val="00114E9B"/>
    <w:rsid w:val="0014729F"/>
    <w:rsid w:val="00157BAB"/>
    <w:rsid w:val="001654D1"/>
    <w:rsid w:val="0018106D"/>
    <w:rsid w:val="001877A7"/>
    <w:rsid w:val="00191536"/>
    <w:rsid w:val="00196687"/>
    <w:rsid w:val="001C0962"/>
    <w:rsid w:val="001D7531"/>
    <w:rsid w:val="001E737D"/>
    <w:rsid w:val="001F0592"/>
    <w:rsid w:val="001F28BD"/>
    <w:rsid w:val="001F7506"/>
    <w:rsid w:val="002006CD"/>
    <w:rsid w:val="002012C4"/>
    <w:rsid w:val="00202B36"/>
    <w:rsid w:val="00204B7A"/>
    <w:rsid w:val="0021101A"/>
    <w:rsid w:val="00220536"/>
    <w:rsid w:val="0022445A"/>
    <w:rsid w:val="00235629"/>
    <w:rsid w:val="00254C62"/>
    <w:rsid w:val="00260C38"/>
    <w:rsid w:val="002616C0"/>
    <w:rsid w:val="002662AA"/>
    <w:rsid w:val="00280496"/>
    <w:rsid w:val="00295495"/>
    <w:rsid w:val="002B1E74"/>
    <w:rsid w:val="002B2613"/>
    <w:rsid w:val="002D64F5"/>
    <w:rsid w:val="002F0585"/>
    <w:rsid w:val="002F1818"/>
    <w:rsid w:val="002F567B"/>
    <w:rsid w:val="003102C3"/>
    <w:rsid w:val="0032072F"/>
    <w:rsid w:val="003216A9"/>
    <w:rsid w:val="0037013F"/>
    <w:rsid w:val="00380C92"/>
    <w:rsid w:val="00385CF1"/>
    <w:rsid w:val="003931C8"/>
    <w:rsid w:val="003A484F"/>
    <w:rsid w:val="003A5039"/>
    <w:rsid w:val="003A5A6B"/>
    <w:rsid w:val="003A7732"/>
    <w:rsid w:val="003B0BE0"/>
    <w:rsid w:val="003B0C1B"/>
    <w:rsid w:val="003B688C"/>
    <w:rsid w:val="003C0291"/>
    <w:rsid w:val="003C39AE"/>
    <w:rsid w:val="003C7B60"/>
    <w:rsid w:val="003D1322"/>
    <w:rsid w:val="003D1FB2"/>
    <w:rsid w:val="003D5300"/>
    <w:rsid w:val="003D66DA"/>
    <w:rsid w:val="003E1310"/>
    <w:rsid w:val="003E3A28"/>
    <w:rsid w:val="003E6F55"/>
    <w:rsid w:val="003F2951"/>
    <w:rsid w:val="003F3328"/>
    <w:rsid w:val="00406254"/>
    <w:rsid w:val="004121A2"/>
    <w:rsid w:val="00421DAA"/>
    <w:rsid w:val="004223DE"/>
    <w:rsid w:val="00427A93"/>
    <w:rsid w:val="00434489"/>
    <w:rsid w:val="00437085"/>
    <w:rsid w:val="00443880"/>
    <w:rsid w:val="004439BB"/>
    <w:rsid w:val="004464F4"/>
    <w:rsid w:val="00471401"/>
    <w:rsid w:val="00473F31"/>
    <w:rsid w:val="0048263A"/>
    <w:rsid w:val="00487E5D"/>
    <w:rsid w:val="004943B2"/>
    <w:rsid w:val="004A711F"/>
    <w:rsid w:val="004B199D"/>
    <w:rsid w:val="004B4690"/>
    <w:rsid w:val="004B6E63"/>
    <w:rsid w:val="004C3E8C"/>
    <w:rsid w:val="004E07E2"/>
    <w:rsid w:val="004E0A2D"/>
    <w:rsid w:val="004E206B"/>
    <w:rsid w:val="004E6DF7"/>
    <w:rsid w:val="004F0FBD"/>
    <w:rsid w:val="004F2409"/>
    <w:rsid w:val="00505A47"/>
    <w:rsid w:val="00512FDA"/>
    <w:rsid w:val="00520DA0"/>
    <w:rsid w:val="00544C16"/>
    <w:rsid w:val="005664BB"/>
    <w:rsid w:val="0057481D"/>
    <w:rsid w:val="0058486E"/>
    <w:rsid w:val="005B0328"/>
    <w:rsid w:val="005B135F"/>
    <w:rsid w:val="005C638A"/>
    <w:rsid w:val="005D1C8B"/>
    <w:rsid w:val="005D5CED"/>
    <w:rsid w:val="005F0A2D"/>
    <w:rsid w:val="005F1A4C"/>
    <w:rsid w:val="00605688"/>
    <w:rsid w:val="006070AF"/>
    <w:rsid w:val="00607E6C"/>
    <w:rsid w:val="006101B1"/>
    <w:rsid w:val="00613E68"/>
    <w:rsid w:val="00614E44"/>
    <w:rsid w:val="0061622E"/>
    <w:rsid w:val="00622830"/>
    <w:rsid w:val="00626FEB"/>
    <w:rsid w:val="00630AEF"/>
    <w:rsid w:val="006325F8"/>
    <w:rsid w:val="00634C9A"/>
    <w:rsid w:val="006440E4"/>
    <w:rsid w:val="006476A6"/>
    <w:rsid w:val="006506D9"/>
    <w:rsid w:val="0066343B"/>
    <w:rsid w:val="00664777"/>
    <w:rsid w:val="006748A4"/>
    <w:rsid w:val="00683E73"/>
    <w:rsid w:val="00691CE4"/>
    <w:rsid w:val="006A3141"/>
    <w:rsid w:val="006A5E34"/>
    <w:rsid w:val="006B2422"/>
    <w:rsid w:val="006B2B9A"/>
    <w:rsid w:val="006B4505"/>
    <w:rsid w:val="006C1937"/>
    <w:rsid w:val="006F020C"/>
    <w:rsid w:val="006F6177"/>
    <w:rsid w:val="00704589"/>
    <w:rsid w:val="00711907"/>
    <w:rsid w:val="007127B7"/>
    <w:rsid w:val="007416B6"/>
    <w:rsid w:val="00746F48"/>
    <w:rsid w:val="00753D1C"/>
    <w:rsid w:val="0075404D"/>
    <w:rsid w:val="00754956"/>
    <w:rsid w:val="00757AE6"/>
    <w:rsid w:val="0076182A"/>
    <w:rsid w:val="0076477E"/>
    <w:rsid w:val="00767060"/>
    <w:rsid w:val="00767B7E"/>
    <w:rsid w:val="007770C3"/>
    <w:rsid w:val="00784D24"/>
    <w:rsid w:val="00785FBA"/>
    <w:rsid w:val="00786E4A"/>
    <w:rsid w:val="007875EB"/>
    <w:rsid w:val="007903F6"/>
    <w:rsid w:val="0079426B"/>
    <w:rsid w:val="007A5E27"/>
    <w:rsid w:val="007B3E81"/>
    <w:rsid w:val="007C272D"/>
    <w:rsid w:val="007D312A"/>
    <w:rsid w:val="007D3F19"/>
    <w:rsid w:val="007E23B0"/>
    <w:rsid w:val="007E49AE"/>
    <w:rsid w:val="007F1991"/>
    <w:rsid w:val="007F2C2F"/>
    <w:rsid w:val="007F55FC"/>
    <w:rsid w:val="007F5665"/>
    <w:rsid w:val="00800112"/>
    <w:rsid w:val="00814788"/>
    <w:rsid w:val="008253BB"/>
    <w:rsid w:val="00835F34"/>
    <w:rsid w:val="0083706E"/>
    <w:rsid w:val="008423A5"/>
    <w:rsid w:val="00850625"/>
    <w:rsid w:val="00853718"/>
    <w:rsid w:val="00855221"/>
    <w:rsid w:val="00860645"/>
    <w:rsid w:val="00871F71"/>
    <w:rsid w:val="00877E92"/>
    <w:rsid w:val="00885AF4"/>
    <w:rsid w:val="008939CD"/>
    <w:rsid w:val="008B0F71"/>
    <w:rsid w:val="008B52EB"/>
    <w:rsid w:val="008B768C"/>
    <w:rsid w:val="008C4DB1"/>
    <w:rsid w:val="008C4EAF"/>
    <w:rsid w:val="008C5176"/>
    <w:rsid w:val="008C7FD0"/>
    <w:rsid w:val="008D6382"/>
    <w:rsid w:val="008E1DE7"/>
    <w:rsid w:val="008E707C"/>
    <w:rsid w:val="00900B08"/>
    <w:rsid w:val="00902155"/>
    <w:rsid w:val="00902FA3"/>
    <w:rsid w:val="0090405E"/>
    <w:rsid w:val="00914240"/>
    <w:rsid w:val="00923564"/>
    <w:rsid w:val="0092392E"/>
    <w:rsid w:val="009315F9"/>
    <w:rsid w:val="0093506C"/>
    <w:rsid w:val="00946945"/>
    <w:rsid w:val="00951248"/>
    <w:rsid w:val="0095152F"/>
    <w:rsid w:val="00954C49"/>
    <w:rsid w:val="00960C54"/>
    <w:rsid w:val="009700F9"/>
    <w:rsid w:val="0097099F"/>
    <w:rsid w:val="00971997"/>
    <w:rsid w:val="00971FFC"/>
    <w:rsid w:val="009774EC"/>
    <w:rsid w:val="009805C4"/>
    <w:rsid w:val="0098522F"/>
    <w:rsid w:val="0098660A"/>
    <w:rsid w:val="00990FEE"/>
    <w:rsid w:val="009931C3"/>
    <w:rsid w:val="00993AEF"/>
    <w:rsid w:val="00994058"/>
    <w:rsid w:val="009B2C43"/>
    <w:rsid w:val="009B4EAE"/>
    <w:rsid w:val="009B7573"/>
    <w:rsid w:val="009C22F4"/>
    <w:rsid w:val="009C2E98"/>
    <w:rsid w:val="009D3447"/>
    <w:rsid w:val="009D4711"/>
    <w:rsid w:val="009E2B2A"/>
    <w:rsid w:val="009F1185"/>
    <w:rsid w:val="009F18CD"/>
    <w:rsid w:val="009F2A13"/>
    <w:rsid w:val="009F53B4"/>
    <w:rsid w:val="00A04EB0"/>
    <w:rsid w:val="00A1235F"/>
    <w:rsid w:val="00A13CC1"/>
    <w:rsid w:val="00A16847"/>
    <w:rsid w:val="00A237D8"/>
    <w:rsid w:val="00A268C4"/>
    <w:rsid w:val="00A307CD"/>
    <w:rsid w:val="00A35DCC"/>
    <w:rsid w:val="00A40A00"/>
    <w:rsid w:val="00A4142F"/>
    <w:rsid w:val="00A44C48"/>
    <w:rsid w:val="00A56DF2"/>
    <w:rsid w:val="00A67AB5"/>
    <w:rsid w:val="00A70A25"/>
    <w:rsid w:val="00A81361"/>
    <w:rsid w:val="00A90A1D"/>
    <w:rsid w:val="00A91760"/>
    <w:rsid w:val="00A93B00"/>
    <w:rsid w:val="00A93C21"/>
    <w:rsid w:val="00AC003D"/>
    <w:rsid w:val="00AC3C6A"/>
    <w:rsid w:val="00AD5620"/>
    <w:rsid w:val="00AD7C1B"/>
    <w:rsid w:val="00AE16BA"/>
    <w:rsid w:val="00AE1EBE"/>
    <w:rsid w:val="00AE3EA1"/>
    <w:rsid w:val="00B03C9D"/>
    <w:rsid w:val="00B060AE"/>
    <w:rsid w:val="00B10517"/>
    <w:rsid w:val="00B14E76"/>
    <w:rsid w:val="00B161B8"/>
    <w:rsid w:val="00B2048C"/>
    <w:rsid w:val="00B21E56"/>
    <w:rsid w:val="00B310B9"/>
    <w:rsid w:val="00B35F3F"/>
    <w:rsid w:val="00B36CBB"/>
    <w:rsid w:val="00B425E0"/>
    <w:rsid w:val="00B440AA"/>
    <w:rsid w:val="00B44B70"/>
    <w:rsid w:val="00B4677D"/>
    <w:rsid w:val="00B52ABF"/>
    <w:rsid w:val="00B53C56"/>
    <w:rsid w:val="00B77EA6"/>
    <w:rsid w:val="00B81598"/>
    <w:rsid w:val="00B841F1"/>
    <w:rsid w:val="00B944D6"/>
    <w:rsid w:val="00BA68EC"/>
    <w:rsid w:val="00BB4DF0"/>
    <w:rsid w:val="00BB7AA9"/>
    <w:rsid w:val="00BC289F"/>
    <w:rsid w:val="00BC5361"/>
    <w:rsid w:val="00BC5460"/>
    <w:rsid w:val="00BC6B50"/>
    <w:rsid w:val="00BD0E25"/>
    <w:rsid w:val="00BF5BD6"/>
    <w:rsid w:val="00C03E31"/>
    <w:rsid w:val="00C33E72"/>
    <w:rsid w:val="00C354B2"/>
    <w:rsid w:val="00C35554"/>
    <w:rsid w:val="00C42709"/>
    <w:rsid w:val="00C45108"/>
    <w:rsid w:val="00C533CC"/>
    <w:rsid w:val="00C5751C"/>
    <w:rsid w:val="00C61BFC"/>
    <w:rsid w:val="00C62B85"/>
    <w:rsid w:val="00C65438"/>
    <w:rsid w:val="00C76427"/>
    <w:rsid w:val="00C91CBB"/>
    <w:rsid w:val="00C9287D"/>
    <w:rsid w:val="00CC09B6"/>
    <w:rsid w:val="00CC666F"/>
    <w:rsid w:val="00CD1E3F"/>
    <w:rsid w:val="00CD396A"/>
    <w:rsid w:val="00CE44F6"/>
    <w:rsid w:val="00CE49DA"/>
    <w:rsid w:val="00CE7B61"/>
    <w:rsid w:val="00CF1487"/>
    <w:rsid w:val="00D00095"/>
    <w:rsid w:val="00D20620"/>
    <w:rsid w:val="00D20BE4"/>
    <w:rsid w:val="00D26091"/>
    <w:rsid w:val="00D34E7C"/>
    <w:rsid w:val="00D35489"/>
    <w:rsid w:val="00D51276"/>
    <w:rsid w:val="00D562FA"/>
    <w:rsid w:val="00D7035F"/>
    <w:rsid w:val="00D73A1D"/>
    <w:rsid w:val="00D74DB6"/>
    <w:rsid w:val="00DA65AC"/>
    <w:rsid w:val="00DB1913"/>
    <w:rsid w:val="00DC3824"/>
    <w:rsid w:val="00DC410D"/>
    <w:rsid w:val="00DC68CA"/>
    <w:rsid w:val="00DC7CBA"/>
    <w:rsid w:val="00DD73B7"/>
    <w:rsid w:val="00DF28BC"/>
    <w:rsid w:val="00DF34B9"/>
    <w:rsid w:val="00DF446A"/>
    <w:rsid w:val="00E01053"/>
    <w:rsid w:val="00E07ACF"/>
    <w:rsid w:val="00E1594D"/>
    <w:rsid w:val="00E331A1"/>
    <w:rsid w:val="00E33202"/>
    <w:rsid w:val="00E336A9"/>
    <w:rsid w:val="00E50624"/>
    <w:rsid w:val="00E509EA"/>
    <w:rsid w:val="00E51D77"/>
    <w:rsid w:val="00E54EAE"/>
    <w:rsid w:val="00E568DF"/>
    <w:rsid w:val="00E61C2B"/>
    <w:rsid w:val="00E64269"/>
    <w:rsid w:val="00E82267"/>
    <w:rsid w:val="00E8575C"/>
    <w:rsid w:val="00EA010F"/>
    <w:rsid w:val="00EB389B"/>
    <w:rsid w:val="00ED1B63"/>
    <w:rsid w:val="00ED3C1F"/>
    <w:rsid w:val="00ED4085"/>
    <w:rsid w:val="00ED420E"/>
    <w:rsid w:val="00EE2415"/>
    <w:rsid w:val="00EE2F57"/>
    <w:rsid w:val="00EF4C34"/>
    <w:rsid w:val="00EF77C6"/>
    <w:rsid w:val="00EF7BA3"/>
    <w:rsid w:val="00F05438"/>
    <w:rsid w:val="00F1361C"/>
    <w:rsid w:val="00F160C7"/>
    <w:rsid w:val="00F36B99"/>
    <w:rsid w:val="00F36D8F"/>
    <w:rsid w:val="00F417B1"/>
    <w:rsid w:val="00F459F9"/>
    <w:rsid w:val="00F55019"/>
    <w:rsid w:val="00F602DF"/>
    <w:rsid w:val="00F67B3E"/>
    <w:rsid w:val="00F703DB"/>
    <w:rsid w:val="00F81FD9"/>
    <w:rsid w:val="00F841AA"/>
    <w:rsid w:val="00F8745F"/>
    <w:rsid w:val="00F903F0"/>
    <w:rsid w:val="00FA23E8"/>
    <w:rsid w:val="00FD3CC1"/>
    <w:rsid w:val="00FE7D71"/>
    <w:rsid w:val="00FF1E02"/>
    <w:rsid w:val="00FF30B4"/>
    <w:rsid w:val="07290559"/>
    <w:rsid w:val="10C055FF"/>
    <w:rsid w:val="16BB723D"/>
    <w:rsid w:val="240371BF"/>
    <w:rsid w:val="29FD04D3"/>
    <w:rsid w:val="319F7F4E"/>
    <w:rsid w:val="437E1763"/>
    <w:rsid w:val="4F7C71E4"/>
    <w:rsid w:val="53284714"/>
    <w:rsid w:val="67442A66"/>
    <w:rsid w:val="7A4E269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99" w:semiHidden="0"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2">
    <w:name w:val="table of figures"/>
    <w:basedOn w:val="1"/>
    <w:next w:val="1"/>
    <w:unhideWhenUsed/>
    <w:uiPriority w:val="99"/>
    <w:pPr>
      <w:ind w:left="200" w:leftChars="200" w:hanging="200" w:hangingChars="200"/>
    </w:pPr>
  </w:style>
  <w:style w:type="paragraph" w:styleId="6">
    <w:name w:val="Body Text"/>
    <w:basedOn w:val="1"/>
    <w:link w:val="25"/>
    <w:qFormat/>
    <w:uiPriority w:val="99"/>
    <w:pPr>
      <w:spacing w:beforeLines="30"/>
    </w:pPr>
    <w:rPr>
      <w:rFonts w:ascii="仿宋_GB2312" w:eastAsia="仿宋_GB2312"/>
      <w:kern w:val="0"/>
      <w:sz w:val="30"/>
    </w:rPr>
  </w:style>
  <w:style w:type="paragraph" w:styleId="7">
    <w:name w:val="Body Text Indent"/>
    <w:basedOn w:val="1"/>
    <w:link w:val="33"/>
    <w:unhideWhenUsed/>
    <w:uiPriority w:val="99"/>
    <w:pPr>
      <w:spacing w:after="120"/>
      <w:ind w:left="420" w:left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2"/>
    <w:basedOn w:val="7"/>
    <w:link w:val="34"/>
    <w:qFormat/>
    <w:uiPriority w:val="0"/>
    <w:pPr>
      <w:ind w:firstLine="420" w:firstLineChars="200"/>
    </w:pPr>
    <w:rPr>
      <w:rFonts w:ascii="Calibri" w:hAnsi="Calibri"/>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Char"/>
    <w:link w:val="6"/>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7">
    <w:name w:val="列出段落1"/>
    <w:basedOn w:val="1"/>
    <w:qFormat/>
    <w:uiPriority w:val="34"/>
    <w:pPr>
      <w:ind w:firstLine="420" w:firstLineChars="200"/>
    </w:pPr>
  </w:style>
  <w:style w:type="character" w:customStyle="1" w:styleId="28">
    <w:name w:val="标题 1 Char"/>
    <w:basedOn w:val="17"/>
    <w:link w:val="3"/>
    <w:qFormat/>
    <w:uiPriority w:val="9"/>
    <w:rPr>
      <w:rFonts w:ascii="Times New Roman" w:hAnsi="Times New Roman"/>
      <w:b/>
      <w:bCs/>
      <w:kern w:val="44"/>
      <w:sz w:val="44"/>
      <w:szCs w:val="44"/>
    </w:rPr>
  </w:style>
  <w:style w:type="character" w:customStyle="1" w:styleId="29">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批注框文本 Char"/>
    <w:basedOn w:val="17"/>
    <w:link w:val="9"/>
    <w:semiHidden/>
    <w:qFormat/>
    <w:uiPriority w:val="99"/>
    <w:rPr>
      <w:rFonts w:ascii="Times New Roman" w:hAnsi="Times New Roman"/>
      <w:kern w:val="2"/>
      <w:sz w:val="18"/>
      <w:szCs w:val="18"/>
    </w:rPr>
  </w:style>
  <w:style w:type="character" w:customStyle="1" w:styleId="32">
    <w:name w:val="标题 3 Char"/>
    <w:basedOn w:val="17"/>
    <w:link w:val="5"/>
    <w:qFormat/>
    <w:uiPriority w:val="9"/>
    <w:rPr>
      <w:rFonts w:ascii="Times New Roman" w:hAnsi="Times New Roman"/>
      <w:b/>
      <w:bCs/>
      <w:kern w:val="2"/>
      <w:sz w:val="32"/>
      <w:szCs w:val="32"/>
    </w:rPr>
  </w:style>
  <w:style w:type="character" w:customStyle="1" w:styleId="33">
    <w:name w:val="正文文本缩进 Char"/>
    <w:basedOn w:val="17"/>
    <w:link w:val="7"/>
    <w:semiHidden/>
    <w:qFormat/>
    <w:uiPriority w:val="99"/>
    <w:rPr>
      <w:rFonts w:ascii="Times New Roman" w:hAnsi="Times New Roman"/>
      <w:kern w:val="2"/>
      <w:sz w:val="21"/>
      <w:szCs w:val="24"/>
    </w:rPr>
  </w:style>
  <w:style w:type="character" w:customStyle="1" w:styleId="34">
    <w:name w:val="正文首行缩进 2 Char"/>
    <w:basedOn w:val="33"/>
    <w:link w:val="15"/>
    <w:qFormat/>
    <w:uiPriority w:val="0"/>
  </w:style>
  <w:style w:type="character" w:customStyle="1" w:styleId="35">
    <w:name w:val="标题 2 字符"/>
    <w:basedOn w:val="17"/>
    <w:link w:val="4"/>
    <w:qFormat/>
    <w:locked/>
    <w:uiPriority w:val="9"/>
    <w:rPr>
      <w:rFonts w:ascii="Cambria" w:hAnsi="Cambria" w:eastAsia="宋体" w:cs="Times New Roman"/>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D28E4-3C39-4AB1-B3B0-6201848CFCB6}">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26</Pages>
  <Words>10835</Words>
  <Characters>11437</Characters>
  <Lines>23</Lines>
  <Paragraphs>27</Paragraphs>
  <TotalTime>2</TotalTime>
  <ScaleCrop>false</ScaleCrop>
  <LinksUpToDate>false</LinksUpToDate>
  <CharactersWithSpaces>11638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2021-01-18T08:50:00Z</dcterms:created>
  <dc:creator>张彬茜</dc:creator>
  <cp:lastModifiedBy>奕夕^_^</cp:lastModifiedBy>
  <cp:lastPrinted>2019-09-09T11:27:00Z</cp:lastPrinted>
  <dcterms:modified xsi:type="dcterms:W3CDTF">2025-04-09T02:32:02Z</dcterms:modified>
  <dc:title>四川省***</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eyJoZGlkIjoiNTU1MWNhN2ZmY2ZhZmY3ODhlYTg0MWU5OGMyY2QwZmUiLCJ1c2VySWQiOiI0MzQ2NTM0NzEifQ==</vt:lpwstr>
  </property>
  <property fmtid="{D5CDD505-2E9C-101B-9397-08002B2CF9AE}" pid="4" name="ICV">
    <vt:lpwstr>3A0E216C38E6433EA3541EDAAC71F072_12</vt:lpwstr>
  </property>
</Properties>
</file>