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E818D">
      <w:pPr>
        <w:spacing w:line="600" w:lineRule="exact"/>
        <w:jc w:val="center"/>
        <w:outlineLvl w:val="0"/>
        <w:rPr>
          <w:rFonts w:ascii="方正小标宋简体" w:hAnsi="宋体" w:eastAsia="方正小标宋简体"/>
          <w:color w:val="000000"/>
          <w:sz w:val="72"/>
          <w:szCs w:val="72"/>
        </w:rPr>
      </w:pPr>
      <w:bookmarkStart w:id="0" w:name="_Toc15306267"/>
    </w:p>
    <w:p w14:paraId="2632E5ED">
      <w:pPr>
        <w:spacing w:line="600" w:lineRule="exact"/>
        <w:jc w:val="center"/>
        <w:outlineLvl w:val="0"/>
        <w:rPr>
          <w:rFonts w:ascii="方正小标宋简体" w:hAnsi="宋体" w:eastAsia="方正小标宋简体"/>
          <w:color w:val="000000"/>
          <w:sz w:val="72"/>
          <w:szCs w:val="72"/>
        </w:rPr>
      </w:pPr>
    </w:p>
    <w:p w14:paraId="1C471163">
      <w:pPr>
        <w:spacing w:line="600" w:lineRule="exact"/>
        <w:jc w:val="center"/>
        <w:outlineLvl w:val="0"/>
        <w:rPr>
          <w:rFonts w:ascii="方正小标宋简体" w:hAnsi="宋体" w:eastAsia="方正小标宋简体"/>
          <w:color w:val="000000"/>
          <w:sz w:val="72"/>
          <w:szCs w:val="72"/>
        </w:rPr>
      </w:pPr>
    </w:p>
    <w:p w14:paraId="728CA669">
      <w:pPr>
        <w:spacing w:line="600" w:lineRule="exact"/>
        <w:jc w:val="center"/>
        <w:outlineLvl w:val="0"/>
        <w:rPr>
          <w:rFonts w:ascii="方正小标宋简体" w:hAnsi="宋体" w:eastAsia="方正小标宋简体"/>
          <w:color w:val="000000"/>
          <w:sz w:val="72"/>
          <w:szCs w:val="72"/>
        </w:rPr>
      </w:pPr>
    </w:p>
    <w:p w14:paraId="593AEE71">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6AA3AC8">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96476"/>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松潘县信访局</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决算公开报告</w:t>
      </w:r>
    </w:p>
    <w:p w14:paraId="360AB7B5">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p>
    <w:p w14:paraId="082B2915">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p>
    <w:p w14:paraId="2CCDA63E">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p>
    <w:p w14:paraId="4B95F0C7">
      <w:pPr>
        <w:adjustRightInd w:val="0"/>
        <w:snapToGrid w:val="0"/>
        <w:spacing w:line="360" w:lineRule="auto"/>
        <w:ind w:firstLine="360" w:firstLineChars="100"/>
        <w:jc w:val="both"/>
        <w:outlineLvl w:val="0"/>
        <w:rPr>
          <w:rFonts w:hint="eastAsia" w:ascii="方正小标宋简体" w:hAnsi="宋体" w:eastAsia="方正小标宋简体"/>
          <w:b w:val="0"/>
          <w:bCs w:val="0"/>
          <w:color w:val="000000"/>
          <w:sz w:val="36"/>
          <w:szCs w:val="36"/>
          <w:lang w:eastAsia="zh-CN"/>
        </w:rPr>
      </w:pPr>
      <w:r>
        <w:rPr>
          <w:rFonts w:hint="eastAsia" w:ascii="方正小标宋简体" w:hAnsi="宋体" w:eastAsia="方正小标宋简体"/>
          <w:b w:val="0"/>
          <w:bCs w:val="0"/>
          <w:color w:val="000000"/>
          <w:sz w:val="36"/>
          <w:szCs w:val="36"/>
          <w:lang w:eastAsia="zh-CN"/>
        </w:rPr>
        <w:t>保密审查情况：已审查，内容审定</w:t>
      </w:r>
    </w:p>
    <w:p w14:paraId="33A25980">
      <w:pPr>
        <w:adjustRightInd w:val="0"/>
        <w:snapToGrid w:val="0"/>
        <w:spacing w:line="360" w:lineRule="auto"/>
        <w:jc w:val="both"/>
        <w:outlineLvl w:val="0"/>
        <w:rPr>
          <w:rFonts w:ascii="黑体" w:hAnsi="黑体" w:eastAsia="黑体"/>
          <w:color w:val="000000"/>
          <w:sz w:val="48"/>
          <w:szCs w:val="48"/>
        </w:rPr>
      </w:pPr>
      <w:r>
        <w:rPr>
          <w:rFonts w:hint="eastAsia" w:ascii="方正小标宋简体" w:hAnsi="宋体" w:eastAsia="方正小标宋简体"/>
          <w:b w:val="0"/>
          <w:bCs w:val="0"/>
          <w:color w:val="000000"/>
          <w:sz w:val="36"/>
          <w:szCs w:val="36"/>
          <w:lang w:eastAsia="zh-CN"/>
        </w:rPr>
        <w:t>部门主要负责人签审情况：已审签，同意对外公开</w:t>
      </w:r>
      <w:r>
        <w:rPr>
          <w:rFonts w:ascii="方正小标宋简体" w:hAnsi="宋体" w:eastAsia="方正小标宋简体"/>
          <w:b w:val="0"/>
          <w:bCs w:val="0"/>
          <w:color w:val="000000"/>
          <w:sz w:val="36"/>
          <w:szCs w:val="36"/>
        </w:rPr>
        <w:br w:type="page"/>
      </w:r>
      <w:r>
        <w:rPr>
          <w:rFonts w:hint="eastAsia" w:ascii="方正小标宋简体" w:hAnsi="宋体" w:eastAsia="方正小标宋简体"/>
          <w:color w:val="000000"/>
          <w:sz w:val="36"/>
          <w:szCs w:val="36"/>
          <w:lang w:val="en-US" w:eastAsia="zh-CN"/>
        </w:rPr>
        <w:t xml:space="preserve">                    </w:t>
      </w:r>
      <w:r>
        <w:rPr>
          <w:rFonts w:hint="eastAsia" w:ascii="黑体" w:hAnsi="黑体" w:eastAsia="黑体"/>
          <w:color w:val="000000"/>
          <w:sz w:val="48"/>
          <w:szCs w:val="48"/>
        </w:rPr>
        <w:t>目录</w:t>
      </w:r>
    </w:p>
    <w:p w14:paraId="0080832E">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1E471BD6">
      <w:pPr>
        <w:pStyle w:val="11"/>
      </w:pPr>
      <w:r>
        <w:rPr>
          <w:rFonts w:hint="eastAsia"/>
          <w:lang w:eastAsia="zh-CN"/>
        </w:rPr>
        <w:t>公开时间：</w:t>
      </w:r>
      <w:r>
        <w:rPr>
          <w:rFonts w:hint="eastAsia"/>
          <w:lang w:val="en-US" w:eastAsia="zh-CN"/>
        </w:rPr>
        <w:t>2020年9月25日</w:t>
      </w:r>
      <w:r>
        <w:rPr>
          <w:rFonts w:hint="eastAsia"/>
        </w:rPr>
        <w:t xml:space="preserve"> </w:t>
      </w:r>
    </w:p>
    <w:p w14:paraId="79A53F50"/>
    <w:p w14:paraId="6C1DF476">
      <w:pPr>
        <w:pStyle w:val="11"/>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rPr>
          <w:rFonts w:hint="eastAsia"/>
        </w:rPr>
        <w:t>4</w:t>
      </w:r>
      <w:r>
        <w:rPr>
          <w:rFonts w:hint="eastAsia"/>
        </w:rPr>
        <w:fldChar w:fldCharType="end"/>
      </w:r>
    </w:p>
    <w:p w14:paraId="17477F65">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067965FB">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A52908B">
      <w:pPr>
        <w:pStyle w:val="11"/>
      </w:pPr>
      <w:r>
        <w:fldChar w:fldCharType="begin"/>
      </w:r>
      <w:r>
        <w:instrText xml:space="preserve"> HYPERLINK \l "_Toc15396602" </w:instrText>
      </w:r>
      <w:r>
        <w:fldChar w:fldCharType="separate"/>
      </w:r>
      <w:r>
        <w:rPr>
          <w:rStyle w:val="18"/>
          <w:rFonts w:hint="eastAsia"/>
        </w:rPr>
        <w:t>第二部分</w:t>
      </w:r>
      <w:r>
        <w:rPr>
          <w:rStyle w:val="18"/>
        </w:rPr>
        <w:t xml:space="preserve"> 201</w:t>
      </w:r>
      <w:r>
        <w:rPr>
          <w:rStyle w:val="18"/>
          <w:rFonts w:hint="eastAsia"/>
        </w:rPr>
        <w:t>9年度部门决算情况说明</w:t>
      </w:r>
      <w:r>
        <w:tab/>
      </w:r>
      <w:r>
        <w:fldChar w:fldCharType="begin"/>
      </w:r>
      <w:r>
        <w:instrText xml:space="preserve"> PAGEREF _Toc15396602 \h </w:instrText>
      </w:r>
      <w:r>
        <w:fldChar w:fldCharType="separate"/>
      </w:r>
      <w:r>
        <w:t>10</w:t>
      </w:r>
      <w:r>
        <w:fldChar w:fldCharType="end"/>
      </w:r>
      <w:r>
        <w:fldChar w:fldCharType="end"/>
      </w:r>
    </w:p>
    <w:p w14:paraId="2685527F">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51CB88F6">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340959CC">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23253E4C">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785BEA0">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28532CAC">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34C47D91">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A89157F">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09FBB09F">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B818937">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F332173">
      <w:pPr>
        <w:pStyle w:val="11"/>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35492E2E">
      <w:pPr>
        <w:pStyle w:val="11"/>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fldChar w:fldCharType="begin"/>
      </w:r>
      <w:r>
        <w:instrText xml:space="preserve"> PAGEREF _Toc15396614 \h </w:instrText>
      </w:r>
      <w:r>
        <w:fldChar w:fldCharType="separate"/>
      </w:r>
      <w:r>
        <w:t>18</w:t>
      </w:r>
      <w:r>
        <w:fldChar w:fldCharType="end"/>
      </w:r>
      <w:r>
        <w:fldChar w:fldCharType="end"/>
      </w:r>
    </w:p>
    <w:p w14:paraId="0567D4CF">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8</w:t>
      </w:r>
    </w:p>
    <w:p w14:paraId="70C1C61D">
      <w:pPr>
        <w:pStyle w:val="12"/>
        <w:rPr>
          <w:rFonts w:ascii="仿宋" w:hAnsi="仿宋" w:eastAsia="仿宋" w:cstheme="minorBidi"/>
          <w:sz w:val="28"/>
          <w:szCs w:val="28"/>
        </w:rPr>
      </w:pPr>
      <w:r>
        <w:fldChar w:fldCharType="begin"/>
      </w:r>
      <w:r>
        <w:instrText xml:space="preserve"> HYPERLINK \l "_Toc15396617"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2</w:t>
      </w:r>
    </w:p>
    <w:p w14:paraId="47D08602">
      <w:pPr>
        <w:pStyle w:val="11"/>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fldChar w:fldCharType="begin"/>
      </w:r>
      <w:r>
        <w:instrText xml:space="preserve"> PAGEREF _Toc15396618 \h </w:instrText>
      </w:r>
      <w:r>
        <w:fldChar w:fldCharType="separate"/>
      </w:r>
      <w:r>
        <w:t>25</w:t>
      </w:r>
      <w:r>
        <w:fldChar w:fldCharType="end"/>
      </w:r>
      <w:r>
        <w:fldChar w:fldCharType="end"/>
      </w:r>
    </w:p>
    <w:p w14:paraId="16A1D6B7">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F119F37">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5E6C3E1">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8927F8C">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17E9F3F">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879E279">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FF9CDF0">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BB921F6">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215A23E">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877EDFF">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78D5967">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207DC2D">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4858D78">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38FE203">
      <w:pPr>
        <w:widowControl/>
        <w:jc w:val="left"/>
        <w:rPr>
          <w:rFonts w:ascii="仿宋" w:hAnsi="仿宋" w:eastAsia="仿宋"/>
          <w:color w:val="000000"/>
          <w:sz w:val="24"/>
        </w:rPr>
      </w:pPr>
      <w:r>
        <w:rPr>
          <w:rFonts w:ascii="仿宋" w:hAnsi="仿宋" w:eastAsia="仿宋"/>
          <w:color w:val="000000"/>
          <w:sz w:val="24"/>
        </w:rPr>
        <w:fldChar w:fldCharType="end"/>
      </w:r>
    </w:p>
    <w:p w14:paraId="609B1B1D">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791334F6">
      <w:pPr>
        <w:pStyle w:val="2"/>
        <w:spacing w:line="576" w:lineRule="exact"/>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7F0B54C9">
      <w:pPr>
        <w:widowControl/>
        <w:spacing w:line="576" w:lineRule="exact"/>
        <w:jc w:val="left"/>
        <w:rPr>
          <w:rFonts w:ascii="黑体" w:eastAsia="黑体"/>
          <w:color w:val="000000"/>
          <w:sz w:val="32"/>
          <w:szCs w:val="32"/>
        </w:rPr>
      </w:pPr>
    </w:p>
    <w:p w14:paraId="512C97CB">
      <w:pPr>
        <w:pStyle w:val="3"/>
        <w:spacing w:line="576" w:lineRule="exact"/>
        <w:rPr>
          <w:rStyle w:val="28"/>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bookmarkStart w:id="16" w:name="_Toc15377198"/>
      <w:bookmarkStart w:id="17" w:name="_Toc15378445"/>
    </w:p>
    <w:p w14:paraId="66CE06BA">
      <w:pPr>
        <w:pStyle w:val="3"/>
        <w:spacing w:line="576" w:lineRule="exact"/>
        <w:rPr>
          <w:rFonts w:ascii="仿宋" w:hAnsi="仿宋" w:eastAsia="仿宋"/>
          <w:b w:val="0"/>
          <w:bCs w:val="0"/>
        </w:rPr>
      </w:pPr>
      <w:r>
        <w:rPr>
          <w:rFonts w:hint="eastAsia" w:ascii="楷体_GB2312" w:hAnsi="楷体_GB2312" w:eastAsia="楷体_GB2312" w:cs="楷体_GB2312"/>
          <w:color w:val="000000"/>
        </w:rPr>
        <w:t>（一）主要职能。</w:t>
      </w:r>
    </w:p>
    <w:p w14:paraId="3D551FCD">
      <w:pPr>
        <w:snapToGrid w:val="0"/>
        <w:spacing w:line="576" w:lineRule="exact"/>
        <w:ind w:firstLine="643" w:firstLineChars="200"/>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根据中共松潘县委机构编制委员会印发《关于</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松潘县机构改革方案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的实施意见的通知》（松机改办〔2019〕4号），制定本规定。</w:t>
      </w:r>
    </w:p>
    <w:p w14:paraId="72CE6C22">
      <w:pPr>
        <w:snapToGrid w:val="0"/>
        <w:spacing w:line="576" w:lineRule="exact"/>
        <w:ind w:firstLine="643" w:firstLineChars="200"/>
        <w:rPr>
          <w:rFonts w:ascii="仿宋_GB2312" w:hAnsi="宋体" w:eastAsia="仿宋_GB2312"/>
          <w:color w:val="000000"/>
          <w:sz w:val="32"/>
          <w:szCs w:val="32"/>
          <w:u w:val="single"/>
        </w:rPr>
      </w:pPr>
      <w:r>
        <w:rPr>
          <w:rFonts w:hint="eastAsia" w:ascii="仿宋_GB2312" w:hAnsi="仿宋_GB2312" w:eastAsia="仿宋_GB2312" w:cs="仿宋_GB2312"/>
          <w:b/>
          <w:bCs/>
          <w:color w:val="000000"/>
          <w:sz w:val="32"/>
          <w:szCs w:val="32"/>
        </w:rPr>
        <w:t>第二条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松潘县信访局（简称县信访局）是松潘县政府工作部门，为正科级。</w:t>
      </w:r>
    </w:p>
    <w:p w14:paraId="406C31C4">
      <w:pPr>
        <w:spacing w:line="576" w:lineRule="exact"/>
        <w:ind w:firstLine="639" w:firstLineChars="199"/>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坚持和加强党的全面领导，根据《中国共产党党组工作条例（试行）》，县信访局党组主要工作职责是：</w:t>
      </w:r>
    </w:p>
    <w:p w14:paraId="1A8449DE">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（一）履行政治领导责任，做好理论武装和思想政治工作，负责学习、宣传、贯彻执行党的理论和路线方针政策，贯彻落实党中央、省委、州委和县委的决策部署，发挥好把方向、管大局、保落实的重要作用。</w:t>
      </w:r>
    </w:p>
    <w:p w14:paraId="60A222ED">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二）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委讨论和决定的重大问题。</w:t>
      </w:r>
    </w:p>
    <w:p w14:paraId="51365897">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（三）贯彻党管干部原则，加强干部队伍建设，完善干部培养选拔机制，加强干部教育管理监督；贯彻党管人才原则，加强人才队伍建设；加强对本单位统战工作和工会、共青团、妇联等群团工作的领导。</w:t>
      </w:r>
    </w:p>
    <w:p w14:paraId="47A976AF">
      <w:pPr>
        <w:spacing w:line="576" w:lineRule="exact"/>
        <w:ind w:firstLine="636" w:firstLineChars="199"/>
        <w:rPr>
          <w:rFonts w:ascii="黑体" w:hAnsi="宋体" w:eastAsia="黑体"/>
          <w:color w:val="000000"/>
          <w:sz w:val="32"/>
          <w:szCs w:val="32"/>
        </w:rPr>
      </w:pPr>
      <w:r>
        <w:rPr>
          <w:rFonts w:hint="eastAsia" w:ascii="仿宋_GB2312" w:hAnsi="宋体" w:eastAsia="仿宋_GB2312"/>
          <w:color w:val="000000"/>
          <w:sz w:val="32"/>
          <w:szCs w:val="32"/>
        </w:rPr>
        <w:t>（四）履行</w:t>
      </w:r>
      <w:r>
        <w:rPr>
          <w:rFonts w:hint="eastAsia" w:ascii="仿宋_GB2312" w:hAnsi="宋体" w:eastAsia="仿宋_GB2312"/>
          <w:color w:val="000000"/>
          <w:sz w:val="32"/>
          <w:szCs w:val="32"/>
          <w:lang w:eastAsia="zh-CN"/>
        </w:rPr>
        <w:t>党要管党、全面从严治党</w:t>
      </w:r>
      <w:r>
        <w:rPr>
          <w:rFonts w:hint="eastAsia" w:ascii="仿宋_GB2312" w:hAnsi="宋体" w:eastAsia="仿宋_GB2312"/>
          <w:color w:val="000000"/>
          <w:sz w:val="32"/>
          <w:szCs w:val="32"/>
        </w:rPr>
        <w:t>责任，加强对本单位党的建设的领导，落实党建工作责任制。认真履行党风廉政建设主体责任，支持纪检监察机构履行监督责任。</w:t>
      </w:r>
    </w:p>
    <w:p w14:paraId="2877DEE0">
      <w:pPr>
        <w:spacing w:line="576" w:lineRule="exact"/>
        <w:ind w:firstLine="639" w:firstLineChars="199"/>
        <w:rPr>
          <w:rFonts w:ascii="仿宋_GB2312" w:eastAsia="仿宋_GB2312"/>
          <w:color w:val="000000"/>
          <w:sz w:val="32"/>
          <w:szCs w:val="32"/>
        </w:rPr>
      </w:pPr>
      <w:r>
        <w:rPr>
          <w:rFonts w:hint="eastAsia" w:ascii="仿宋_GB2312" w:hAnsi="仿宋_GB2312" w:eastAsia="仿宋_GB2312" w:cs="仿宋_GB2312"/>
          <w:b/>
          <w:bCs/>
          <w:color w:val="000000"/>
          <w:sz w:val="32"/>
          <w:szCs w:val="32"/>
        </w:rPr>
        <w:t xml:space="preserve"> 第四条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主要职责：</w:t>
      </w:r>
    </w:p>
    <w:p w14:paraId="1399CC9E">
      <w:pPr>
        <w:widowControl/>
        <w:spacing w:line="576" w:lineRule="exact"/>
        <w:ind w:firstLine="640" w:firstLineChars="200"/>
        <w:jc w:val="left"/>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（一）起草有关信访工作的地方性法规、规章草案和政策规定；制定信访问题排查化解、风险评估等制度并组织实施，提出改进和加强信访工作的意见和建议。负责本部门依法行政工作。</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（二）负责向县委、县政府反映来信来电来访中提出的重要建议、意见和问题，综合研判信访信息，开展调查研究，提出相关建议。</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（三）综合协调指导全县信访工作，推动建立健全信访工作的协调配合机制。督促检查县直各部门（单位）和各乡镇信访工作，总结推广信访工作先进经验，协调信访工作宣传和信息发布。</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（四）负责处理县内外群众、境外人士、法人及其他组织通过信访渠道给县委、县政府及领导同志的来信来电，接待来访。</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（五）承担协调处理群众进京到省来州到县集体上访和非正常上访的责任，综合协调处理跨地区、跨部门的重要信访问题。</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（六）负责落实党中央、省、州、县领导批示交办信访事项，向各部门、各乡镇转办、交办信访事项，督促检查重要信访事项的处理和落实。</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（七）建立和完善信访信息汇集分析机制，指导信访信息系统建设和应用。</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（八）加强对信访问题排查化解和社情民意汇集分析，重点开展法律法规政策宣传和思想教育疏导，将信访工作的重心由事后处理转移到事前排查化解，增强信访工作的预见性和针对性。</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（九）加强对重大信访事项的督查督办，完善信访诉求表达方式，进一步畅通信访渠道，确保信访工作决策部署得到贯彻落实，推动群众信访问题得到妥善解决。</w:t>
      </w:r>
    </w:p>
    <w:p w14:paraId="44D7633E">
      <w:pPr>
        <w:widowControl/>
        <w:spacing w:line="576" w:lineRule="exact"/>
        <w:ind w:firstLine="640" w:firstLineChars="200"/>
        <w:jc w:val="left"/>
        <w:rPr>
          <w:rFonts w:ascii="仿宋_GB2312" w:hAnsi="Calibri" w:eastAsia="仿宋_GB2312"/>
          <w:color w:val="000000"/>
          <w:sz w:val="32"/>
          <w:szCs w:val="32"/>
        </w:rPr>
      </w:pPr>
      <w:r>
        <w:rPr>
          <w:rFonts w:hint="eastAsia" w:ascii="仿宋_GB2312" w:hAnsi="宋体" w:eastAsia="仿宋_GB2312" w:cs="宋体"/>
          <w:color w:val="000000"/>
          <w:kern w:val="0"/>
          <w:sz w:val="32"/>
          <w:szCs w:val="32"/>
          <w:lang w:eastAsia="zh-CN"/>
        </w:rPr>
        <w:t>（十）</w:t>
      </w:r>
      <w:r>
        <w:rPr>
          <w:rFonts w:hint="eastAsia" w:ascii="仿宋_GB2312" w:hAnsi="宋体" w:eastAsia="仿宋_GB2312" w:cs="宋体"/>
          <w:color w:val="000000"/>
          <w:kern w:val="0"/>
          <w:sz w:val="32"/>
          <w:szCs w:val="32"/>
        </w:rPr>
        <w:t>开展网上信访工作，探索</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互联网+信访</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新模式，推动信访信息化建设。</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（十一）承担县信访工作联席会议、县政府信访事项复查复核委员会日常工作，督促落实有关事项。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 xml:space="preserve">（十二）承办县委、县政府交办的其他任务。 </w:t>
      </w:r>
    </w:p>
    <w:p w14:paraId="19D3B730">
      <w:pPr>
        <w:snapToGrid w:val="0"/>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本规定由中共松潘县委机构编制委员会办公室负责解释，其调整由中共松潘县委机构编制委员会办公室按规定程序办理。</w:t>
      </w:r>
    </w:p>
    <w:p w14:paraId="4020C5EB">
      <w:pPr>
        <w:snapToGrid w:val="0"/>
        <w:spacing w:line="576" w:lineRule="exact"/>
        <w:ind w:firstLine="800" w:firstLineChars="250"/>
        <w:rPr>
          <w:rFonts w:ascii="仿宋_GB2312" w:eastAsia="仿宋_GB2312"/>
          <w:color w:val="000000"/>
          <w:sz w:val="32"/>
          <w:szCs w:val="32"/>
        </w:rPr>
      </w:pPr>
      <w:r>
        <w:rPr>
          <w:rFonts w:hint="eastAsia" w:ascii="仿宋_GB2312" w:hAnsi="宋体" w:eastAsia="仿宋_GB2312"/>
          <w:color w:val="000000"/>
          <w:sz w:val="32"/>
          <w:szCs w:val="32"/>
        </w:rPr>
        <w:t xml:space="preserve"> </w:t>
      </w:r>
    </w:p>
    <w:bookmarkEnd w:id="16"/>
    <w:bookmarkEnd w:id="17"/>
    <w:p w14:paraId="2C1F83A4">
      <w:pPr>
        <w:spacing w:line="576" w:lineRule="exact"/>
        <w:ind w:firstLine="643" w:firstLineChars="200"/>
        <w:rPr>
          <w:rFonts w:ascii="楷体_GB2312" w:hAnsi="楷体_GB2312" w:eastAsia="楷体_GB2312" w:cs="楷体_GB2312"/>
          <w:b/>
          <w:color w:val="000000"/>
          <w:sz w:val="32"/>
          <w:szCs w:val="32"/>
        </w:rPr>
      </w:pPr>
      <w:bookmarkStart w:id="18" w:name="_Toc15378446"/>
      <w:bookmarkStart w:id="19" w:name="_Toc15377199"/>
      <w:r>
        <w:rPr>
          <w:rFonts w:hint="eastAsia" w:ascii="楷体_GB2312" w:hAnsi="楷体_GB2312" w:eastAsia="楷体_GB2312" w:cs="楷体_GB2312"/>
          <w:b/>
          <w:color w:val="000000"/>
          <w:sz w:val="32"/>
          <w:szCs w:val="32"/>
        </w:rPr>
        <w:t>（二）2019年重点工作完成情况。</w:t>
      </w:r>
      <w:bookmarkEnd w:id="18"/>
      <w:bookmarkEnd w:id="19"/>
    </w:p>
    <w:p w14:paraId="373F8EF7">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sz w:val="32"/>
          <w:szCs w:val="32"/>
        </w:rPr>
        <w:t>以“六个突出”为着力点，主动处理信访问题。</w:t>
      </w:r>
    </w:p>
    <w:p w14:paraId="35A48520">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1.突出</w:t>
      </w:r>
      <w:r>
        <w:rPr>
          <w:rFonts w:hint="eastAsia" w:ascii="仿宋_GB2312" w:hAnsi="仿宋_GB2312" w:eastAsia="仿宋_GB2312" w:cs="仿宋_GB2312"/>
          <w:b/>
          <w:bCs/>
          <w:color w:val="000000"/>
          <w:kern w:val="0"/>
          <w:sz w:val="32"/>
          <w:szCs w:val="32"/>
        </w:rPr>
        <w:t>深度研判，有效预判信访矛盾。</w:t>
      </w:r>
      <w:r>
        <w:rPr>
          <w:rFonts w:hint="eastAsia" w:ascii="仿宋_GB2312" w:hAnsi="仿宋_GB2312" w:eastAsia="仿宋_GB2312" w:cs="仿宋_GB2312"/>
          <w:color w:val="000000"/>
          <w:kern w:val="0"/>
          <w:sz w:val="32"/>
          <w:szCs w:val="32"/>
        </w:rPr>
        <w:t>一年来，全县召开了一次全县信访联席会议，并定期召开信访形势研判会议，梳理阶段内信访办理情况，聚焦重点人员、重点区域、关键环节，采用“层层剥笋”的方式，找准凸显的矛盾和问题根源，提出解决问题、化解矛盾的办法和思路。特别是在全国全省全州</w:t>
      </w:r>
      <w:r>
        <w:rPr>
          <w:rFonts w:hint="eastAsia" w:ascii="仿宋_GB2312" w:hAnsi="仿宋_GB2312" w:eastAsia="仿宋_GB2312" w:cs="仿宋_GB2312"/>
          <w:color w:val="000000"/>
          <w:kern w:val="0"/>
          <w:sz w:val="32"/>
          <w:szCs w:val="32"/>
          <w:lang w:eastAsia="zh-CN"/>
        </w:rPr>
        <w:t>两会</w:t>
      </w:r>
      <w:r>
        <w:rPr>
          <w:rFonts w:hint="eastAsia" w:ascii="仿宋_GB2312" w:hAnsi="仿宋_GB2312" w:eastAsia="仿宋_GB2312" w:cs="仿宋_GB2312"/>
          <w:color w:val="000000"/>
          <w:kern w:val="0"/>
          <w:sz w:val="32"/>
          <w:szCs w:val="32"/>
        </w:rPr>
        <w:t>“3月、</w:t>
      </w:r>
      <w:r>
        <w:rPr>
          <w:rFonts w:hint="eastAsia" w:ascii="仿宋_GB2312" w:hAnsi="仿宋_GB2312" w:eastAsia="仿宋_GB2312" w:cs="仿宋_GB2312"/>
          <w:color w:val="000000"/>
          <w:sz w:val="32"/>
          <w:szCs w:val="32"/>
        </w:rPr>
        <w:t>5月、7月</w:t>
      </w:r>
      <w:r>
        <w:rPr>
          <w:rFonts w:hint="eastAsia" w:ascii="仿宋_GB2312" w:hAnsi="仿宋_GB2312" w:eastAsia="仿宋_GB2312" w:cs="仿宋_GB2312"/>
          <w:color w:val="000000"/>
          <w:kern w:val="0"/>
          <w:sz w:val="32"/>
          <w:szCs w:val="32"/>
        </w:rPr>
        <w:t>敏感期”、全国</w:t>
      </w:r>
      <w:r>
        <w:rPr>
          <w:rFonts w:hint="eastAsia" w:ascii="仿宋_GB2312" w:hAnsi="仿宋_GB2312" w:eastAsia="仿宋_GB2312" w:cs="仿宋_GB2312"/>
          <w:color w:val="000000"/>
          <w:kern w:val="0"/>
          <w:sz w:val="32"/>
          <w:szCs w:val="32"/>
          <w:lang w:eastAsia="zh-CN"/>
        </w:rPr>
        <w:t>“一带一路”国际合作高峰论坛</w:t>
      </w:r>
      <w:r>
        <w:rPr>
          <w:rFonts w:hint="eastAsia" w:ascii="仿宋_GB2312" w:hAnsi="仿宋_GB2312" w:eastAsia="仿宋_GB2312" w:cs="仿宋_GB2312"/>
          <w:color w:val="000000"/>
          <w:kern w:val="0"/>
          <w:sz w:val="32"/>
          <w:szCs w:val="32"/>
        </w:rPr>
        <w:t>及</w:t>
      </w:r>
      <w:r>
        <w:rPr>
          <w:rFonts w:hint="eastAsia" w:ascii="仿宋_GB2312" w:hAnsi="仿宋_GB2312" w:eastAsia="仿宋_GB2312" w:cs="仿宋_GB2312"/>
          <w:color w:val="000000"/>
          <w:kern w:val="0"/>
          <w:sz w:val="32"/>
          <w:szCs w:val="32"/>
          <w:lang w:eastAsia="zh-CN"/>
        </w:rPr>
        <w:t>省第</w:t>
      </w:r>
      <w:r>
        <w:rPr>
          <w:rFonts w:hint="eastAsia" w:ascii="仿宋_GB2312" w:hAnsi="仿宋_GB2312" w:eastAsia="仿宋_GB2312" w:cs="仿宋_GB2312"/>
          <w:color w:val="000000"/>
          <w:kern w:val="0"/>
          <w:sz w:val="32"/>
          <w:szCs w:val="32"/>
        </w:rPr>
        <w:t>十一次党代会、“亚洲文明对话大会”、</w:t>
      </w:r>
      <w:r>
        <w:rPr>
          <w:rFonts w:hint="eastAsia" w:ascii="仿宋_GB2312" w:hAnsi="仿宋_GB2312" w:eastAsia="仿宋_GB2312" w:cs="仿宋_GB2312"/>
          <w:color w:val="000000"/>
          <w:sz w:val="32"/>
          <w:szCs w:val="32"/>
        </w:rPr>
        <w:t>新中国成立70周年庆祝活动</w:t>
      </w:r>
      <w:r>
        <w:rPr>
          <w:rFonts w:hint="eastAsia" w:ascii="仿宋_GB2312" w:hAnsi="仿宋_GB2312" w:eastAsia="仿宋_GB2312" w:cs="仿宋_GB2312"/>
          <w:color w:val="000000"/>
          <w:kern w:val="0"/>
          <w:sz w:val="32"/>
          <w:szCs w:val="32"/>
        </w:rPr>
        <w:t>等重点时段的信访维稳形势研判工作，</w:t>
      </w:r>
      <w:r>
        <w:rPr>
          <w:rFonts w:hint="eastAsia" w:ascii="仿宋_GB2312" w:hAnsi="仿宋_GB2312" w:eastAsia="仿宋_GB2312" w:cs="仿宋_GB2312"/>
          <w:color w:val="000000"/>
          <w:sz w:val="32"/>
          <w:szCs w:val="32"/>
        </w:rPr>
        <w:t>松潘县信访工作联席会议办公室制定了信访维稳工作方案、预案，同时，分别下发了《松潘县信访工作联席会议办公室关于做好全省两会及春节期间信访矛盾排解的通知》和《松潘县信访联席会议办公室关于做好全国两会期间信访维稳工作的通知》，《松潘县信访工作联席会议办公室关于切实做好新中国成立70周年庆祝活动信访保障工作的通知》《松潘县信访工作联席会议办公室关于切实做好“亚洲文明对话大会”期间信访维稳工作的通知》《松潘县信访工作联席会议办公室关于切实做好新中国成立70周年庆祝活动期间信访保障工作的工作方案》《松潘县信访工作联席会议办公室关于新中国成立70周年庆祝活动期间信访维稳工作应急预案》等，要求</w:t>
      </w:r>
      <w:r>
        <w:rPr>
          <w:rFonts w:hint="eastAsia" w:ascii="仿宋_GB2312" w:hAnsi="仿宋_GB2312" w:eastAsia="仿宋_GB2312" w:cs="仿宋_GB2312"/>
          <w:sz w:val="32"/>
          <w:szCs w:val="32"/>
        </w:rPr>
        <w:t>各乡（镇）党委、政府和县级各部门加大矛盾纠纷排查，做到重点事项排查不漏项、重点人员排查不漏人，确保不留空白、不留死角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及时化解矛盾纠纷和信访突出问题。于9月派出1名工作人员到京15天参加省驻京维稳工作组，统一配合</w:t>
      </w:r>
      <w:r>
        <w:rPr>
          <w:rFonts w:hint="eastAsia" w:ascii="仿宋_GB2312" w:hAnsi="仿宋_GB2312" w:eastAsia="仿宋_GB2312" w:cs="仿宋_GB2312"/>
          <w:color w:val="000000"/>
          <w:sz w:val="32"/>
          <w:szCs w:val="32"/>
        </w:rPr>
        <w:t>新中国成立70周年庆祝活动期间</w:t>
      </w:r>
      <w:r>
        <w:rPr>
          <w:rFonts w:hint="eastAsia" w:ascii="仿宋_GB2312" w:hAnsi="仿宋_GB2312" w:eastAsia="仿宋_GB2312" w:cs="仿宋_GB2312"/>
          <w:sz w:val="32"/>
          <w:szCs w:val="32"/>
        </w:rPr>
        <w:t>信访维稳工作。严格执行领导带班值班制度，实行24小时稳控，采取“日报告”和“零报告”制度，确保了省</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和国家</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“一带一路”国际合作高峰论坛</w:t>
      </w:r>
      <w:r>
        <w:rPr>
          <w:rFonts w:hint="eastAsia" w:ascii="仿宋_GB2312" w:hAnsi="仿宋_GB2312" w:eastAsia="仿宋_GB2312" w:cs="仿宋_GB2312"/>
          <w:sz w:val="32"/>
          <w:szCs w:val="32"/>
        </w:rPr>
        <w:t>期间、</w:t>
      </w:r>
      <w:r>
        <w:rPr>
          <w:rFonts w:hint="eastAsia" w:ascii="仿宋_GB2312" w:hAnsi="仿宋_GB2312" w:eastAsia="仿宋_GB2312" w:cs="仿宋_GB2312"/>
          <w:color w:val="000000"/>
          <w:sz w:val="32"/>
          <w:szCs w:val="32"/>
        </w:rPr>
        <w:t>新中国成立70周年庆祝活动期间</w:t>
      </w:r>
      <w:r>
        <w:rPr>
          <w:rFonts w:hint="eastAsia" w:ascii="仿宋_GB2312" w:hAnsi="仿宋_GB2312" w:eastAsia="仿宋_GB2312" w:cs="仿宋_GB2312"/>
          <w:sz w:val="32"/>
          <w:szCs w:val="32"/>
        </w:rPr>
        <w:t>等社会和谐稳定，取得了无到省进京上访的优异成绩。</w:t>
      </w:r>
    </w:p>
    <w:p w14:paraId="0B79F09E">
      <w:pPr>
        <w:shd w:val="clear" w:color="auto" w:fill="FFFFFF"/>
        <w:spacing w:line="576" w:lineRule="exact"/>
        <w:ind w:firstLine="643" w:firstLineChars="200"/>
        <w:rPr>
          <w:rFonts w:ascii="仿宋_GB2312" w:hAnsi="仿宋_GB2312" w:eastAsia="仿宋_GB2312" w:cs="仿宋_GB2312"/>
          <w:color w:val="0000FF"/>
          <w:kern w:val="0"/>
          <w:sz w:val="32"/>
          <w:szCs w:val="32"/>
        </w:rPr>
      </w:pPr>
      <w:r>
        <w:rPr>
          <w:rFonts w:hint="eastAsia" w:ascii="仿宋_GB2312" w:hAnsi="仿宋_GB2312" w:eastAsia="仿宋_GB2312" w:cs="仿宋_GB2312"/>
          <w:b/>
          <w:bCs/>
          <w:color w:val="000000"/>
          <w:sz w:val="32"/>
          <w:szCs w:val="32"/>
        </w:rPr>
        <w:t>2.突出联动协调，有序处理信访矛盾。</w:t>
      </w:r>
      <w:r>
        <w:rPr>
          <w:rFonts w:hint="eastAsia" w:ascii="仿宋_GB2312" w:hAnsi="仿宋_GB2312" w:eastAsia="仿宋_GB2312" w:cs="仿宋_GB2312"/>
          <w:color w:val="000000"/>
          <w:kern w:val="0"/>
          <w:sz w:val="32"/>
          <w:szCs w:val="32"/>
        </w:rPr>
        <w:t>充分发挥村级源头治理、乡（镇）和部门分类治理、联席会议及政法系统综合治理作用，深入推进以自我管理、自我服务为主要内容的民主治理实践，促进民事民议、民事民办、民事民管。</w:t>
      </w:r>
    </w:p>
    <w:p w14:paraId="2570677F">
      <w:pPr>
        <w:spacing w:line="576"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3.突出第三方介入，科学化解信访矛盾。</w:t>
      </w:r>
      <w:r>
        <w:rPr>
          <w:rFonts w:hint="eastAsia" w:ascii="仿宋_GB2312" w:hAnsi="仿宋_GB2312" w:eastAsia="仿宋_GB2312" w:cs="仿宋_GB2312"/>
          <w:color w:val="000000"/>
          <w:kern w:val="0"/>
          <w:sz w:val="32"/>
          <w:szCs w:val="32"/>
        </w:rPr>
        <w:t>建立健全人大代表、政协委员、党代表联系所在地信访矛盾化解机制，利用人大代表、政协委员、党代表善于与群众交谈沟通和疏导情绪的优势，进一步将代表意见、群众诉求以及信访工作紧密结合，确保有效解决群众的实际困难和问题。</w:t>
      </w:r>
      <w:r>
        <w:rPr>
          <w:rFonts w:hint="eastAsia" w:ascii="仿宋_GB2312" w:hAnsi="仿宋_GB2312" w:eastAsia="仿宋_GB2312" w:cs="仿宋_GB2312"/>
          <w:bCs/>
          <w:color w:val="000000"/>
          <w:kern w:val="0"/>
          <w:sz w:val="32"/>
          <w:szCs w:val="32"/>
        </w:rPr>
        <w:t>同时，</w:t>
      </w:r>
      <w:r>
        <w:rPr>
          <w:rFonts w:hint="eastAsia" w:ascii="仿宋_GB2312" w:hAnsi="仿宋_GB2312" w:eastAsia="仿宋_GB2312" w:cs="仿宋_GB2312"/>
          <w:color w:val="000000"/>
          <w:kern w:val="0"/>
          <w:sz w:val="32"/>
          <w:szCs w:val="32"/>
        </w:rPr>
        <w:t xml:space="preserve">发挥第三方参加协调处理矛盾纠纷机制。 </w:t>
      </w:r>
    </w:p>
    <w:p w14:paraId="6E360768">
      <w:pPr>
        <w:spacing w:line="576" w:lineRule="exact"/>
        <w:ind w:firstLine="643" w:firstLineChars="200"/>
        <w:rPr>
          <w:rFonts w:ascii="仿宋_GB2312" w:hAnsi="仿宋_GB2312" w:eastAsia="仿宋_GB2312" w:cs="仿宋_GB2312"/>
          <w:b/>
          <w:bCs/>
          <w:color w:val="C00000"/>
          <w:sz w:val="32"/>
          <w:szCs w:val="32"/>
        </w:rPr>
      </w:pPr>
      <w:r>
        <w:rPr>
          <w:rFonts w:hint="eastAsia" w:ascii="仿宋_GB2312" w:hAnsi="仿宋_GB2312" w:eastAsia="仿宋_GB2312" w:cs="仿宋_GB2312"/>
          <w:b/>
          <w:bCs/>
          <w:color w:val="000000"/>
          <w:sz w:val="32"/>
          <w:szCs w:val="32"/>
        </w:rPr>
        <w:t>4.</w:t>
      </w:r>
      <w:r>
        <w:rPr>
          <w:rFonts w:hint="eastAsia" w:ascii="仿宋_GB2312" w:hAnsi="仿宋_GB2312" w:eastAsia="仿宋_GB2312" w:cs="仿宋_GB2312"/>
          <w:b/>
          <w:kern w:val="0"/>
          <w:sz w:val="32"/>
          <w:szCs w:val="32"/>
        </w:rPr>
        <w:t>突出诉访分离，分类化解涉法涉诉信访。</w:t>
      </w:r>
      <w:r>
        <w:rPr>
          <w:rFonts w:hint="eastAsia" w:ascii="仿宋_GB2312" w:hAnsi="仿宋_GB2312" w:eastAsia="仿宋_GB2312" w:cs="仿宋_GB2312"/>
          <w:kern w:val="0"/>
          <w:sz w:val="32"/>
          <w:szCs w:val="32"/>
        </w:rPr>
        <w:t xml:space="preserve">坚持依法引导分流涉法涉诉信访问题，通过信访启动法律程序等工作方式，进一步加强与政法部门的沟通、研判和对接，保护合法信访，制止非访、闹访，实现案结事了、息诉息访，切实做到群众合法权益与司法公正权威统一。  </w:t>
      </w:r>
      <w:r>
        <w:rPr>
          <w:rFonts w:hint="eastAsia" w:ascii="仿宋_GB2312" w:hAnsi="仿宋_GB2312" w:eastAsia="仿宋_GB2312" w:cs="仿宋_GB2312"/>
          <w:color w:val="0000FF"/>
          <w:kern w:val="0"/>
          <w:sz w:val="32"/>
          <w:szCs w:val="32"/>
        </w:rPr>
        <w:t xml:space="preserve">  </w:t>
      </w:r>
    </w:p>
    <w:p w14:paraId="5306868D">
      <w:pPr>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kern w:val="0"/>
          <w:sz w:val="32"/>
          <w:szCs w:val="32"/>
        </w:rPr>
        <w:t>5.</w:t>
      </w:r>
      <w:r>
        <w:rPr>
          <w:rFonts w:hint="eastAsia" w:ascii="仿宋_GB2312" w:hAnsi="仿宋_GB2312" w:eastAsia="仿宋_GB2312" w:cs="仿宋_GB2312"/>
          <w:b/>
          <w:bCs/>
          <w:color w:val="000000"/>
          <w:sz w:val="32"/>
          <w:szCs w:val="32"/>
        </w:rPr>
        <w:t>突出满意度评价，客观评价信访工作。</w:t>
      </w:r>
      <w:r>
        <w:rPr>
          <w:rFonts w:hint="eastAsia" w:ascii="仿宋_GB2312" w:hAnsi="仿宋_GB2312" w:eastAsia="仿宋_GB2312" w:cs="仿宋_GB2312"/>
          <w:color w:val="000000"/>
          <w:sz w:val="32"/>
          <w:szCs w:val="32"/>
        </w:rPr>
        <w:t>高度重视每位来访群众，规范收集信访相关材料，并及时转办交办至相关职能单位，并做好解释工作，视情况积极帮助协调。同时，开展群众满意度测评，确保信访工作高效提质。截至目前，我县无省转办纳入信访事项群众满意度评价的信访件，信访</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sz w:val="32"/>
          <w:szCs w:val="32"/>
        </w:rPr>
        <w:t>满意度</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rPr>
        <w:t>责任部门</w:t>
      </w:r>
      <w:r>
        <w:rPr>
          <w:rFonts w:hint="eastAsia" w:ascii="仿宋_GB2312" w:hAnsi="仿宋_GB2312" w:eastAsia="仿宋_GB2312" w:cs="仿宋_GB2312"/>
          <w:color w:val="000000"/>
          <w:sz w:val="32"/>
          <w:szCs w:val="32"/>
        </w:rPr>
        <w:t>满意度</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rPr>
        <w:t>受理率为</w:t>
      </w:r>
      <w:r>
        <w:rPr>
          <w:rFonts w:hint="eastAsia" w:ascii="仿宋_GB2312" w:hAnsi="仿宋_GB2312" w:eastAsia="仿宋_GB2312" w:cs="仿宋_GB2312"/>
          <w:color w:val="000000"/>
          <w:sz w:val="32"/>
          <w:szCs w:val="32"/>
        </w:rPr>
        <w:t>100%，按期办结率达100%，为下一步我县创建全省“人民满意窗口”打下了</w:t>
      </w:r>
      <w:r>
        <w:rPr>
          <w:rFonts w:hint="eastAsia" w:ascii="仿宋_GB2312" w:hAnsi="仿宋_GB2312" w:eastAsia="仿宋_GB2312" w:cs="仿宋_GB2312"/>
          <w:color w:val="000000"/>
          <w:sz w:val="32"/>
          <w:szCs w:val="32"/>
          <w:lang w:eastAsia="zh-CN"/>
        </w:rPr>
        <w:t>坚实</w:t>
      </w:r>
      <w:r>
        <w:rPr>
          <w:rFonts w:hint="eastAsia" w:ascii="仿宋_GB2312" w:hAnsi="仿宋_GB2312" w:eastAsia="仿宋_GB2312" w:cs="仿宋_GB2312"/>
          <w:color w:val="000000"/>
          <w:sz w:val="32"/>
          <w:szCs w:val="32"/>
        </w:rPr>
        <w:t>的基础。</w:t>
      </w:r>
    </w:p>
    <w:p w14:paraId="1A98A62F">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kern w:val="0"/>
          <w:sz w:val="32"/>
          <w:szCs w:val="32"/>
        </w:rPr>
        <w:t>（二）以“三个多元”为突破口</w:t>
      </w:r>
      <w:r>
        <w:rPr>
          <w:rFonts w:hint="eastAsia" w:ascii="仿宋_GB2312" w:hAnsi="仿宋_GB2312" w:eastAsia="仿宋_GB2312" w:cs="仿宋_GB2312"/>
          <w:b/>
          <w:color w:val="000000"/>
          <w:kern w:val="0"/>
          <w:sz w:val="32"/>
          <w:szCs w:val="32"/>
        </w:rPr>
        <w:t>，确保矛盾在</w:t>
      </w:r>
      <w:r>
        <w:rPr>
          <w:rFonts w:hint="eastAsia" w:ascii="仿宋_GB2312" w:hAnsi="仿宋_GB2312" w:eastAsia="仿宋_GB2312" w:cs="仿宋_GB2312"/>
          <w:b/>
          <w:bCs/>
          <w:sz w:val="32"/>
          <w:szCs w:val="32"/>
        </w:rPr>
        <w:t>源头化解。</w:t>
      </w:r>
    </w:p>
    <w:p w14:paraId="05B2BC9B">
      <w:pPr>
        <w:pStyle w:val="14"/>
        <w:spacing w:after="0" w:line="576" w:lineRule="exact"/>
        <w:ind w:left="0" w:leftChars="0"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1.完善信访责任机制，多元压实工作责任。</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b/>
          <w:bCs/>
          <w:color w:val="000000"/>
          <w:sz w:val="32"/>
          <w:szCs w:val="32"/>
        </w:rPr>
        <w:t>落实积案化解责任</w:t>
      </w:r>
      <w:r>
        <w:rPr>
          <w:rFonts w:hint="eastAsia" w:ascii="仿宋_GB2312" w:hAnsi="仿宋_GB2312" w:eastAsia="仿宋_GB2312" w:cs="仿宋_GB2312"/>
          <w:color w:val="000000"/>
          <w:sz w:val="32"/>
          <w:szCs w:val="32"/>
        </w:rPr>
        <w:t>。持续传导信访“一岗双责”压力，要求科级以上干部须对分管行业领域矛盾纠纷正面回应、主动介入，并综合运用调解、仲裁、诉讼等方式予以化解。</w:t>
      </w:r>
      <w:r>
        <w:rPr>
          <w:rFonts w:hint="eastAsia" w:ascii="仿宋_GB2312" w:hAnsi="仿宋_GB2312" w:eastAsia="仿宋_GB2312" w:cs="仿宋_GB2312"/>
          <w:b/>
          <w:bCs/>
          <w:color w:val="000000"/>
          <w:sz w:val="32"/>
          <w:szCs w:val="32"/>
        </w:rPr>
        <w:t>二是落实领导接访责任</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县委、县政府</w:t>
      </w:r>
      <w:r>
        <w:rPr>
          <w:rFonts w:hint="eastAsia" w:ascii="仿宋_GB2312" w:hAnsi="仿宋_GB2312" w:eastAsia="仿宋_GB2312" w:cs="仿宋_GB2312"/>
          <w:color w:val="000000"/>
          <w:sz w:val="32"/>
          <w:szCs w:val="32"/>
        </w:rPr>
        <w:t>总体部署进一步落实县级领导大接访，年初，我县制定下发了《中共松潘县委办公室松潘县人民政府办公室关于开展</w:t>
      </w:r>
      <w:r>
        <w:rPr>
          <w:rFonts w:hint="eastAsia" w:ascii="仿宋_GB2312" w:hAnsi="仿宋_GB2312" w:eastAsia="仿宋_GB2312" w:cs="仿宋_GB2312"/>
          <w:color w:val="000000"/>
          <w:sz w:val="32"/>
          <w:szCs w:val="32"/>
          <w:lang w:eastAsia="zh-CN"/>
        </w:rPr>
        <w:t>县委、县政府</w:t>
      </w:r>
      <w:r>
        <w:rPr>
          <w:rFonts w:hint="eastAsia" w:ascii="仿宋_GB2312" w:hAnsi="仿宋_GB2312" w:eastAsia="仿宋_GB2312" w:cs="仿宋_GB2312"/>
          <w:color w:val="000000"/>
          <w:sz w:val="32"/>
          <w:szCs w:val="32"/>
        </w:rPr>
        <w:t>领导“大接访”活动的通知》（松委办</w:t>
      </w:r>
      <w:r>
        <w:rPr>
          <w:rFonts w:hint="eastAsia" w:ascii="仿宋_GB2312" w:hAnsi="仿宋_GB2312" w:eastAsia="仿宋_GB2312" w:cs="仿宋_GB2312"/>
          <w:sz w:val="32"/>
          <w:szCs w:val="32"/>
        </w:rPr>
        <w:t>〔2019〕34号</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进一步健全县级领导接访制度，要求县级领导轮流到县群众工作中心接访，确保每月有四名县级领导接待来访群众，并同步建立了乡镇领导定期接访制度。截至目前，县级领导接访、约访13次，乡镇领导接访20 次。</w:t>
      </w:r>
      <w:r>
        <w:rPr>
          <w:rFonts w:hint="eastAsia" w:ascii="仿宋_GB2312" w:hAnsi="仿宋_GB2312" w:eastAsia="仿宋_GB2312" w:cs="仿宋_GB2312"/>
          <w:b/>
          <w:bCs/>
          <w:color w:val="000000"/>
          <w:sz w:val="32"/>
          <w:szCs w:val="32"/>
        </w:rPr>
        <w:t>三是落实案件联办包案责任。</w:t>
      </w:r>
      <w:r>
        <w:rPr>
          <w:rFonts w:hint="eastAsia" w:ascii="仿宋_GB2312" w:hAnsi="仿宋_GB2312" w:eastAsia="仿宋_GB2312" w:cs="仿宋_GB2312"/>
          <w:color w:val="000000"/>
          <w:sz w:val="32"/>
          <w:szCs w:val="32"/>
        </w:rPr>
        <w:t>实行复杂案件联合协调制度，对重大疑难案件，乡镇、部门不能独立解决或通过相互协调亦不能解决的，实行案件联合会审制度，组成案件联合协调小组，对案件进行联合核审、综合施治，</w:t>
      </w:r>
      <w:r>
        <w:rPr>
          <w:rFonts w:hint="eastAsia" w:ascii="仿宋_GB2312" w:hAnsi="仿宋_GB2312" w:eastAsia="仿宋_GB2312" w:cs="仿宋_GB2312"/>
          <w:sz w:val="32"/>
          <w:szCs w:val="32"/>
        </w:rPr>
        <w:t>大力推行责任督办、带案下访、按时回访等制度，实行领导包案督办制，通过开展信访不定期“回头看”，跟踪了解信访案件查办情况、办件人员履职情况，对所有排查出的信访问题，一律由分管领导包案督办，各责任领导主动深入实地专项督查，真正使群众反映的问题件件有着落、事事有回音。</w:t>
      </w:r>
      <w:r>
        <w:rPr>
          <w:rFonts w:hint="eastAsia" w:ascii="仿宋_GB2312" w:hAnsi="仿宋_GB2312" w:eastAsia="仿宋_GB2312" w:cs="仿宋_GB2312"/>
          <w:color w:val="000000"/>
          <w:sz w:val="32"/>
          <w:szCs w:val="32"/>
        </w:rPr>
        <w:t>3月底，松潘县信访工作联席会议办公室交办了17件信访突出案件（《松潘县信访工作联席会议办公室关于交办2019年度信访积案、历史遗留、涉法涉诉等信访问题的通知》松信联办〔2019〕2 号），明确了包案领导、责任单位。</w:t>
      </w:r>
      <w:r>
        <w:rPr>
          <w:rFonts w:hint="eastAsia" w:ascii="仿宋_GB2312" w:hAnsi="仿宋_GB2312" w:eastAsia="仿宋_GB2312" w:cs="仿宋_GB2312"/>
          <w:color w:val="000000"/>
          <w:sz w:val="32"/>
          <w:szCs w:val="32"/>
          <w:lang w:eastAsia="zh-CN"/>
        </w:rPr>
        <w:t>截至目前</w:t>
      </w:r>
      <w:r>
        <w:rPr>
          <w:rFonts w:hint="eastAsia" w:ascii="仿宋_GB2312" w:hAnsi="仿宋_GB2312" w:eastAsia="仿宋_GB2312" w:cs="仿宋_GB2312"/>
          <w:color w:val="000000"/>
          <w:sz w:val="32"/>
          <w:szCs w:val="32"/>
        </w:rPr>
        <w:t>已化解7件，其余案件正在化解稳控中。</w:t>
      </w:r>
    </w:p>
    <w:p w14:paraId="4D0955A9">
      <w:pPr>
        <w:spacing w:line="576" w:lineRule="exact"/>
        <w:ind w:firstLine="643"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sz w:val="32"/>
          <w:szCs w:val="32"/>
        </w:rPr>
        <w:t>2.充分利用“互联网+信访”，多元搭建诉求平台。</w:t>
      </w:r>
      <w:r>
        <w:rPr>
          <w:rFonts w:hint="eastAsia" w:ascii="仿宋_GB2312" w:hAnsi="仿宋_GB2312" w:eastAsia="仿宋_GB2312" w:cs="仿宋_GB2312"/>
          <w:color w:val="000000"/>
          <w:sz w:val="32"/>
          <w:szCs w:val="32"/>
        </w:rPr>
        <w:t>充分利用信访联席会议、复查复核、信访投诉、多元化解中心，1+3+N平台化解社会矛盾。</w:t>
      </w:r>
      <w:r>
        <w:rPr>
          <w:rFonts w:hint="eastAsia" w:ascii="仿宋_GB2312" w:hAnsi="仿宋_GB2312" w:eastAsia="仿宋_GB2312" w:cs="仿宋_GB2312"/>
          <w:color w:val="000000"/>
          <w:kern w:val="0"/>
          <w:sz w:val="32"/>
          <w:szCs w:val="32"/>
        </w:rPr>
        <w:t>通过</w:t>
      </w:r>
      <w:r>
        <w:rPr>
          <w:rFonts w:hint="eastAsia" w:ascii="仿宋_GB2312" w:hAnsi="仿宋_GB2312" w:eastAsia="仿宋_GB2312" w:cs="仿宋_GB2312"/>
          <w:bCs/>
          <w:color w:val="000000"/>
          <w:kern w:val="0"/>
          <w:sz w:val="32"/>
          <w:szCs w:val="32"/>
        </w:rPr>
        <w:t>全县147个村（社区）建立微信群和QQ群信息平台，能及时将政策法规、乡村治理、民生工程、脱贫攻坚、生态建设等情况及时通过平台发布，避免群众出现政策盲区，导致非访、缠访、越级访。进一步强化群众评价、咨询等互动体验。</w:t>
      </w:r>
    </w:p>
    <w:p w14:paraId="24618A04">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3.认真践行一线工作法，多元融合干群关系。</w:t>
      </w:r>
      <w:r>
        <w:rPr>
          <w:rFonts w:hint="eastAsia" w:ascii="仿宋_GB2312" w:hAnsi="仿宋_GB2312" w:eastAsia="仿宋_GB2312" w:cs="仿宋_GB2312"/>
          <w:color w:val="000000"/>
          <w:sz w:val="32"/>
          <w:szCs w:val="32"/>
        </w:rPr>
        <w:t>结合全县脱贫攻坚工作，</w:t>
      </w:r>
      <w:r>
        <w:rPr>
          <w:rFonts w:hint="eastAsia" w:ascii="仿宋_GB2312" w:hAnsi="仿宋_GB2312" w:eastAsia="仿宋_GB2312" w:cs="仿宋_GB2312"/>
          <w:color w:val="000000"/>
          <w:kern w:val="0"/>
          <w:sz w:val="32"/>
          <w:szCs w:val="32"/>
        </w:rPr>
        <w:t>到联系村开展社情民意大梳理、群众诉求</w:t>
      </w:r>
      <w:r>
        <w:rPr>
          <w:rFonts w:hint="eastAsia" w:ascii="仿宋_GB2312" w:hAnsi="仿宋_GB2312" w:eastAsia="仿宋_GB2312" w:cs="仿宋_GB2312"/>
          <w:color w:val="000000"/>
          <w:sz w:val="32"/>
          <w:szCs w:val="32"/>
        </w:rPr>
        <w:t>大研判、矛盾纠纷大化解、处理情况大反馈以及部门乡镇大联动工作。</w:t>
      </w:r>
      <w:r>
        <w:rPr>
          <w:rFonts w:hint="eastAsia" w:ascii="仿宋_GB2312" w:hAnsi="仿宋_GB2312" w:eastAsia="仿宋_GB2312" w:cs="仿宋_GB2312"/>
          <w:color w:val="000000"/>
          <w:kern w:val="0"/>
          <w:sz w:val="32"/>
          <w:szCs w:val="32"/>
        </w:rPr>
        <w:t>截至目前，县级领导、联乡包村部门和结对帮扶干部深入联系点</w:t>
      </w:r>
      <w:r>
        <w:rPr>
          <w:rFonts w:hint="eastAsia" w:ascii="仿宋_GB2312" w:hAnsi="仿宋_GB2312" w:eastAsia="仿宋_GB2312" w:cs="仿宋_GB2312"/>
          <w:color w:val="000000"/>
          <w:sz w:val="32"/>
          <w:szCs w:val="32"/>
        </w:rPr>
        <w:t>持续深化“两联一进”群众工作全覆盖和“户户访·人人忙”专题实践活动4场，全县信访等专业培训1场，紧扣惠民政策宣讲、脱贫攻坚摘帽、“两不愁三保障”回头看大排查、党风廉政建设和扫黑除恶专项斗争、合法有序信访等重点工作，在县委党校培训教室、深入田间地头、农户家中察民情、算民账、解民忧、聚民心，收集群众诉求953条，办结800余条，</w:t>
      </w:r>
      <w:r>
        <w:rPr>
          <w:rFonts w:hint="eastAsia" w:ascii="仿宋_GB2312" w:hAnsi="仿宋_GB2312" w:eastAsia="仿宋_GB2312" w:cs="仿宋_GB2312"/>
          <w:color w:val="000000"/>
          <w:kern w:val="0"/>
          <w:sz w:val="32"/>
          <w:szCs w:val="32"/>
        </w:rPr>
        <w:t>当场处理解决问题15条，现场解释答疑7条，有效从源头化解社会矛盾。</w:t>
      </w:r>
    </w:p>
    <w:p w14:paraId="45E16E85">
      <w:pPr>
        <w:spacing w:line="576" w:lineRule="exact"/>
        <w:ind w:firstLine="900" w:firstLineChars="250"/>
        <w:rPr>
          <w:rStyle w:val="28"/>
          <w:rFonts w:ascii="黑体" w:hAnsi="黑体" w:eastAsia="黑体" w:cs="Times New Roman"/>
          <w:b w:val="0"/>
          <w:bCs w:val="0"/>
          <w:sz w:val="36"/>
          <w:szCs w:val="36"/>
        </w:rPr>
      </w:pPr>
      <w:bookmarkStart w:id="20" w:name="_Toc15377200"/>
      <w:bookmarkStart w:id="21" w:name="_Toc15396601"/>
      <w:r>
        <w:rPr>
          <w:rFonts w:hint="eastAsia" w:ascii="黑体" w:hAnsi="黑体" w:eastAsia="黑体"/>
          <w:color w:val="000000"/>
          <w:sz w:val="36"/>
          <w:szCs w:val="36"/>
        </w:rPr>
        <w:t>二、机</w:t>
      </w:r>
      <w:r>
        <w:rPr>
          <w:rStyle w:val="28"/>
          <w:rFonts w:hint="eastAsia" w:ascii="黑体" w:hAnsi="黑体" w:eastAsia="黑体"/>
          <w:sz w:val="36"/>
          <w:szCs w:val="36"/>
        </w:rPr>
        <w:t>构设置</w:t>
      </w:r>
      <w:bookmarkEnd w:id="20"/>
      <w:bookmarkEnd w:id="21"/>
    </w:p>
    <w:p w14:paraId="724F34A1">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办公室。承担电文、档案、保密、财务、目标考核、机要、资产管理、应急、信息、后勤等机关日常运转管理事项。负责承办综合性会议及重要文稿起草、机构编制、组织人事、工资管理、教育培训、党风廉政建设、意识形态等工作。</w:t>
      </w:r>
    </w:p>
    <w:p w14:paraId="4D5F1BB3">
      <w:pPr>
        <w:spacing w:line="560" w:lineRule="exact"/>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松潘县信访局所属事业单位的设置、职责和编制事项另行规定。</w:t>
      </w:r>
    </w:p>
    <w:p w14:paraId="2DC08EAB">
      <w:pPr>
        <w:pStyle w:val="5"/>
        <w:adjustRightInd w:val="0"/>
        <w:snapToGrid w:val="0"/>
        <w:spacing w:before="93"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纳入信访局2019年度部门决算编制范围的二级预算单位包括：</w:t>
      </w:r>
    </w:p>
    <w:p w14:paraId="3F6BBE87">
      <w:pPr>
        <w:pStyle w:val="5"/>
        <w:adjustRightInd w:val="0"/>
        <w:snapToGrid w:val="0"/>
        <w:spacing w:before="93" w:line="576" w:lineRule="exact"/>
        <w:rPr>
          <w:rFonts w:ascii="仿宋" w:hAnsi="仿宋" w:eastAsia="仿宋"/>
          <w:color w:val="000000"/>
          <w:sz w:val="32"/>
          <w:szCs w:val="32"/>
        </w:rPr>
      </w:pPr>
      <w:r>
        <w:rPr>
          <w:rFonts w:hint="eastAsia" w:ascii="仿宋" w:hAnsi="仿宋" w:eastAsia="仿宋"/>
          <w:color w:val="000000"/>
          <w:sz w:val="32"/>
          <w:szCs w:val="32"/>
        </w:rPr>
        <w:t>无</w:t>
      </w:r>
    </w:p>
    <w:p w14:paraId="2241A757">
      <w:pPr>
        <w:pStyle w:val="2"/>
        <w:spacing w:line="576" w:lineRule="exact"/>
        <w:ind w:right="880"/>
        <w:jc w:val="right"/>
        <w:rPr>
          <w:rStyle w:val="27"/>
          <w:rFonts w:ascii="方正小标宋简体" w:hAnsi="方正小标宋简体" w:eastAsia="方正小标宋简体" w:cs="方正小标宋简体"/>
          <w:b w:val="0"/>
          <w:bCs w:val="0"/>
        </w:rPr>
      </w:pPr>
      <w:bookmarkStart w:id="22" w:name="_Toc15377204"/>
      <w:bookmarkStart w:id="23" w:name="_Toc15396602"/>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7"/>
          <w:rFonts w:hint="eastAsia" w:ascii="方正小标宋简体" w:hAnsi="方正小标宋简体" w:eastAsia="方正小标宋简体" w:cs="方正小标宋简体"/>
          <w:b w:val="0"/>
          <w:bCs w:val="0"/>
        </w:rPr>
        <w:t>2019年度部门决算情况说明</w:t>
      </w:r>
      <w:bookmarkEnd w:id="22"/>
      <w:bookmarkEnd w:id="23"/>
    </w:p>
    <w:p w14:paraId="386DFF16">
      <w:pPr>
        <w:widowControl/>
        <w:spacing w:line="576" w:lineRule="exact"/>
        <w:ind w:firstLine="640" w:firstLineChars="200"/>
        <w:jc w:val="left"/>
        <w:rPr>
          <w:rStyle w:val="28"/>
          <w:rFonts w:ascii="仿宋" w:hAnsi="仿宋" w:eastAsia="仿宋" w:cs="Times New Roman"/>
          <w:b w:val="0"/>
          <w:bCs w:val="0"/>
          <w:color w:val="000000"/>
          <w:kern w:val="0"/>
        </w:rPr>
      </w:pPr>
      <w:bookmarkStart w:id="24" w:name="_Toc15396603"/>
      <w:bookmarkStart w:id="25" w:name="_Toc15377205"/>
      <w:r>
        <w:rPr>
          <w:rFonts w:hint="eastAsia" w:ascii="仿宋" w:hAnsi="仿宋" w:eastAsia="仿宋"/>
          <w:color w:val="000000"/>
          <w:kern w:val="0"/>
          <w:sz w:val="32"/>
          <w:szCs w:val="32"/>
        </w:rPr>
        <w:t>一、</w:t>
      </w:r>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234F08BA">
      <w:pPr>
        <w:snapToGrid w:val="0"/>
        <w:spacing w:line="578" w:lineRule="exact"/>
        <w:ind w:firstLine="640" w:firstLineChars="200"/>
        <w:rPr>
          <w:rFonts w:ascii="仿宋" w:hAnsi="仿宋" w:eastAsia="仿宋"/>
          <w:color w:val="000000"/>
          <w:sz w:val="32"/>
          <w:szCs w:val="32"/>
        </w:rPr>
      </w:pPr>
      <w:bookmarkStart w:id="26" w:name="_Toc15396604"/>
      <w:bookmarkStart w:id="27" w:name="_Toc15377206"/>
      <w:r>
        <w:rPr>
          <w:rFonts w:hint="eastAsia" w:ascii="仿宋" w:hAnsi="仿宋" w:eastAsia="仿宋"/>
          <w:color w:val="000000"/>
          <w:sz w:val="32"/>
          <w:szCs w:val="32"/>
        </w:rPr>
        <w:t>2019年财政拨款收入187.21万元，支出189.21万元；2018年财政拨款收入196.86万元，支出199.12万元，与2018年度相比财政拨款收入减少9.65万元，支出减少9.91万元， 减少的主要原</w:t>
      </w:r>
      <w:r>
        <w:rPr>
          <w:rFonts w:hint="eastAsia" w:ascii="仿宋" w:hAnsi="仿宋" w:eastAsia="仿宋"/>
          <w:color w:val="000000"/>
          <w:sz w:val="32"/>
          <w:szCs w:val="32"/>
          <w:lang w:eastAsia="zh-CN"/>
        </w:rPr>
        <w:t>因是</w:t>
      </w:r>
      <w:r>
        <w:rPr>
          <w:rFonts w:hint="eastAsia" w:ascii="仿宋" w:hAnsi="仿宋" w:eastAsia="仿宋"/>
          <w:color w:val="000000"/>
          <w:sz w:val="32"/>
          <w:szCs w:val="32"/>
        </w:rPr>
        <w:t>19年无项目建设创建人民满意度窗 。</w:t>
      </w:r>
    </w:p>
    <w:p w14:paraId="1CA10ED9">
      <w:pPr>
        <w:pStyle w:val="26"/>
        <w:spacing w:line="576" w:lineRule="exact"/>
        <w:ind w:firstLine="640"/>
        <w:outlineLvl w:val="1"/>
        <w:rPr>
          <w:rStyle w:val="28"/>
          <w:rFonts w:ascii="黑体" w:hAnsi="黑体" w:eastAsia="黑体"/>
          <w:b w:val="0"/>
        </w:rPr>
      </w:pPr>
      <w:r>
        <w:rPr>
          <w:rFonts w:hint="eastAsia" w:ascii="黑体" w:hAnsi="黑体" w:eastAsia="黑体"/>
          <w:color w:val="000000"/>
          <w:sz w:val="32"/>
          <w:szCs w:val="32"/>
        </w:rPr>
        <w:t>二、收</w:t>
      </w:r>
      <w:r>
        <w:rPr>
          <w:rStyle w:val="28"/>
          <w:rFonts w:hint="eastAsia" w:ascii="黑体" w:hAnsi="黑体" w:eastAsia="黑体"/>
          <w:b w:val="0"/>
        </w:rPr>
        <w:t>入决算情况说明</w:t>
      </w:r>
      <w:bookmarkEnd w:id="26"/>
      <w:bookmarkEnd w:id="27"/>
    </w:p>
    <w:p w14:paraId="798C1ED9">
      <w:pPr>
        <w:spacing w:line="576"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9年本年收入合计187.21万元，其中：一般公共预算财政拨款收入187.21元，占</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项目支出2万元，</w:t>
      </w:r>
      <w:r>
        <w:rPr>
          <w:rFonts w:hint="eastAsia" w:ascii="仿宋" w:hAnsi="仿宋" w:eastAsia="仿宋"/>
          <w:color w:val="000000"/>
          <w:sz w:val="32"/>
          <w:szCs w:val="32"/>
        </w:rPr>
        <w:t>政府性基金预算财政拨款收入0万元；国有资本经营预算财政拨款收入0万元，占；事业收入0万元；经营收入0万元，占；附属单位上缴收入0万元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其他收入0万元。</w:t>
      </w:r>
    </w:p>
    <w:p w14:paraId="139CB72C">
      <w:pPr>
        <w:spacing w:line="576" w:lineRule="exact"/>
        <w:ind w:firstLine="640" w:firstLineChars="200"/>
        <w:rPr>
          <w:rStyle w:val="28"/>
          <w:rFonts w:ascii="仿宋" w:hAnsi="仿宋" w:eastAsia="仿宋" w:cs="Times New Roman"/>
          <w:b w:val="0"/>
          <w:bCs w:val="0"/>
          <w:color w:val="000000" w:themeColor="text1"/>
        </w:rPr>
      </w:pPr>
      <w:bookmarkStart w:id="28" w:name="_Toc15396605"/>
      <w:bookmarkStart w:id="29" w:name="_Toc15377207"/>
      <w:r>
        <w:rPr>
          <w:rFonts w:hint="eastAsia" w:ascii="黑体" w:hAnsi="黑体" w:eastAsia="黑体"/>
          <w:color w:val="000000"/>
          <w:sz w:val="32"/>
          <w:szCs w:val="32"/>
        </w:rPr>
        <w:t>三、支</w:t>
      </w:r>
      <w:r>
        <w:rPr>
          <w:rStyle w:val="28"/>
          <w:rFonts w:hint="eastAsia" w:ascii="黑体" w:hAnsi="黑体" w:eastAsia="黑体"/>
          <w:b w:val="0"/>
        </w:rPr>
        <w:t>出决算情况说明</w:t>
      </w:r>
      <w:bookmarkEnd w:id="28"/>
      <w:bookmarkEnd w:id="29"/>
    </w:p>
    <w:p w14:paraId="3876E349">
      <w:pPr>
        <w:spacing w:line="576"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189.21</w:t>
      </w:r>
      <w:r>
        <w:rPr>
          <w:rFonts w:hint="eastAsia" w:ascii="仿宋" w:hAnsi="仿宋" w:eastAsia="仿宋"/>
          <w:color w:val="000000"/>
          <w:sz w:val="32"/>
          <w:szCs w:val="32"/>
        </w:rPr>
        <w:t>万元，其中：基本支出1</w:t>
      </w:r>
      <w:r>
        <w:rPr>
          <w:rFonts w:hint="eastAsia" w:ascii="仿宋" w:hAnsi="仿宋" w:eastAsia="仿宋"/>
          <w:color w:val="000000"/>
          <w:sz w:val="32"/>
          <w:szCs w:val="32"/>
          <w:lang w:val="en-US" w:eastAsia="zh-CN"/>
        </w:rPr>
        <w:t>82.21</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；项目支出0万元；上缴上级支出0万元；经营支出0万元；对附属单位补助支出0万元。</w:t>
      </w:r>
    </w:p>
    <w:p w14:paraId="6B555ED3">
      <w:pPr>
        <w:spacing w:line="576" w:lineRule="exact"/>
        <w:ind w:firstLine="640" w:firstLineChars="200"/>
        <w:rPr>
          <w:rStyle w:val="28"/>
          <w:rFonts w:ascii="仿宋" w:hAnsi="仿宋" w:eastAsia="仿宋" w:cs="Times New Roman"/>
          <w:b w:val="0"/>
          <w:bCs w:val="0"/>
          <w:color w:val="000000" w:themeColor="text1"/>
        </w:rPr>
      </w:pPr>
      <w:r>
        <w:rPr>
          <w:rFonts w:hint="eastAsia" w:ascii="仿宋" w:hAnsi="仿宋" w:eastAsia="仿宋"/>
          <w:color w:val="000000" w:themeColor="text1"/>
          <w:sz w:val="32"/>
          <w:szCs w:val="32"/>
        </w:rPr>
        <w:t xml:space="preserve"> </w:t>
      </w:r>
      <w:bookmarkStart w:id="30" w:name="_Toc15396606"/>
      <w:bookmarkStart w:id="3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50963A06">
      <w:pPr>
        <w:spacing w:line="576" w:lineRule="exact"/>
        <w:ind w:firstLine="640" w:firstLineChars="200"/>
        <w:rPr>
          <w:rStyle w:val="28"/>
          <w:rFonts w:ascii="仿宋" w:hAnsi="仿宋" w:eastAsia="仿宋" w:cs="Times New Roman"/>
          <w:bCs w:val="0"/>
          <w:color w:val="00B050"/>
        </w:rPr>
      </w:pPr>
      <w:r>
        <w:rPr>
          <w:rFonts w:ascii="仿宋" w:hAnsi="仿宋" w:eastAsia="仿宋"/>
          <w:color w:val="000000"/>
          <w:sz w:val="32"/>
          <w:szCs w:val="32"/>
        </w:rPr>
        <w:t>201</w:t>
      </w:r>
      <w:r>
        <w:rPr>
          <w:rFonts w:hint="eastAsia" w:ascii="仿宋" w:hAnsi="仿宋" w:eastAsia="仿宋"/>
          <w:color w:val="000000"/>
          <w:sz w:val="32"/>
          <w:szCs w:val="32"/>
        </w:rPr>
        <w:t>9年财政拨款收、支总计万395.98元。与</w:t>
      </w:r>
      <w:r>
        <w:rPr>
          <w:rFonts w:ascii="仿宋" w:hAnsi="仿宋" w:eastAsia="仿宋"/>
          <w:color w:val="000000"/>
          <w:sz w:val="32"/>
          <w:szCs w:val="32"/>
        </w:rPr>
        <w:t>201</w:t>
      </w:r>
      <w:r>
        <w:rPr>
          <w:rFonts w:hint="eastAsia" w:ascii="仿宋" w:hAnsi="仿宋" w:eastAsia="仿宋"/>
          <w:color w:val="000000"/>
          <w:sz w:val="32"/>
          <w:szCs w:val="32"/>
        </w:rPr>
        <w:t>8年相比，收入减少9.65减少5</w:t>
      </w:r>
      <w:r>
        <w:rPr>
          <w:rFonts w:ascii="仿宋" w:hAnsi="仿宋" w:eastAsia="仿宋"/>
          <w:color w:val="000000"/>
          <w:sz w:val="32"/>
          <w:szCs w:val="32"/>
        </w:rPr>
        <w:t>%</w:t>
      </w:r>
      <w:r>
        <w:rPr>
          <w:rFonts w:hint="eastAsia" w:ascii="仿宋" w:hAnsi="仿宋" w:eastAsia="仿宋"/>
          <w:color w:val="000000"/>
          <w:sz w:val="32"/>
          <w:szCs w:val="32"/>
        </w:rPr>
        <w:t>，支出总计减少19.34万元，减少8</w:t>
      </w:r>
      <w:r>
        <w:rPr>
          <w:rFonts w:ascii="仿宋" w:hAnsi="仿宋" w:eastAsia="仿宋"/>
          <w:color w:val="000000"/>
          <w:sz w:val="32"/>
          <w:szCs w:val="32"/>
        </w:rPr>
        <w:t>%</w:t>
      </w:r>
      <w:r>
        <w:rPr>
          <w:rFonts w:hint="eastAsia" w:ascii="仿宋" w:hAnsi="仿宋" w:eastAsia="仿宋"/>
          <w:color w:val="000000"/>
          <w:sz w:val="32"/>
          <w:szCs w:val="32"/>
        </w:rPr>
        <w:t>。</w:t>
      </w:r>
      <w:bookmarkStart w:id="32" w:name="_Toc15396607"/>
      <w:bookmarkStart w:id="33" w:name="_Toc15377209"/>
      <w:r>
        <w:rPr>
          <w:rFonts w:hint="eastAsia" w:ascii="仿宋" w:hAnsi="仿宋" w:eastAsia="仿宋"/>
          <w:color w:val="000000"/>
          <w:sz w:val="32"/>
          <w:szCs w:val="32"/>
        </w:rPr>
        <w:t>减少的主要原因19年无项目建设创建人民满意度窗</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bookmarkStart w:id="34" w:name="_Toc15377210"/>
    </w:p>
    <w:p w14:paraId="3117EC0E">
      <w:pPr>
        <w:spacing w:line="576" w:lineRule="exact"/>
        <w:ind w:firstLine="640"/>
        <w:rPr>
          <w:rFonts w:ascii="楷体_GB2312" w:hAnsi="楷体_GB2312" w:eastAsia="楷体_GB2312" w:cs="楷体_GB2312"/>
          <w:b/>
          <w:color w:val="00B050"/>
          <w:sz w:val="32"/>
          <w:szCs w:val="32"/>
        </w:rPr>
      </w:pPr>
      <w:r>
        <w:rPr>
          <w:rFonts w:hint="eastAsia" w:ascii="楷体_GB2312" w:hAnsi="楷体_GB2312" w:eastAsia="楷体_GB2312" w:cs="楷体_GB2312"/>
          <w:b/>
          <w:color w:val="000000"/>
          <w:sz w:val="32"/>
          <w:szCs w:val="32"/>
        </w:rPr>
        <w:t>（一）一般公共预算财政拨款支出决算总体情况</w:t>
      </w:r>
      <w:bookmarkEnd w:id="34"/>
    </w:p>
    <w:p w14:paraId="3F764F06">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154.14</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8年相比，一般公共预算财政拨款增加23、增长16</w:t>
      </w:r>
      <w:r>
        <w:rPr>
          <w:rFonts w:ascii="仿宋" w:hAnsi="仿宋" w:eastAsia="仿宋"/>
          <w:color w:val="000000"/>
          <w:sz w:val="32"/>
          <w:szCs w:val="32"/>
        </w:rPr>
        <w:t>%</w:t>
      </w:r>
      <w:r>
        <w:rPr>
          <w:rFonts w:hint="eastAsia" w:ascii="仿宋" w:hAnsi="仿宋" w:eastAsia="仿宋"/>
          <w:color w:val="000000"/>
          <w:sz w:val="32"/>
          <w:szCs w:val="32"/>
        </w:rPr>
        <w:t>，支出总计减少</w:t>
      </w:r>
      <w:bookmarkStart w:id="35" w:name="_Toc15377211"/>
      <w:r>
        <w:rPr>
          <w:rFonts w:hint="eastAsia" w:ascii="仿宋" w:hAnsi="仿宋" w:eastAsia="仿宋"/>
          <w:color w:val="000000"/>
          <w:sz w:val="32"/>
          <w:szCs w:val="32"/>
        </w:rPr>
        <w:t>支出减少9.91万元， 减少的主要原</w:t>
      </w:r>
      <w:r>
        <w:rPr>
          <w:rFonts w:hint="eastAsia" w:ascii="仿宋" w:hAnsi="仿宋" w:eastAsia="仿宋"/>
          <w:color w:val="000000"/>
          <w:sz w:val="32"/>
          <w:szCs w:val="32"/>
          <w:lang w:eastAsia="zh-CN"/>
        </w:rPr>
        <w:t>因是</w:t>
      </w:r>
      <w:r>
        <w:rPr>
          <w:rFonts w:hint="eastAsia" w:ascii="仿宋" w:hAnsi="仿宋" w:eastAsia="仿宋"/>
          <w:color w:val="000000"/>
          <w:sz w:val="32"/>
          <w:szCs w:val="32"/>
        </w:rPr>
        <w:t>19年无项目建设创建人民满意度窗 。</w:t>
      </w:r>
    </w:p>
    <w:p w14:paraId="641F43E0">
      <w:pPr>
        <w:spacing w:line="576"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（二）一般公共预算财政拨款支出决算结构情况</w:t>
      </w:r>
      <w:bookmarkEnd w:id="35"/>
    </w:p>
    <w:p w14:paraId="5FED7690">
      <w:pPr>
        <w:spacing w:line="576"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政拨款支出189.21万元，主要用于以下方面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支出154.14万元，占81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 xml:space="preserve"> 社会保障和就业（类）</w:t>
      </w:r>
      <w:r>
        <w:rPr>
          <w:rFonts w:hint="eastAsia" w:ascii="仿宋" w:hAnsi="仿宋" w:eastAsia="仿宋"/>
          <w:color w:val="000000" w:themeColor="text1"/>
          <w:sz w:val="32"/>
          <w:szCs w:val="32"/>
        </w:rPr>
        <w:t>支出13.86万元，占8</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；医疗卫生支出8.43万元，占5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；住房保障支出12.78万元，占6</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14:paraId="7CA71946">
      <w:pPr>
        <w:spacing w:line="576" w:lineRule="exact"/>
        <w:ind w:firstLine="643" w:firstLineChars="200"/>
        <w:rPr>
          <w:rFonts w:ascii="楷体_GB2312" w:hAnsi="楷体_GB2312" w:eastAsia="楷体_GB2312" w:cs="楷体_GB2312"/>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14:paraId="59E1635D">
      <w:pPr>
        <w:spacing w:line="576"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2019年一般公共预算支出决算数为189.21元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13CD7153">
      <w:pPr>
        <w:spacing w:line="576" w:lineRule="exact"/>
        <w:ind w:firstLine="645"/>
        <w:rPr>
          <w:rFonts w:ascii="仿宋" w:hAnsi="仿宋" w:eastAsia="仿宋"/>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一般公共服务支出</w:t>
      </w:r>
      <w:r>
        <w:rPr>
          <w:rFonts w:hint="eastAsia" w:ascii="仿宋" w:hAnsi="仿宋" w:eastAsia="仿宋"/>
          <w:color w:val="000000"/>
          <w:sz w:val="32"/>
          <w:szCs w:val="32"/>
        </w:rPr>
        <w:t>2010308</w:t>
      </w:r>
      <w:r>
        <w:rPr>
          <w:rFonts w:hint="eastAsia" w:ascii="仿宋" w:hAnsi="仿宋" w:eastAsia="仿宋"/>
          <w:color w:val="000000"/>
          <w:sz w:val="32"/>
          <w:szCs w:val="32"/>
          <w:lang w:eastAsia="zh-CN"/>
        </w:rPr>
        <w:t>；</w:t>
      </w:r>
      <w:r>
        <w:rPr>
          <w:rStyle w:val="17"/>
          <w:rFonts w:hint="eastAsia" w:ascii="仿宋" w:hAnsi="仿宋" w:eastAsia="仿宋"/>
          <w:b w:val="0"/>
          <w:bCs/>
          <w:color w:val="000000"/>
          <w:sz w:val="32"/>
          <w:szCs w:val="32"/>
        </w:rPr>
        <w:t>支出决算为</w:t>
      </w:r>
      <w:r>
        <w:rPr>
          <w:rFonts w:hint="eastAsia" w:ascii="仿宋" w:hAnsi="仿宋" w:eastAsia="仿宋"/>
          <w:color w:val="000000"/>
          <w:sz w:val="32"/>
          <w:szCs w:val="32"/>
        </w:rPr>
        <w:t>147.14</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 。</w:t>
      </w:r>
    </w:p>
    <w:p w14:paraId="3C6D0154">
      <w:pPr>
        <w:spacing w:line="576"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2住房保障支出</w:t>
      </w:r>
      <w:r>
        <w:rPr>
          <w:rFonts w:hint="eastAsia" w:ascii="仿宋" w:hAnsi="仿宋" w:eastAsia="仿宋"/>
          <w:color w:val="000000"/>
          <w:sz w:val="32"/>
          <w:szCs w:val="32"/>
        </w:rPr>
        <w:t>2210201；为12.78万元</w:t>
      </w:r>
    </w:p>
    <w:p w14:paraId="2EA9D68E">
      <w:pPr>
        <w:spacing w:line="576"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5.</w:t>
      </w:r>
      <w:r>
        <w:rPr>
          <w:rStyle w:val="17"/>
          <w:rFonts w:hint="eastAsia" w:ascii="仿宋" w:hAnsi="仿宋" w:eastAsia="仿宋"/>
          <w:bCs/>
          <w:color w:val="000000"/>
          <w:sz w:val="32"/>
          <w:szCs w:val="32"/>
        </w:rPr>
        <w:t>社会保障和就业</w:t>
      </w:r>
      <w:r>
        <w:rPr>
          <w:rFonts w:hint="eastAsia" w:ascii="仿宋" w:hAnsi="仿宋" w:eastAsia="仿宋"/>
          <w:color w:val="000000"/>
          <w:sz w:val="32"/>
          <w:szCs w:val="32"/>
        </w:rPr>
        <w:t>2080505：机关事业单位基本养老保险缴费支出13.86万元，</w:t>
      </w:r>
      <w:r>
        <w:rPr>
          <w:rStyle w:val="17"/>
          <w:rFonts w:hint="eastAsia" w:ascii="仿宋" w:hAnsi="仿宋" w:eastAsia="仿宋"/>
          <w:b w:val="0"/>
          <w:bCs/>
          <w:color w:val="000000"/>
          <w:sz w:val="32"/>
          <w:szCs w:val="32"/>
        </w:rPr>
        <w:t xml:space="preserve"> 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 等于预算数 。</w:t>
      </w:r>
    </w:p>
    <w:p w14:paraId="1DC6F9F0">
      <w:pPr>
        <w:spacing w:line="576" w:lineRule="exact"/>
        <w:ind w:firstLine="643" w:firstLineChars="200"/>
        <w:rPr>
          <w:rStyle w:val="17"/>
          <w:rFonts w:ascii="仿宋" w:hAnsi="仿宋" w:eastAsia="仿宋"/>
          <w:b w:val="0"/>
          <w:bCs/>
          <w:color w:val="000000"/>
          <w:sz w:val="32"/>
          <w:szCs w:val="32"/>
        </w:rPr>
      </w:pPr>
      <w:r>
        <w:rPr>
          <w:rStyle w:val="17"/>
          <w:rFonts w:ascii="仿宋" w:hAnsi="仿宋" w:eastAsia="仿宋"/>
          <w:bCs/>
          <w:color w:val="000000"/>
          <w:sz w:val="32"/>
          <w:szCs w:val="32"/>
        </w:rPr>
        <w:t>6.</w:t>
      </w:r>
      <w:r>
        <w:rPr>
          <w:rStyle w:val="17"/>
          <w:rFonts w:hint="eastAsia" w:ascii="仿宋" w:hAnsi="仿宋" w:eastAsia="仿宋"/>
          <w:bCs/>
          <w:color w:val="000000"/>
          <w:sz w:val="32"/>
          <w:szCs w:val="32"/>
        </w:rPr>
        <w:t xml:space="preserve">医疗卫生与计划生育 </w:t>
      </w:r>
      <w:r>
        <w:rPr>
          <w:rStyle w:val="17"/>
          <w:rFonts w:ascii="仿宋" w:hAnsi="仿宋" w:eastAsia="仿宋"/>
          <w:bCs/>
          <w:color w:val="000000"/>
          <w:sz w:val="32"/>
          <w:szCs w:val="32"/>
        </w:rPr>
        <w:t>:</w:t>
      </w:r>
      <w:r>
        <w:rPr>
          <w:rFonts w:hint="eastAsia" w:ascii="仿宋" w:hAnsi="仿宋" w:eastAsia="仿宋"/>
          <w:color w:val="000000"/>
          <w:sz w:val="32"/>
          <w:szCs w:val="32"/>
        </w:rPr>
        <w:t xml:space="preserve"> （其中2101101行政单位医疗6.38万元，2101103公务员医疗救助2.05万元），</w:t>
      </w:r>
      <w:r>
        <w:rPr>
          <w:rStyle w:val="17"/>
          <w:rFonts w:hint="eastAsia" w:ascii="仿宋" w:hAnsi="仿宋" w:eastAsia="仿宋"/>
          <w:b w:val="0"/>
          <w:bCs/>
          <w:color w:val="000000"/>
          <w:sz w:val="32"/>
          <w:szCs w:val="32"/>
        </w:rPr>
        <w:t>支出决算为8.43万元，完成预算100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 等于预算数 。</w:t>
      </w:r>
    </w:p>
    <w:p w14:paraId="4A860272">
      <w:pPr>
        <w:tabs>
          <w:tab w:val="left" w:pos="4965"/>
        </w:tabs>
        <w:spacing w:line="576"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rPr>
        <w:t>7.一般行政管理和事务：</w:t>
      </w:r>
      <w:r>
        <w:rPr>
          <w:rFonts w:hint="eastAsia" w:ascii="仿宋" w:hAnsi="仿宋" w:eastAsia="仿宋"/>
          <w:color w:val="000000"/>
          <w:sz w:val="32"/>
          <w:szCs w:val="32"/>
        </w:rPr>
        <w:t>2103602其他商品和服务支出7万元。</w:t>
      </w:r>
    </w:p>
    <w:p w14:paraId="31F55BC9">
      <w:pPr>
        <w:tabs>
          <w:tab w:val="right" w:pos="8306"/>
        </w:tabs>
        <w:spacing w:line="576" w:lineRule="exact"/>
        <w:ind w:firstLine="640" w:firstLineChars="20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1B28AF9B">
      <w:pPr>
        <w:spacing w:line="576"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9年一般公共预算财政拨款基本支出182.21万元，其中：</w:t>
      </w:r>
    </w:p>
    <w:p w14:paraId="048EA6BD">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人员经费145.35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xml:space="preserve">　　公用经费36.86万元，主要包括：办公费、印刷费、咨、                </w:t>
      </w:r>
    </w:p>
    <w:p w14:paraId="7C782593">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2010308信访事务一般公共服务支出147.14万元，</w:t>
      </w:r>
    </w:p>
    <w:p w14:paraId="63812A31">
      <w:pPr>
        <w:spacing w:line="576" w:lineRule="exact"/>
        <w:ind w:firstLine="645"/>
        <w:rPr>
          <w:rFonts w:ascii="仿宋" w:hAnsi="仿宋" w:eastAsia="仿宋"/>
          <w:b/>
          <w:color w:val="FF0000"/>
          <w:sz w:val="32"/>
          <w:szCs w:val="32"/>
        </w:rPr>
      </w:pPr>
      <w:r>
        <w:rPr>
          <w:rFonts w:hint="eastAsia" w:ascii="仿宋" w:hAnsi="仿宋" w:eastAsia="仿宋"/>
          <w:color w:val="000000"/>
          <w:sz w:val="32"/>
          <w:szCs w:val="32"/>
        </w:rPr>
        <w:t>2080505机关事业单位基本养老保险缴费支出13.86万元，医疗卫生和计划生育支出8.43万元（其中2101101行政单位医疗6.38万元，2101103事业单位医疗2.05万元），221住房保障支出12.78万元（2210201住房公积金）一般行政管理和事务支出7万元（2103602）</w:t>
      </w:r>
    </w:p>
    <w:p w14:paraId="6898A6BE">
      <w:pPr>
        <w:spacing w:line="576" w:lineRule="exact"/>
        <w:ind w:firstLine="640"/>
        <w:outlineLvl w:val="1"/>
        <w:rPr>
          <w:rStyle w:val="28"/>
          <w:rFonts w:ascii="黑体" w:hAnsi="黑体" w:eastAsia="黑体"/>
          <w:b w:val="0"/>
        </w:rPr>
      </w:pPr>
      <w:bookmarkStart w:id="42" w:name="_Toc15396609"/>
      <w:bookmarkStart w:id="43" w:name="_Toc15377215"/>
      <w:r>
        <w:rPr>
          <w:rStyle w:val="28"/>
          <w:rFonts w:hint="eastAsia" w:ascii="黑体" w:hAnsi="黑体" w:eastAsia="黑体"/>
          <w:b w:val="0"/>
          <w:bCs w:val="0"/>
        </w:rPr>
        <w:t>七、“</w:t>
      </w:r>
      <w:r>
        <w:rPr>
          <w:rStyle w:val="28"/>
          <w:rFonts w:hint="eastAsia" w:ascii="黑体" w:hAnsi="黑体" w:eastAsia="黑体"/>
          <w:b w:val="0"/>
        </w:rPr>
        <w:t>三公”经费财政拨款支出决算情况说明</w:t>
      </w:r>
      <w:bookmarkEnd w:id="42"/>
      <w:bookmarkEnd w:id="43"/>
    </w:p>
    <w:p w14:paraId="2B78847B">
      <w:pPr>
        <w:spacing w:line="576" w:lineRule="exact"/>
        <w:ind w:firstLine="640"/>
        <w:outlineLvl w:val="2"/>
        <w:rPr>
          <w:rFonts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14:paraId="630C2331">
      <w:pPr>
        <w:spacing w:line="576"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9年“三公”经费财政拨款支出决算为7.48万元，决算数与预算数持平的主要原因是严格按照中央、省、州的相关规定厉行节约。</w:t>
      </w:r>
    </w:p>
    <w:p w14:paraId="64C1DA03">
      <w:pPr>
        <w:spacing w:line="576" w:lineRule="exact"/>
        <w:ind w:firstLine="640"/>
        <w:rPr>
          <w:rFonts w:ascii="楷体_GB2312" w:hAnsi="楷体_GB2312" w:eastAsia="楷体_GB2312" w:cs="楷体_GB2312"/>
          <w:b/>
          <w:color w:val="000000" w:themeColor="text1"/>
          <w:sz w:val="32"/>
          <w:szCs w:val="32"/>
        </w:rPr>
      </w:pPr>
      <w:r>
        <w:rPr>
          <w:rFonts w:hint="eastAsia" w:ascii="仿宋" w:hAnsi="仿宋" w:eastAsia="仿宋"/>
          <w:b/>
          <w:color w:val="000000"/>
          <w:sz w:val="32"/>
          <w:szCs w:val="32"/>
        </w:rPr>
        <w:t xml:space="preserve"> </w:t>
      </w: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14:paraId="0B76D1EF">
      <w:pPr>
        <w:spacing w:line="576"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 公务用车购置及运行维护费支出决算7.2万元，占96</w:t>
      </w:r>
      <w:r>
        <w:rPr>
          <w:rFonts w:ascii="仿宋" w:hAnsi="仿宋" w:eastAsia="仿宋"/>
          <w:color w:val="000000"/>
          <w:sz w:val="32"/>
          <w:szCs w:val="32"/>
        </w:rPr>
        <w:t>%</w:t>
      </w:r>
      <w:r>
        <w:rPr>
          <w:rFonts w:hint="eastAsia" w:ascii="仿宋" w:hAnsi="仿宋" w:eastAsia="仿宋"/>
          <w:color w:val="000000"/>
          <w:sz w:val="32"/>
          <w:szCs w:val="32"/>
        </w:rPr>
        <w:t>；公务接待费支出决算0.28万元，占0.03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0B1D61C">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7"/>
          <w:rFonts w:hint="eastAsia" w:ascii="仿宋" w:hAnsi="仿宋" w:eastAsia="仿宋"/>
          <w:b w:val="0"/>
          <w:bCs/>
          <w:color w:val="000000"/>
          <w:sz w:val="32"/>
          <w:szCs w:val="32"/>
        </w:rPr>
        <w:t xml:space="preserve"> </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 0万元 。</w:t>
      </w:r>
      <w:r>
        <w:rPr>
          <w:rFonts w:hint="eastAsia" w:ascii="仿宋" w:hAnsi="仿宋" w:eastAsia="仿宋"/>
          <w:color w:val="000000"/>
          <w:sz w:val="32"/>
          <w:szCs w:val="32"/>
        </w:rPr>
        <w:t>主要原因是严格按照中央、省、州的相关规定厉行节约，严格控制接待规模及接待标准。</w:t>
      </w:r>
    </w:p>
    <w:p w14:paraId="2D7444F4">
      <w:pPr>
        <w:spacing w:line="576"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 xml:space="preserve"> </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7.2万元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8年增加5.2万元，</w:t>
      </w:r>
      <w:r>
        <w:rPr>
          <w:rFonts w:hint="eastAsia" w:ascii="仿宋" w:hAnsi="仿宋" w:eastAsia="仿宋"/>
          <w:color w:val="000000"/>
          <w:sz w:val="32"/>
          <w:szCs w:val="32"/>
        </w:rPr>
        <w:t>增加原因车辆维修维护费增加。</w:t>
      </w:r>
    </w:p>
    <w:p w14:paraId="3438E514">
      <w:pPr>
        <w:spacing w:line="576" w:lineRule="exact"/>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月底，单位共有公务用车1辆，其中：轿车0辆、越野车1辆、载客汽车0辆。</w:t>
      </w:r>
    </w:p>
    <w:p w14:paraId="6327529F">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7.2万元。主要用于单位开展工作协调信访事项、维稳、精准扶贫下乡等所需的公务用车燃料费、维修费、过路过桥费、保险费等支出。</w:t>
      </w:r>
    </w:p>
    <w:p w14:paraId="236AC8DB">
      <w:pPr>
        <w:spacing w:line="576"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0.28万元，</w:t>
      </w:r>
      <w:r>
        <w:rPr>
          <w:rStyle w:val="17"/>
          <w:rFonts w:hint="eastAsia" w:ascii="仿宋" w:hAnsi="仿宋" w:eastAsia="仿宋"/>
          <w:b w:val="0"/>
          <w:bCs/>
          <w:color w:val="000000"/>
          <w:sz w:val="32"/>
          <w:szCs w:val="32"/>
        </w:rPr>
        <w:t>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8年减少0.02万元， 下降7</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 w:hAnsi="仿宋" w:eastAsia="仿宋"/>
          <w:color w:val="000000"/>
          <w:sz w:val="32"/>
          <w:szCs w:val="32"/>
        </w:rPr>
        <w:t>是严格按照中央、省、州的相关规定厉行节约，压缩</w:t>
      </w:r>
      <w:r>
        <w:rPr>
          <w:rFonts w:hint="eastAsia" w:ascii="仿宋" w:hAnsi="仿宋" w:eastAsia="仿宋"/>
          <w:color w:val="000000"/>
          <w:sz w:val="32"/>
          <w:szCs w:val="32"/>
          <w:lang w:eastAsia="zh-CN"/>
        </w:rPr>
        <w:t>“三公”经费</w:t>
      </w:r>
      <w:r>
        <w:rPr>
          <w:rFonts w:hint="eastAsia" w:ascii="仿宋" w:hAnsi="仿宋" w:eastAsia="仿宋"/>
          <w:color w:val="000000"/>
          <w:sz w:val="32"/>
          <w:szCs w:val="32"/>
        </w:rPr>
        <w:t>。</w:t>
      </w:r>
    </w:p>
    <w:p w14:paraId="610844BA">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主要用于执行公务、开展业务活动开支的交通费、住宿费、用餐费等。国内公务接待3批次，14人次（不包括陪同人员），共计支出0.28万元，具体内容包括： 州信访局到松潘信访维稳餐费0.2万元，接待上访户餐费0.08万元。其中：</w:t>
      </w:r>
    </w:p>
    <w:p w14:paraId="5293A8F3">
      <w:pPr>
        <w:spacing w:line="576"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14:paraId="4F85287E">
      <w:pPr>
        <w:spacing w:line="576"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0.28</w:t>
      </w:r>
      <w:r>
        <w:rPr>
          <w:rFonts w:hint="eastAsia" w:ascii="仿宋_GB2312" w:eastAsia="仿宋_GB2312"/>
          <w:color w:val="000000"/>
          <w:sz w:val="32"/>
          <w:szCs w:val="32"/>
        </w:rPr>
        <w:t>万元，主要用于 州信访局到松潘信访维稳餐费0.2万元，接待上访户餐费0.08万元。</w:t>
      </w:r>
      <w:bookmarkStart w:id="46" w:name="_Toc15396610"/>
      <w:bookmarkStart w:id="47" w:name="_Toc15377218"/>
    </w:p>
    <w:p w14:paraId="31B77073">
      <w:pPr>
        <w:spacing w:line="576"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18767536">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p>
    <w:p w14:paraId="1C634E6F">
      <w:pPr>
        <w:numPr>
          <w:ilvl w:val="0"/>
          <w:numId w:val="1"/>
        </w:numPr>
        <w:spacing w:line="576"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14:paraId="23699470">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61B0087C">
      <w:pPr>
        <w:spacing w:line="576" w:lineRule="exact"/>
        <w:ind w:firstLine="640" w:firstLineChars="20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0A77CB58">
      <w:pPr>
        <w:spacing w:line="576" w:lineRule="exact"/>
        <w:ind w:firstLine="643" w:firstLineChars="200"/>
        <w:outlineLvl w:val="2"/>
        <w:rPr>
          <w:rFonts w:ascii="楷体_GB2312" w:hAnsi="楷体_GB2312" w:eastAsia="楷体_GB2312" w:cs="楷体_GB2312"/>
          <w:color w:val="000000"/>
          <w:sz w:val="32"/>
          <w:szCs w:val="32"/>
        </w:rPr>
      </w:pPr>
      <w:bookmarkStart w:id="52" w:name="_Toc15377222"/>
      <w:r>
        <w:rPr>
          <w:rFonts w:hint="eastAsia" w:ascii="楷体_GB2312" w:hAnsi="楷体_GB2312" w:eastAsia="楷体_GB2312" w:cs="楷体_GB2312"/>
          <w:b/>
          <w:color w:val="000000"/>
          <w:sz w:val="32"/>
          <w:szCs w:val="32"/>
        </w:rPr>
        <w:t>（一）机关运行经费支出情况</w:t>
      </w:r>
      <w:bookmarkEnd w:id="52"/>
    </w:p>
    <w:p w14:paraId="5DB14416">
      <w:pPr>
        <w:spacing w:line="576" w:lineRule="exact"/>
        <w:ind w:firstLine="640"/>
        <w:rPr>
          <w:rFonts w:ascii="仿宋" w:hAnsi="仿宋" w:eastAsia="仿宋"/>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9年，信访局机关运行经费支出43.86万元，比</w:t>
      </w:r>
      <w:r>
        <w:rPr>
          <w:rFonts w:ascii="仿宋_GB2312" w:eastAsia="仿宋_GB2312"/>
          <w:color w:val="000000"/>
          <w:sz w:val="32"/>
          <w:szCs w:val="32"/>
        </w:rPr>
        <w:t>201</w:t>
      </w:r>
      <w:r>
        <w:rPr>
          <w:rFonts w:hint="eastAsia" w:ascii="仿宋_GB2312" w:eastAsia="仿宋_GB2312"/>
          <w:color w:val="000000"/>
          <w:sz w:val="32"/>
          <w:szCs w:val="32"/>
        </w:rPr>
        <w:t>8年减少32.9万元，减少的</w:t>
      </w:r>
      <w:r>
        <w:rPr>
          <w:rFonts w:hint="eastAsia" w:ascii="仿宋" w:hAnsi="仿宋" w:eastAsia="仿宋"/>
          <w:color w:val="000000"/>
          <w:sz w:val="32"/>
          <w:szCs w:val="32"/>
        </w:rPr>
        <w:t>主要原</w:t>
      </w:r>
      <w:r>
        <w:rPr>
          <w:rFonts w:hint="eastAsia" w:ascii="仿宋" w:hAnsi="仿宋" w:eastAsia="仿宋"/>
          <w:color w:val="000000"/>
          <w:sz w:val="32"/>
          <w:szCs w:val="32"/>
          <w:lang w:eastAsia="zh-CN"/>
        </w:rPr>
        <w:t>因是</w:t>
      </w:r>
      <w:r>
        <w:rPr>
          <w:rFonts w:hint="eastAsia" w:ascii="仿宋" w:hAnsi="仿宋" w:eastAsia="仿宋"/>
          <w:color w:val="000000"/>
          <w:sz w:val="32"/>
          <w:szCs w:val="32"/>
        </w:rPr>
        <w:t>19年无项目建设创建人民满意度窗 ，严格按照中央、省、州的相关规定厉行节约，压缩</w:t>
      </w:r>
      <w:r>
        <w:rPr>
          <w:rFonts w:hint="eastAsia" w:ascii="仿宋" w:hAnsi="仿宋" w:eastAsia="仿宋"/>
          <w:color w:val="000000"/>
          <w:sz w:val="32"/>
          <w:szCs w:val="32"/>
          <w:lang w:eastAsia="zh-CN"/>
        </w:rPr>
        <w:t>“三公”经费</w:t>
      </w:r>
      <w:r>
        <w:rPr>
          <w:rFonts w:hint="eastAsia" w:ascii="仿宋" w:hAnsi="仿宋" w:eastAsia="仿宋"/>
          <w:color w:val="000000"/>
          <w:sz w:val="32"/>
          <w:szCs w:val="32"/>
        </w:rPr>
        <w:t>。</w:t>
      </w:r>
    </w:p>
    <w:p w14:paraId="27BB03CD">
      <w:pPr>
        <w:spacing w:line="576" w:lineRule="exact"/>
        <w:ind w:firstLine="640" w:firstLineChars="200"/>
        <w:rPr>
          <w:rFonts w:ascii="仿宋_GB2312" w:eastAsia="仿宋_GB2312"/>
          <w:color w:val="000000" w:themeColor="text1"/>
          <w:sz w:val="32"/>
          <w:szCs w:val="32"/>
        </w:rPr>
      </w:pPr>
    </w:p>
    <w:p w14:paraId="618BA74A">
      <w:pPr>
        <w:spacing w:line="576" w:lineRule="exact"/>
        <w:ind w:firstLine="640"/>
        <w:rPr>
          <w:rFonts w:ascii="楷体_GB2312" w:hAnsi="楷体_GB2312" w:eastAsia="楷体_GB2312" w:cs="楷体_GB2312"/>
          <w:b/>
          <w:color w:val="000000"/>
          <w:sz w:val="32"/>
          <w:szCs w:val="32"/>
        </w:rPr>
      </w:pPr>
      <w:r>
        <w:rPr>
          <w:rFonts w:hint="eastAsia" w:ascii="仿宋" w:hAnsi="仿宋" w:eastAsia="仿宋"/>
          <w:b/>
          <w:color w:val="000000"/>
          <w:sz w:val="32"/>
          <w:szCs w:val="32"/>
        </w:rPr>
        <w:t xml:space="preserve"> </w:t>
      </w:r>
      <w:bookmarkStart w:id="53" w:name="_Toc15377223"/>
      <w:r>
        <w:rPr>
          <w:rFonts w:hint="eastAsia" w:ascii="楷体_GB2312" w:hAnsi="楷体_GB2312" w:eastAsia="楷体_GB2312" w:cs="楷体_GB2312"/>
          <w:b/>
          <w:color w:val="000000"/>
          <w:sz w:val="32"/>
          <w:szCs w:val="32"/>
        </w:rPr>
        <w:t>（二）政府采购支出情况</w:t>
      </w:r>
      <w:bookmarkEnd w:id="53"/>
    </w:p>
    <w:p w14:paraId="364CAB91">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 无政府采购。</w:t>
      </w:r>
    </w:p>
    <w:p w14:paraId="3587C117">
      <w:pPr>
        <w:autoSpaceDE w:val="0"/>
        <w:autoSpaceDN w:val="0"/>
        <w:adjustRightInd w:val="0"/>
        <w:spacing w:line="576" w:lineRule="exact"/>
        <w:ind w:firstLine="643" w:firstLineChars="200"/>
        <w:jc w:val="left"/>
        <w:outlineLvl w:val="2"/>
        <w:rPr>
          <w:rFonts w:ascii="楷体_GB2312" w:hAnsi="楷体_GB2312" w:eastAsia="楷体_GB2312" w:cs="楷体_GB2312"/>
          <w:b/>
          <w:color w:val="000000"/>
          <w:sz w:val="32"/>
          <w:szCs w:val="32"/>
        </w:rPr>
      </w:pPr>
      <w:r>
        <w:rPr>
          <w:rFonts w:hint="eastAsia" w:ascii="仿宋" w:hAnsi="仿宋" w:eastAsia="仿宋"/>
          <w:b/>
          <w:color w:val="000000"/>
          <w:sz w:val="32"/>
          <w:szCs w:val="32"/>
        </w:rPr>
        <w:t xml:space="preserve"> </w:t>
      </w:r>
      <w:bookmarkStart w:id="54" w:name="_Toc15377224"/>
      <w:r>
        <w:rPr>
          <w:rFonts w:hint="eastAsia" w:ascii="楷体_GB2312" w:hAnsi="楷体_GB2312" w:eastAsia="楷体_GB2312" w:cs="楷体_GB2312"/>
          <w:b/>
          <w:color w:val="000000"/>
          <w:sz w:val="32"/>
          <w:szCs w:val="32"/>
        </w:rPr>
        <w:t>（三）国有资产占有使用情况</w:t>
      </w:r>
      <w:bookmarkEnd w:id="54"/>
    </w:p>
    <w:p w14:paraId="3B2CE689">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日，信访局共有车辆1辆，其中：部级领导干部用车0辆、一般公务用车1辆、一般执法执勤用车0辆、特种专业技术用车0辆、其他用车0辆，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w:t>
      </w:r>
    </w:p>
    <w:p w14:paraId="0B42F956">
      <w:pPr>
        <w:spacing w:line="576" w:lineRule="exact"/>
        <w:ind w:firstLine="643" w:firstLineChars="200"/>
        <w:rPr>
          <w:rFonts w:ascii="仿宋_GB2312" w:eastAsia="仿宋_GB2312"/>
          <w:b/>
          <w:color w:val="000000"/>
          <w:sz w:val="32"/>
          <w:szCs w:val="32"/>
        </w:rPr>
      </w:pPr>
      <w:r>
        <w:rPr>
          <w:rFonts w:hint="eastAsia" w:ascii="仿宋" w:hAnsi="仿宋" w:eastAsia="仿宋"/>
          <w:b/>
          <w:color w:val="000000"/>
          <w:sz w:val="32"/>
          <w:szCs w:val="32"/>
        </w:rPr>
        <w:t xml:space="preserve"> </w:t>
      </w:r>
    </w:p>
    <w:p w14:paraId="4CB3D020">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07C66A4E">
      <w:pPr>
        <w:numPr>
          <w:ilvl w:val="0"/>
          <w:numId w:val="2"/>
        </w:numPr>
        <w:spacing w:line="576" w:lineRule="exact"/>
        <w:ind w:firstLine="660" w:firstLineChars="150"/>
        <w:jc w:val="center"/>
        <w:outlineLvl w:val="0"/>
        <w:rPr>
          <w:rStyle w:val="27"/>
          <w:rFonts w:ascii="方正小标宋简体" w:hAnsi="方正小标宋简体" w:eastAsia="方正小标宋简体" w:cs="方正小标宋简体"/>
          <w:b w:val="0"/>
        </w:rPr>
      </w:pPr>
      <w:bookmarkStart w:id="55" w:name="_Toc15377225"/>
      <w:bookmarkStart w:id="56" w:name="_Toc15396613"/>
      <w:r>
        <w:rPr>
          <w:rFonts w:hint="eastAsia" w:ascii="方正小标宋简体" w:hAnsi="方正小标宋简体" w:eastAsia="方正小标宋简体" w:cs="方正小标宋简体"/>
          <w:bCs/>
          <w:color w:val="000000"/>
          <w:sz w:val="44"/>
          <w:szCs w:val="44"/>
        </w:rPr>
        <w:t>名</w:t>
      </w:r>
      <w:r>
        <w:rPr>
          <w:rStyle w:val="27"/>
          <w:rFonts w:hint="eastAsia" w:ascii="方正小标宋简体" w:hAnsi="方正小标宋简体" w:eastAsia="方正小标宋简体" w:cs="方正小标宋简体"/>
          <w:b w:val="0"/>
        </w:rPr>
        <w:t>词解释</w:t>
      </w:r>
      <w:bookmarkEnd w:id="55"/>
      <w:bookmarkEnd w:id="56"/>
    </w:p>
    <w:p w14:paraId="20334352">
      <w:pPr>
        <w:spacing w:line="576" w:lineRule="exact"/>
        <w:jc w:val="left"/>
        <w:rPr>
          <w:rFonts w:ascii="宋体"/>
          <w:b/>
          <w:color w:val="000000"/>
          <w:sz w:val="44"/>
          <w:szCs w:val="44"/>
        </w:rPr>
      </w:pPr>
    </w:p>
    <w:p w14:paraId="7B18F447">
      <w:pPr>
        <w:pStyle w:val="25"/>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DF5E8E4">
      <w:pPr>
        <w:pStyle w:val="25"/>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ED98417">
      <w:pPr>
        <w:pStyle w:val="25"/>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168C774C">
      <w:pPr>
        <w:pStyle w:val="25"/>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63236D5">
      <w:pPr>
        <w:pStyle w:val="25"/>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ED092E5">
      <w:pPr>
        <w:pStyle w:val="25"/>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AAEFC8B">
      <w:pPr>
        <w:pStyle w:val="25"/>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6CB3A881">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191878AA">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一般公共服务2010308指信访事务。</w:t>
      </w:r>
    </w:p>
    <w:p w14:paraId="7ABA2455">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 2080505：指 机关事业单位基本养老保险缴费支出</w:t>
      </w:r>
    </w:p>
    <w:p w14:paraId="3069F53A">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 2101101：指行政单位医疗</w:t>
      </w:r>
    </w:p>
    <w:p w14:paraId="3AA99703">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2101102：指事业单位医疗</w:t>
      </w:r>
    </w:p>
    <w:p w14:paraId="79B4707D">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 2210201：指住房公积金。</w:t>
      </w:r>
    </w:p>
    <w:p w14:paraId="08CBDC89">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F4B2B98">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E73BA7">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CAB02E">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16一般行政管理和服务2013602指其他商品和服务支出。</w:t>
      </w:r>
    </w:p>
    <w:p w14:paraId="1ADA2BE0">
      <w:pPr>
        <w:pStyle w:val="25"/>
        <w:spacing w:line="576" w:lineRule="exact"/>
        <w:ind w:firstLine="640" w:firstLineChars="200"/>
        <w:rPr>
          <w:rFonts w:ascii="仿宋_GB2312" w:eastAsia="仿宋_GB2312" w:cs="黑体"/>
          <w:sz w:val="32"/>
          <w:szCs w:val="32"/>
        </w:rPr>
      </w:pPr>
    </w:p>
    <w:p w14:paraId="1F5C39A3">
      <w:pPr>
        <w:spacing w:line="576" w:lineRule="exact"/>
        <w:ind w:firstLine="643" w:firstLineChars="200"/>
        <w:rPr>
          <w:rFonts w:ascii="仿宋" w:hAnsi="仿宋" w:eastAsia="仿宋"/>
          <w:b/>
          <w:color w:val="000000"/>
          <w:sz w:val="32"/>
          <w:szCs w:val="32"/>
        </w:rPr>
      </w:pPr>
    </w:p>
    <w:p w14:paraId="020726B7">
      <w:pPr>
        <w:spacing w:line="576" w:lineRule="exact"/>
        <w:jc w:val="center"/>
        <w:outlineLvl w:val="0"/>
        <w:rPr>
          <w:rStyle w:val="27"/>
          <w:rFonts w:ascii="方正小标宋简体" w:hAnsi="方正小标宋简体" w:eastAsia="方正小标宋简体" w:cs="方正小标宋简体"/>
          <w:b w:val="0"/>
        </w:rPr>
      </w:pPr>
      <w:bookmarkStart w:id="57" w:name="_Toc15377226"/>
      <w:r>
        <w:rPr>
          <w:rFonts w:ascii="宋体"/>
          <w:b/>
          <w:color w:val="000000"/>
          <w:sz w:val="44"/>
          <w:szCs w:val="44"/>
        </w:rPr>
        <w:br w:type="page"/>
      </w:r>
      <w:bookmarkStart w:id="58" w:name="_Toc15396614"/>
      <w:r>
        <w:rPr>
          <w:rFonts w:hint="eastAsia" w:ascii="方正小标宋简体" w:hAnsi="方正小标宋简体" w:eastAsia="方正小标宋简体" w:cs="方正小标宋简体"/>
          <w:color w:val="000000"/>
          <w:sz w:val="44"/>
          <w:szCs w:val="44"/>
        </w:rPr>
        <w:t>第</w:t>
      </w:r>
      <w:r>
        <w:rPr>
          <w:rStyle w:val="27"/>
          <w:rFonts w:hint="eastAsia" w:ascii="方正小标宋简体" w:hAnsi="方正小标宋简体" w:eastAsia="方正小标宋简体" w:cs="方正小标宋简体"/>
          <w:b w:val="0"/>
        </w:rPr>
        <w:t>四部分 附件</w:t>
      </w:r>
      <w:bookmarkEnd w:id="58"/>
    </w:p>
    <w:p w14:paraId="5713E994">
      <w:pPr>
        <w:spacing w:line="576" w:lineRule="exact"/>
        <w:jc w:val="center"/>
        <w:outlineLvl w:val="0"/>
        <w:rPr>
          <w:rStyle w:val="27"/>
        </w:rPr>
      </w:pPr>
    </w:p>
    <w:p w14:paraId="2BDAE458">
      <w:pPr>
        <w:spacing w:line="576" w:lineRule="exact"/>
        <w:jc w:val="center"/>
        <w:outlineLvl w:val="0"/>
        <w:rPr>
          <w:rFonts w:ascii="方正小标宋简体" w:hAnsi="方正小标宋简体" w:eastAsia="方正小标宋简体" w:cs="方正小标宋简体"/>
          <w:sz w:val="36"/>
          <w:szCs w:val="36"/>
        </w:rPr>
      </w:pPr>
      <w:bookmarkStart w:id="59" w:name="_Toc15396616"/>
      <w:r>
        <w:rPr>
          <w:rFonts w:hint="eastAsia" w:ascii="方正小标宋简体" w:hAnsi="方正小标宋简体" w:eastAsia="方正小标宋简体" w:cs="方正小标宋简体"/>
          <w:sz w:val="36"/>
          <w:szCs w:val="36"/>
        </w:rPr>
        <w:t>信访局201</w:t>
      </w:r>
      <w:r>
        <w:rPr>
          <w:rFonts w:hint="eastAsia" w:ascii="方正小标宋简体" w:hAnsi="方正小标宋简体" w:eastAsia="方正小标宋简体" w:cs="方正小标宋简体"/>
          <w:sz w:val="36"/>
          <w:szCs w:val="36"/>
          <w:lang w:val="en-US" w:eastAsia="zh-CN"/>
        </w:rPr>
        <w:t>9</w:t>
      </w:r>
      <w:r>
        <w:rPr>
          <w:rFonts w:hint="eastAsia" w:ascii="方正小标宋简体" w:hAnsi="方正小标宋简体" w:eastAsia="方正小标宋简体" w:cs="方正小标宋简体"/>
          <w:sz w:val="36"/>
          <w:szCs w:val="36"/>
        </w:rPr>
        <w:t>年部门整体支出绩效评价报告</w:t>
      </w:r>
      <w:bookmarkEnd w:id="59"/>
    </w:p>
    <w:p w14:paraId="0B71592D">
      <w:pPr>
        <w:spacing w:line="576" w:lineRule="exact"/>
        <w:ind w:firstLine="640" w:firstLineChars="200"/>
        <w:rPr>
          <w:rFonts w:ascii="黑体" w:hAnsi="黑体" w:eastAsia="黑体" w:cs="黑体"/>
          <w:sz w:val="32"/>
          <w:szCs w:val="32"/>
        </w:rPr>
      </w:pPr>
    </w:p>
    <w:p w14:paraId="3B434D86">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3CFE1E1B">
      <w:pPr>
        <w:spacing w:line="576" w:lineRule="exact"/>
        <w:ind w:firstLine="555"/>
        <w:rPr>
          <w:rFonts w:ascii="仿宋_GB2312" w:eastAsia="仿宋_GB2312"/>
          <w:color w:val="000000"/>
          <w:sz w:val="32"/>
          <w:szCs w:val="32"/>
        </w:rPr>
      </w:pPr>
      <w:r>
        <w:rPr>
          <w:rFonts w:ascii="仿宋" w:hAnsi="仿宋" w:eastAsia="仿宋" w:cs="仿宋_GB2312"/>
          <w:sz w:val="32"/>
          <w:szCs w:val="32"/>
        </w:rPr>
        <w:t>（一）机构组成。</w:t>
      </w:r>
    </w:p>
    <w:p w14:paraId="66435421">
      <w:pPr>
        <w:spacing w:line="576" w:lineRule="exact"/>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（一</w:t>
      </w:r>
      <w:bookmarkStart w:id="74" w:name="_GoBack"/>
      <w:bookmarkEnd w:id="74"/>
      <w:r>
        <w:rPr>
          <w:rFonts w:hint="eastAsia" w:ascii="仿宋_GB2312" w:hAnsi="宋体" w:eastAsia="仿宋_GB2312"/>
          <w:color w:val="000000"/>
          <w:sz w:val="32"/>
          <w:szCs w:val="32"/>
        </w:rPr>
        <w:t>）办公室。承担电文、档案、保密、财务、目标考核、机要、资产管理、应急、信息、后勤等机关日常运转管理事项。负责承办综合性会议及重要文稿起草、机构编制、组织人事、工资管理、教育培训、党风廉政建设、意识形态等工作。</w:t>
      </w:r>
    </w:p>
    <w:p w14:paraId="01FC3DBA">
      <w:pPr>
        <w:pStyle w:val="3"/>
        <w:spacing w:line="576" w:lineRule="exact"/>
        <w:ind w:firstLine="643" w:firstLineChars="200"/>
        <w:rPr>
          <w:rFonts w:ascii="楷体_GB2312" w:hAnsi="楷体_GB2312" w:eastAsia="楷体_GB2312" w:cs="楷体_GB2312"/>
        </w:rPr>
      </w:pPr>
      <w:r>
        <w:rPr>
          <w:rFonts w:hint="eastAsia" w:ascii="楷体_GB2312" w:hAnsi="楷体_GB2312" w:eastAsia="楷体_GB2312" w:cs="楷体_GB2312"/>
        </w:rPr>
        <w:t>（二）机构职能。</w:t>
      </w:r>
    </w:p>
    <w:p w14:paraId="7C57A452">
      <w:pPr>
        <w:pStyle w:val="3"/>
        <w:spacing w:line="576" w:lineRule="exact"/>
        <w:ind w:firstLine="643" w:firstLineChars="200"/>
        <w:rPr>
          <w:rFonts w:ascii="仿宋" w:hAnsi="仿宋" w:eastAsia="仿宋"/>
          <w:b w:val="0"/>
          <w:bCs w:val="0"/>
        </w:rPr>
      </w:pPr>
      <w:r>
        <w:rPr>
          <w:rFonts w:hint="eastAsia" w:ascii="仿宋_GB2312" w:hAnsi="仿宋_GB2312" w:eastAsia="仿宋_GB2312" w:cs="仿宋_GB2312"/>
          <w:color w:val="000000"/>
        </w:rPr>
        <w:t>（一）主要职能。</w:t>
      </w:r>
    </w:p>
    <w:p w14:paraId="08C5CA8C">
      <w:pPr>
        <w:snapToGrid w:val="0"/>
        <w:spacing w:line="576" w:lineRule="exact"/>
        <w:ind w:firstLine="643" w:firstLineChars="200"/>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宋体" w:eastAsia="仿宋_GB2312"/>
          <w:color w:val="000000"/>
          <w:sz w:val="32"/>
          <w:szCs w:val="32"/>
        </w:rPr>
        <w:t>根据中共松潘县委机构编制委员会印发《关于</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松潘县机构改革方案</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的实施意见的通知》（松机改办〔2019〕4号），制定本规定。</w:t>
      </w:r>
    </w:p>
    <w:p w14:paraId="1F3C3E11">
      <w:pPr>
        <w:snapToGrid w:val="0"/>
        <w:spacing w:line="576" w:lineRule="exact"/>
        <w:ind w:firstLine="643" w:firstLineChars="200"/>
        <w:rPr>
          <w:rFonts w:ascii="仿宋_GB2312" w:hAnsi="宋体" w:eastAsia="仿宋_GB2312"/>
          <w:color w:val="000000"/>
          <w:sz w:val="32"/>
          <w:szCs w:val="32"/>
          <w:u w:val="single"/>
        </w:rPr>
      </w:pPr>
      <w:r>
        <w:rPr>
          <w:rFonts w:hint="eastAsia" w:ascii="仿宋_GB2312" w:hAnsi="仿宋_GB2312" w:eastAsia="仿宋_GB2312" w:cs="仿宋_GB2312"/>
          <w:b/>
          <w:bCs/>
          <w:color w:val="000000"/>
          <w:sz w:val="32"/>
          <w:szCs w:val="32"/>
        </w:rPr>
        <w:t xml:space="preserve">第二条 </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松潘县信访局（简称县信访局）是松潘县政府工作部门，为正科级。</w:t>
      </w:r>
    </w:p>
    <w:p w14:paraId="44AB1B83">
      <w:pPr>
        <w:spacing w:line="576" w:lineRule="exact"/>
        <w:ind w:firstLine="639" w:firstLineChars="199"/>
        <w:rPr>
          <w:rFonts w:ascii="仿宋_GB2312" w:hAnsi="宋体" w:eastAsia="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坚持和加强党的全面领导，根据《中国共产党党组工作条例（试行）》，县信访局党组主要工作职责是：</w:t>
      </w:r>
    </w:p>
    <w:p w14:paraId="4A950D46">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（一）履行政治领导责任，做好理论武装和思想政治工作，负责学习、宣传、贯彻执行党的理论和路线方针政策，贯彻落实党中央、省委、州委和县委的决策部署，发挥好把方向、管大局、保落实的重要作用。</w:t>
      </w:r>
    </w:p>
    <w:p w14:paraId="523D27C8">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二）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委讨论和决定的重大问题。</w:t>
      </w:r>
    </w:p>
    <w:p w14:paraId="608AAC83">
      <w:pPr>
        <w:spacing w:line="576"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（三）贯彻党管干部原则，加强干部队伍建设，完善干部培养选拔机制，加强干部教育管理监督；贯彻党管人才原则，加强人才队伍建设；加强对本单位统战工作和工会、共青团、妇联等群团工作的领导。</w:t>
      </w:r>
    </w:p>
    <w:p w14:paraId="3E784F48">
      <w:pPr>
        <w:spacing w:line="576" w:lineRule="exact"/>
        <w:ind w:firstLine="636" w:firstLineChars="199"/>
        <w:rPr>
          <w:rFonts w:ascii="黑体" w:hAnsi="宋体" w:eastAsia="黑体"/>
          <w:color w:val="000000"/>
          <w:sz w:val="32"/>
          <w:szCs w:val="32"/>
        </w:rPr>
      </w:pPr>
      <w:r>
        <w:rPr>
          <w:rFonts w:hint="eastAsia" w:ascii="仿宋_GB2312" w:hAnsi="宋体" w:eastAsia="仿宋_GB2312"/>
          <w:color w:val="000000"/>
          <w:sz w:val="32"/>
          <w:szCs w:val="32"/>
        </w:rPr>
        <w:t>（四）履行</w:t>
      </w:r>
      <w:r>
        <w:rPr>
          <w:rFonts w:hint="eastAsia" w:ascii="仿宋_GB2312" w:hAnsi="宋体" w:eastAsia="仿宋_GB2312"/>
          <w:color w:val="000000"/>
          <w:sz w:val="32"/>
          <w:szCs w:val="32"/>
          <w:lang w:eastAsia="zh-CN"/>
        </w:rPr>
        <w:t>党要管党、全面从严治党</w:t>
      </w:r>
      <w:r>
        <w:rPr>
          <w:rFonts w:hint="eastAsia" w:ascii="仿宋_GB2312" w:hAnsi="宋体" w:eastAsia="仿宋_GB2312"/>
          <w:color w:val="000000"/>
          <w:sz w:val="32"/>
          <w:szCs w:val="32"/>
        </w:rPr>
        <w:t>责任，加强对本单位党的建设的领导，落实党建工作责任制。认真履行党风廉政建设主体责任，支持纪检监察机构履行监督责任。</w:t>
      </w:r>
    </w:p>
    <w:p w14:paraId="3CF33525">
      <w:pPr>
        <w:spacing w:line="576" w:lineRule="exact"/>
        <w:ind w:firstLine="639" w:firstLineChars="199"/>
        <w:rPr>
          <w:rFonts w:ascii="仿宋_GB2312" w:eastAsia="仿宋_GB2312"/>
          <w:color w:val="000000"/>
          <w:sz w:val="32"/>
          <w:szCs w:val="32"/>
        </w:rPr>
      </w:pPr>
      <w:r>
        <w:rPr>
          <w:rFonts w:hint="eastAsia" w:ascii="仿宋_GB2312" w:hAnsi="仿宋_GB2312" w:eastAsia="仿宋_GB2312" w:cs="仿宋_GB2312"/>
          <w:b/>
          <w:bCs/>
          <w:color w:val="000000"/>
          <w:sz w:val="32"/>
          <w:szCs w:val="32"/>
        </w:rPr>
        <w:t xml:space="preserve"> 第四条 </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主要职责：</w:t>
      </w:r>
    </w:p>
    <w:p w14:paraId="55C5F907">
      <w:pPr>
        <w:widowControl/>
        <w:spacing w:line="576" w:lineRule="exact"/>
        <w:ind w:firstLine="640" w:firstLineChars="200"/>
        <w:jc w:val="left"/>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（一）起草有关信访工作的地方性法规、规章草案和政策规定；制定信访问题排查化解、风险评估等制度并组织实施，提出改进和加强信访工作的意见和建议。负责本部门依法行政工作。</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（二）负责向县委、县政府反映来信来电来访中提出的重要建议、意见和问题，综合研判信访信息，开展调查研究，提出相关建议。</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（三）综合协调指导全县信访工作，推动建立健全信访工作的协调配合机制。督促检查县直各部门（单位）和各乡镇信访工作，总结推广信访工作先进经验，协调信访工作宣传和信息发布。</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（四）负责处理县内外群众、境外人士、法人及其他组织通过信访渠道给县委、县政府及领导同志的来信来电，接待来访。</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（五）承担协调处理群众进京到省来州到县集体上访和非正常上访的责任，综合协调处理跨地区、跨部门的重要信访问题。</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（六）负责落实党中央、省、州、县领导批示交办信访事项，向各部门、各乡镇转办、交办信访事项，督促检查重要信访事项的处理和落实。</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（七）建立和完善信访信息汇集分析机制，指导信访信息系统建设和应用。</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（八）加强对信访问题排查化解和社情民意汇集分析，重点开展法律法规政策宣传和思想教育疏导，将信访工作的重心由事后处理转移到事前排查化解，增强信访工作的预见性和针对性。</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（九）加强对重大信访事项的督查督办，完善信访诉求表达方式，进一步畅通信访渠道，确保信访工作决策部署得到贯彻落实，推动群众信访问题得到妥善解决。</w:t>
      </w:r>
    </w:p>
    <w:p w14:paraId="6D2F574A">
      <w:pPr>
        <w:widowControl/>
        <w:spacing w:line="576" w:lineRule="exact"/>
        <w:ind w:firstLine="640" w:firstLineChars="200"/>
        <w:jc w:val="left"/>
        <w:rPr>
          <w:rFonts w:ascii="仿宋_GB2312" w:hAnsi="Calibri" w:eastAsia="仿宋_GB2312"/>
          <w:color w:val="000000"/>
          <w:sz w:val="32"/>
          <w:szCs w:val="32"/>
        </w:rPr>
      </w:pPr>
      <w:r>
        <w:rPr>
          <w:rFonts w:hint="eastAsia" w:ascii="仿宋_GB2312" w:hAnsi="宋体" w:eastAsia="仿宋_GB2312" w:cs="宋体"/>
          <w:color w:val="000000"/>
          <w:kern w:val="0"/>
          <w:sz w:val="32"/>
          <w:szCs w:val="32"/>
          <w:lang w:eastAsia="zh-CN"/>
        </w:rPr>
        <w:t>（十）</w:t>
      </w:r>
      <w:r>
        <w:rPr>
          <w:rFonts w:hint="eastAsia" w:ascii="仿宋_GB2312" w:hAnsi="宋体" w:eastAsia="仿宋_GB2312" w:cs="宋体"/>
          <w:color w:val="000000"/>
          <w:kern w:val="0"/>
          <w:sz w:val="32"/>
          <w:szCs w:val="32"/>
        </w:rPr>
        <w:t>开展网上信访工作，探索</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互联网+信访</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新模式，推动信访信息化建设。</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（十一）承担县信访工作联席会议、县政府信访事项复查复核委员会日常工作，督促落实有关事项。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 xml:space="preserve">（十二）承办县委、县政府交办的其他任务。 </w:t>
      </w:r>
    </w:p>
    <w:p w14:paraId="5A648EBE">
      <w:pPr>
        <w:snapToGrid w:val="0"/>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本规定由中共松潘县委机构编制委员会办公室负责解释，其调整由中共松潘县委机构编制委员会办公室按规定程序办理。</w:t>
      </w:r>
    </w:p>
    <w:p w14:paraId="26D1E17F">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42FFF164">
      <w:pPr>
        <w:spacing w:line="576" w:lineRule="exact"/>
        <w:ind w:firstLine="640" w:firstLineChars="200"/>
        <w:rPr>
          <w:rFonts w:ascii="仿宋_GB2312" w:hAnsi="宋体" w:eastAsia="仿宋_GB2312"/>
          <w:color w:val="000000"/>
          <w:sz w:val="32"/>
          <w:szCs w:val="32"/>
        </w:rPr>
      </w:pPr>
      <w:r>
        <w:rPr>
          <w:rFonts w:hint="eastAsia" w:ascii="仿宋" w:hAnsi="仿宋" w:eastAsia="仿宋"/>
          <w:sz w:val="32"/>
          <w:szCs w:val="32"/>
        </w:rPr>
        <w:t>松</w:t>
      </w:r>
      <w:r>
        <w:rPr>
          <w:rFonts w:hint="eastAsia" w:ascii="仿宋_GB2312" w:hAnsi="宋体" w:eastAsia="仿宋_GB2312"/>
          <w:color w:val="000000"/>
          <w:sz w:val="32"/>
          <w:szCs w:val="32"/>
        </w:rPr>
        <w:t>潘县信访局机关行政编制3名。其中：局长1名，副局长2名；科级领导职数3名。事业编制5名， 其中科级领导1名，一般干部4名。</w:t>
      </w:r>
    </w:p>
    <w:p w14:paraId="7148106D">
      <w:pPr>
        <w:spacing w:line="576" w:lineRule="exact"/>
        <w:ind w:firstLine="800" w:firstLineChars="250"/>
        <w:rPr>
          <w:rFonts w:ascii="黑体" w:hAnsi="黑体" w:eastAsia="黑体" w:cs="黑体"/>
          <w:sz w:val="32"/>
          <w:szCs w:val="32"/>
        </w:rPr>
      </w:pPr>
      <w:r>
        <w:rPr>
          <w:rFonts w:ascii="黑体" w:hAnsi="黑体" w:eastAsia="黑体" w:cs="黑体"/>
          <w:sz w:val="32"/>
          <w:szCs w:val="32"/>
        </w:rPr>
        <w:t>二、部门财政资金收支情况</w:t>
      </w:r>
    </w:p>
    <w:p w14:paraId="45AE3288">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6B18EB49">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信访局一般公共预算财政拨款收入</w:t>
      </w:r>
      <w:r>
        <w:rPr>
          <w:rFonts w:hint="eastAsia" w:ascii="仿宋" w:hAnsi="仿宋" w:eastAsia="仿宋" w:cs="仿宋_GB2312"/>
          <w:sz w:val="32"/>
          <w:szCs w:val="32"/>
          <w:lang w:val="en-US" w:eastAsia="zh-CN"/>
        </w:rPr>
        <w:t>187.21</w:t>
      </w:r>
      <w:r>
        <w:rPr>
          <w:rFonts w:hint="eastAsia" w:ascii="仿宋" w:hAnsi="仿宋" w:eastAsia="仿宋" w:cs="仿宋_GB2312"/>
          <w:sz w:val="32"/>
          <w:szCs w:val="32"/>
        </w:rPr>
        <w:t>万元</w:t>
      </w:r>
    </w:p>
    <w:p w14:paraId="4184D01A">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0759793F">
      <w:pPr>
        <w:spacing w:line="576" w:lineRule="exact"/>
        <w:ind w:firstLine="1120" w:firstLineChars="350"/>
        <w:rPr>
          <w:rFonts w:ascii="仿宋" w:hAnsi="仿宋" w:eastAsia="仿宋" w:cs="仿宋_GB2312"/>
          <w:sz w:val="32"/>
          <w:szCs w:val="32"/>
        </w:rPr>
      </w:pPr>
      <w:r>
        <w:rPr>
          <w:rFonts w:hint="eastAsia" w:ascii="仿宋" w:hAnsi="仿宋" w:eastAsia="仿宋" w:cs="仿宋_GB2312"/>
          <w:sz w:val="32"/>
          <w:szCs w:val="32"/>
        </w:rPr>
        <w:t>信访局财政资金支出合计</w:t>
      </w:r>
      <w:r>
        <w:rPr>
          <w:rFonts w:hint="eastAsia" w:ascii="仿宋" w:hAnsi="仿宋" w:eastAsia="仿宋" w:cs="仿宋_GB2312"/>
          <w:sz w:val="32"/>
          <w:szCs w:val="32"/>
          <w:lang w:val="en-US" w:eastAsia="zh-CN"/>
        </w:rPr>
        <w:t>189.21</w:t>
      </w:r>
      <w:r>
        <w:rPr>
          <w:rFonts w:hint="eastAsia" w:ascii="仿宋" w:hAnsi="仿宋" w:eastAsia="仿宋" w:cs="仿宋_GB2312"/>
          <w:sz w:val="32"/>
          <w:szCs w:val="32"/>
        </w:rPr>
        <w:t>万元</w:t>
      </w:r>
    </w:p>
    <w:p w14:paraId="1677B7EA">
      <w:pPr>
        <w:spacing w:line="576"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68F03BE6">
      <w:pPr>
        <w:tabs>
          <w:tab w:val="left" w:pos="750"/>
        </w:tabs>
        <w:spacing w:line="576" w:lineRule="exact"/>
        <w:ind w:firstLine="643"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32"/>
          <w:szCs w:val="32"/>
        </w:rPr>
        <w:t>（一）部门预算管理。</w:t>
      </w:r>
    </w:p>
    <w:p w14:paraId="3AD920F6">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57CC3EF6">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eastAsia="仿宋_GB2312" w:cs="仿宋_GB2312"/>
          <w:color w:val="333333"/>
          <w:kern w:val="0"/>
          <w:sz w:val="32"/>
          <w:szCs w:val="32"/>
          <w:shd w:val="clear" w:color="auto" w:fill="FBFBFB"/>
        </w:rPr>
        <w:t>按照预算管理有关规定，目前部门预算的编制实行综合预算制度，即全部收入和支出都反映在预算中。</w:t>
      </w:r>
      <w:r>
        <w:rPr>
          <w:rFonts w:hint="eastAsia" w:ascii="仿宋_GB2312" w:hAnsi="仿宋_GB2312" w:eastAsia="仿宋_GB2312" w:cs="仿宋_GB2312"/>
          <w:sz w:val="32"/>
          <w:szCs w:val="32"/>
        </w:rPr>
        <w:t>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能保证本部门日常业务工作顺利开展的需要，又不浪费资金的前提下，合理编制出本部门的年度预算。</w:t>
      </w:r>
    </w:p>
    <w:p w14:paraId="67C1AD03">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绩效目标填报</w:t>
      </w:r>
    </w:p>
    <w:p w14:paraId="773BD296">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本部门不涉及绩效考评相关项目。</w:t>
      </w:r>
    </w:p>
    <w:p w14:paraId="3778AA68">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转移支付提前下达及专项转移支付分地区分项目编制情况</w:t>
      </w:r>
    </w:p>
    <w:p w14:paraId="7A66C96C">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515D7E83">
      <w:pPr>
        <w:spacing w:line="576" w:lineRule="exact"/>
        <w:ind w:firstLine="482"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（二）结果应用情况。</w:t>
      </w:r>
    </w:p>
    <w:p w14:paraId="3DAE48BD">
      <w:pPr>
        <w:pStyle w:val="13"/>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p>
    <w:p w14:paraId="45720CE8">
      <w:pPr>
        <w:pStyle w:val="13"/>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非税收收入</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公证处公证费，我单位每年将所收公证费全额上缴财政国库，无截留，挪用现象。</w:t>
      </w:r>
    </w:p>
    <w:p w14:paraId="25AC4771">
      <w:pPr>
        <w:pStyle w:val="13"/>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1109DF4D">
      <w:pPr>
        <w:pStyle w:val="13"/>
        <w:spacing w:before="0" w:beforeAutospacing="0" w:after="0" w:afterAutospacing="0"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eastAsia="仿宋_GB2312"/>
          <w:color w:val="000000"/>
          <w:sz w:val="32"/>
          <w:szCs w:val="32"/>
        </w:rPr>
        <w:t>严格执行</w:t>
      </w:r>
      <w:r>
        <w:rPr>
          <w:rFonts w:hint="eastAsia" w:ascii="仿宋_GB2312" w:eastAsia="仿宋_GB2312"/>
          <w:color w:val="000000"/>
          <w:sz w:val="32"/>
          <w:szCs w:val="32"/>
          <w:lang w:eastAsia="zh-CN"/>
        </w:rPr>
        <w:t>法律法规</w:t>
      </w:r>
      <w:r>
        <w:rPr>
          <w:rFonts w:hint="eastAsia" w:ascii="仿宋_GB2312" w:eastAsia="仿宋_GB2312"/>
          <w:color w:val="000000"/>
          <w:sz w:val="32"/>
          <w:szCs w:val="32"/>
        </w:rPr>
        <w:t>和有关规章制度</w:t>
      </w:r>
      <w:r>
        <w:rPr>
          <w:rFonts w:hint="eastAsia" w:ascii="仿宋_GB2312" w:eastAsia="仿宋_GB2312"/>
          <w:color w:val="000000"/>
          <w:sz w:val="32"/>
          <w:szCs w:val="32"/>
          <w:lang w:eastAsia="zh-CN"/>
        </w:rPr>
        <w:t>；</w:t>
      </w:r>
      <w:r>
        <w:rPr>
          <w:rFonts w:hint="eastAsia" w:ascii="仿宋_GB2312" w:eastAsia="仿宋_GB2312"/>
          <w:color w:val="000000"/>
          <w:sz w:val="32"/>
          <w:szCs w:val="32"/>
        </w:rPr>
        <w:t>与行政单位履行职能需要相适应</w:t>
      </w:r>
      <w:r>
        <w:rPr>
          <w:rFonts w:hint="eastAsia" w:ascii="仿宋_GB2312" w:eastAsia="仿宋_GB2312"/>
          <w:color w:val="000000"/>
          <w:sz w:val="32"/>
          <w:szCs w:val="32"/>
          <w:lang w:eastAsia="zh-CN"/>
        </w:rPr>
        <w:t>；</w:t>
      </w:r>
      <w:r>
        <w:rPr>
          <w:rFonts w:hint="eastAsia" w:ascii="仿宋_GB2312" w:eastAsia="仿宋_GB2312"/>
          <w:color w:val="000000"/>
          <w:sz w:val="32"/>
          <w:szCs w:val="32"/>
        </w:rPr>
        <w:t>科学合理</w:t>
      </w:r>
      <w:r>
        <w:rPr>
          <w:rFonts w:hint="eastAsia" w:ascii="仿宋_GB2312" w:eastAsia="仿宋_GB2312"/>
          <w:color w:val="000000"/>
          <w:sz w:val="32"/>
          <w:szCs w:val="32"/>
          <w:lang w:eastAsia="zh-CN"/>
        </w:rPr>
        <w:t>，</w:t>
      </w:r>
      <w:r>
        <w:rPr>
          <w:rFonts w:hint="eastAsia" w:ascii="仿宋_GB2312" w:eastAsia="仿宋_GB2312"/>
          <w:color w:val="000000"/>
          <w:sz w:val="32"/>
          <w:szCs w:val="32"/>
        </w:rPr>
        <w:t>充分发挥资产使用效益</w:t>
      </w:r>
      <w:r>
        <w:rPr>
          <w:rFonts w:hint="eastAsia" w:ascii="仿宋_GB2312" w:eastAsia="仿宋_GB2312"/>
          <w:color w:val="000000"/>
          <w:sz w:val="32"/>
          <w:szCs w:val="32"/>
          <w:lang w:eastAsia="zh-CN"/>
        </w:rPr>
        <w:t>；</w:t>
      </w:r>
      <w:r>
        <w:rPr>
          <w:rFonts w:hint="eastAsia" w:ascii="仿宋_GB2312" w:eastAsia="仿宋_GB2312"/>
          <w:color w:val="000000"/>
          <w:sz w:val="32"/>
          <w:szCs w:val="32"/>
        </w:rPr>
        <w:t>勤俭节约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从严控制。</w:t>
      </w:r>
    </w:p>
    <w:p w14:paraId="6BF5C46C">
      <w:pPr>
        <w:pStyle w:val="13"/>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w:t>
      </w:r>
      <w:r>
        <w:rPr>
          <w:rFonts w:hint="eastAsia" w:ascii="仿宋_GB2312" w:eastAsia="仿宋_GB2312"/>
          <w:sz w:val="32"/>
          <w:szCs w:val="32"/>
          <w:lang w:eastAsia="zh-CN"/>
        </w:rPr>
        <w:t>针对</w:t>
      </w:r>
      <w:r>
        <w:rPr>
          <w:rFonts w:hint="eastAsia" w:ascii="仿宋_GB2312" w:eastAsia="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46D50934">
      <w:pPr>
        <w:pStyle w:val="13"/>
        <w:spacing w:before="0" w:beforeAutospacing="0" w:after="0" w:afterAutospacing="0" w:line="576" w:lineRule="exact"/>
        <w:ind w:firstLine="640" w:firstLineChars="200"/>
        <w:rPr>
          <w:rFonts w:ascii="仿宋_GB2312" w:eastAsia="仿宋_GB2312" w:cs="仿宋_GB2312"/>
          <w:color w:val="000000"/>
          <w:sz w:val="32"/>
          <w:szCs w:val="32"/>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A6B2442">
      <w:pPr>
        <w:pStyle w:val="13"/>
        <w:spacing w:before="0" w:beforeAutospacing="0" w:after="0" w:afterAutospacing="0"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我部门财务各项工作自觉配合县财政和上级部门的监督检查，对检查中存在的问题，严肃对待，认真开展整改落实。</w:t>
      </w:r>
    </w:p>
    <w:p w14:paraId="4C5E8D66">
      <w:pPr>
        <w:spacing w:line="576"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10731C4D">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（一）评价结论。</w:t>
      </w:r>
      <w:r>
        <w:rPr>
          <w:rFonts w:hint="eastAsia" w:ascii="仿宋_GB2312" w:hAnsi="仿宋_GB2312" w:eastAsia="仿宋_GB2312" w:cs="仿宋_GB2312"/>
          <w:color w:val="000000"/>
          <w:sz w:val="32"/>
          <w:szCs w:val="32"/>
        </w:rPr>
        <w:t>我部门预算执行整体情况正常，按照各项工作有序开展的进度，财政资金收支情况同时也按进度执行，有个别项目需要进一步加大力度开展。</w:t>
      </w:r>
    </w:p>
    <w:p w14:paraId="0444F85F">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（二）存在的问题</w:t>
      </w:r>
    </w:p>
    <w:p w14:paraId="6FC0D2DA">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由于业务工作的特殊性，资金使用管理的局限性，部分项目资金的支付缓慢，如我单</w:t>
      </w:r>
      <w:r>
        <w:rPr>
          <w:rFonts w:hint="eastAsia" w:ascii="仿宋_GB2312" w:hAnsi="仿宋_GB2312" w:eastAsia="仿宋_GB2312" w:cs="仿宋_GB2312"/>
          <w:color w:val="000000"/>
          <w:sz w:val="32"/>
          <w:szCs w:val="32"/>
          <w:lang w:eastAsia="zh-CN"/>
        </w:rPr>
        <w:t>位在</w:t>
      </w:r>
      <w:r>
        <w:rPr>
          <w:rFonts w:hint="eastAsia" w:ascii="仿宋_GB2312" w:hAnsi="仿宋_GB2312" w:eastAsia="仿宋_GB2312" w:cs="仿宋_GB2312"/>
          <w:color w:val="000000"/>
          <w:sz w:val="32"/>
          <w:szCs w:val="32"/>
        </w:rPr>
        <w:t>法律援助上级转移支付资金这方面，因办案律师人少不足，加之案件的特殊性，律师在一定时间内不能顺利结案，导致法律援助经费的使用滞后。</w:t>
      </w:r>
    </w:p>
    <w:p w14:paraId="13C6E429">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单位无专业财务人员，目前单位会计由乡镇司法助理员兼任，财务工作越来越繁重复杂，影响了本单位财务收支工作。</w:t>
      </w:r>
    </w:p>
    <w:p w14:paraId="2A162A24">
      <w:pPr>
        <w:widowControl/>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（三）改进建议</w:t>
      </w:r>
    </w:p>
    <w:p w14:paraId="3E9D1F19">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针对部分项目资金使用缓慢的现象，</w:t>
      </w:r>
      <w:r>
        <w:rPr>
          <w:rFonts w:hint="eastAsia" w:ascii="仿宋_GB2312" w:hAnsi="仿宋_GB2312" w:eastAsia="仿宋_GB2312" w:cs="仿宋_GB2312"/>
          <w:color w:val="000000"/>
          <w:sz w:val="32"/>
          <w:szCs w:val="32"/>
          <w:lang w:eastAsia="zh-CN"/>
        </w:rPr>
        <w:t>建议</w:t>
      </w:r>
      <w:r>
        <w:rPr>
          <w:rFonts w:hint="eastAsia" w:ascii="仿宋_GB2312" w:hAnsi="仿宋_GB2312" w:eastAsia="仿宋_GB2312" w:cs="仿宋_GB2312"/>
          <w:color w:val="000000"/>
          <w:sz w:val="32"/>
          <w:szCs w:val="32"/>
        </w:rPr>
        <w:t>适当合理扩大资金使用范围，提高法律援助办案补贴标准。</w:t>
      </w:r>
    </w:p>
    <w:p w14:paraId="07BCA8E2">
      <w:pPr>
        <w:widowControl/>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针对财务人员的素质问题，建议单位能补充财会专业人员，建议</w:t>
      </w:r>
      <w:r>
        <w:rPr>
          <w:rFonts w:hint="eastAsia" w:ascii="仿宋_GB2312" w:hAnsi="仿宋_GB2312" w:eastAsia="仿宋_GB2312" w:cs="仿宋_GB2312"/>
          <w:color w:val="000000"/>
          <w:sz w:val="32"/>
          <w:szCs w:val="32"/>
          <w:lang w:eastAsia="zh-CN"/>
        </w:rPr>
        <w:t>财政部门</w:t>
      </w:r>
      <w:r>
        <w:rPr>
          <w:rFonts w:hint="eastAsia" w:ascii="仿宋_GB2312" w:hAnsi="仿宋_GB2312" w:eastAsia="仿宋_GB2312" w:cs="仿宋_GB2312"/>
          <w:color w:val="000000"/>
          <w:sz w:val="32"/>
          <w:szCs w:val="32"/>
        </w:rPr>
        <w:t>组织各单位财务人员进行</w:t>
      </w:r>
      <w:r>
        <w:rPr>
          <w:rFonts w:hint="eastAsia" w:ascii="仿宋_GB2312" w:hAnsi="仿宋_GB2312" w:eastAsia="仿宋_GB2312" w:cs="仿宋_GB2312"/>
          <w:color w:val="000000"/>
          <w:sz w:val="32"/>
          <w:szCs w:val="32"/>
          <w:lang w:eastAsia="zh-CN"/>
        </w:rPr>
        <w:t>业务</w:t>
      </w:r>
      <w:r>
        <w:rPr>
          <w:rFonts w:hint="eastAsia" w:ascii="仿宋_GB2312" w:hAnsi="仿宋_GB2312" w:eastAsia="仿宋_GB2312" w:cs="仿宋_GB2312"/>
          <w:color w:val="000000"/>
          <w:sz w:val="32"/>
          <w:szCs w:val="32"/>
        </w:rPr>
        <w:t>培训，不断提升各单位财务人员的业务素质和职业道德。</w:t>
      </w:r>
    </w:p>
    <w:p w14:paraId="080AE71C">
      <w:pPr>
        <w:widowControl/>
        <w:spacing w:line="576" w:lineRule="exact"/>
        <w:ind w:firstLine="640" w:firstLineChars="200"/>
        <w:rPr>
          <w:rFonts w:ascii="仿宋_GB2312" w:hAnsi="仿宋_GB2312" w:eastAsia="仿宋_GB2312" w:cs="仿宋_GB2312"/>
          <w:color w:val="000000"/>
          <w:sz w:val="32"/>
          <w:szCs w:val="32"/>
        </w:rPr>
      </w:pPr>
    </w:p>
    <w:p w14:paraId="1DA6A025">
      <w:pPr>
        <w:widowControl/>
        <w:spacing w:line="576" w:lineRule="exact"/>
        <w:ind w:firstLine="640" w:firstLineChars="200"/>
        <w:rPr>
          <w:rFonts w:ascii="仿宋_GB2312" w:hAnsi="仿宋_GB2312" w:eastAsia="仿宋_GB2312" w:cs="仿宋_GB2312"/>
          <w:color w:val="000000"/>
          <w:sz w:val="32"/>
          <w:szCs w:val="32"/>
        </w:rPr>
      </w:pPr>
    </w:p>
    <w:p w14:paraId="4C10135D">
      <w:pPr>
        <w:widowControl/>
        <w:spacing w:line="576" w:lineRule="exact"/>
        <w:ind w:firstLine="640" w:firstLineChars="200"/>
        <w:rPr>
          <w:rFonts w:ascii="仿宋_GB2312" w:hAnsi="仿宋_GB2312" w:eastAsia="仿宋_GB2312" w:cs="仿宋_GB2312"/>
          <w:color w:val="000000"/>
          <w:sz w:val="32"/>
          <w:szCs w:val="32"/>
        </w:rPr>
      </w:pPr>
    </w:p>
    <w:p w14:paraId="5169B872">
      <w:pPr>
        <w:widowControl/>
        <w:spacing w:line="576" w:lineRule="exact"/>
        <w:ind w:firstLine="640" w:firstLineChars="200"/>
        <w:rPr>
          <w:rFonts w:ascii="仿宋_GB2312" w:hAnsi="仿宋_GB2312" w:eastAsia="仿宋_GB2312" w:cs="仿宋_GB2312"/>
          <w:color w:val="000000"/>
          <w:sz w:val="32"/>
          <w:szCs w:val="32"/>
        </w:rPr>
      </w:pPr>
    </w:p>
    <w:p w14:paraId="7FEA1373">
      <w:pPr>
        <w:widowControl/>
        <w:spacing w:line="576" w:lineRule="exact"/>
        <w:ind w:firstLine="640" w:firstLineChars="200"/>
        <w:rPr>
          <w:rFonts w:ascii="仿宋_GB2312" w:hAnsi="仿宋_GB2312" w:eastAsia="仿宋_GB2312" w:cs="仿宋_GB2312"/>
          <w:color w:val="000000"/>
          <w:sz w:val="32"/>
          <w:szCs w:val="32"/>
        </w:rPr>
      </w:pPr>
    </w:p>
    <w:p w14:paraId="62CF7EAF">
      <w:pPr>
        <w:widowControl/>
        <w:spacing w:line="576" w:lineRule="exact"/>
        <w:ind w:firstLine="640" w:firstLineChars="200"/>
        <w:rPr>
          <w:rFonts w:ascii="仿宋_GB2312" w:hAnsi="仿宋_GB2312" w:eastAsia="仿宋_GB2312" w:cs="仿宋_GB2312"/>
          <w:color w:val="000000"/>
          <w:sz w:val="32"/>
          <w:szCs w:val="32"/>
        </w:rPr>
      </w:pPr>
    </w:p>
    <w:p w14:paraId="01AB1D82">
      <w:pPr>
        <w:widowControl/>
        <w:spacing w:line="576" w:lineRule="exact"/>
        <w:ind w:firstLine="640" w:firstLineChars="200"/>
        <w:rPr>
          <w:rFonts w:ascii="仿宋_GB2312" w:hAnsi="仿宋_GB2312" w:eastAsia="仿宋_GB2312" w:cs="仿宋_GB2312"/>
          <w:color w:val="000000"/>
          <w:sz w:val="32"/>
          <w:szCs w:val="32"/>
        </w:rPr>
      </w:pPr>
    </w:p>
    <w:p w14:paraId="5B030FBD">
      <w:pPr>
        <w:widowControl/>
        <w:spacing w:line="576" w:lineRule="exact"/>
        <w:ind w:firstLine="640" w:firstLineChars="200"/>
        <w:rPr>
          <w:rFonts w:ascii="仿宋_GB2312" w:hAnsi="仿宋_GB2312" w:eastAsia="仿宋_GB2312" w:cs="仿宋_GB2312"/>
          <w:color w:val="000000"/>
          <w:sz w:val="32"/>
          <w:szCs w:val="32"/>
        </w:rPr>
      </w:pPr>
    </w:p>
    <w:p w14:paraId="331263B6">
      <w:pPr>
        <w:widowControl/>
        <w:spacing w:line="576" w:lineRule="exact"/>
        <w:ind w:firstLine="640" w:firstLineChars="200"/>
        <w:rPr>
          <w:rFonts w:ascii="仿宋_GB2312" w:hAnsi="仿宋_GB2312" w:eastAsia="仿宋_GB2312" w:cs="仿宋_GB2312"/>
          <w:color w:val="000000"/>
          <w:sz w:val="32"/>
          <w:szCs w:val="32"/>
        </w:rPr>
      </w:pPr>
    </w:p>
    <w:p w14:paraId="01922AB5">
      <w:pPr>
        <w:widowControl/>
        <w:spacing w:line="576" w:lineRule="exact"/>
        <w:ind w:firstLine="640" w:firstLineChars="200"/>
        <w:rPr>
          <w:rFonts w:ascii="仿宋_GB2312" w:hAnsi="仿宋_GB2312" w:eastAsia="仿宋_GB2312" w:cs="仿宋_GB2312"/>
          <w:color w:val="000000"/>
          <w:sz w:val="32"/>
          <w:szCs w:val="32"/>
        </w:rPr>
      </w:pPr>
    </w:p>
    <w:p w14:paraId="2165D411">
      <w:pPr>
        <w:widowControl/>
        <w:spacing w:line="576" w:lineRule="exact"/>
        <w:ind w:firstLine="640" w:firstLineChars="200"/>
        <w:rPr>
          <w:rFonts w:ascii="仿宋_GB2312" w:hAnsi="仿宋_GB2312" w:eastAsia="仿宋_GB2312" w:cs="仿宋_GB2312"/>
          <w:color w:val="000000"/>
          <w:sz w:val="32"/>
          <w:szCs w:val="32"/>
        </w:rPr>
      </w:pPr>
    </w:p>
    <w:p w14:paraId="051EAD86">
      <w:pPr>
        <w:widowControl/>
        <w:spacing w:line="576" w:lineRule="exact"/>
        <w:ind w:firstLine="640" w:firstLineChars="200"/>
        <w:rPr>
          <w:rFonts w:ascii="仿宋_GB2312" w:hAnsi="仿宋_GB2312" w:eastAsia="仿宋_GB2312" w:cs="仿宋_GB2312"/>
          <w:color w:val="000000"/>
          <w:sz w:val="32"/>
          <w:szCs w:val="32"/>
        </w:rPr>
      </w:pPr>
    </w:p>
    <w:p w14:paraId="4AD9856B">
      <w:pPr>
        <w:widowControl/>
        <w:spacing w:line="576" w:lineRule="exact"/>
        <w:ind w:firstLine="640" w:firstLineChars="200"/>
        <w:rPr>
          <w:rFonts w:ascii="仿宋_GB2312" w:hAnsi="仿宋_GB2312" w:eastAsia="仿宋_GB2312" w:cs="仿宋_GB2312"/>
          <w:color w:val="000000"/>
          <w:sz w:val="32"/>
          <w:szCs w:val="32"/>
        </w:rPr>
      </w:pPr>
    </w:p>
    <w:p w14:paraId="76C02C3D">
      <w:pPr>
        <w:widowControl/>
        <w:spacing w:line="576" w:lineRule="exact"/>
        <w:ind w:firstLine="640" w:firstLineChars="200"/>
        <w:rPr>
          <w:rFonts w:ascii="仿宋_GB2312" w:hAnsi="仿宋_GB2312" w:eastAsia="仿宋_GB2312" w:cs="仿宋_GB2312"/>
          <w:color w:val="000000"/>
          <w:sz w:val="32"/>
          <w:szCs w:val="32"/>
        </w:rPr>
      </w:pPr>
    </w:p>
    <w:p w14:paraId="124AAE8A">
      <w:pPr>
        <w:widowControl/>
        <w:spacing w:line="576" w:lineRule="exact"/>
        <w:ind w:firstLine="640" w:firstLineChars="200"/>
        <w:rPr>
          <w:rFonts w:ascii="仿宋_GB2312" w:hAnsi="仿宋_GB2312" w:eastAsia="仿宋_GB2312" w:cs="仿宋_GB2312"/>
          <w:color w:val="000000"/>
          <w:sz w:val="32"/>
          <w:szCs w:val="32"/>
        </w:rPr>
      </w:pPr>
    </w:p>
    <w:p w14:paraId="698A289E">
      <w:pPr>
        <w:widowControl/>
        <w:spacing w:line="576" w:lineRule="exact"/>
        <w:ind w:firstLine="640" w:firstLineChars="200"/>
        <w:rPr>
          <w:rFonts w:ascii="仿宋_GB2312" w:hAnsi="仿宋_GB2312" w:eastAsia="仿宋_GB2312" w:cs="仿宋_GB2312"/>
          <w:color w:val="000000"/>
          <w:sz w:val="32"/>
          <w:szCs w:val="32"/>
        </w:rPr>
      </w:pPr>
    </w:p>
    <w:p w14:paraId="14195C50">
      <w:pPr>
        <w:widowControl/>
        <w:spacing w:line="576" w:lineRule="exact"/>
        <w:ind w:firstLine="640" w:firstLineChars="200"/>
        <w:rPr>
          <w:rFonts w:ascii="仿宋_GB2312" w:hAnsi="仿宋_GB2312" w:eastAsia="仿宋_GB2312" w:cs="仿宋_GB2312"/>
          <w:color w:val="000000"/>
          <w:sz w:val="32"/>
          <w:szCs w:val="32"/>
        </w:rPr>
      </w:pPr>
    </w:p>
    <w:p w14:paraId="0418B5ED">
      <w:pPr>
        <w:widowControl/>
        <w:spacing w:line="540" w:lineRule="exact"/>
        <w:ind w:firstLine="560" w:firstLineChars="200"/>
        <w:rPr>
          <w:rFonts w:ascii="仿宋_GB2312" w:eastAsia="仿宋_GB2312" w:cs="宋体"/>
          <w:color w:val="000000"/>
          <w:sz w:val="28"/>
          <w:szCs w:val="28"/>
        </w:rPr>
      </w:pPr>
    </w:p>
    <w:p w14:paraId="0B621BCE">
      <w:pPr>
        <w:widowControl/>
        <w:spacing w:line="540" w:lineRule="exact"/>
        <w:ind w:firstLine="560" w:firstLineChars="200"/>
        <w:rPr>
          <w:rFonts w:ascii="仿宋_GB2312" w:eastAsia="仿宋_GB2312" w:cs="宋体"/>
          <w:color w:val="000000"/>
          <w:sz w:val="28"/>
          <w:szCs w:val="28"/>
        </w:rPr>
      </w:pPr>
    </w:p>
    <w:p w14:paraId="0C1459C3">
      <w:pPr>
        <w:spacing w:line="600" w:lineRule="exact"/>
        <w:jc w:val="center"/>
        <w:outlineLvl w:val="0"/>
        <w:rPr>
          <w:rStyle w:val="27"/>
          <w:rFonts w:ascii="黑体" w:hAnsi="黑体" w:eastAsia="黑体"/>
          <w:b w:val="0"/>
        </w:rPr>
      </w:pPr>
      <w:bookmarkStart w:id="60"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60"/>
    </w:p>
    <w:p w14:paraId="311E9111">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1"/>
    </w:p>
    <w:p w14:paraId="460BF893">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8"/>
          <w:rFonts w:hint="eastAsia" w:ascii="仿宋" w:hAnsi="仿宋" w:eastAsia="仿宋"/>
          <w:b w:val="0"/>
          <w:bCs w:val="0"/>
        </w:rPr>
        <w:t>入总表</w:t>
      </w:r>
      <w:bookmarkEnd w:id="62"/>
    </w:p>
    <w:p w14:paraId="41BE5F74">
      <w:pPr>
        <w:pStyle w:val="3"/>
        <w:rPr>
          <w:rFonts w:ascii="仿宋" w:hAnsi="仿宋" w:eastAsia="仿宋"/>
          <w:color w:val="000000"/>
        </w:rPr>
      </w:pPr>
      <w:bookmarkStart w:id="63"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出总表</w:t>
      </w:r>
      <w:bookmarkEnd w:id="63"/>
    </w:p>
    <w:p w14:paraId="5C7E2CFD">
      <w:pPr>
        <w:pStyle w:val="3"/>
        <w:rPr>
          <w:rFonts w:ascii="仿宋" w:hAnsi="仿宋" w:eastAsia="仿宋"/>
          <w:b w:val="0"/>
          <w:color w:val="000000"/>
        </w:rPr>
      </w:pPr>
      <w:bookmarkStart w:id="64"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4"/>
    </w:p>
    <w:p w14:paraId="2475C3DF">
      <w:pPr>
        <w:pStyle w:val="3"/>
        <w:rPr>
          <w:rFonts w:ascii="仿宋" w:hAnsi="仿宋" w:eastAsia="仿宋"/>
          <w:color w:val="000000"/>
        </w:rPr>
      </w:pPr>
      <w:bookmarkStart w:id="65"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政拨款支出决算明细表（政府经济分类科目）</w:t>
      </w:r>
      <w:bookmarkEnd w:id="65"/>
    </w:p>
    <w:p w14:paraId="28BF49A0">
      <w:pPr>
        <w:pStyle w:val="3"/>
        <w:rPr>
          <w:rFonts w:ascii="仿宋" w:hAnsi="仿宋" w:eastAsia="仿宋"/>
          <w:color w:val="000000"/>
        </w:rPr>
      </w:pPr>
      <w:bookmarkStart w:id="66" w:name="_Toc1539662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6"/>
    </w:p>
    <w:p w14:paraId="04073A76">
      <w:pPr>
        <w:pStyle w:val="3"/>
        <w:rPr>
          <w:rFonts w:ascii="仿宋" w:hAnsi="仿宋" w:eastAsia="仿宋"/>
          <w:color w:val="000000"/>
        </w:rPr>
      </w:pPr>
      <w:bookmarkStart w:id="67"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7"/>
    </w:p>
    <w:p w14:paraId="7E0F95A7">
      <w:pPr>
        <w:pStyle w:val="3"/>
        <w:rPr>
          <w:rFonts w:ascii="仿宋" w:hAnsi="仿宋" w:eastAsia="仿宋"/>
          <w:color w:val="000000"/>
        </w:rPr>
      </w:pPr>
      <w:bookmarkStart w:id="68"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8"/>
    </w:p>
    <w:p w14:paraId="462B763D">
      <w:pPr>
        <w:pStyle w:val="3"/>
        <w:rPr>
          <w:rFonts w:ascii="仿宋" w:hAnsi="仿宋" w:eastAsia="仿宋"/>
          <w:color w:val="000000"/>
        </w:rPr>
      </w:pPr>
      <w:bookmarkStart w:id="69"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9"/>
    </w:p>
    <w:p w14:paraId="59259623">
      <w:pPr>
        <w:pStyle w:val="3"/>
        <w:rPr>
          <w:rFonts w:ascii="仿宋" w:hAnsi="仿宋" w:eastAsia="仿宋"/>
          <w:color w:val="000000"/>
        </w:rPr>
      </w:pPr>
      <w:bookmarkStart w:id="70"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0"/>
    </w:p>
    <w:p w14:paraId="5E864D98">
      <w:pPr>
        <w:pStyle w:val="3"/>
        <w:rPr>
          <w:rFonts w:ascii="仿宋" w:hAnsi="仿宋" w:eastAsia="仿宋"/>
          <w:color w:val="000000"/>
        </w:rPr>
      </w:pPr>
      <w:bookmarkStart w:id="71"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1"/>
    </w:p>
    <w:p w14:paraId="5ABBB1FD">
      <w:pPr>
        <w:pStyle w:val="3"/>
        <w:rPr>
          <w:rFonts w:ascii="仿宋" w:hAnsi="仿宋" w:eastAsia="仿宋"/>
          <w:color w:val="000000"/>
        </w:rPr>
      </w:pPr>
      <w:bookmarkStart w:id="72"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2"/>
    </w:p>
    <w:p w14:paraId="505CFE44">
      <w:pPr>
        <w:pStyle w:val="3"/>
        <w:rPr>
          <w:rFonts w:ascii="仿宋" w:hAnsi="仿宋" w:eastAsia="仿宋"/>
          <w:color w:val="000000" w:themeColor="text1"/>
        </w:rPr>
      </w:pPr>
      <w:bookmarkStart w:id="73"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3"/>
    </w:p>
    <w:bookmarkEnd w:id="57"/>
    <w:p w14:paraId="2816E21B">
      <w:pPr>
        <w:spacing w:line="600" w:lineRule="exact"/>
        <w:jc w:val="center"/>
        <w:outlineLvl w:val="0"/>
        <w:rPr>
          <w:rFonts w:ascii="仿宋" w:hAnsi="仿宋" w:eastAsia="仿宋"/>
          <w:b/>
          <w:color w:val="000000"/>
          <w:sz w:val="44"/>
          <w:szCs w:val="44"/>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A34796-A457-4EE1-A80E-0949A039FC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1352DE-D555-4D5E-9124-979E3E423E56}"/>
  </w:font>
  <w:font w:name="Cambria">
    <w:panose1 w:val="02040503050406030204"/>
    <w:charset w:val="00"/>
    <w:family w:val="roman"/>
    <w:pitch w:val="default"/>
    <w:sig w:usb0="E00006FF" w:usb1="420024FF" w:usb2="02000000" w:usb3="00000000" w:csb0="2000019F" w:csb1="00000000"/>
    <w:embedRegular r:id="rId3" w:fontKey="{F7B8597F-A1F9-4097-BB6F-1C054A5A4572}"/>
  </w:font>
  <w:font w:name="仿宋_GB2312">
    <w:panose1 w:val="02010609030101010101"/>
    <w:charset w:val="86"/>
    <w:family w:val="modern"/>
    <w:pitch w:val="default"/>
    <w:sig w:usb0="00000001" w:usb1="080E0000" w:usb2="00000000" w:usb3="00000000" w:csb0="00040000" w:csb1="00000000"/>
    <w:embedRegular r:id="rId4" w:fontKey="{07014122-8D96-4DB5-AB22-8A090FB570D3}"/>
  </w:font>
  <w:font w:name="仿宋">
    <w:panose1 w:val="02010609060101010101"/>
    <w:charset w:val="86"/>
    <w:family w:val="modern"/>
    <w:pitch w:val="default"/>
    <w:sig w:usb0="800002BF" w:usb1="38CF7CFA" w:usb2="00000016" w:usb3="00000000" w:csb0="00040001" w:csb1="00000000"/>
    <w:embedRegular r:id="rId5" w:fontKey="{C9BD3456-5638-45D1-82E6-458A6FBD463A}"/>
  </w:font>
  <w:font w:name="方正小标宋简体">
    <w:panose1 w:val="02010600010101010101"/>
    <w:charset w:val="86"/>
    <w:family w:val="auto"/>
    <w:pitch w:val="default"/>
    <w:sig w:usb0="00000001" w:usb1="080E0000" w:usb2="00000000" w:usb3="00000000" w:csb0="00040000" w:csb1="00000000"/>
    <w:embedRegular r:id="rId6" w:fontKey="{0BA84BB2-DDA5-4DE7-8101-42C1BA9580B7}"/>
  </w:font>
  <w:font w:name="楷体_GB2312">
    <w:panose1 w:val="02010609030101010101"/>
    <w:charset w:val="86"/>
    <w:family w:val="modern"/>
    <w:pitch w:val="default"/>
    <w:sig w:usb0="00000001" w:usb1="080E0000" w:usb2="00000000" w:usb3="00000000" w:csb0="00040000" w:csb1="00000000"/>
    <w:embedRegular r:id="rId7" w:fontKey="{BE752A06-20EE-4936-BE15-24CE3CC4EA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F90EECB">
        <w:pPr>
          <w:pStyle w:val="9"/>
          <w:jc w:val="center"/>
        </w:pPr>
        <w:r>
          <w:fldChar w:fldCharType="begin"/>
        </w:r>
        <w:r>
          <w:instrText xml:space="preserve">PAGE   \* MERGEFORMAT</w:instrText>
        </w:r>
        <w:r>
          <w:fldChar w:fldCharType="separate"/>
        </w:r>
        <w:r>
          <w:rPr>
            <w:lang w:val="zh-CN"/>
          </w:rPr>
          <w:t>14</w:t>
        </w:r>
        <w:r>
          <w:rPr>
            <w:lang w:val="zh-CN"/>
          </w:rPr>
          <w:fldChar w:fldCharType="end"/>
        </w:r>
      </w:p>
    </w:sdtContent>
  </w:sdt>
  <w:p w14:paraId="45A9181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A21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562E"/>
    <w:rsid w:val="000222C6"/>
    <w:rsid w:val="0002549F"/>
    <w:rsid w:val="00032B9A"/>
    <w:rsid w:val="0006487A"/>
    <w:rsid w:val="00065F8F"/>
    <w:rsid w:val="000768F2"/>
    <w:rsid w:val="000905DE"/>
    <w:rsid w:val="00090ED5"/>
    <w:rsid w:val="0009184B"/>
    <w:rsid w:val="0009593C"/>
    <w:rsid w:val="000A3963"/>
    <w:rsid w:val="000B02BE"/>
    <w:rsid w:val="000B047F"/>
    <w:rsid w:val="000B5923"/>
    <w:rsid w:val="000B5A48"/>
    <w:rsid w:val="000B6FF3"/>
    <w:rsid w:val="000B7A61"/>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12C4"/>
    <w:rsid w:val="00202B36"/>
    <w:rsid w:val="00204B7A"/>
    <w:rsid w:val="0021101A"/>
    <w:rsid w:val="00220536"/>
    <w:rsid w:val="0022445A"/>
    <w:rsid w:val="00235629"/>
    <w:rsid w:val="00254C62"/>
    <w:rsid w:val="00260C38"/>
    <w:rsid w:val="002616C0"/>
    <w:rsid w:val="002662AA"/>
    <w:rsid w:val="00280496"/>
    <w:rsid w:val="00295495"/>
    <w:rsid w:val="002B2613"/>
    <w:rsid w:val="002D64F5"/>
    <w:rsid w:val="002F0585"/>
    <w:rsid w:val="002F1818"/>
    <w:rsid w:val="002F567B"/>
    <w:rsid w:val="003102C3"/>
    <w:rsid w:val="0032072F"/>
    <w:rsid w:val="003216A9"/>
    <w:rsid w:val="0037013F"/>
    <w:rsid w:val="00380C92"/>
    <w:rsid w:val="003A484F"/>
    <w:rsid w:val="003A5039"/>
    <w:rsid w:val="003A5A6B"/>
    <w:rsid w:val="003A7732"/>
    <w:rsid w:val="003B0BE0"/>
    <w:rsid w:val="003B0C1B"/>
    <w:rsid w:val="003B688C"/>
    <w:rsid w:val="003C0291"/>
    <w:rsid w:val="003C39AE"/>
    <w:rsid w:val="003C7B60"/>
    <w:rsid w:val="003D1322"/>
    <w:rsid w:val="003D1FB2"/>
    <w:rsid w:val="003D5300"/>
    <w:rsid w:val="003D66DA"/>
    <w:rsid w:val="003E1310"/>
    <w:rsid w:val="003E3A28"/>
    <w:rsid w:val="003E6F55"/>
    <w:rsid w:val="003F2951"/>
    <w:rsid w:val="003F3328"/>
    <w:rsid w:val="00406254"/>
    <w:rsid w:val="004121A2"/>
    <w:rsid w:val="004223DE"/>
    <w:rsid w:val="00427A93"/>
    <w:rsid w:val="00434489"/>
    <w:rsid w:val="00437085"/>
    <w:rsid w:val="00443880"/>
    <w:rsid w:val="004439BB"/>
    <w:rsid w:val="004464F4"/>
    <w:rsid w:val="00471401"/>
    <w:rsid w:val="00473F31"/>
    <w:rsid w:val="0048263A"/>
    <w:rsid w:val="00487E5D"/>
    <w:rsid w:val="004943B2"/>
    <w:rsid w:val="004A711F"/>
    <w:rsid w:val="004B199D"/>
    <w:rsid w:val="004B4690"/>
    <w:rsid w:val="004B6E63"/>
    <w:rsid w:val="004C3E8C"/>
    <w:rsid w:val="004E07E2"/>
    <w:rsid w:val="004E0A2D"/>
    <w:rsid w:val="004E206B"/>
    <w:rsid w:val="004E6DF7"/>
    <w:rsid w:val="004F0FBD"/>
    <w:rsid w:val="004F2409"/>
    <w:rsid w:val="00505A47"/>
    <w:rsid w:val="00512FDA"/>
    <w:rsid w:val="00520DA0"/>
    <w:rsid w:val="00544C16"/>
    <w:rsid w:val="005664BB"/>
    <w:rsid w:val="0057481D"/>
    <w:rsid w:val="0058486E"/>
    <w:rsid w:val="005B0328"/>
    <w:rsid w:val="005B135F"/>
    <w:rsid w:val="005C638A"/>
    <w:rsid w:val="005D1C8B"/>
    <w:rsid w:val="005D5CED"/>
    <w:rsid w:val="005F0A2D"/>
    <w:rsid w:val="005F1A4C"/>
    <w:rsid w:val="00605688"/>
    <w:rsid w:val="006070AF"/>
    <w:rsid w:val="00607E6C"/>
    <w:rsid w:val="006101B1"/>
    <w:rsid w:val="00613E68"/>
    <w:rsid w:val="00614E44"/>
    <w:rsid w:val="00622830"/>
    <w:rsid w:val="00626FEB"/>
    <w:rsid w:val="00630AEF"/>
    <w:rsid w:val="006325F8"/>
    <w:rsid w:val="00634C9A"/>
    <w:rsid w:val="006440E4"/>
    <w:rsid w:val="006476A6"/>
    <w:rsid w:val="006506D9"/>
    <w:rsid w:val="0066343B"/>
    <w:rsid w:val="00664777"/>
    <w:rsid w:val="006748A4"/>
    <w:rsid w:val="00683E73"/>
    <w:rsid w:val="00691CE4"/>
    <w:rsid w:val="006A3141"/>
    <w:rsid w:val="006A5E34"/>
    <w:rsid w:val="006B2422"/>
    <w:rsid w:val="006B2B9A"/>
    <w:rsid w:val="006B4505"/>
    <w:rsid w:val="006C1937"/>
    <w:rsid w:val="006F020C"/>
    <w:rsid w:val="006F6177"/>
    <w:rsid w:val="00704589"/>
    <w:rsid w:val="007127B7"/>
    <w:rsid w:val="007416B6"/>
    <w:rsid w:val="00746F48"/>
    <w:rsid w:val="00753D1C"/>
    <w:rsid w:val="0075404D"/>
    <w:rsid w:val="00754956"/>
    <w:rsid w:val="00757AE6"/>
    <w:rsid w:val="0076182A"/>
    <w:rsid w:val="0076477E"/>
    <w:rsid w:val="00767B7E"/>
    <w:rsid w:val="007770C3"/>
    <w:rsid w:val="00784D24"/>
    <w:rsid w:val="00785FBA"/>
    <w:rsid w:val="00786E4A"/>
    <w:rsid w:val="007875EB"/>
    <w:rsid w:val="007903F6"/>
    <w:rsid w:val="0079426B"/>
    <w:rsid w:val="007A5E27"/>
    <w:rsid w:val="007B3E81"/>
    <w:rsid w:val="007C272D"/>
    <w:rsid w:val="007D312A"/>
    <w:rsid w:val="007D3F19"/>
    <w:rsid w:val="007E23B0"/>
    <w:rsid w:val="007E49AE"/>
    <w:rsid w:val="007F1991"/>
    <w:rsid w:val="007F2C2F"/>
    <w:rsid w:val="007F55FC"/>
    <w:rsid w:val="007F5665"/>
    <w:rsid w:val="00800112"/>
    <w:rsid w:val="00814788"/>
    <w:rsid w:val="008253BB"/>
    <w:rsid w:val="00835F34"/>
    <w:rsid w:val="0083706E"/>
    <w:rsid w:val="008423A5"/>
    <w:rsid w:val="00850625"/>
    <w:rsid w:val="00853718"/>
    <w:rsid w:val="00855221"/>
    <w:rsid w:val="00860645"/>
    <w:rsid w:val="00871F71"/>
    <w:rsid w:val="00877E92"/>
    <w:rsid w:val="00885AF4"/>
    <w:rsid w:val="008939CD"/>
    <w:rsid w:val="008B768C"/>
    <w:rsid w:val="008C4DB1"/>
    <w:rsid w:val="008C4EAF"/>
    <w:rsid w:val="008C5176"/>
    <w:rsid w:val="008C7FD0"/>
    <w:rsid w:val="008D6382"/>
    <w:rsid w:val="008E1DE7"/>
    <w:rsid w:val="008E707C"/>
    <w:rsid w:val="00900B08"/>
    <w:rsid w:val="00902155"/>
    <w:rsid w:val="00902FA3"/>
    <w:rsid w:val="0090405E"/>
    <w:rsid w:val="00914240"/>
    <w:rsid w:val="00923564"/>
    <w:rsid w:val="0092392E"/>
    <w:rsid w:val="009315F9"/>
    <w:rsid w:val="0093506C"/>
    <w:rsid w:val="00946945"/>
    <w:rsid w:val="00951248"/>
    <w:rsid w:val="0095152F"/>
    <w:rsid w:val="00954C49"/>
    <w:rsid w:val="00960C54"/>
    <w:rsid w:val="009700F9"/>
    <w:rsid w:val="0097099F"/>
    <w:rsid w:val="00971997"/>
    <w:rsid w:val="00971FFC"/>
    <w:rsid w:val="009774EC"/>
    <w:rsid w:val="009805C4"/>
    <w:rsid w:val="0098660A"/>
    <w:rsid w:val="009931C3"/>
    <w:rsid w:val="00993AEF"/>
    <w:rsid w:val="00994058"/>
    <w:rsid w:val="009B2C43"/>
    <w:rsid w:val="009B4EAE"/>
    <w:rsid w:val="009B7573"/>
    <w:rsid w:val="009C22F4"/>
    <w:rsid w:val="009C2E98"/>
    <w:rsid w:val="009D3447"/>
    <w:rsid w:val="009D4711"/>
    <w:rsid w:val="009E2B2A"/>
    <w:rsid w:val="009F1185"/>
    <w:rsid w:val="009F18CD"/>
    <w:rsid w:val="009F2A13"/>
    <w:rsid w:val="009F53B4"/>
    <w:rsid w:val="00A04EB0"/>
    <w:rsid w:val="00A1235F"/>
    <w:rsid w:val="00A13CC1"/>
    <w:rsid w:val="00A16847"/>
    <w:rsid w:val="00A237D8"/>
    <w:rsid w:val="00A268C4"/>
    <w:rsid w:val="00A307CD"/>
    <w:rsid w:val="00A35DCC"/>
    <w:rsid w:val="00A40A00"/>
    <w:rsid w:val="00A4142F"/>
    <w:rsid w:val="00A44C48"/>
    <w:rsid w:val="00A56DF2"/>
    <w:rsid w:val="00A67AB5"/>
    <w:rsid w:val="00A70A25"/>
    <w:rsid w:val="00A90A1D"/>
    <w:rsid w:val="00A91760"/>
    <w:rsid w:val="00A93B00"/>
    <w:rsid w:val="00A93C21"/>
    <w:rsid w:val="00AC003D"/>
    <w:rsid w:val="00AC3C6A"/>
    <w:rsid w:val="00AD5620"/>
    <w:rsid w:val="00AD7C1B"/>
    <w:rsid w:val="00AE16BA"/>
    <w:rsid w:val="00AE1EBE"/>
    <w:rsid w:val="00AE3EA1"/>
    <w:rsid w:val="00B03C9D"/>
    <w:rsid w:val="00B060AE"/>
    <w:rsid w:val="00B10517"/>
    <w:rsid w:val="00B14E76"/>
    <w:rsid w:val="00B161B8"/>
    <w:rsid w:val="00B2048C"/>
    <w:rsid w:val="00B21E56"/>
    <w:rsid w:val="00B310B9"/>
    <w:rsid w:val="00B35F3F"/>
    <w:rsid w:val="00B36CBB"/>
    <w:rsid w:val="00B425E0"/>
    <w:rsid w:val="00B440AA"/>
    <w:rsid w:val="00B44B70"/>
    <w:rsid w:val="00B4677D"/>
    <w:rsid w:val="00B52ABF"/>
    <w:rsid w:val="00B53C56"/>
    <w:rsid w:val="00B77EA6"/>
    <w:rsid w:val="00B81598"/>
    <w:rsid w:val="00B841F1"/>
    <w:rsid w:val="00B944D6"/>
    <w:rsid w:val="00BA68EC"/>
    <w:rsid w:val="00BB4DF0"/>
    <w:rsid w:val="00BB7AA9"/>
    <w:rsid w:val="00BC289F"/>
    <w:rsid w:val="00BC5361"/>
    <w:rsid w:val="00BC5460"/>
    <w:rsid w:val="00BC6B50"/>
    <w:rsid w:val="00BD0E25"/>
    <w:rsid w:val="00BF5BD6"/>
    <w:rsid w:val="00C03E31"/>
    <w:rsid w:val="00C33E72"/>
    <w:rsid w:val="00C354B2"/>
    <w:rsid w:val="00C35554"/>
    <w:rsid w:val="00C42709"/>
    <w:rsid w:val="00C45108"/>
    <w:rsid w:val="00C533CC"/>
    <w:rsid w:val="00C5751C"/>
    <w:rsid w:val="00C61BFC"/>
    <w:rsid w:val="00C62B85"/>
    <w:rsid w:val="00C65438"/>
    <w:rsid w:val="00C76427"/>
    <w:rsid w:val="00C91CBB"/>
    <w:rsid w:val="00C9287D"/>
    <w:rsid w:val="00CC09B6"/>
    <w:rsid w:val="00CC666F"/>
    <w:rsid w:val="00CD1E3F"/>
    <w:rsid w:val="00CD396A"/>
    <w:rsid w:val="00CE44F6"/>
    <w:rsid w:val="00CE49DA"/>
    <w:rsid w:val="00CE7B61"/>
    <w:rsid w:val="00CF1487"/>
    <w:rsid w:val="00D00095"/>
    <w:rsid w:val="00D20620"/>
    <w:rsid w:val="00D20BE4"/>
    <w:rsid w:val="00D26091"/>
    <w:rsid w:val="00D34E7C"/>
    <w:rsid w:val="00D35489"/>
    <w:rsid w:val="00D51276"/>
    <w:rsid w:val="00D562FA"/>
    <w:rsid w:val="00D7035F"/>
    <w:rsid w:val="00DA65AC"/>
    <w:rsid w:val="00DB1913"/>
    <w:rsid w:val="00DC3824"/>
    <w:rsid w:val="00DC410D"/>
    <w:rsid w:val="00DC68CA"/>
    <w:rsid w:val="00DC7CBA"/>
    <w:rsid w:val="00DD73B7"/>
    <w:rsid w:val="00DF28BC"/>
    <w:rsid w:val="00DF34B9"/>
    <w:rsid w:val="00E01053"/>
    <w:rsid w:val="00E07ACF"/>
    <w:rsid w:val="00E1594D"/>
    <w:rsid w:val="00E331A1"/>
    <w:rsid w:val="00E33202"/>
    <w:rsid w:val="00E336A9"/>
    <w:rsid w:val="00E50624"/>
    <w:rsid w:val="00E509EA"/>
    <w:rsid w:val="00E51D77"/>
    <w:rsid w:val="00E54EAE"/>
    <w:rsid w:val="00E568DF"/>
    <w:rsid w:val="00E61C2B"/>
    <w:rsid w:val="00E64269"/>
    <w:rsid w:val="00E82267"/>
    <w:rsid w:val="00E8575C"/>
    <w:rsid w:val="00EA010F"/>
    <w:rsid w:val="00EB389B"/>
    <w:rsid w:val="00ED1B63"/>
    <w:rsid w:val="00ED3C1F"/>
    <w:rsid w:val="00ED4085"/>
    <w:rsid w:val="00ED420E"/>
    <w:rsid w:val="00EE2415"/>
    <w:rsid w:val="00EE2F57"/>
    <w:rsid w:val="00EF4C34"/>
    <w:rsid w:val="00EF77C6"/>
    <w:rsid w:val="00EF7BA3"/>
    <w:rsid w:val="00F05438"/>
    <w:rsid w:val="00F1361C"/>
    <w:rsid w:val="00F160C7"/>
    <w:rsid w:val="00F36B99"/>
    <w:rsid w:val="00F36D8F"/>
    <w:rsid w:val="00F417B1"/>
    <w:rsid w:val="00F459F9"/>
    <w:rsid w:val="00F55019"/>
    <w:rsid w:val="00F602DF"/>
    <w:rsid w:val="00F67B3E"/>
    <w:rsid w:val="00F81FD9"/>
    <w:rsid w:val="00F841AA"/>
    <w:rsid w:val="00F903F0"/>
    <w:rsid w:val="00FA23E8"/>
    <w:rsid w:val="00FD3CC1"/>
    <w:rsid w:val="00FE7D71"/>
    <w:rsid w:val="00FF1E02"/>
    <w:rsid w:val="00FF30B4"/>
    <w:rsid w:val="0A402FCB"/>
    <w:rsid w:val="10C055FF"/>
    <w:rsid w:val="16BB723D"/>
    <w:rsid w:val="18FD588B"/>
    <w:rsid w:val="1CA730D7"/>
    <w:rsid w:val="240371BF"/>
    <w:rsid w:val="266C0456"/>
    <w:rsid w:val="29FD04D3"/>
    <w:rsid w:val="319F7F4E"/>
    <w:rsid w:val="3F595925"/>
    <w:rsid w:val="437E1763"/>
    <w:rsid w:val="452923DB"/>
    <w:rsid w:val="4C757AE7"/>
    <w:rsid w:val="4F7C71E4"/>
    <w:rsid w:val="51504C5D"/>
    <w:rsid w:val="67442A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2"/>
    <w:semiHidden/>
    <w:unhideWhenUsed/>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link w:val="33"/>
    <w:qFormat/>
    <w:uiPriority w:val="0"/>
    <w:pPr>
      <w:ind w:firstLine="420" w:firstLineChars="200"/>
    </w:pPr>
    <w:rPr>
      <w:rFonts w:ascii="Calibri" w:hAnsi="Calibri"/>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character" w:customStyle="1" w:styleId="32">
    <w:name w:val="正文文本缩进 Char"/>
    <w:basedOn w:val="16"/>
    <w:link w:val="6"/>
    <w:semiHidden/>
    <w:qFormat/>
    <w:uiPriority w:val="99"/>
    <w:rPr>
      <w:rFonts w:ascii="Times New Roman" w:hAnsi="Times New Roman"/>
      <w:kern w:val="2"/>
      <w:sz w:val="21"/>
      <w:szCs w:val="24"/>
    </w:rPr>
  </w:style>
  <w:style w:type="character" w:customStyle="1" w:styleId="33">
    <w:name w:val="正文首行缩进 2 Char"/>
    <w:basedOn w:val="32"/>
    <w:link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eb2df9c3-39d9-42c2-b7bc-7d4746071211</errorID>
      <errorWord>&lt;</errorWord>
      <group>L1_Format</group>
      <groupName>格式问题</groupName>
      <ability>L2_HalfPunc</ability>
      <abilityName>全半角检查</abilityName>
      <candidateList>
        <item>〈</item>
      </candidateList>
      <explain>文本全半角错误。</explain>
      <paraID>3D551FCD</paraID>
      <start>24</start>
      <end>25</end>
      <status>modified</status>
      <modifiedWord>〈</modifiedWord>
      <trackRevisions>false</trackRevisions>
    </reviewItem>
    <reviewItem>
      <errorID>91d90a49-c7d0-44eb-94fb-158a00f91548</errorID>
      <errorWord>&gt;</errorWord>
      <group>L1_Format</group>
      <groupName>格式问题</groupName>
      <ability>L2_HalfPunc</ability>
      <abilityName>全半角检查</abilityName>
      <candidateList>
        <item>〉</item>
      </candidateList>
      <explain>文本全半角错误。</explain>
      <paraID>3D551FCD</paraID>
      <start>34</start>
      <end>35</end>
      <status>modified</status>
      <modifiedWord>〉</modifiedWord>
      <trackRevisions>false</trackRevisions>
    </reviewItem>
    <reviewItem>
      <errorID>6f87b719-7525-469f-b658-443d8e9e78a7</errorID>
      <errorWord>党要管党、从严治党</errorWord>
      <group>L1_Word</group>
      <groupName>字词问题</groupName>
      <ability>L2_Typo</ability>
      <abilityName>字词错误</abilityName>
      <candidateList>
        <item>党要管党、全面从严治党</item>
      </candidateList>
      <explain/>
      <paraID>47A976AF</paraID>
      <start>5</start>
      <end>16</end>
      <status>modified</status>
      <modifiedWord>党要管党、全面从严治党</modifiedWord>
      <trackRevisions>false</trackRevisions>
    </reviewItem>
    <reviewItem>
      <errorID>1ba7780a-7580-45ac-a24a-ec3ff0f5866a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44D7633E</paraID>
      <start>0</start>
      <end>3</end>
      <status>modified</status>
      <modifiedWord>（十）</modifiedWord>
      <trackRevisions>false</trackRevisions>
    </reviewItem>
    <reviewItem>
      <errorID>efe83760-6efa-43a0-8820-75aef93f645d</errorID>
      <errorWord>“两会”</errorWord>
      <group>L1_Political</group>
      <groupName>政治性问题</groupName>
      <ability>L2_Unpolitical</ability>
      <abilityName>政治敏感错误</abilityName>
      <candidateList>
        <item>两会</item>
      </candidateList>
      <explain/>
      <paraID>35A48520</paraID>
      <start>134</start>
      <end>136</end>
      <status>modified</status>
      <modifiedWord>两会</modifiedWord>
      <trackRevisions>false</trackRevisions>
    </reviewItem>
    <reviewItem>
      <errorID>58e759b7-d394-4ba1-b203-269cd60f8ad4</errorID>
      <errorWord>“一带一路”国际高峰论坛</errorWord>
      <group>L1_Word</group>
      <groupName>字词问题</groupName>
      <ability>L2_Typo</ability>
      <abilityName>字词错误</abilityName>
      <candidateList>
        <item>“一带一路”国际合作高峰论坛</item>
      </candidateList>
      <explain/>
      <paraID>35A48520</paraID>
      <start>152</start>
      <end>166</end>
      <status>modified</status>
      <modifiedWord>“一带一路”国际合作高峰论坛</modifiedWord>
      <trackRevisions>false</trackRevisions>
    </reviewItem>
    <reviewItem>
      <errorID>aa373c4c-1eac-4929-b060-e60e5264b3e2</errorID>
      <errorWord>省</errorWord>
      <group>L1_Word</group>
      <groupName>字词问题</groupName>
      <ability>L2_Typo</ability>
      <abilityName>字词错误</abilityName>
      <candidateList>
        <item>省第</item>
      </candidateList>
      <explain/>
      <paraID>35A48520</paraID>
      <start>167</start>
      <end>169</end>
      <status>modified</status>
      <modifiedWord>省第</modifiedWord>
      <trackRevisions>false</trackRevisions>
    </reviewItem>
    <reviewItem>
      <errorID>425c90f8-d414-4793-9560-bfc5c64526e3</errorID>
      <errorWord>,</errorWord>
      <group>L1_Format</group>
      <groupName>格式问题</groupName>
      <ability>L2_HalfPunc</ability>
      <abilityName>全半角检查</abilityName>
      <candidateList>
        <item>，</item>
      </candidateList>
      <explain>文本全半角错误。</explain>
      <paraID>35A48520</paraID>
      <start>567</start>
      <end>568</end>
      <status>modified</status>
      <modifiedWord>，</modifiedWord>
      <trackRevisions>false</trackRevisions>
    </reviewItem>
    <reviewItem>
      <errorID>59c77899-3d28-45a9-a6d4-ff2226345a94</errorID>
      <errorWord>“两会”</errorWord>
      <group>L1_Political</group>
      <groupName>政治性问题</groupName>
      <ability>L2_Unpolitical</ability>
      <abilityName>政治敏感错误</abilityName>
      <candidateList>
        <item>两会</item>
      </candidateList>
      <explain/>
      <paraID>35A48520</paraID>
      <start>679</start>
      <end>681</end>
      <status>modified</status>
      <modifiedWord>两会</modifiedWord>
      <trackRevisions>false</trackRevisions>
    </reviewItem>
    <reviewItem>
      <errorID>534f2221-a4a3-449c-8f83-3fe60955d691</errorID>
      <errorWord>“两会”</errorWord>
      <group>L1_Political</group>
      <groupName>政治性问题</groupName>
      <ability>L2_Unpolitical</ability>
      <abilityName>政治敏感错误</abilityName>
      <candidateList>
        <item>两会</item>
      </candidateList>
      <explain/>
      <paraID>35A48520</paraID>
      <start>684</start>
      <end>686</end>
      <status>modified</status>
      <modifiedWord>两会</modifiedWord>
      <trackRevisions>false</trackRevisions>
    </reviewItem>
    <reviewItem>
      <errorID>fbd6bfe4-8be5-4f0a-9e89-3ed947759744</errorID>
      <errorWord>“一带一路”国际高峰论坛</errorWord>
      <group>L1_Word</group>
      <groupName>字词问题</groupName>
      <ability>L2_Typo</ability>
      <abilityName>字词错误</abilityName>
      <candidateList>
        <item>“一带一路”国际合作高峰论坛</item>
      </candidateList>
      <explain/>
      <paraID>35A48520</paraID>
      <start>687</start>
      <end>701</end>
      <status>modified</status>
      <modifiedWord>“一带一路”国际合作高峰论坛</modifiedWord>
      <trackRevisions>false</trackRevisions>
    </reviewItem>
    <reviewItem>
      <errorID>c4796408-ec7c-4828-9f2c-b85807f2454c</errorID>
      <errorWord>夯实</errorWord>
      <group>L1_Word</group>
      <groupName>字词问题</groupName>
      <ability>L2_Typo</ability>
      <abilityName>字词错误</abilityName>
      <candidateList>
        <item>坚实</item>
      </candidateList>
      <explain/>
      <paraID>5306868D</paraID>
      <start>194</start>
      <end>196</end>
      <status>modified</status>
      <modifiedWord>坚实</modifiedWord>
      <trackRevisions>false</trackRevisions>
    </reviewItem>
    <reviewItem>
      <errorID>72d3c468-4e97-4c3a-b75e-73d5cea5b70d</errorID>
      <errorWord>县委政府</errorWord>
      <group>L1_Word</group>
      <groupName>字词问题</groupName>
      <ability>L2_Typo</ability>
      <abilityName>字词错误</abilityName>
      <candidateList>
        <item>县委、县政府</item>
      </candidateList>
      <explain/>
      <paraID> 5B2BC9B</paraID>
      <start>110</start>
      <end>116</end>
      <status>modified</status>
      <modifiedWord>县委、县政府</modifiedWord>
      <trackRevisions>false</trackRevisions>
    </reviewItem>
    <reviewItem>
      <errorID>bc4f106f-a603-4174-9a6b-2eb7c7c546e7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5B2BC9B</paraID>
      <start>167</start>
      <end>173</end>
      <status>modified</status>
      <modifiedWord>县委、县政府</modifiedWord>
      <trackRevisions>false</trackRevisions>
    </reviewItem>
    <reviewItem>
      <errorID>48e34df1-dc25-4e1e-b66b-3e3250634acb</errorID>
      <errorWord>截止目前</errorWord>
      <group>L1_Word</group>
      <groupName>字词问题</groupName>
      <ability>L2_Typo</ability>
      <abilityName>字词错误</abilityName>
      <candidateList>
        <item>截至目前</item>
      </candidateList>
      <explain/>
      <paraID> 5B2BC9B</paraID>
      <start>634</start>
      <end>638</end>
      <status>modified</status>
      <modifiedWord>截至目前</modifiedWord>
      <trackRevisions>false</trackRevisions>
    </reviewItem>
    <reviewItem>
      <errorID>4a6e77b2-5cb3-44b5-8845-d2105e96ab1b</errorID>
      <errorWord>因</errorWord>
      <group>L1_Word</group>
      <groupName>字词问题</groupName>
      <ability>L2_Typo</ability>
      <abilityName>字词错误</abilityName>
      <candidateList>
        <item>因是</item>
      </candidateList>
      <explain/>
      <paraID>234F08BA</paraID>
      <start>104</start>
      <end>106</end>
      <status>modified</status>
      <modifiedWord>因是</modifiedWord>
      <trackRevisions>false</trackRevisions>
    </reviewItem>
    <reviewItem>
      <errorID>9c2d2068-96e7-4fd7-bbb4-6d3f7f43778b</errorID>
      <errorWord>，；</errorWord>
      <group>L1_Punc</group>
      <groupName>标点问题</groupName>
      <ability>L2_Punc</ability>
      <abilityName>标点符号检查</abilityName>
      <candidateList>
        <item>，</item>
      </candidateList>
      <explain/>
      <paraID>798C1ED9</paraID>
      <start>122</start>
      <end>123</end>
      <status>modified</status>
      <modifiedWord>，</modifiedWord>
      <trackRevisions>false</trackRevisions>
    </reviewItem>
    <reviewItem>
      <errorID>12c5f36d-94fa-4c6a-8343-076c6ab187ba</errorID>
      <errorWord>因</errorWord>
      <group>L1_Word</group>
      <groupName>字词问题</groupName>
      <ability>L2_Typo</ability>
      <abilityName>字词错误</abilityName>
      <candidateList>
        <item>因是</item>
      </candidateList>
      <explain/>
      <paraID>3F764F06</paraID>
      <start>93</start>
      <end>95</end>
      <status>modified</status>
      <modifiedWord>因是</modifiedWord>
      <trackRevisions>false</trackRevisions>
    </reviewItem>
    <reviewItem>
      <errorID>3537babe-69be-441e-a8c8-41123177e66d</errorID>
      <errorWord>:</errorWord>
      <group>L1_Format</group>
      <groupName>格式问题</groupName>
      <ability>L2_HalfPunc</ability>
      <abilityName>全半角检查</abilityName>
      <candidateList>
        <item>：</item>
      </candidateList>
      <explain>文本全半角错误。</explain>
      <paraID>5FED7690</paraID>
      <start>34</start>
      <end>35</end>
      <status>modified</status>
      <modifiedWord>：</modifiedWord>
      <trackRevisions>false</trackRevisions>
    </reviewItem>
    <reviewItem>
      <errorID>435ba57c-82c1-4e01-8917-294f857f60dc</errorID>
      <errorWord>；。</errorWord>
      <group>L1_Punc</group>
      <groupName>标点问题</groupName>
      <ability>L2_Punc</ability>
      <abilityName>标点符号检查</abilityName>
      <candidateList>
        <item>；</item>
      </candidateList>
      <explain/>
      <paraID>5FED7690</paraID>
      <start>119</start>
      <end>120</end>
      <status>modified</status>
      <modifiedWord>；</modifiedWord>
      <trackRevisions>false</trackRevisions>
    </reviewItem>
    <reviewItem>
      <errorID>3efdedd8-808a-41e3-b471-a19a0504c7ef</errorID>
      <errorWord>;</errorWord>
      <group>L1_Format</group>
      <groupName>格式问题</groupName>
      <ability>L2_HalfPunc</ability>
      <abilityName>全半角检查</abilityName>
      <candidateList>
        <item>；</item>
      </candidateList>
      <explain>文本全半角错误。</explain>
      <paraID>13CD7153</paraID>
      <start>17</start>
      <end>18</end>
      <status>modified</status>
      <modifiedWord>；</modifiedWord>
      <trackRevisions>false</trackRevisions>
    </reviewItem>
    <reviewItem>
      <errorID>63b2736c-9b7e-424b-bb8a-ed517a9f6a84</errorID>
      <errorWord>,</errorWord>
      <group>L1_Format</group>
      <groupName>格式问题</groupName>
      <ability>L2_HalfPunc</ability>
      <abilityName>全半角检查</abilityName>
      <candidateList>
        <item>，</item>
      </candidateList>
      <explain>文本全半角错误。</explain>
      <paraID>2D7444F4</paraID>
      <start>22</start>
      <end>23</end>
      <status>modified</status>
      <modifiedWord>，</modifiedWord>
      <trackRevisions>false</trackRevisions>
    </reviewItem>
    <reviewItem>
      <errorID>e9d37dd4-f61c-4055-b80b-96cff2e81218</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236AC8DB</paraID>
      <start>82</start>
      <end>88</end>
      <status>modified</status>
      <modifiedWord>“三公”经费</modifiedWord>
      <trackRevisions>false</trackRevisions>
    </reviewItem>
    <reviewItem>
      <errorID>9b57a156-7ae0-4826-bbd7-c87d7f2848f9</errorID>
      <errorWord>因</errorWord>
      <group>L1_Word</group>
      <groupName>字词问题</groupName>
      <ability>L2_Typo</ability>
      <abilityName>字词错误</abilityName>
      <candidateList>
        <item>因是</item>
      </candidateList>
      <explain/>
      <paraID>5DB14416</paraID>
      <start>46</start>
      <end>48</end>
      <status>modified</status>
      <modifiedWord>因是</modifiedWord>
      <trackRevisions>false</trackRevisions>
    </reviewItem>
    <reviewItem>
      <errorID>80714008-6e97-4e58-a3f4-17c1920e2fbd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5DB14416</paraID>
      <start>88</start>
      <end>94</end>
      <status>modified</status>
      <modifiedWord>“三公”经费</modifiedWord>
      <trackRevisions>false</trackRevisions>
    </reviewItem>
    <reviewItem>
      <errorID>26a16918-fcb1-4254-a723-c9a4970c21bc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6CB3A881</paraID>
      <start>0</start>
      <end>2</end>
      <status>modified</status>
      <modifiedWord>8.</modifiedWord>
      <trackRevisions>false</trackRevisions>
    </reviewItem>
    <reviewItem>
      <errorID>8bdf6191-d981-4533-8e6f-71c07b1974e5</errorID>
      <errorWord>&lt;</errorWord>
      <group>L1_Format</group>
      <groupName>格式问题</groupName>
      <ability>L2_HalfPunc</ability>
      <abilityName>全半角检查</abilityName>
      <candidateList>
        <item>〈</item>
      </candidateList>
      <explain>文本全半角错误。</explain>
      <paraID> 8C5CA8C</paraID>
      <start>24</start>
      <end>25</end>
      <status>modified</status>
      <modifiedWord>〈</modifiedWord>
      <trackRevisions>false</trackRevisions>
    </reviewItem>
    <reviewItem>
      <errorID>92f46e68-c741-4653-a643-75e80ee1b788</errorID>
      <errorWord>&gt;</errorWord>
      <group>L1_Format</group>
      <groupName>格式问题</groupName>
      <ability>L2_HalfPunc</ability>
      <abilityName>全半角检查</abilityName>
      <candidateList>
        <item>〉</item>
      </candidateList>
      <explain>文本全半角错误。</explain>
      <paraID> 8C5CA8C</paraID>
      <start>34</start>
      <end>35</end>
      <status>modified</status>
      <modifiedWord>〉</modifiedWord>
      <trackRevisions>false</trackRevisions>
    </reviewItem>
    <reviewItem>
      <errorID>17aaa06c-33e9-4b4a-bfae-1b0a96827a0b</errorID>
      <errorWord>党要管党、从严治党</errorWord>
      <group>L1_Word</group>
      <groupName>字词问题</groupName>
      <ability>L2_Typo</ability>
      <abilityName>字词错误</abilityName>
      <candidateList>
        <item>党要管党、全面从严治党</item>
      </candidateList>
      <explain/>
      <paraID>3E784F48</paraID>
      <start>5</start>
      <end>16</end>
      <status>modified</status>
      <modifiedWord>党要管党、全面从严治党</modifiedWord>
      <trackRevisions>false</trackRevisions>
    </reviewItem>
    <reviewItem>
      <errorID>1accb4bf-a71f-40fa-8be4-8fbb01ec5991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6D2F574A</paraID>
      <start>0</start>
      <end>3</end>
      <status>modified</status>
      <modifiedWord>（十）</modifiedWord>
      <trackRevisions>false</trackRevisions>
    </reviewItem>
    <reviewItem>
      <errorID>f15a0b3d-c745-404e-8c47-b7c780c111f1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3AD920F6</paraID>
      <start>0</start>
      <end>2</end>
      <status>modified</status>
      <modifiedWord>1.</modifiedWord>
      <trackRevisions>false</trackRevisions>
    </reviewItem>
    <reviewItem>
      <errorID>3fc8318e-ff8b-4bd6-bf21-89453fc8ab02</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57CC3EF6</paraID>
      <start>63</start>
      <end>73</end>
      <status>modified</status>
      <modifiedWord>中华人民共和国预算法</modifiedWord>
      <trackRevisions>false</trackRevisions>
    </reviewItem>
    <reviewItem>
      <errorID>f63794d9-1fb6-467b-908d-0f30fd1ff9dd</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57CC3EF6</paraID>
      <start>90</start>
      <end>91</end>
      <status>modified</status>
      <modifiedWord>既</modifiedWord>
      <trackRevisions>false</trackRevisions>
    </reviewItem>
    <reviewItem>
      <errorID>89aa6328-00c5-4fc9-924b-2e85d5335dbf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67C1AD03</paraID>
      <start>0</start>
      <end>2</end>
      <status>modified</status>
      <modifiedWord>2.</modifiedWord>
      <trackRevisions>false</trackRevisions>
    </reviewItem>
    <reviewItem>
      <errorID>b0369f3c-c914-4006-b889-69ec7dd2ae43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3778AA68</paraID>
      <start>0</start>
      <end>2</end>
      <status>modified</status>
      <modifiedWord>3.</modifiedWord>
      <trackRevisions>false</trackRevisions>
    </reviewItem>
    <reviewItem>
      <errorID>578e1b04-aa39-4359-b567-73e3afd48068</errorID>
      <errorWord>涉及到</errorWord>
      <group>L1_Grammar</group>
      <groupName>语法问题</groupName>
      <ability>L2_Grammar</ability>
      <abilityName>语法错误</abilityName>
      <candidateList>
        <item>涉及</item>
      </candidateList>
      <explain>〈动〉牵涉到；关联到：案子～好几个人｜这个问题～面很广。</explain>
      <paraID>45720CE8</paraID>
      <start>5</start>
      <end>7</end>
      <status>modified</status>
      <modifiedWord>涉及</modifiedWord>
      <trackRevisions>false</trackRevisions>
    </reviewItem>
    <reviewItem>
      <errorID>99c1707d-0e70-45fd-a79e-0579d25aa800</errorID>
      <errorWord>法律、法规</errorWord>
      <group>L1_Word</group>
      <groupName>字词问题</groupName>
      <ability>L2_Typo</ability>
      <abilityName>字词错误</abilityName>
      <candidateList>
        <item>法律法规</item>
      </candidateList>
      <explain/>
      <paraID>1109DF4D</paraID>
      <start>21</start>
      <end>25</end>
      <status>modified</status>
      <modifiedWord>法律法规</modifiedWord>
      <trackRevisions>false</trackRevisions>
    </reviewItem>
    <reviewItem>
      <errorID>e6dc1265-3c80-45f2-a6be-d4e722fcf076</errorID>
      <errorWord>;</errorWord>
      <group>L1_Format</group>
      <groupName>格式问题</groupName>
      <ability>L2_HalfPunc</ability>
      <abilityName>全半角检查</abilityName>
      <candidateList>
        <item>；</item>
      </candidateList>
      <explain>文本全半角错误。</explain>
      <paraID>1109DF4D</paraID>
      <start>32</start>
      <end>33</end>
      <status>modified</status>
      <modifiedWord>；</modifiedWord>
      <trackRevisions>false</trackRevisions>
    </reviewItem>
    <reviewItem>
      <errorID>009fade0-9725-4fe1-8826-c87721dd6d81</errorID>
      <errorWord>;</errorWord>
      <group>L1_Format</group>
      <groupName>格式问题</groupName>
      <ability>L2_HalfPunc</ability>
      <abilityName>全半角检查</abilityName>
      <candidateList>
        <item>；</item>
      </candidateList>
      <explain>文本全半角错误。</explain>
      <paraID>1109DF4D</paraID>
      <start>47</start>
      <end>48</end>
      <status>modified</status>
      <modifiedWord>；</modifiedWord>
      <trackRevisions>false</trackRevisions>
    </reviewItem>
    <reviewItem>
      <errorID>5bd461dc-e912-43e0-a3ee-270febf78f0f</errorID>
      <errorWord>,</errorWord>
      <group>L1_Format</group>
      <groupName>格式问题</groupName>
      <ability>L2_HalfPunc</ability>
      <abilityName>全半角检查</abilityName>
      <candidateList>
        <item>，</item>
      </candidateList>
      <explain>文本全半角错误。</explain>
      <paraID>1109DF4D</paraID>
      <start>52</start>
      <end>53</end>
      <status>modified</status>
      <modifiedWord>，</modifiedWord>
      <trackRevisions>false</trackRevisions>
    </reviewItem>
    <reviewItem>
      <errorID>7791a387-17c8-4f98-8715-6be165aaece3</errorID>
      <errorWord>;</errorWord>
      <group>L1_Format</group>
      <groupName>格式问题</groupName>
      <ability>L2_HalfPunc</ability>
      <abilityName>全半角检查</abilityName>
      <candidateList>
        <item>；</item>
      </candidateList>
      <explain>文本全半角错误。</explain>
      <paraID>1109DF4D</paraID>
      <start>63</start>
      <end>64</end>
      <status>modified</status>
      <modifiedWord>；</modifiedWord>
      <trackRevisions>false</trackRevisions>
    </reviewItem>
    <reviewItem>
      <errorID>9e89856a-8fee-4817-8a9f-21d050fef079</errorID>
      <errorWord>,</errorWord>
      <group>L1_Format</group>
      <groupName>格式问题</groupName>
      <ability>L2_HalfPunc</ability>
      <abilityName>全半角检查</abilityName>
      <candidateList>
        <item>，</item>
      </candidateList>
      <explain>文本全半角错误。</explain>
      <paraID>1109DF4D</paraID>
      <start>68</start>
      <end>69</end>
      <status>modified</status>
      <modifiedWord>，</modifiedWord>
      <trackRevisions>false</trackRevisions>
    </reviewItem>
    <reviewItem>
      <errorID>ab4e9485-26e8-4f12-b6da-f93e51b5780f</errorID>
      <errorWord>针对其</errorWord>
      <group>L1_Word</group>
      <groupName>字词问题</groupName>
      <ability>L2_Typo</ability>
      <abilityName>字词错误</abilityName>
      <candidateList>
        <item>针对</item>
      </candidateList>
      <explain>〈动〉对准：～儿童的心理特点进行教育｜这些不都是～某个人的。</explain>
      <paraID>6BF5C46C</paraID>
      <start>25</start>
      <end>27</end>
      <status>modified</status>
      <modifiedWord>针对</modifiedWord>
      <trackRevisions>false</trackRevisions>
    </reviewItem>
    <reviewItem>
      <errorID>9257344c-5e44-445c-862c-6f7666ff48c7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6FC0D2DA</paraID>
      <start>0</start>
      <end>2</end>
      <status>modified</status>
      <modifiedWord>1.</modifiedWord>
      <trackRevisions>false</trackRevisions>
    </reviewItem>
    <reviewItem>
      <errorID>ec8928de-88c4-404f-99c0-843dff8fbeec</errorID>
      <errorWord>位</errorWord>
      <group>L1_Word</group>
      <groupName>字词问题</groupName>
      <ability>L2_Typo</ability>
      <abilityName>字词错误</abilityName>
      <candidateList>
        <item>位在</item>
      </candidateList>
      <explain/>
      <paraID>6FC0D2DA</paraID>
      <start>39</start>
      <end>41</end>
      <status>modified</status>
      <modifiedWord>位在</modifiedWord>
      <trackRevisions>false</trackRevisions>
    </reviewItem>
    <reviewItem>
      <errorID>df84f228-15c4-4ace-a03e-fd3094eee5b2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13C6E429</paraID>
      <start>0</start>
      <end>2</end>
      <status>modified</status>
      <modifiedWord>2.</modifiedWord>
      <trackRevisions>false</trackRevisions>
    </reviewItem>
    <reviewItem>
      <errorID>38690d89-23d8-4675-9f87-73d55522a34b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3E9D1F19</paraID>
      <start>0</start>
      <end>2</end>
      <status>modified</status>
      <modifiedWord>1.</modifiedWord>
      <trackRevisions>false</trackRevisions>
    </reviewItem>
    <reviewItem>
      <errorID>00f606be-9547-4be5-8d53-e069c5ac6279</errorID>
      <errorWord>建议能</errorWord>
      <group>L1_Word</group>
      <groupName>字词问题</groupName>
      <ability>L2_Typo</ability>
      <abilityName>字词错误</abilityName>
      <candidateList>
        <item>建议</item>
      </candidateList>
      <explain/>
      <paraID>3E9D1F19</paraID>
      <start>18</start>
      <end>20</end>
      <status>modified</status>
      <modifiedWord>建议</modifiedWord>
      <trackRevisions>false</trackRevisions>
    </reviewItem>
    <reviewItem>
      <errorID>4f7417f9-b08f-432b-86dd-7236f497789c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7BCA8E2</paraID>
      <start>0</start>
      <end>2</end>
      <status>modified</status>
      <modifiedWord>2.</modifiedWord>
      <trackRevisions>false</trackRevisions>
    </reviewItem>
    <reviewItem>
      <errorID>638a335c-48ae-4202-a653-935a865db353</errorID>
      <errorWord>财政部门能</errorWord>
      <group>L1_Word</group>
      <groupName>字词问题</groupName>
      <ability>L2_Typo</ability>
      <abilityName>字词错误</abilityName>
      <candidateList>
        <item>财政部门</item>
      </candidateList>
      <explain/>
      <paraID> 7BCA8E2</paraID>
      <start>30</start>
      <end>34</end>
      <status>modified</status>
      <modifiedWord>财政部门</modifiedWord>
      <trackRevisions>false</trackRevisions>
    </reviewItem>
    <reviewItem>
      <errorID>c61aeee8-0130-417c-a7af-e3c54e8484db</errorID>
      <errorWord>业务的</errorWord>
      <group>L1_Word</group>
      <groupName>字词问题</groupName>
      <ability>L2_Typo</ability>
      <abilityName>字词错误</abilityName>
      <candidateList>
        <item>业务</item>
      </candidateList>
      <explain/>
      <paraID> 7BCA8E2</paraID>
      <start>45</start>
      <end>47</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DDCFAFD3-C876-42AB-8FD3-C5AF1F25DEAB}">
  <ds:schemaRefs/>
</ds:datastoreItem>
</file>

<file path=customXml/itemProps2.xml><?xml version="1.0" encoding="utf-8"?>
<ds:datastoreItem xmlns:ds="http://schemas.openxmlformats.org/officeDocument/2006/customXml" ds:itemID="{bd189c03-b57e-4c17-b6f7-d30933404e0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10763</Words>
  <Characters>11342</Characters>
  <Lines>96</Lines>
  <Paragraphs>27</Paragraphs>
  <TotalTime>798</TotalTime>
  <ScaleCrop>false</ScaleCrop>
  <LinksUpToDate>false</LinksUpToDate>
  <CharactersWithSpaces>11566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2019-09-09T11:27:00Z</cp:lastPrinted>
  <dcterms:modified xsi:type="dcterms:W3CDTF">2026-04-23T08:20:44Z</dcterms:modified>
  <dc:title>四川省***</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93D3FB8A077741108041507D74A1433C_12</vt:lpwstr>
  </property>
</Properties>
</file>