
<file path=[Content_Types].xml><?xml version="1.0" encoding="utf-8"?>
<Types xmlns="http://schemas.openxmlformats.org/package/2006/content-types">
  <Default Extension="xml" ContentType="application/xml"/>
  <Default Extension="xls" ContentType="application/vnd.ms-exce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720FF">
      <w:pPr>
        <w:pStyle w:val="8"/>
        <w:jc w:val="center"/>
        <w:rPr>
          <w:rFonts w:hint="eastAsia" w:ascii="方正小标宋简体" w:hAnsi="宋体" w:eastAsia="方正小标宋简体" w:cs="Times New Roman"/>
          <w:color w:val="auto"/>
          <w:kern w:val="2"/>
          <w:sz w:val="44"/>
          <w:szCs w:val="44"/>
          <w:highlight w:val="none"/>
          <w:lang w:val="en-US" w:eastAsia="zh-CN" w:bidi="ar-SA"/>
        </w:rPr>
      </w:pPr>
    </w:p>
    <w:p w14:paraId="23E64529">
      <w:pPr>
        <w:pageBreakBefore w:val="0"/>
        <w:kinsoku/>
        <w:wordWrap/>
        <w:overflowPunct/>
        <w:topLinePunct w:val="0"/>
        <w:bidi w:val="0"/>
        <w:spacing w:line="578" w:lineRule="exact"/>
        <w:ind w:firstLine="0" w:firstLineChars="0"/>
        <w:rPr>
          <w:rFonts w:asciiTheme="minorEastAsia" w:hAnsiTheme="minorEastAsia" w:eastAsiaTheme="minorEastAsia"/>
          <w:b/>
          <w:sz w:val="72"/>
          <w:szCs w:val="72"/>
        </w:rPr>
      </w:pPr>
      <w:bookmarkStart w:id="0" w:name="_Toc15378441"/>
      <w:bookmarkStart w:id="1" w:name="_Toc15377193"/>
      <w:bookmarkStart w:id="2" w:name="_Toc15396475"/>
      <w:bookmarkStart w:id="3" w:name="_Toc15377425"/>
      <w:bookmarkStart w:id="4" w:name="_Toc15396597"/>
      <w:bookmarkStart w:id="5" w:name="_Toc15306267"/>
    </w:p>
    <w:p w14:paraId="5B27B5FE">
      <w:pPr>
        <w:pStyle w:val="6"/>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pPr>
    </w:p>
    <w:p w14:paraId="3D490EC0">
      <w:pPr>
        <w:keepNext w:val="0"/>
        <w:keepLines w:val="0"/>
        <w:pageBreakBefore w:val="0"/>
        <w:widowControl w:val="0"/>
        <w:kinsoku/>
        <w:wordWrap/>
        <w:overflowPunct/>
        <w:topLinePunct w:val="0"/>
        <w:autoSpaceDE/>
        <w:autoSpaceDN/>
        <w:bidi w:val="0"/>
        <w:adjustRightInd/>
        <w:snapToGrid/>
        <w:spacing w:line="800" w:lineRule="atLeast"/>
        <w:ind w:firstLine="0" w:firstLineChars="0"/>
        <w:jc w:val="center"/>
        <w:textAlignment w:val="auto"/>
        <w:rPr>
          <w:rFonts w:hint="eastAsia" w:ascii="方正小标宋简体" w:hAnsi="Times New Roman" w:eastAsia="方正小标宋简体" w:cs="Times New Roman"/>
          <w:sz w:val="72"/>
          <w:szCs w:val="72"/>
        </w:rPr>
      </w:pPr>
      <w:r>
        <w:rPr>
          <w:rFonts w:hint="eastAsia" w:ascii="方正小标宋简体" w:hAnsi="Times New Roman" w:eastAsia="方正小标宋简体" w:cs="Times New Roman"/>
          <w:sz w:val="72"/>
          <w:szCs w:val="72"/>
        </w:rPr>
        <w:t>202</w:t>
      </w:r>
      <w:r>
        <w:rPr>
          <w:rFonts w:hint="eastAsia" w:ascii="方正小标宋简体" w:hAnsi="Times New Roman" w:eastAsia="方正小标宋简体" w:cs="Times New Roman"/>
          <w:sz w:val="72"/>
          <w:szCs w:val="72"/>
          <w:lang w:val="en-US" w:eastAsia="zh-CN"/>
        </w:rPr>
        <w:t>3</w:t>
      </w:r>
      <w:r>
        <w:rPr>
          <w:rFonts w:hint="eastAsia" w:ascii="方正小标宋简体" w:hAnsi="Times New Roman" w:eastAsia="方正小标宋简体" w:cs="Times New Roman"/>
          <w:sz w:val="72"/>
          <w:szCs w:val="72"/>
        </w:rPr>
        <w:t>年度</w:t>
      </w:r>
      <w:bookmarkEnd w:id="0"/>
      <w:bookmarkEnd w:id="1"/>
      <w:bookmarkEnd w:id="2"/>
      <w:bookmarkEnd w:id="3"/>
      <w:bookmarkEnd w:id="4"/>
    </w:p>
    <w:bookmarkEnd w:id="5"/>
    <w:p w14:paraId="546C90CC">
      <w:pPr>
        <w:keepNext w:val="0"/>
        <w:keepLines w:val="0"/>
        <w:pageBreakBefore w:val="0"/>
        <w:widowControl w:val="0"/>
        <w:kinsoku/>
        <w:wordWrap/>
        <w:overflowPunct/>
        <w:topLinePunct w:val="0"/>
        <w:autoSpaceDE/>
        <w:autoSpaceDN/>
        <w:bidi w:val="0"/>
        <w:adjustRightInd/>
        <w:snapToGrid/>
        <w:spacing w:line="800" w:lineRule="atLeast"/>
        <w:ind w:firstLine="0" w:firstLineChars="0"/>
        <w:jc w:val="center"/>
        <w:textAlignment w:val="auto"/>
        <w:rPr>
          <w:rFonts w:hint="eastAsia" w:ascii="方正小标宋简体" w:hAnsi="Times New Roman" w:eastAsia="方正小标宋简体" w:cs="Times New Roman"/>
          <w:sz w:val="72"/>
          <w:szCs w:val="72"/>
          <w:lang w:eastAsia="zh-CN"/>
        </w:rPr>
      </w:pPr>
      <w:r>
        <w:rPr>
          <w:rFonts w:hint="eastAsia" w:ascii="方正小标宋简体" w:hAnsi="Times New Roman" w:eastAsia="方正小标宋简体" w:cs="Times New Roman"/>
          <w:sz w:val="72"/>
          <w:szCs w:val="72"/>
        </w:rPr>
        <w:t>四川省阿坝州松潘县目标绩效督查事务中心</w:t>
      </w:r>
      <w:r>
        <w:rPr>
          <w:rFonts w:hint="eastAsia" w:ascii="方正小标宋简体" w:hAnsi="Times New Roman" w:eastAsia="方正小标宋简体" w:cs="Times New Roman"/>
          <w:sz w:val="72"/>
          <w:szCs w:val="72"/>
          <w:lang w:eastAsia="zh-CN"/>
        </w:rPr>
        <w:t>部门</w:t>
      </w:r>
    </w:p>
    <w:p w14:paraId="45EAE1E5">
      <w:pPr>
        <w:keepNext w:val="0"/>
        <w:keepLines w:val="0"/>
        <w:pageBreakBefore w:val="0"/>
        <w:widowControl w:val="0"/>
        <w:kinsoku/>
        <w:wordWrap/>
        <w:overflowPunct/>
        <w:topLinePunct w:val="0"/>
        <w:autoSpaceDE/>
        <w:autoSpaceDN/>
        <w:bidi w:val="0"/>
        <w:adjustRightInd/>
        <w:snapToGrid/>
        <w:spacing w:line="800" w:lineRule="atLeast"/>
        <w:ind w:firstLine="0" w:firstLineChars="0"/>
        <w:jc w:val="center"/>
        <w:textAlignment w:val="auto"/>
        <w:rPr>
          <w:rFonts w:hint="eastAsia" w:ascii="方正小标宋简体" w:hAnsi="Times New Roman" w:eastAsia="方正小标宋简体" w:cs="Times New Roman"/>
          <w:sz w:val="72"/>
          <w:szCs w:val="72"/>
          <w:lang w:eastAsia="zh-CN"/>
        </w:rPr>
      </w:pPr>
      <w:r>
        <w:rPr>
          <w:rFonts w:hint="eastAsia" w:ascii="方正小标宋简体" w:hAnsi="Times New Roman" w:eastAsia="方正小标宋简体" w:cs="Times New Roman"/>
          <w:sz w:val="72"/>
          <w:szCs w:val="72"/>
          <w:lang w:eastAsia="zh-CN"/>
        </w:rPr>
        <w:t>决算公开</w:t>
      </w:r>
    </w:p>
    <w:p w14:paraId="155679BA">
      <w:pPr>
        <w:widowControl/>
        <w:jc w:val="center"/>
        <w:rPr>
          <w:rFonts w:ascii="方正小标宋简体" w:hAnsi="宋体" w:eastAsia="方正小标宋简体"/>
          <w:color w:val="auto"/>
          <w:sz w:val="36"/>
          <w:szCs w:val="36"/>
          <w:highlight w:val="none"/>
        </w:rPr>
      </w:pPr>
    </w:p>
    <w:p w14:paraId="5DCEB2D1">
      <w:pPr>
        <w:widowControl/>
        <w:jc w:val="center"/>
        <w:rPr>
          <w:rFonts w:ascii="方正小标宋简体" w:hAnsi="宋体" w:eastAsia="方正小标宋简体"/>
          <w:color w:val="auto"/>
          <w:sz w:val="36"/>
          <w:szCs w:val="36"/>
          <w:highlight w:val="none"/>
        </w:rPr>
      </w:pPr>
    </w:p>
    <w:p w14:paraId="0914BD79">
      <w:pPr>
        <w:widowControl/>
        <w:jc w:val="center"/>
        <w:rPr>
          <w:rFonts w:ascii="方正小标宋简体" w:hAnsi="宋体" w:eastAsia="方正小标宋简体"/>
          <w:color w:val="auto"/>
          <w:sz w:val="36"/>
          <w:szCs w:val="36"/>
          <w:highlight w:val="none"/>
        </w:rPr>
      </w:pPr>
    </w:p>
    <w:p w14:paraId="662C3F4F">
      <w:pPr>
        <w:widowControl/>
        <w:jc w:val="center"/>
        <w:rPr>
          <w:rFonts w:ascii="方正小标宋简体" w:hAnsi="宋体" w:eastAsia="方正小标宋简体"/>
          <w:color w:val="auto"/>
          <w:sz w:val="36"/>
          <w:szCs w:val="36"/>
          <w:highlight w:val="none"/>
        </w:rPr>
      </w:pPr>
    </w:p>
    <w:p w14:paraId="1D965252">
      <w:pPr>
        <w:widowControl/>
        <w:jc w:val="center"/>
        <w:rPr>
          <w:rFonts w:ascii="方正小标宋简体" w:hAnsi="宋体" w:eastAsia="方正小标宋简体"/>
          <w:color w:val="auto"/>
          <w:sz w:val="36"/>
          <w:szCs w:val="36"/>
          <w:highlight w:val="none"/>
        </w:rPr>
      </w:pPr>
    </w:p>
    <w:p w14:paraId="5D6771AC">
      <w:pPr>
        <w:widowControl/>
        <w:jc w:val="both"/>
        <w:rPr>
          <w:rFonts w:ascii="方正小标宋简体" w:hAnsi="宋体" w:eastAsia="方正小标宋简体"/>
          <w:color w:val="auto"/>
          <w:sz w:val="36"/>
          <w:szCs w:val="36"/>
          <w:highlight w:val="none"/>
        </w:rPr>
      </w:pPr>
    </w:p>
    <w:p w14:paraId="7094707E">
      <w:pPr>
        <w:pageBreakBefore w:val="0"/>
        <w:kinsoku/>
        <w:wordWrap/>
        <w:overflowPunct/>
        <w:topLinePunct w:val="0"/>
        <w:autoSpaceDE w:val="0"/>
        <w:autoSpaceDN w:val="0"/>
        <w:bidi w:val="0"/>
        <w:adjustRightInd w:val="0"/>
        <w:spacing w:line="578" w:lineRule="exact"/>
        <w:ind w:left="420" w:leftChars="200" w:firstLine="0" w:firstLineChars="0"/>
        <w:jc w:val="left"/>
        <w:rPr>
          <w:rFonts w:ascii="宋体" w:hAnsi="宋体"/>
          <w:sz w:val="32"/>
          <w:szCs w:val="32"/>
        </w:rPr>
      </w:pPr>
      <w:r>
        <w:rPr>
          <w:rFonts w:hint="eastAsia" w:ascii="宋体" w:hAnsi="宋体" w:cs="仿宋_GB2312"/>
          <w:sz w:val="32"/>
          <w:szCs w:val="32"/>
        </w:rPr>
        <w:t>保密审查情况：已审查，内容审定</w:t>
      </w:r>
    </w:p>
    <w:p w14:paraId="472343C1">
      <w:pPr>
        <w:pageBreakBefore w:val="0"/>
        <w:kinsoku/>
        <w:wordWrap/>
        <w:overflowPunct/>
        <w:topLinePunct w:val="0"/>
        <w:autoSpaceDE w:val="0"/>
        <w:autoSpaceDN w:val="0"/>
        <w:bidi w:val="0"/>
        <w:adjustRightInd w:val="0"/>
        <w:spacing w:line="578" w:lineRule="exact"/>
        <w:ind w:left="420" w:leftChars="200" w:firstLine="0" w:firstLineChars="0"/>
        <w:jc w:val="left"/>
        <w:rPr>
          <w:rFonts w:ascii="宋体" w:hAnsi="宋体"/>
          <w:sz w:val="32"/>
          <w:szCs w:val="32"/>
        </w:rPr>
      </w:pPr>
      <w:r>
        <w:rPr>
          <w:rFonts w:hint="eastAsia" w:ascii="宋体" w:hAnsi="宋体" w:cs="仿宋_GB2312"/>
          <w:sz w:val="32"/>
          <w:szCs w:val="32"/>
        </w:rPr>
        <w:t>部门主要负责人审签情况：已审签，同意对外公开</w:t>
      </w:r>
    </w:p>
    <w:p w14:paraId="0D98EB4C">
      <w:pPr>
        <w:widowControl/>
        <w:jc w:val="center"/>
        <w:rPr>
          <w:rFonts w:ascii="方正小标宋简体" w:hAnsi="宋体" w:eastAsia="方正小标宋简体"/>
          <w:color w:val="auto"/>
          <w:sz w:val="36"/>
          <w:szCs w:val="36"/>
          <w:highlight w:val="none"/>
        </w:rPr>
      </w:pPr>
    </w:p>
    <w:p w14:paraId="4E1278F2">
      <w:pPr>
        <w:widowControl/>
        <w:jc w:val="center"/>
        <w:rPr>
          <w:rFonts w:ascii="方正小标宋简体" w:hAnsi="宋体" w:eastAsia="方正小标宋简体"/>
          <w:color w:val="auto"/>
          <w:sz w:val="36"/>
          <w:szCs w:val="36"/>
          <w:highlight w:val="none"/>
        </w:rPr>
      </w:pPr>
    </w:p>
    <w:p w14:paraId="483DA0EF">
      <w:pPr>
        <w:widowControl/>
        <w:jc w:val="center"/>
        <w:rPr>
          <w:rFonts w:ascii="黑体" w:hAnsi="黑体" w:eastAsia="黑体" w:cs="Times New Roman"/>
          <w:color w:val="auto"/>
          <w:sz w:val="28"/>
          <w:szCs w:val="28"/>
          <w:highlight w:val="none"/>
        </w:rPr>
      </w:pPr>
      <w:r>
        <w:rPr>
          <w:rStyle w:val="29"/>
        </w:rPr>
        <w:br w:type="page"/>
      </w:r>
      <w:r>
        <w:rPr>
          <w:rFonts w:hint="eastAsia" w:ascii="黑体" w:hAnsi="黑体" w:eastAsia="黑体"/>
          <w:color w:val="auto"/>
          <w:sz w:val="48"/>
          <w:szCs w:val="48"/>
          <w:highlight w:val="none"/>
        </w:rPr>
        <w:t>目录</w:t>
      </w:r>
    </w:p>
    <w:p w14:paraId="229A5C79">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p>
    <w:p w14:paraId="6988497D">
      <w:pPr>
        <w:rPr>
          <w:color w:val="auto"/>
          <w:highlight w:val="none"/>
        </w:rPr>
      </w:pPr>
    </w:p>
    <w:p w14:paraId="2B898968">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79853C6C">
      <w:pPr>
        <w:pStyle w:val="16"/>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w:t>
      </w:r>
      <w:r>
        <w:rPr>
          <w:rFonts w:hint="eastAsia"/>
          <w:color w:val="auto"/>
          <w:sz w:val="24"/>
          <w:highlight w:val="none"/>
          <w:lang w:eastAsia="zh-CN"/>
        </w:rPr>
        <w:t>部门职责</w:t>
      </w:r>
    </w:p>
    <w:p w14:paraId="645A27A8">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二、机构设置</w:t>
      </w:r>
    </w:p>
    <w:p w14:paraId="5E6E9B20">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rPr>
        <w:t>部门决算情况说明</w:t>
      </w:r>
    </w:p>
    <w:p w14:paraId="5A390FD0">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29955C26">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37A39A81">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1096B95A">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112AFF4A">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441F60BD">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234FB90A">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78A8972B">
      <w:pPr>
        <w:pStyle w:val="16"/>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2E85D06C">
      <w:pPr>
        <w:pStyle w:val="16"/>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p>
    <w:p w14:paraId="21DBE6A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rPr>
      </w:pPr>
      <w:r>
        <w:rPr>
          <w:rStyle w:val="20"/>
          <w:rFonts w:hint="eastAsia" w:ascii="宋体" w:hAnsi="宋体" w:eastAsia="宋体" w:cs="宋体"/>
          <w:color w:val="auto"/>
          <w:sz w:val="24"/>
          <w:highlight w:val="none"/>
          <w:u w:val="none"/>
          <w:lang w:eastAsia="zh-CN"/>
        </w:rPr>
        <w:t>十</w:t>
      </w:r>
      <w:r>
        <w:rPr>
          <w:rStyle w:val="20"/>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p>
    <w:p w14:paraId="437EE44E">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542EEBAD">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71279972">
      <w:pPr>
        <w:pStyle w:val="12"/>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0281996F">
      <w:pPr>
        <w:pStyle w:val="16"/>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6251E04A">
      <w:pPr>
        <w:pStyle w:val="16"/>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382E3EF3">
      <w:pPr>
        <w:pStyle w:val="16"/>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5D54AFC">
      <w:pPr>
        <w:pStyle w:val="16"/>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664486D6">
      <w:pPr>
        <w:pStyle w:val="16"/>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01B4E11C">
      <w:pPr>
        <w:pStyle w:val="16"/>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2887C1F1">
      <w:pPr>
        <w:pStyle w:val="16"/>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13070042">
      <w:pPr>
        <w:pStyle w:val="16"/>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0EC90488">
      <w:pPr>
        <w:pStyle w:val="16"/>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6CE7B606">
      <w:pPr>
        <w:pStyle w:val="16"/>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2C8C3A48">
      <w:pPr>
        <w:pStyle w:val="16"/>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207E2BD">
      <w:pPr>
        <w:pStyle w:val="16"/>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4C99BE94">
      <w:pPr>
        <w:pStyle w:val="16"/>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2783F0AE">
      <w:pPr>
        <w:widowControl/>
        <w:adjustRightInd w:val="0"/>
        <w:snapToGrid w:val="0"/>
        <w:spacing w:line="440" w:lineRule="exact"/>
        <w:ind w:firstLine="1320" w:firstLineChars="550"/>
        <w:jc w:val="left"/>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hint="eastAsia" w:ascii="仿宋" w:hAnsi="仿宋" w:eastAsia="仿宋"/>
          <w:color w:val="auto"/>
          <w:sz w:val="24"/>
          <w:highlight w:val="none"/>
          <w:lang w:eastAsia="zh-CN"/>
        </w:rPr>
        <w:t>）</w:t>
      </w:r>
    </w:p>
    <w:p w14:paraId="1043EBFC">
      <w:pPr>
        <w:widowControl/>
        <w:spacing w:line="440" w:lineRule="exact"/>
        <w:jc w:val="left"/>
        <w:rPr>
          <w:rFonts w:ascii="仿宋" w:hAnsi="仿宋" w:eastAsia="仿宋"/>
          <w:bCs/>
          <w:color w:val="auto"/>
          <w:kern w:val="44"/>
          <w:sz w:val="24"/>
          <w:highlight w:val="none"/>
        </w:rPr>
      </w:pPr>
      <w:bookmarkStart w:id="6" w:name="_Toc15377196"/>
      <w:bookmarkStart w:id="7" w:name="_Toc15396599"/>
      <w:r>
        <w:rPr>
          <w:rFonts w:ascii="仿宋" w:hAnsi="仿宋" w:eastAsia="仿宋"/>
          <w:b/>
          <w:color w:val="auto"/>
          <w:sz w:val="24"/>
          <w:highlight w:val="none"/>
        </w:rPr>
        <w:br w:type="page"/>
      </w:r>
    </w:p>
    <w:p w14:paraId="442C19EB">
      <w:pPr>
        <w:pStyle w:val="4"/>
        <w:jc w:val="center"/>
        <w:rPr>
          <w:rStyle w:val="2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1"/>
          <w:rFonts w:hint="eastAsia" w:ascii="黑体" w:hAnsi="黑体" w:eastAsia="黑体"/>
          <w:b w:val="0"/>
          <w:bCs w:val="0"/>
          <w:color w:val="auto"/>
          <w:highlight w:val="none"/>
        </w:rPr>
        <w:t>部门概况</w:t>
      </w:r>
      <w:bookmarkEnd w:id="6"/>
      <w:bookmarkEnd w:id="7"/>
    </w:p>
    <w:p w14:paraId="3ABCFD37">
      <w:pPr>
        <w:widowControl/>
        <w:jc w:val="left"/>
        <w:rPr>
          <w:rFonts w:ascii="黑体" w:eastAsia="黑体"/>
          <w:color w:val="auto"/>
          <w:sz w:val="32"/>
          <w:szCs w:val="32"/>
          <w:highlight w:val="none"/>
        </w:rPr>
      </w:pPr>
    </w:p>
    <w:p w14:paraId="6D6109AA">
      <w:pPr>
        <w:pStyle w:val="5"/>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191A57A9">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1.协助县委、县政府和县委县政府领导督促检查贯彻落实党和国家方针、政策、指示、决定情况。</w:t>
      </w:r>
    </w:p>
    <w:p w14:paraId="003F1D23">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2.督查落实上级党委领导机关和领导同志批示交办事项。</w:t>
      </w:r>
    </w:p>
    <w:p w14:paraId="39879ECF">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3.督查落实县委、县政府重要文件、重要会议决议、决定和重大决策、重要工作部署。</w:t>
      </w:r>
    </w:p>
    <w:p w14:paraId="3A697F81">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4.督查落实县委、县政府和领导同志重要指示、批示。</w:t>
      </w:r>
    </w:p>
    <w:p w14:paraId="45683633">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5.督查落实本级或上一级人大代表、政协委员提出的需要由县委、县政府答复的有关议案、提案的办理情况。</w:t>
      </w:r>
    </w:p>
    <w:p w14:paraId="0D77490E">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6.查办新闻单位披露的本地、本部门的问题并要求反馈结果或需要核查的事项。</w:t>
      </w:r>
    </w:p>
    <w:p w14:paraId="349EB8F1">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7.根据决策实施的进展情况，对关系全局的热点问题、工作落实的难点问题和执行中出现的倾向性、苗头性问题开展调研，对重点问题进行解剖分析，向党委、政府写出专题或综合报告。</w:t>
      </w:r>
    </w:p>
    <w:p w14:paraId="7A19A2E6">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8.根据党委、政府授权，协调和推动各职能部门和下级党委、政府开展督促检查。</w:t>
      </w:r>
    </w:p>
    <w:p w14:paraId="02CAAF0E">
      <w:pPr>
        <w:pStyle w:val="9"/>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9.加强同各职能部门的联系，了解有关工作的进展情况，向党委、政府汇总报告。</w:t>
      </w:r>
    </w:p>
    <w:p w14:paraId="595789E0">
      <w:pPr>
        <w:pStyle w:val="9"/>
        <w:ind w:firstLine="640"/>
        <w:rPr>
          <w:rFonts w:hint="eastAsia" w:ascii="仿宋" w:hAnsi="仿宋" w:eastAsia="仿宋" w:cs="宋体"/>
          <w:kern w:val="0"/>
          <w:sz w:val="32"/>
          <w:szCs w:val="32"/>
        </w:rPr>
      </w:pPr>
      <w:r>
        <w:rPr>
          <w:rFonts w:hint="eastAsia" w:ascii="仿宋" w:hAnsi="仿宋" w:eastAsia="仿宋" w:cs="宋体"/>
          <w:kern w:val="0"/>
          <w:sz w:val="32"/>
          <w:szCs w:val="32"/>
        </w:rPr>
        <w:t>10.指导、督促党委、政府重大决策和重要工作部署的全面落实。</w:t>
      </w:r>
    </w:p>
    <w:p w14:paraId="76E17244">
      <w:pPr>
        <w:pStyle w:val="9"/>
        <w:ind w:firstLine="640"/>
        <w:rPr>
          <w:rFonts w:hint="eastAsia" w:ascii="仿宋" w:hAnsi="仿宋" w:eastAsia="仿宋" w:cs="宋体"/>
          <w:kern w:val="0"/>
          <w:sz w:val="32"/>
          <w:szCs w:val="32"/>
        </w:rPr>
      </w:pPr>
      <w:r>
        <w:rPr>
          <w:rFonts w:hint="eastAsia" w:ascii="仿宋" w:hAnsi="仿宋" w:eastAsia="仿宋" w:cs="宋体"/>
          <w:kern w:val="0"/>
          <w:sz w:val="32"/>
          <w:szCs w:val="32"/>
        </w:rPr>
        <w:t>11.负责全县的目标管理考核工作。</w:t>
      </w:r>
    </w:p>
    <w:p w14:paraId="431CD1D9">
      <w:pPr>
        <w:pStyle w:val="9"/>
        <w:ind w:firstLine="640" w:firstLineChars="200"/>
        <w:rPr>
          <w:rFonts w:hint="eastAsia"/>
          <w:lang w:eastAsia="zh-CN"/>
        </w:rPr>
      </w:pPr>
      <w:r>
        <w:rPr>
          <w:rFonts w:hint="eastAsia" w:ascii="仿宋" w:hAnsi="仿宋" w:eastAsia="仿宋" w:cs="宋体"/>
          <w:kern w:val="0"/>
          <w:sz w:val="32"/>
          <w:szCs w:val="32"/>
        </w:rPr>
        <w:t>12.负责编发《督查专报》。</w:t>
      </w:r>
    </w:p>
    <w:p w14:paraId="78B59031">
      <w:pPr>
        <w:pStyle w:val="5"/>
        <w:rPr>
          <w:rStyle w:val="23"/>
          <w:b w:val="0"/>
          <w:bCs w:val="0"/>
          <w:color w:val="auto"/>
          <w:highlight w:val="none"/>
        </w:rPr>
      </w:pPr>
      <w:bookmarkStart w:id="8" w:name="_Toc15377200"/>
      <w:bookmarkStart w:id="9"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3"/>
          <w:rFonts w:hint="eastAsia" w:ascii="黑体" w:hAnsi="黑体" w:eastAsia="黑体"/>
          <w:b w:val="0"/>
          <w:bCs w:val="0"/>
          <w:color w:val="auto"/>
          <w:highlight w:val="none"/>
        </w:rPr>
        <w:t>构设置</w:t>
      </w:r>
      <w:bookmarkEnd w:id="8"/>
      <w:bookmarkEnd w:id="9"/>
    </w:p>
    <w:p w14:paraId="62B53414">
      <w:pPr>
        <w:pageBreakBefore w:val="0"/>
        <w:kinsoku/>
        <w:wordWrap/>
        <w:overflowPunct/>
        <w:topLinePunct w:val="0"/>
        <w:bidi w:val="0"/>
        <w:spacing w:line="578" w:lineRule="exact"/>
        <w:ind w:firstLine="640" w:firstLineChars="200"/>
        <w:rPr>
          <w:rFonts w:ascii="仿宋" w:hAnsi="仿宋" w:eastAsia="仿宋"/>
          <w:color w:val="auto"/>
          <w:kern w:val="0"/>
          <w:sz w:val="32"/>
          <w:szCs w:val="32"/>
          <w:highlight w:val="none"/>
        </w:rPr>
      </w:pPr>
      <w:r>
        <w:rPr>
          <w:rFonts w:hint="eastAsia" w:ascii="仿宋" w:hAnsi="仿宋" w:eastAsia="仿宋"/>
          <w:color w:val="000000"/>
          <w:sz w:val="32"/>
          <w:szCs w:val="32"/>
          <w:lang w:eastAsia="zh-CN"/>
        </w:rPr>
        <w:t>本单位属于事业单位，</w:t>
      </w:r>
      <w:r>
        <w:rPr>
          <w:rFonts w:ascii="仿宋" w:hAnsi="仿宋" w:eastAsia="仿宋"/>
          <w:color w:val="000000"/>
          <w:sz w:val="32"/>
          <w:szCs w:val="32"/>
        </w:rPr>
        <w:t>事业编制12名</w:t>
      </w:r>
      <w:r>
        <w:rPr>
          <w:rFonts w:hint="eastAsia" w:ascii="仿宋" w:hAnsi="仿宋" w:eastAsia="仿宋"/>
          <w:color w:val="000000"/>
          <w:sz w:val="32"/>
          <w:szCs w:val="32"/>
          <w:lang w:eastAsia="zh-CN"/>
        </w:rPr>
        <w:t>，主任</w:t>
      </w:r>
      <w:r>
        <w:rPr>
          <w:rFonts w:hint="eastAsia" w:ascii="仿宋" w:hAnsi="仿宋" w:eastAsia="仿宋"/>
          <w:color w:val="000000"/>
          <w:sz w:val="32"/>
          <w:szCs w:val="32"/>
          <w:lang w:val="en-US" w:eastAsia="zh-CN"/>
        </w:rPr>
        <w:t>1名，副主任2名，股级领导职数3名。</w:t>
      </w:r>
    </w:p>
    <w:p w14:paraId="3B844D4A">
      <w:pPr>
        <w:pStyle w:val="4"/>
        <w:ind w:right="440"/>
        <w:jc w:val="center"/>
        <w:rPr>
          <w:rStyle w:val="21"/>
          <w:rFonts w:ascii="黑体" w:hAnsi="黑体" w:eastAsia="黑体"/>
          <w:b w:val="0"/>
          <w:bCs/>
          <w:color w:val="auto"/>
          <w:highlight w:val="none"/>
        </w:rPr>
      </w:pPr>
      <w:bookmarkStart w:id="10" w:name="_Toc15377204"/>
      <w:bookmarkStart w:id="1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1"/>
          <w:rFonts w:hint="eastAsia" w:ascii="黑体" w:hAnsi="黑体" w:eastAsia="黑体"/>
          <w:b w:val="0"/>
          <w:bCs/>
          <w:color w:val="auto"/>
          <w:highlight w:val="none"/>
        </w:rPr>
        <w:t>部门决算情况说明</w:t>
      </w:r>
      <w:bookmarkEnd w:id="10"/>
      <w:bookmarkEnd w:id="11"/>
    </w:p>
    <w:p w14:paraId="1D3A8363">
      <w:pPr>
        <w:rPr>
          <w:color w:val="auto"/>
          <w:highlight w:val="none"/>
        </w:rPr>
      </w:pPr>
    </w:p>
    <w:p w14:paraId="7F9F191A">
      <w:pPr>
        <w:pStyle w:val="28"/>
        <w:numPr>
          <w:ilvl w:val="0"/>
          <w:numId w:val="2"/>
        </w:numPr>
        <w:spacing w:line="600" w:lineRule="exact"/>
        <w:ind w:firstLineChars="0"/>
        <w:outlineLvl w:val="1"/>
        <w:rPr>
          <w:rStyle w:val="23"/>
          <w:rFonts w:ascii="黑体" w:hAnsi="黑体" w:eastAsia="黑体"/>
          <w:b w:val="0"/>
          <w:color w:val="auto"/>
          <w:highlight w:val="none"/>
        </w:rPr>
      </w:pPr>
      <w:bookmarkStart w:id="12" w:name="_Toc15377205"/>
      <w:bookmarkStart w:id="13" w:name="_Toc15396603"/>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入支出决算总体情况说明</w:t>
      </w:r>
      <w:bookmarkEnd w:id="12"/>
      <w:bookmarkEnd w:id="13"/>
    </w:p>
    <w:p w14:paraId="5ACCC014">
      <w:pPr>
        <w:widowControl/>
        <w:spacing w:before="100" w:beforeAutospacing="1" w:after="100" w:afterAutospacing="1"/>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本单位本年度收入全年预算数为168.6</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万元，收入决算数为168.6</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万元，预算完成度为100.00%，上年度预算完成度为100.00%， 本年度支出全年预算数为178.6万元，支出决算数为178.6万元，预算完成度为100.00%，上年度预算完成度为100.00%</w:t>
      </w:r>
    </w:p>
    <w:p w14:paraId="75157D7B">
      <w:pPr>
        <w:pStyle w:val="2"/>
        <w:rPr>
          <w:rStyle w:val="19"/>
          <w:rFonts w:hint="eastAsia"/>
        </w:rPr>
      </w:pPr>
      <w:r>
        <w:rPr>
          <w:rFonts w:hint="eastAsia" w:ascii="Times New Roman" w:hAnsi="Times New Roman" w:eastAsia="宋体" w:cs="Times New Roman"/>
          <w:b/>
          <w:bCs/>
        </w:rPr>
        <w:object>
          <v:shape id="_x0000_i1025" o:spt="75" type="#_x0000_t75" style="height:222.4pt;width:366.4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1BBE4379">
      <w:pPr>
        <w:pStyle w:val="28"/>
        <w:numPr>
          <w:ilvl w:val="0"/>
          <w:numId w:val="2"/>
        </w:numPr>
        <w:spacing w:line="600" w:lineRule="exact"/>
        <w:ind w:firstLineChars="0"/>
        <w:outlineLvl w:val="1"/>
        <w:rPr>
          <w:rStyle w:val="23"/>
          <w:rFonts w:ascii="黑体" w:hAnsi="黑体" w:eastAsia="黑体"/>
          <w:b w:val="0"/>
          <w:color w:val="auto"/>
          <w:highlight w:val="none"/>
        </w:rPr>
      </w:pPr>
      <w:bookmarkStart w:id="14" w:name="_Toc15377206"/>
      <w:bookmarkStart w:id="15" w:name="_Toc15396604"/>
      <w:r>
        <w:rPr>
          <w:rFonts w:hint="eastAsia" w:ascii="黑体" w:hAnsi="黑体" w:eastAsia="黑体"/>
          <w:color w:val="auto"/>
          <w:sz w:val="32"/>
          <w:szCs w:val="32"/>
          <w:highlight w:val="none"/>
        </w:rPr>
        <w:t>收</w:t>
      </w:r>
      <w:r>
        <w:rPr>
          <w:rStyle w:val="23"/>
          <w:rFonts w:hint="eastAsia" w:ascii="黑体" w:hAnsi="黑体" w:eastAsia="黑体"/>
          <w:b w:val="0"/>
          <w:color w:val="auto"/>
          <w:highlight w:val="none"/>
        </w:rPr>
        <w:t>入决算情况说明</w:t>
      </w:r>
      <w:bookmarkEnd w:id="14"/>
      <w:bookmarkEnd w:id="15"/>
    </w:p>
    <w:p w14:paraId="1794B6A2">
      <w:pPr>
        <w:pageBreakBefore w:val="0"/>
        <w:kinsoku/>
        <w:wordWrap/>
        <w:overflowPunct/>
        <w:topLinePunct w:val="0"/>
        <w:bidi w:val="0"/>
        <w:spacing w:line="578" w:lineRule="exact"/>
        <w:ind w:firstLine="640" w:firstLineChars="200"/>
        <w:rPr>
          <w:rFonts w:hint="eastAsia" w:ascii="仿宋" w:hAnsi="仿宋" w:eastAsia="仿宋"/>
          <w:color w:val="000000"/>
          <w:sz w:val="32"/>
          <w:szCs w:val="32"/>
        </w:rPr>
      </w:pPr>
      <w:r>
        <w:rPr>
          <w:rFonts w:hint="eastAsia" w:ascii="仿宋_GB2312" w:eastAsia="仿宋_GB2312"/>
          <w:color w:val="FF0000"/>
          <w:sz w:val="32"/>
          <w:szCs w:val="32"/>
        </w:rPr>
        <w:pict>
          <v:shape id="Object 9" o:spid="_x0000_s1026" o:spt="75" alt="7b0a202020202263686172745265734964223a20223230343733303131220a7d0a" type="#_x0000_t75" style="position:absolute;left:0pt;margin-left:183.5pt;margin-top:193.2pt;height:173.25pt;width:264.75pt;mso-wrap-distance-bottom:0pt;mso-wrap-distance-left:9pt;mso-wrap-distance-right:9pt;mso-wrap-distance-top:0pt;z-index:251659264;mso-width-relative:page;mso-height-relative:page;" o:ole="t" filled="f" o:preferrelative="t" stroked="f" coordsize="21600,21600" o:gfxdata="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">
            <v:path/>
            <v:fill on="f" focussize="0,0"/>
            <v:stroke on="f"/>
            <v:imagedata r:id="rId8" o:title=""/>
            <o:lock v:ext="edit" aspectratio="f"/>
            <w10:wrap type="square"/>
          </v:shape>
          <o:OLEObject Type="Embed" ProgID="excel.sheet.8" ShapeID="Object 9" DrawAspect="Content" ObjectID="_1468075726" r:id="rId7">
            <o:LockedField>false</o:LockedField>
          </o:OLEObject>
        </w:pict>
      </w: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168.65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168.65</w:t>
      </w:r>
      <w:r>
        <w:rPr>
          <w:rFonts w:hint="eastAsia" w:ascii="仿宋" w:hAnsi="仿宋" w:eastAsia="仿宋"/>
          <w:color w:val="000000"/>
          <w:sz w:val="32"/>
          <w:szCs w:val="32"/>
        </w:rPr>
        <w:t>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14:paraId="1DD33E0E">
      <w:pPr>
        <w:pageBreakBefore w:val="0"/>
        <w:kinsoku/>
        <w:wordWrap/>
        <w:overflowPunct/>
        <w:topLinePunct w:val="0"/>
        <w:bidi w:val="0"/>
        <w:spacing w:line="578" w:lineRule="exact"/>
        <w:ind w:firstLine="0" w:firstLineChars="0"/>
        <w:rPr>
          <w:rFonts w:hint="eastAsia" w:ascii="仿宋_GB2312" w:eastAsia="仿宋_GB2312"/>
          <w:color w:val="FF0000"/>
          <w:sz w:val="32"/>
          <w:szCs w:val="32"/>
        </w:rPr>
      </w:pPr>
      <w:r>
        <w:rPr>
          <w:rFonts w:hint="eastAsia" w:ascii="仿宋" w:hAnsi="仿宋" w:eastAsia="仿宋"/>
          <w:color w:val="000000"/>
          <w:sz w:val="32"/>
          <w:szCs w:val="32"/>
        </w:rPr>
        <w:t>（图2：收入决算结构图）</w:t>
      </w:r>
    </w:p>
    <w:p w14:paraId="59696618">
      <w:pPr>
        <w:pStyle w:val="6"/>
        <w:rPr>
          <w:rFonts w:hint="eastAsia"/>
        </w:rPr>
      </w:pPr>
    </w:p>
    <w:p w14:paraId="28DB5033">
      <w:pPr>
        <w:pStyle w:val="5"/>
        <w:pageBreakBefore w:val="0"/>
        <w:kinsoku/>
        <w:wordWrap/>
        <w:overflowPunct/>
        <w:topLinePunct w:val="0"/>
        <w:bidi w:val="0"/>
        <w:spacing w:before="0" w:after="0" w:line="578" w:lineRule="exact"/>
        <w:outlineLvl w:val="9"/>
        <w:rPr>
          <w:rFonts w:hint="eastAsia" w:ascii="黑体" w:eastAsia="黑体" w:cs="Times New Roman"/>
          <w:bCs w:val="0"/>
          <w:color w:val="000000"/>
        </w:rPr>
      </w:pPr>
    </w:p>
    <w:p w14:paraId="7945E9AA">
      <w:pPr>
        <w:pStyle w:val="5"/>
        <w:pageBreakBefore w:val="0"/>
        <w:kinsoku/>
        <w:wordWrap/>
        <w:overflowPunct/>
        <w:topLinePunct w:val="0"/>
        <w:bidi w:val="0"/>
        <w:spacing w:before="0" w:after="0" w:line="578" w:lineRule="exact"/>
        <w:ind w:firstLine="321" w:firstLineChars="100"/>
        <w:outlineLvl w:val="9"/>
        <w:rPr>
          <w:rFonts w:hint="eastAsia" w:ascii="黑体" w:eastAsia="黑体" w:cs="Times New Roman"/>
          <w:bCs w:val="0"/>
          <w:color w:val="000000"/>
        </w:rPr>
      </w:pPr>
    </w:p>
    <w:p w14:paraId="41AD1820">
      <w:pPr>
        <w:pStyle w:val="2"/>
        <w:rPr>
          <w:rFonts w:ascii="仿宋_GB2312" w:eastAsia="仿宋_GB2312"/>
          <w:color w:val="auto"/>
          <w:sz w:val="32"/>
          <w:szCs w:val="32"/>
          <w:highlight w:val="none"/>
        </w:rPr>
      </w:pPr>
    </w:p>
    <w:p w14:paraId="48C8C588">
      <w:pPr>
        <w:pStyle w:val="2"/>
        <w:rPr>
          <w:rFonts w:ascii="仿宋_GB2312" w:eastAsia="仿宋_GB2312"/>
          <w:color w:val="auto"/>
          <w:sz w:val="32"/>
          <w:szCs w:val="32"/>
          <w:highlight w:val="none"/>
        </w:rPr>
      </w:pPr>
    </w:p>
    <w:p w14:paraId="0A0A52E9">
      <w:pPr>
        <w:pStyle w:val="2"/>
        <w:rPr>
          <w:rFonts w:ascii="仿宋_GB2312" w:eastAsia="仿宋_GB2312"/>
          <w:color w:val="auto"/>
          <w:sz w:val="32"/>
          <w:szCs w:val="32"/>
          <w:highlight w:val="none"/>
        </w:rPr>
      </w:pPr>
    </w:p>
    <w:p w14:paraId="2BEBC98B">
      <w:pPr>
        <w:pStyle w:val="28"/>
        <w:numPr>
          <w:ilvl w:val="0"/>
          <w:numId w:val="2"/>
        </w:numPr>
        <w:spacing w:line="600" w:lineRule="exact"/>
        <w:ind w:firstLineChars="0"/>
        <w:outlineLvl w:val="1"/>
        <w:rPr>
          <w:rFonts w:ascii="仿宋_GB2312" w:eastAsia="仿宋_GB2312"/>
          <w:color w:val="auto"/>
          <w:sz w:val="32"/>
          <w:szCs w:val="32"/>
          <w:highlight w:val="none"/>
        </w:rPr>
      </w:pPr>
      <w:bookmarkStart w:id="16" w:name="_Toc15396605"/>
      <w:bookmarkStart w:id="17" w:name="_Toc15377207"/>
      <w:r>
        <w:rPr>
          <w:rFonts w:hint="eastAsia" w:ascii="黑体" w:hAnsi="黑体" w:eastAsia="黑体"/>
          <w:color w:val="auto"/>
          <w:sz w:val="32"/>
          <w:szCs w:val="32"/>
          <w:highlight w:val="none"/>
        </w:rPr>
        <w:t>支</w:t>
      </w:r>
      <w:r>
        <w:rPr>
          <w:rStyle w:val="23"/>
          <w:rFonts w:hint="eastAsia" w:ascii="黑体" w:hAnsi="黑体" w:eastAsia="黑体"/>
          <w:b w:val="0"/>
          <w:color w:val="auto"/>
          <w:highlight w:val="none"/>
        </w:rPr>
        <w:t>出决算情况说明</w:t>
      </w:r>
      <w:bookmarkEnd w:id="16"/>
      <w:bookmarkEnd w:id="17"/>
    </w:p>
    <w:p w14:paraId="1C91439A">
      <w:pPr>
        <w:pStyle w:val="6"/>
        <w:pageBreakBefore w:val="0"/>
        <w:kinsoku/>
        <w:wordWrap/>
        <w:overflowPunct/>
        <w:topLinePunct w:val="0"/>
        <w:bidi w:val="0"/>
        <w:spacing w:line="578" w:lineRule="exact"/>
        <w:ind w:firstLine="320" w:firstLineChars="10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szCs w:val="32"/>
        </w:rPr>
        <w:t>年本年支出合计</w:t>
      </w:r>
      <w:r>
        <w:rPr>
          <w:rFonts w:hint="eastAsia" w:ascii="仿宋" w:hAnsi="仿宋" w:eastAsia="仿宋"/>
          <w:color w:val="000000"/>
          <w:sz w:val="32"/>
          <w:szCs w:val="32"/>
          <w:lang w:val="en-US" w:eastAsia="zh-CN"/>
        </w:rPr>
        <w:t>178.6</w:t>
      </w:r>
      <w:r>
        <w:rPr>
          <w:rFonts w:ascii="仿宋" w:hAnsi="仿宋" w:eastAsia="仿宋"/>
          <w:color w:val="000000"/>
          <w:sz w:val="32"/>
          <w:szCs w:val="32"/>
        </w:rPr>
        <w:t>万元，其中：基本支出</w:t>
      </w:r>
      <w:r>
        <w:rPr>
          <w:rFonts w:hint="eastAsia" w:ascii="仿宋" w:hAnsi="仿宋" w:eastAsia="仿宋"/>
          <w:color w:val="000000"/>
          <w:sz w:val="32"/>
          <w:szCs w:val="32"/>
          <w:lang w:val="en-US" w:eastAsia="zh-CN"/>
        </w:rPr>
        <w:t>168.65</w:t>
      </w:r>
      <w:r>
        <w:rPr>
          <w:rFonts w:ascii="仿宋" w:hAnsi="仿宋" w:eastAsia="仿宋"/>
          <w:color w:val="000000"/>
          <w:sz w:val="32"/>
          <w:szCs w:val="32"/>
        </w:rPr>
        <w:t>万元，占</w:t>
      </w:r>
      <w:r>
        <w:rPr>
          <w:rFonts w:hint="eastAsia" w:ascii="仿宋" w:hAnsi="仿宋" w:eastAsia="仿宋"/>
          <w:color w:val="000000"/>
          <w:sz w:val="32"/>
          <w:szCs w:val="32"/>
          <w:lang w:val="en-US" w:eastAsia="zh-CN"/>
        </w:rPr>
        <w:t>94.43</w:t>
      </w:r>
      <w:r>
        <w:rPr>
          <w:rFonts w:ascii="仿宋" w:hAnsi="仿宋" w:eastAsia="仿宋"/>
          <w:color w:val="000000"/>
          <w:sz w:val="32"/>
          <w:szCs w:val="32"/>
        </w:rPr>
        <w:t>%；项目支出</w:t>
      </w:r>
      <w:r>
        <w:rPr>
          <w:rFonts w:hint="eastAsia" w:ascii="仿宋" w:hAnsi="仿宋" w:eastAsia="仿宋"/>
          <w:color w:val="000000"/>
          <w:sz w:val="32"/>
          <w:szCs w:val="32"/>
          <w:lang w:val="en-US" w:eastAsia="zh-CN"/>
        </w:rPr>
        <w:t>9.96</w:t>
      </w:r>
      <w:r>
        <w:rPr>
          <w:rFonts w:ascii="仿宋" w:hAnsi="仿宋" w:eastAsia="仿宋"/>
          <w:color w:val="000000"/>
          <w:sz w:val="32"/>
          <w:szCs w:val="32"/>
        </w:rPr>
        <w:t>万元，占</w:t>
      </w:r>
      <w:r>
        <w:rPr>
          <w:rFonts w:hint="eastAsia" w:ascii="仿宋" w:hAnsi="仿宋" w:eastAsia="仿宋"/>
          <w:color w:val="000000"/>
          <w:sz w:val="32"/>
          <w:szCs w:val="32"/>
          <w:lang w:val="en-US" w:eastAsia="zh-CN"/>
        </w:rPr>
        <w:t>5.57</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14:paraId="768E4C89">
      <w:pPr>
        <w:pageBreakBefore w:val="0"/>
        <w:kinsoku/>
        <w:wordWrap/>
        <w:overflowPunct/>
        <w:topLinePunct w:val="0"/>
        <w:bidi w:val="0"/>
        <w:spacing w:line="578" w:lineRule="exact"/>
        <w:ind w:firstLine="0" w:firstLineChars="0"/>
        <w:rPr>
          <w:rFonts w:ascii="仿宋_GB2312" w:eastAsia="仿宋_GB2312"/>
          <w:color w:val="FF0000"/>
          <w:sz w:val="32"/>
          <w:szCs w:val="32"/>
        </w:rPr>
      </w:pPr>
      <w:r>
        <w:rPr>
          <w:rFonts w:hint="eastAsia" w:ascii="仿宋" w:hAnsi="仿宋" w:eastAsia="仿宋"/>
          <w:color w:val="000000"/>
          <w:sz w:val="32"/>
          <w:szCs w:val="32"/>
        </w:rPr>
        <w:t>（图3：支出决算结构图）</w:t>
      </w:r>
      <w:r>
        <w:rPr>
          <w:rFonts w:hint="eastAsia" w:ascii="仿宋" w:hAnsi="仿宋" w:eastAsia="仿宋"/>
          <w:color w:val="000000"/>
          <w:sz w:val="32"/>
          <w:szCs w:val="32"/>
        </w:rPr>
        <w:pict>
          <v:shape id="Object 5" o:spid="_x0000_s1027" o:spt="75" type="#_x0000_t75" style="position:absolute;left:0pt;margin-left:52.75pt;margin-top:12.4pt;height:181.5pt;width:283.5pt;mso-wrap-distance-bottom:0pt;mso-wrap-distance-left:9pt;mso-wrap-distance-right:9pt;mso-wrap-distance-top:0pt;z-index:251660288;mso-width-relative:page;mso-height-relative:page;" o:ole="t" filled="f" o:preferrelative="t" stroked="f" coordsize="21600,21600" o:gfxdata="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">
            <v:path/>
            <v:fill on="f" focussize="0,0"/>
            <v:stroke on="f"/>
            <v:imagedata r:id="rId10" o:title=""/>
            <o:lock v:ext="edit" aspectratio="f"/>
            <w10:wrap type="square"/>
          </v:shape>
          <o:OLEObject Type="Embed" ProgID="excel.sheet.8" ShapeID="Object 5" DrawAspect="Content" ObjectID="_1468075727" r:id="rId9">
            <o:LockedField>false</o:LockedField>
          </o:OLEObject>
        </w:pict>
      </w:r>
    </w:p>
    <w:p w14:paraId="50F6CF8A">
      <w:pPr>
        <w:pStyle w:val="6"/>
        <w:pageBreakBefore w:val="0"/>
        <w:kinsoku/>
        <w:wordWrap/>
        <w:overflowPunct/>
        <w:topLinePunct w:val="0"/>
        <w:bidi w:val="0"/>
        <w:spacing w:line="578" w:lineRule="exact"/>
        <w:ind w:firstLine="0" w:firstLineChars="0"/>
      </w:pPr>
    </w:p>
    <w:p w14:paraId="3B2B0885">
      <w:pPr>
        <w:pStyle w:val="5"/>
        <w:pageBreakBefore w:val="0"/>
        <w:kinsoku/>
        <w:wordWrap/>
        <w:overflowPunct/>
        <w:topLinePunct w:val="0"/>
        <w:bidi w:val="0"/>
        <w:spacing w:before="0" w:after="0" w:line="578" w:lineRule="exact"/>
        <w:ind w:firstLine="0" w:firstLineChars="0"/>
        <w:outlineLvl w:val="9"/>
        <w:rPr>
          <w:rFonts w:hint="eastAsia" w:ascii="黑体" w:eastAsia="黑体" w:cs="Times New Roman"/>
          <w:bCs w:val="0"/>
          <w:color w:val="000000"/>
        </w:rPr>
      </w:pPr>
    </w:p>
    <w:p w14:paraId="23028575">
      <w:pPr>
        <w:pStyle w:val="5"/>
        <w:pageBreakBefore w:val="0"/>
        <w:kinsoku/>
        <w:wordWrap/>
        <w:overflowPunct/>
        <w:topLinePunct w:val="0"/>
        <w:bidi w:val="0"/>
        <w:spacing w:before="0" w:after="0" w:line="578" w:lineRule="exact"/>
        <w:ind w:firstLine="0" w:firstLineChars="0"/>
        <w:outlineLvl w:val="9"/>
        <w:rPr>
          <w:rFonts w:hint="eastAsia" w:ascii="黑体" w:eastAsia="黑体" w:cs="Times New Roman"/>
          <w:bCs w:val="0"/>
          <w:color w:val="000000"/>
        </w:rPr>
      </w:pPr>
    </w:p>
    <w:p w14:paraId="4A2AC13E">
      <w:pPr>
        <w:pStyle w:val="2"/>
        <w:rPr>
          <w:rFonts w:ascii="仿宋_GB2312" w:eastAsia="仿宋_GB2312"/>
          <w:color w:val="auto"/>
          <w:sz w:val="32"/>
          <w:szCs w:val="32"/>
          <w:highlight w:val="none"/>
        </w:rPr>
      </w:pPr>
    </w:p>
    <w:p w14:paraId="4C68F238">
      <w:pPr>
        <w:pStyle w:val="2"/>
        <w:rPr>
          <w:rFonts w:ascii="仿宋_GB2312" w:eastAsia="仿宋_GB2312"/>
          <w:color w:val="auto"/>
          <w:sz w:val="32"/>
          <w:szCs w:val="32"/>
          <w:highlight w:val="none"/>
        </w:rPr>
      </w:pPr>
    </w:p>
    <w:p w14:paraId="1F48C213">
      <w:pPr>
        <w:spacing w:line="600" w:lineRule="exact"/>
        <w:outlineLvl w:val="1"/>
        <w:rPr>
          <w:rFonts w:hint="eastAsia" w:ascii="黑体" w:hAnsi="黑体" w:eastAsia="黑体"/>
          <w:color w:val="auto"/>
          <w:sz w:val="32"/>
          <w:szCs w:val="32"/>
          <w:highlight w:val="none"/>
        </w:rPr>
      </w:pPr>
      <w:bookmarkStart w:id="18" w:name="_Toc15377208"/>
      <w:bookmarkStart w:id="19" w:name="_Toc15396606"/>
    </w:p>
    <w:p w14:paraId="27C9FE97">
      <w:pPr>
        <w:spacing w:line="600" w:lineRule="exact"/>
        <w:ind w:firstLine="640" w:firstLineChars="200"/>
        <w:outlineLvl w:val="1"/>
        <w:rPr>
          <w:rFonts w:hint="eastAsia" w:ascii="黑体" w:hAnsi="黑体" w:eastAsia="黑体"/>
          <w:color w:val="auto"/>
          <w:sz w:val="32"/>
          <w:szCs w:val="32"/>
          <w:highlight w:val="none"/>
        </w:rPr>
      </w:pPr>
    </w:p>
    <w:p w14:paraId="052BE7D8">
      <w:pPr>
        <w:spacing w:line="600" w:lineRule="exact"/>
        <w:ind w:firstLine="640" w:firstLineChars="200"/>
        <w:outlineLvl w:val="1"/>
        <w:rPr>
          <w:rStyle w:val="23"/>
          <w:rFonts w:ascii="黑体" w:hAnsi="黑体" w:eastAsia="黑体"/>
          <w:b w:val="0"/>
          <w:color w:val="auto"/>
          <w:highlight w:val="none"/>
        </w:rPr>
      </w:pPr>
      <w:r>
        <w:rPr>
          <w:rFonts w:hint="eastAsia" w:ascii="黑体" w:hAnsi="黑体" w:eastAsia="黑体"/>
          <w:color w:val="auto"/>
          <w:sz w:val="32"/>
          <w:szCs w:val="32"/>
          <w:highlight w:val="none"/>
        </w:rPr>
        <w:t>四、财</w:t>
      </w:r>
      <w:r>
        <w:rPr>
          <w:rStyle w:val="23"/>
          <w:rFonts w:hint="eastAsia" w:ascii="黑体" w:hAnsi="黑体" w:eastAsia="黑体"/>
          <w:b w:val="0"/>
          <w:color w:val="auto"/>
          <w:highlight w:val="none"/>
        </w:rPr>
        <w:t>政拨款收入支出决算总体情况说明</w:t>
      </w:r>
      <w:bookmarkEnd w:id="18"/>
      <w:bookmarkEnd w:id="19"/>
    </w:p>
    <w:p w14:paraId="522FAF7C">
      <w:pPr>
        <w:pStyle w:val="9"/>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168.65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55.88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宋体"/>
          <w:kern w:val="0"/>
          <w:sz w:val="32"/>
          <w:szCs w:val="32"/>
        </w:rPr>
        <w:t>主要</w:t>
      </w:r>
      <w:r>
        <w:rPr>
          <w:rFonts w:hint="eastAsia" w:ascii="仿宋" w:hAnsi="仿宋" w:eastAsia="仿宋" w:cs="宋体"/>
          <w:kern w:val="0"/>
          <w:sz w:val="32"/>
          <w:szCs w:val="32"/>
          <w:lang w:eastAsia="zh-CN"/>
        </w:rPr>
        <w:t>原因</w:t>
      </w:r>
      <w:r>
        <w:rPr>
          <w:rFonts w:hint="eastAsia" w:ascii="仿宋" w:hAnsi="仿宋" w:eastAsia="仿宋" w:cs="宋体"/>
          <w:kern w:val="0"/>
          <w:sz w:val="32"/>
          <w:szCs w:val="32"/>
        </w:rPr>
        <w:t>主要是新增人员2名、年初预算数少，社保、住房公积金基数调整增加支出、督查</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经费追加。</w:t>
      </w:r>
    </w:p>
    <w:p w14:paraId="4E09DCB4">
      <w:pPr>
        <w:pStyle w:val="2"/>
        <w:rPr>
          <w:rFonts w:hint="eastAsia"/>
        </w:rPr>
      </w:pPr>
      <w:r>
        <w:rPr>
          <w:rStyle w:val="19"/>
          <w:rFonts w:hint="eastAsia"/>
        </w:rPr>
        <w:object>
          <v:shape id="_x0000_i1026" o:spt="75" type="#_x0000_t75" style="height:222.4pt;width:366.4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8" r:id="rId11">
            <o:LockedField>false</o:LockedField>
          </o:OLEObject>
        </w:object>
      </w:r>
    </w:p>
    <w:p w14:paraId="297139A1">
      <w:pPr>
        <w:pStyle w:val="2"/>
        <w:ind w:left="0" w:leftChars="0" w:firstLine="0" w:firstLineChars="0"/>
        <w:rPr>
          <w:rFonts w:ascii="仿宋" w:hAnsi="仿宋" w:eastAsia="仿宋"/>
          <w:b/>
          <w:color w:val="auto"/>
          <w:sz w:val="32"/>
          <w:szCs w:val="32"/>
          <w:highlight w:val="none"/>
        </w:rPr>
      </w:pPr>
    </w:p>
    <w:p w14:paraId="604BB92F">
      <w:pPr>
        <w:spacing w:line="600" w:lineRule="exact"/>
        <w:ind w:firstLine="640" w:firstLineChars="200"/>
        <w:outlineLvl w:val="1"/>
        <w:rPr>
          <w:rStyle w:val="23"/>
          <w:rFonts w:ascii="黑体" w:hAnsi="黑体" w:eastAsia="黑体"/>
          <w:b w:val="0"/>
          <w:color w:val="auto"/>
          <w:highlight w:val="none"/>
        </w:rPr>
      </w:pPr>
      <w:bookmarkStart w:id="20" w:name="_Toc15377209"/>
      <w:bookmarkStart w:id="2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般公共预算财政拨款支出决算情况说明</w:t>
      </w:r>
      <w:bookmarkEnd w:id="20"/>
      <w:bookmarkEnd w:id="21"/>
    </w:p>
    <w:p w14:paraId="32D84CBE">
      <w:pPr>
        <w:spacing w:line="600" w:lineRule="exact"/>
        <w:ind w:firstLine="643" w:firstLineChars="200"/>
        <w:outlineLvl w:val="2"/>
        <w:rPr>
          <w:rFonts w:ascii="仿宋" w:hAnsi="仿宋" w:eastAsia="仿宋"/>
          <w:b/>
          <w:color w:val="auto"/>
          <w:sz w:val="32"/>
          <w:szCs w:val="32"/>
          <w:highlight w:val="none"/>
        </w:rPr>
      </w:pPr>
      <w:bookmarkStart w:id="22" w:name="_Toc15377210"/>
      <w:r>
        <w:rPr>
          <w:rFonts w:hint="eastAsia" w:ascii="仿宋" w:hAnsi="仿宋" w:eastAsia="仿宋"/>
          <w:b/>
          <w:color w:val="auto"/>
          <w:sz w:val="32"/>
          <w:szCs w:val="32"/>
          <w:highlight w:val="none"/>
        </w:rPr>
        <w:t>（一）一般公共预算财政拨款支出决算总体情况</w:t>
      </w:r>
      <w:bookmarkEnd w:id="22"/>
    </w:p>
    <w:p w14:paraId="2B0710B9">
      <w:pPr>
        <w:pStyle w:val="9"/>
        <w:rPr>
          <w:rFonts w:hint="eastAsia" w:ascii="仿宋" w:hAnsi="仿宋" w:eastAsia="仿宋" w:cs="宋体"/>
          <w:kern w:val="0"/>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135.32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80.24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48.98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56.73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w:t>
      </w:r>
      <w:r>
        <w:rPr>
          <w:rFonts w:hint="eastAsia" w:ascii="仿宋" w:hAnsi="仿宋" w:eastAsia="仿宋" w:cs="宋体"/>
          <w:kern w:val="0"/>
          <w:sz w:val="32"/>
          <w:szCs w:val="32"/>
        </w:rPr>
        <w:t>主要</w:t>
      </w:r>
      <w:r>
        <w:rPr>
          <w:rFonts w:hint="eastAsia" w:ascii="仿宋" w:hAnsi="仿宋" w:eastAsia="仿宋" w:cs="宋体"/>
          <w:kern w:val="0"/>
          <w:sz w:val="32"/>
          <w:szCs w:val="32"/>
          <w:lang w:eastAsia="zh-CN"/>
        </w:rPr>
        <w:t>原因</w:t>
      </w:r>
      <w:r>
        <w:rPr>
          <w:rFonts w:hint="eastAsia" w:ascii="仿宋" w:hAnsi="仿宋" w:eastAsia="仿宋" w:cs="宋体"/>
          <w:kern w:val="0"/>
          <w:sz w:val="32"/>
          <w:szCs w:val="32"/>
        </w:rPr>
        <w:t>主要是新增人员2名、年初预算数少，社保、住房公积金基数调整增加支出、督查</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经费追加。</w:t>
      </w:r>
    </w:p>
    <w:p w14:paraId="08B871DA">
      <w:pPr>
        <w:pStyle w:val="2"/>
        <w:rPr>
          <w:rFonts w:ascii="仿宋" w:hAnsi="仿宋" w:eastAsia="仿宋"/>
          <w:color w:val="auto"/>
          <w:sz w:val="32"/>
          <w:szCs w:val="32"/>
          <w:highlight w:val="none"/>
        </w:rPr>
      </w:pPr>
      <w:r>
        <w:object>
          <v:shape id="_x0000_i1027" o:spt="75" type="#_x0000_t75" style="height:189.2pt;width:311.9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9" r:id="rId13">
            <o:LockedField>false</o:LockedField>
          </o:OLEObject>
        </w:object>
      </w:r>
    </w:p>
    <w:p w14:paraId="40E7EA27">
      <w:pPr>
        <w:spacing w:line="600" w:lineRule="exact"/>
        <w:ind w:firstLine="643" w:firstLineChars="200"/>
        <w:outlineLvl w:val="2"/>
        <w:rPr>
          <w:rFonts w:ascii="仿宋" w:hAnsi="仿宋" w:eastAsia="仿宋"/>
          <w:b/>
          <w:color w:val="auto"/>
          <w:sz w:val="32"/>
          <w:szCs w:val="32"/>
          <w:highlight w:val="none"/>
        </w:rPr>
      </w:pPr>
      <w:bookmarkStart w:id="23" w:name="_Toc15377211"/>
      <w:r>
        <w:rPr>
          <w:rFonts w:hint="eastAsia" w:ascii="仿宋" w:hAnsi="仿宋" w:eastAsia="仿宋"/>
          <w:b/>
          <w:color w:val="auto"/>
          <w:sz w:val="32"/>
          <w:szCs w:val="32"/>
          <w:highlight w:val="none"/>
        </w:rPr>
        <w:t>（二）一般公共预算财政拨款支出决算结构情况</w:t>
      </w:r>
      <w:bookmarkEnd w:id="23"/>
    </w:p>
    <w:p w14:paraId="789EDA88">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168.65</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135.32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s="宋体"/>
          <w:kern w:val="0"/>
          <w:sz w:val="32"/>
          <w:szCs w:val="32"/>
        </w:rPr>
        <w:t>22.91万元，占比12.83%</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ascii="仿宋" w:hAnsi="仿宋" w:eastAsia="仿宋"/>
          <w:color w:val="auto"/>
          <w:sz w:val="32"/>
          <w:szCs w:val="32"/>
          <w:highlight w:val="none"/>
        </w:rPr>
        <w:t>*</w:t>
      </w:r>
      <w:r>
        <w:rPr>
          <w:rFonts w:hint="eastAsia" w:ascii="仿宋" w:hAnsi="仿宋" w:eastAsia="仿宋" w:cs="宋体"/>
          <w:kern w:val="0"/>
          <w:sz w:val="32"/>
          <w:szCs w:val="32"/>
        </w:rPr>
        <w:t>8.48万元，占比4.75%</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s="宋体"/>
          <w:kern w:val="0"/>
          <w:sz w:val="32"/>
          <w:szCs w:val="32"/>
        </w:rPr>
        <w:t>11.89万元，占比6.66%</w:t>
      </w:r>
      <w:r>
        <w:rPr>
          <w:rFonts w:hint="eastAsia" w:ascii="仿宋" w:hAnsi="仿宋" w:eastAsia="仿宋" w:cs="宋体"/>
          <w:kern w:val="0"/>
          <w:sz w:val="32"/>
          <w:szCs w:val="32"/>
          <w:lang w:eastAsia="zh-CN"/>
        </w:rPr>
        <w:t>；</w:t>
      </w:r>
    </w:p>
    <w:p w14:paraId="02C9CFC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BF66959">
      <w:pPr>
        <w:pStyle w:val="2"/>
        <w:rPr>
          <w:rFonts w:ascii="仿宋" w:hAnsi="仿宋" w:eastAsia="仿宋"/>
          <w:color w:val="auto"/>
          <w:sz w:val="32"/>
          <w:szCs w:val="32"/>
          <w:highlight w:val="none"/>
        </w:rPr>
      </w:pPr>
      <w:r>
        <w:rPr>
          <w:rFonts w:hint="eastAsia" w:ascii="宋体" w:hAnsi="宋体" w:cs="宋体"/>
          <w:sz w:val="24"/>
        </w:rPr>
        <w:object>
          <v:shape id="_x0000_i1028" o:spt="75" type="#_x0000_t75" style="height:222.4pt;width:366.4pt;" o:ole="t" filled="f" o:preferrelative="t" stroked="f" coordsize="21600,21600">
            <v:path/>
            <v:fill on="f" focussize="0,0"/>
            <v:stroke on="f" joinstyle="miter"/>
            <v:imagedata r:id="rId16" o:title=""/>
            <o:lock v:ext="edit" aspectratio="t"/>
            <w10:wrap type="none"/>
            <w10:anchorlock/>
          </v:shape>
          <o:OLEObject Type="Embed" ProgID="Excel.Chart.8" ShapeID="_x0000_i1028" DrawAspect="Content" ObjectID="_1468075730" r:id="rId15">
            <o:LockedField>false</o:LockedField>
          </o:OLEObject>
        </w:object>
      </w:r>
    </w:p>
    <w:p w14:paraId="0214A7A2">
      <w:pPr>
        <w:spacing w:line="600" w:lineRule="exact"/>
        <w:ind w:firstLine="643" w:firstLineChars="200"/>
        <w:outlineLvl w:val="2"/>
        <w:rPr>
          <w:rFonts w:ascii="仿宋" w:hAnsi="仿宋" w:eastAsia="仿宋"/>
          <w:b/>
          <w:color w:val="auto"/>
          <w:sz w:val="32"/>
          <w:szCs w:val="32"/>
          <w:highlight w:val="none"/>
        </w:rPr>
      </w:pPr>
      <w:bookmarkStart w:id="24" w:name="_Toc15377212"/>
      <w:r>
        <w:rPr>
          <w:rFonts w:hint="eastAsia" w:ascii="仿宋" w:hAnsi="仿宋" w:eastAsia="仿宋"/>
          <w:b/>
          <w:color w:val="auto"/>
          <w:sz w:val="32"/>
          <w:szCs w:val="32"/>
          <w:highlight w:val="none"/>
        </w:rPr>
        <w:t>（三）一般公共预算财政拨款支出决算具体情况</w:t>
      </w:r>
      <w:bookmarkEnd w:id="24"/>
    </w:p>
    <w:p w14:paraId="0987172E">
      <w:pPr>
        <w:spacing w:line="600" w:lineRule="exact"/>
        <w:ind w:firstLine="643" w:firstLineChars="200"/>
        <w:outlineLvl w:val="2"/>
        <w:rPr>
          <w:rFonts w:ascii="仿宋" w:hAnsi="仿宋" w:eastAsia="仿宋"/>
          <w:color w:val="auto"/>
          <w:sz w:val="32"/>
          <w:szCs w:val="32"/>
          <w:highlight w:val="none"/>
        </w:rPr>
      </w:pPr>
      <w:bookmarkStart w:id="25" w:name="_Toc15377444"/>
      <w:bookmarkStart w:id="26" w:name="_Toc15378460"/>
      <w:bookmarkStart w:id="27"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135.32</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25"/>
      <w:bookmarkEnd w:id="26"/>
      <w:bookmarkEnd w:id="27"/>
    </w:p>
    <w:p w14:paraId="249B35BE">
      <w:pPr>
        <w:pageBreakBefore w:val="0"/>
        <w:kinsoku/>
        <w:wordWrap/>
        <w:overflowPunct/>
        <w:topLinePunct w:val="0"/>
        <w:bidi w:val="0"/>
        <w:spacing w:line="578" w:lineRule="exact"/>
        <w:ind w:firstLine="321" w:firstLineChars="100"/>
        <w:rPr>
          <w:rFonts w:hint="eastAsia" w:ascii="仿宋" w:hAnsi="仿宋" w:eastAsia="仿宋"/>
          <w:color w:val="000000"/>
          <w:sz w:val="32"/>
          <w:szCs w:val="32"/>
          <w:lang w:eastAsia="zh-CN"/>
        </w:rPr>
      </w:pPr>
      <w:r>
        <w:rPr>
          <w:rStyle w:val="19"/>
          <w:rFonts w:ascii="仿宋" w:hAnsi="仿宋" w:eastAsia="仿宋"/>
          <w:bCs/>
          <w:color w:val="auto"/>
          <w:sz w:val="32"/>
          <w:szCs w:val="32"/>
          <w:highlight w:val="none"/>
        </w:rPr>
        <w:t>1.</w:t>
      </w:r>
      <w:r>
        <w:rPr>
          <w:rFonts w:hint="eastAsia" w:ascii="仿宋" w:hAnsi="仿宋" w:eastAsia="仿宋"/>
          <w:color w:val="000000"/>
          <w:sz w:val="32"/>
          <w:szCs w:val="32"/>
        </w:rPr>
        <w:t>一般公共服务支出（201）党委办公厅（室）及相关机构事务（20131）事业运行（2013150）支出决算</w:t>
      </w:r>
      <w:r>
        <w:rPr>
          <w:rFonts w:hint="eastAsia" w:ascii="仿宋" w:hAnsi="仿宋" w:eastAsia="仿宋"/>
          <w:color w:val="000000"/>
          <w:sz w:val="32"/>
          <w:szCs w:val="32"/>
          <w:lang w:val="en-US" w:eastAsia="zh-CN"/>
        </w:rPr>
        <w:t>84.43</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主要原因是督查任务的加重和人员增加。</w:t>
      </w:r>
    </w:p>
    <w:p w14:paraId="36D7A6D9">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2.社会保障和就业支出（208）行政事业单位养老支出（20805）机关事业单位基本养老保险缴费支出（2080505）支出决算</w:t>
      </w:r>
      <w:r>
        <w:rPr>
          <w:rFonts w:hint="eastAsia" w:ascii="仿宋" w:hAnsi="仿宋" w:eastAsia="仿宋"/>
          <w:color w:val="000000"/>
          <w:sz w:val="32"/>
          <w:szCs w:val="32"/>
          <w:lang w:val="en-US" w:eastAsia="zh-CN"/>
        </w:rPr>
        <w:t>15.27</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主要原因人员的增加。</w:t>
      </w:r>
    </w:p>
    <w:p w14:paraId="48C3451E">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3.社会保障和就业支出（208）行政事业单位养老支出（20805）机关事业单位职业年金缴费支出（2080506）支出决算</w:t>
      </w:r>
      <w:r>
        <w:rPr>
          <w:rFonts w:hint="eastAsia" w:ascii="仿宋" w:hAnsi="仿宋" w:eastAsia="仿宋"/>
          <w:color w:val="000000"/>
          <w:sz w:val="32"/>
          <w:szCs w:val="32"/>
          <w:lang w:val="en-US" w:eastAsia="zh-CN"/>
        </w:rPr>
        <w:t>7.64</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主要原因人员的增加。</w:t>
      </w:r>
    </w:p>
    <w:p w14:paraId="0D69FE8A">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4.卫生健康支出（210）行政事业单位医疗（21011）事业单位医疗（2101102）支出决算</w:t>
      </w:r>
      <w:r>
        <w:rPr>
          <w:rFonts w:hint="eastAsia" w:ascii="仿宋" w:hAnsi="仿宋" w:eastAsia="仿宋"/>
          <w:color w:val="000000"/>
          <w:sz w:val="32"/>
          <w:szCs w:val="32"/>
          <w:lang w:val="en-US" w:eastAsia="zh-CN"/>
        </w:rPr>
        <w:t>8.48</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主要原因人员的增加。</w:t>
      </w:r>
    </w:p>
    <w:p w14:paraId="4C286A40">
      <w:pPr>
        <w:pageBreakBefore w:val="0"/>
        <w:kinsoku/>
        <w:wordWrap/>
        <w:overflowPunct/>
        <w:topLinePunct w:val="0"/>
        <w:bidi w:val="0"/>
        <w:spacing w:line="578" w:lineRule="exact"/>
        <w:ind w:firstLine="0" w:firstLineChars="0"/>
        <w:rPr>
          <w:rFonts w:ascii="仿宋" w:hAnsi="仿宋" w:eastAsia="仿宋"/>
          <w:b/>
          <w:color w:val="auto"/>
          <w:sz w:val="32"/>
          <w:szCs w:val="32"/>
          <w:highlight w:val="none"/>
        </w:rPr>
      </w:pPr>
      <w:r>
        <w:rPr>
          <w:rFonts w:hint="eastAsia" w:ascii="仿宋" w:hAnsi="仿宋" w:eastAsia="仿宋"/>
          <w:color w:val="000000"/>
          <w:sz w:val="32"/>
          <w:szCs w:val="32"/>
        </w:rPr>
        <w:tab/>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.住房保障支出（221）住房改革支出（22102）住房公积金（2210201）支出决算</w:t>
      </w:r>
      <w:r>
        <w:rPr>
          <w:rFonts w:hint="eastAsia" w:ascii="仿宋" w:hAnsi="仿宋" w:eastAsia="仿宋"/>
          <w:color w:val="000000"/>
          <w:sz w:val="32"/>
          <w:szCs w:val="32"/>
          <w:lang w:val="en-US" w:eastAsia="zh-CN"/>
        </w:rPr>
        <w:t>11.89</w:t>
      </w:r>
      <w:r>
        <w:rPr>
          <w:rFonts w:hint="eastAsia" w:ascii="仿宋" w:hAnsi="仿宋" w:eastAsia="仿宋"/>
          <w:color w:val="000000"/>
          <w:sz w:val="32"/>
          <w:szCs w:val="32"/>
        </w:rPr>
        <w:t>万元，完成预算100%。</w:t>
      </w:r>
      <w:r>
        <w:rPr>
          <w:rFonts w:hint="eastAsia" w:ascii="仿宋" w:hAnsi="仿宋" w:eastAsia="仿宋"/>
          <w:color w:val="000000"/>
          <w:sz w:val="32"/>
          <w:szCs w:val="32"/>
          <w:lang w:eastAsia="zh-CN"/>
        </w:rPr>
        <w:t>主要原因人员的增加。</w:t>
      </w:r>
    </w:p>
    <w:p w14:paraId="1ABEEFCA">
      <w:pPr>
        <w:tabs>
          <w:tab w:val="right" w:pos="8306"/>
        </w:tabs>
        <w:spacing w:line="600" w:lineRule="exact"/>
        <w:ind w:firstLine="640"/>
        <w:outlineLvl w:val="1"/>
        <w:rPr>
          <w:rStyle w:val="23"/>
          <w:color w:val="auto"/>
          <w:highlight w:val="none"/>
        </w:rPr>
      </w:pPr>
      <w:bookmarkStart w:id="28" w:name="_Toc15377214"/>
      <w:bookmarkStart w:id="2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3"/>
          <w:rFonts w:hint="eastAsia" w:ascii="黑体" w:hAnsi="黑体" w:eastAsia="黑体"/>
          <w:b w:val="0"/>
          <w:color w:val="auto"/>
          <w:highlight w:val="none"/>
        </w:rPr>
        <w:t>般公共预算财政拨款基本支出决算情况说明</w:t>
      </w:r>
      <w:bookmarkEnd w:id="28"/>
      <w:bookmarkEnd w:id="29"/>
      <w:r>
        <w:rPr>
          <w:rStyle w:val="23"/>
          <w:rFonts w:ascii="黑体" w:hAnsi="黑体" w:eastAsia="黑体"/>
          <w:b w:val="0"/>
          <w:color w:val="auto"/>
          <w:highlight w:val="none"/>
        </w:rPr>
        <w:tab/>
      </w:r>
    </w:p>
    <w:p w14:paraId="53F86F62">
      <w:pPr>
        <w:pageBreakBefore w:val="0"/>
        <w:kinsoku/>
        <w:wordWrap/>
        <w:overflowPunct/>
        <w:topLinePunct w:val="0"/>
        <w:bidi w:val="0"/>
        <w:spacing w:line="578"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168.65</w:t>
      </w:r>
      <w:r>
        <w:rPr>
          <w:rFonts w:hint="eastAsia" w:ascii="仿宋" w:hAnsi="仿宋" w:eastAsia="仿宋"/>
          <w:color w:val="000000"/>
          <w:sz w:val="32"/>
          <w:szCs w:val="32"/>
        </w:rPr>
        <w:t>万元，其中</w:t>
      </w:r>
      <w:r>
        <w:rPr>
          <w:rFonts w:hint="eastAsia" w:ascii="仿宋" w:hAnsi="仿宋" w:eastAsia="仿宋"/>
          <w:color w:val="000000"/>
          <w:sz w:val="32"/>
          <w:szCs w:val="32"/>
          <w:lang w:eastAsia="zh-CN"/>
        </w:rPr>
        <w:t>：</w:t>
      </w:r>
    </w:p>
    <w:p w14:paraId="3C82F998">
      <w:pPr>
        <w:pageBreakBefore w:val="0"/>
        <w:kinsoku/>
        <w:wordWrap/>
        <w:overflowPunct/>
        <w:topLinePunct w:val="0"/>
        <w:bidi w:val="0"/>
        <w:spacing w:line="578" w:lineRule="exact"/>
        <w:ind w:firstLine="640" w:firstLineChars="200"/>
        <w:rPr>
          <w:rFonts w:ascii="仿宋" w:hAnsi="仿宋" w:eastAsia="仿宋"/>
          <w:b/>
          <w:color w:val="auto"/>
          <w:sz w:val="32"/>
          <w:szCs w:val="32"/>
          <w:highlight w:val="none"/>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160.55</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30.5</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15.66</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44.4</w:t>
      </w:r>
      <w:r>
        <w:rPr>
          <w:rFonts w:hint="eastAsia" w:ascii="仿宋" w:hAnsi="仿宋" w:eastAsia="仿宋"/>
          <w:color w:val="000000"/>
          <w:sz w:val="32"/>
          <w:szCs w:val="32"/>
        </w:rPr>
        <w:t>万元、绩效工资</w:t>
      </w:r>
      <w:r>
        <w:rPr>
          <w:rFonts w:hint="eastAsia" w:ascii="仿宋" w:hAnsi="仿宋" w:eastAsia="仿宋"/>
          <w:color w:val="000000"/>
          <w:sz w:val="32"/>
          <w:szCs w:val="32"/>
          <w:lang w:val="en-US" w:eastAsia="zh-CN"/>
        </w:rPr>
        <w:t>25.96</w:t>
      </w:r>
      <w:r>
        <w:rPr>
          <w:rFonts w:hint="eastAsia" w:ascii="仿宋" w:hAnsi="仿宋" w:eastAsia="仿宋"/>
          <w:color w:val="000000"/>
          <w:sz w:val="32"/>
          <w:szCs w:val="32"/>
        </w:rPr>
        <w:t>万元、机关事业单位基本养老保险缴费</w:t>
      </w:r>
      <w:r>
        <w:rPr>
          <w:rFonts w:hint="eastAsia" w:ascii="仿宋" w:hAnsi="仿宋" w:eastAsia="仿宋"/>
          <w:color w:val="000000"/>
          <w:sz w:val="32"/>
          <w:szCs w:val="32"/>
          <w:lang w:val="en-US" w:eastAsia="zh-CN"/>
        </w:rPr>
        <w:t>15.27</w:t>
      </w:r>
      <w:r>
        <w:rPr>
          <w:rFonts w:hint="eastAsia" w:ascii="仿宋" w:hAnsi="仿宋" w:eastAsia="仿宋"/>
          <w:color w:val="000000"/>
          <w:sz w:val="32"/>
          <w:szCs w:val="32"/>
        </w:rPr>
        <w:t>万元、职业年金缴费</w:t>
      </w:r>
      <w:r>
        <w:rPr>
          <w:rFonts w:hint="eastAsia" w:ascii="仿宋" w:hAnsi="仿宋" w:eastAsia="仿宋"/>
          <w:color w:val="000000"/>
          <w:sz w:val="32"/>
          <w:szCs w:val="32"/>
          <w:lang w:val="en-US" w:eastAsia="zh-CN"/>
        </w:rPr>
        <w:t>7.64</w:t>
      </w:r>
      <w:r>
        <w:rPr>
          <w:rFonts w:hint="eastAsia" w:ascii="仿宋" w:hAnsi="仿宋" w:eastAsia="仿宋"/>
          <w:color w:val="000000"/>
          <w:sz w:val="32"/>
          <w:szCs w:val="32"/>
        </w:rPr>
        <w:t>万元、职工基本医疗保险缴费</w:t>
      </w:r>
      <w:r>
        <w:rPr>
          <w:rFonts w:hint="eastAsia" w:ascii="仿宋" w:hAnsi="仿宋" w:eastAsia="仿宋"/>
          <w:color w:val="000000"/>
          <w:sz w:val="32"/>
          <w:szCs w:val="32"/>
          <w:lang w:val="en-US" w:eastAsia="zh-CN"/>
        </w:rPr>
        <w:t>6.25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公务员医疗补助缴费</w:t>
      </w:r>
      <w:r>
        <w:rPr>
          <w:rFonts w:hint="eastAsia" w:ascii="仿宋" w:hAnsi="仿宋" w:eastAsia="仿宋"/>
          <w:color w:val="000000"/>
          <w:sz w:val="32"/>
          <w:szCs w:val="32"/>
          <w:lang w:val="en-US" w:eastAsia="zh-CN"/>
        </w:rPr>
        <w:t>2.24万元、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0.74</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11.89</w:t>
      </w:r>
      <w:r>
        <w:rPr>
          <w:rFonts w:hint="eastAsia" w:ascii="仿宋" w:hAnsi="仿宋" w:eastAsia="仿宋"/>
          <w:color w:val="000000"/>
          <w:sz w:val="32"/>
          <w:szCs w:val="32"/>
        </w:rPr>
        <w:t>万元。公用经费</w:t>
      </w:r>
      <w:r>
        <w:rPr>
          <w:rFonts w:hint="eastAsia" w:ascii="仿宋" w:hAnsi="仿宋" w:eastAsia="仿宋"/>
          <w:color w:val="000000"/>
          <w:sz w:val="32"/>
          <w:szCs w:val="32"/>
          <w:lang w:val="en-US" w:eastAsia="zh-CN"/>
        </w:rPr>
        <w:t>8.1</w:t>
      </w:r>
      <w:r>
        <w:rPr>
          <w:rFonts w:hint="eastAsia" w:ascii="仿宋" w:hAnsi="仿宋" w:eastAsia="仿宋"/>
          <w:color w:val="000000"/>
          <w:sz w:val="32"/>
          <w:szCs w:val="32"/>
        </w:rPr>
        <w:t>万元，主要</w:t>
      </w:r>
      <w:r>
        <w:rPr>
          <w:rFonts w:hint="eastAsia" w:ascii="仿宋" w:hAnsi="仿宋" w:eastAsia="仿宋"/>
          <w:color w:val="000000"/>
          <w:sz w:val="32"/>
          <w:szCs w:val="32"/>
          <w:lang w:eastAsia="zh-CN"/>
        </w:rPr>
        <w:t>用于</w:t>
      </w:r>
      <w:r>
        <w:rPr>
          <w:rFonts w:hint="eastAsia" w:ascii="仿宋" w:hAnsi="仿宋" w:eastAsia="仿宋"/>
          <w:color w:val="000000"/>
          <w:sz w:val="32"/>
          <w:szCs w:val="32"/>
        </w:rPr>
        <w:t>办公费</w:t>
      </w:r>
      <w:r>
        <w:rPr>
          <w:rFonts w:hint="eastAsia" w:ascii="仿宋" w:hAnsi="仿宋" w:eastAsia="仿宋"/>
          <w:color w:val="000000"/>
          <w:sz w:val="32"/>
          <w:szCs w:val="32"/>
          <w:lang w:val="en-US" w:eastAsia="zh-CN"/>
        </w:rPr>
        <w:t>3.16万元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0.05万元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0.2万元</w:t>
      </w:r>
      <w:r>
        <w:rPr>
          <w:rFonts w:hint="eastAsia" w:ascii="仿宋" w:hAnsi="仿宋" w:eastAsia="仿宋"/>
          <w:color w:val="000000"/>
          <w:sz w:val="32"/>
          <w:szCs w:val="32"/>
        </w:rPr>
        <w:t>、差旅</w:t>
      </w:r>
      <w:r>
        <w:rPr>
          <w:rFonts w:hint="eastAsia" w:ascii="仿宋" w:hAnsi="仿宋" w:eastAsia="仿宋"/>
          <w:color w:val="000000"/>
          <w:sz w:val="32"/>
          <w:szCs w:val="32"/>
          <w:lang w:eastAsia="zh-CN"/>
        </w:rPr>
        <w:t>费</w:t>
      </w:r>
      <w:bookmarkStart w:id="70" w:name="_GoBack"/>
      <w:bookmarkEnd w:id="70"/>
      <w:r>
        <w:rPr>
          <w:rFonts w:hint="eastAsia" w:ascii="仿宋" w:hAnsi="仿宋" w:eastAsia="仿宋"/>
          <w:color w:val="000000"/>
          <w:sz w:val="32"/>
          <w:szCs w:val="32"/>
          <w:lang w:val="en-US" w:eastAsia="zh-CN"/>
        </w:rPr>
        <w:t>0.57万元.</w:t>
      </w:r>
      <w:r>
        <w:rPr>
          <w:rFonts w:hint="eastAsia" w:ascii="仿宋" w:hAnsi="仿宋" w:eastAsia="仿宋"/>
          <w:color w:val="000000"/>
          <w:sz w:val="32"/>
          <w:szCs w:val="32"/>
        </w:rPr>
        <w:t>修（护）费</w:t>
      </w:r>
      <w:r>
        <w:rPr>
          <w:rFonts w:hint="eastAsia" w:ascii="仿宋" w:hAnsi="仿宋" w:eastAsia="仿宋"/>
          <w:color w:val="000000"/>
          <w:sz w:val="32"/>
          <w:szCs w:val="32"/>
          <w:lang w:val="en-US" w:eastAsia="zh-CN"/>
        </w:rPr>
        <w:t>0.6万元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0.18万元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工会经费</w:t>
      </w:r>
      <w:r>
        <w:rPr>
          <w:rFonts w:hint="eastAsia" w:ascii="仿宋" w:hAnsi="仿宋" w:eastAsia="仿宋"/>
          <w:color w:val="000000"/>
          <w:sz w:val="32"/>
          <w:szCs w:val="32"/>
          <w:lang w:val="en-US" w:eastAsia="zh-CN"/>
        </w:rPr>
        <w:t>1.13万元、</w:t>
      </w:r>
      <w:r>
        <w:rPr>
          <w:rFonts w:hint="eastAsia" w:ascii="仿宋" w:hAnsi="仿宋" w:eastAsia="仿宋"/>
          <w:color w:val="000000"/>
          <w:sz w:val="32"/>
          <w:szCs w:val="32"/>
          <w:lang w:eastAsia="zh-CN"/>
        </w:rPr>
        <w:t>税金及附加费用</w:t>
      </w:r>
      <w:r>
        <w:rPr>
          <w:rFonts w:hint="eastAsia" w:ascii="仿宋" w:hAnsi="仿宋" w:eastAsia="仿宋"/>
          <w:color w:val="000000"/>
          <w:sz w:val="32"/>
          <w:szCs w:val="32"/>
          <w:lang w:val="en-US" w:eastAsia="zh-CN"/>
        </w:rPr>
        <w:t>2.2万元</w:t>
      </w:r>
      <w:r>
        <w:rPr>
          <w:rFonts w:hint="eastAsia" w:ascii="仿宋" w:hAnsi="仿宋" w:eastAsia="仿宋"/>
          <w:color w:val="000000"/>
          <w:sz w:val="32"/>
          <w:szCs w:val="32"/>
          <w:lang w:eastAsia="zh-CN"/>
        </w:rPr>
        <w:t>等</w:t>
      </w:r>
      <w:r>
        <w:rPr>
          <w:rFonts w:hint="eastAsia" w:ascii="仿宋" w:hAnsi="仿宋" w:eastAsia="仿宋"/>
          <w:color w:val="000000"/>
          <w:sz w:val="32"/>
          <w:szCs w:val="32"/>
        </w:rPr>
        <w:t>。</w:t>
      </w:r>
    </w:p>
    <w:p w14:paraId="68C7A243">
      <w:pPr>
        <w:spacing w:line="600" w:lineRule="exact"/>
        <w:ind w:firstLine="640"/>
        <w:outlineLvl w:val="1"/>
        <w:rPr>
          <w:rStyle w:val="23"/>
          <w:rFonts w:ascii="黑体" w:hAnsi="黑体" w:eastAsia="黑体"/>
          <w:b w:val="0"/>
          <w:color w:val="auto"/>
          <w:highlight w:val="none"/>
        </w:rPr>
      </w:pPr>
      <w:bookmarkStart w:id="30" w:name="_Toc15377215"/>
      <w:bookmarkStart w:id="31" w:name="_Toc15396609"/>
      <w:r>
        <w:rPr>
          <w:rFonts w:hint="eastAsia" w:ascii="黑体" w:eastAsia="黑体"/>
          <w:color w:val="auto"/>
          <w:sz w:val="32"/>
          <w:szCs w:val="32"/>
          <w:highlight w:val="none"/>
        </w:rPr>
        <w:t>七、</w:t>
      </w:r>
      <w:r>
        <w:rPr>
          <w:rStyle w:val="23"/>
          <w:rFonts w:hint="eastAsia" w:ascii="黑体" w:hAnsi="黑体" w:eastAsia="黑体"/>
          <w:b w:val="0"/>
          <w:color w:val="auto"/>
          <w:highlight w:val="none"/>
        </w:rPr>
        <w:t>财政拨款</w:t>
      </w:r>
      <w:r>
        <w:rPr>
          <w:rStyle w:val="23"/>
          <w:rFonts w:hint="eastAsia" w:ascii="黑体" w:hAnsi="黑体" w:eastAsia="黑体"/>
          <w:color w:val="auto"/>
          <w:highlight w:val="none"/>
        </w:rPr>
        <w:t>“</w:t>
      </w:r>
      <w:r>
        <w:rPr>
          <w:rStyle w:val="23"/>
          <w:rFonts w:hint="eastAsia" w:ascii="黑体" w:hAnsi="黑体" w:eastAsia="黑体"/>
          <w:b w:val="0"/>
          <w:color w:val="auto"/>
          <w:highlight w:val="none"/>
        </w:rPr>
        <w:t>三公”经费支出决算情况说明</w:t>
      </w:r>
      <w:bookmarkEnd w:id="30"/>
      <w:bookmarkEnd w:id="31"/>
    </w:p>
    <w:p w14:paraId="20CC3CAA">
      <w:pPr>
        <w:spacing w:line="600" w:lineRule="exact"/>
        <w:ind w:firstLine="640"/>
        <w:outlineLvl w:val="2"/>
        <w:rPr>
          <w:rFonts w:ascii="仿宋" w:hAnsi="仿宋" w:eastAsia="仿宋"/>
          <w:b/>
          <w:color w:val="auto"/>
          <w:sz w:val="32"/>
          <w:szCs w:val="32"/>
          <w:highlight w:val="none"/>
        </w:rPr>
      </w:pPr>
      <w:bookmarkStart w:id="32" w:name="_Toc15377216"/>
      <w:r>
        <w:rPr>
          <w:rFonts w:hint="eastAsia" w:ascii="仿宋" w:hAnsi="仿宋" w:eastAsia="仿宋"/>
          <w:b/>
          <w:color w:val="auto"/>
          <w:sz w:val="32"/>
          <w:szCs w:val="32"/>
          <w:highlight w:val="none"/>
        </w:rPr>
        <w:t>（一）“三公”经费财政拨款支出决算总体情况说明</w:t>
      </w:r>
      <w:bookmarkEnd w:id="32"/>
    </w:p>
    <w:p w14:paraId="310FD763">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减少2.01万元，下降100%。</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2023无公务用车编制和预算</w:t>
      </w:r>
      <w:r>
        <w:rPr>
          <w:rFonts w:hint="eastAsia" w:ascii="仿宋" w:hAnsi="仿宋" w:eastAsia="仿宋"/>
          <w:color w:val="auto"/>
          <w:sz w:val="32"/>
          <w:szCs w:val="32"/>
          <w:highlight w:val="none"/>
        </w:rPr>
        <w:t>。</w:t>
      </w:r>
    </w:p>
    <w:p w14:paraId="05F9EE38">
      <w:pPr>
        <w:spacing w:line="600" w:lineRule="exact"/>
        <w:ind w:firstLine="640"/>
        <w:outlineLvl w:val="2"/>
        <w:rPr>
          <w:rFonts w:ascii="仿宋" w:hAnsi="仿宋" w:eastAsia="仿宋"/>
          <w:b/>
          <w:color w:val="auto"/>
          <w:sz w:val="32"/>
          <w:szCs w:val="32"/>
          <w:highlight w:val="none"/>
        </w:rPr>
      </w:pPr>
      <w:bookmarkStart w:id="33" w:name="_Toc15377217"/>
      <w:r>
        <w:rPr>
          <w:rFonts w:hint="eastAsia" w:ascii="仿宋" w:hAnsi="仿宋" w:eastAsia="仿宋"/>
          <w:b/>
          <w:color w:val="auto"/>
          <w:sz w:val="32"/>
          <w:szCs w:val="32"/>
          <w:highlight w:val="none"/>
        </w:rPr>
        <w:t>（二）“三公”经费财政拨款支出决算具体情况说明</w:t>
      </w:r>
      <w:bookmarkEnd w:id="33"/>
    </w:p>
    <w:p w14:paraId="0B7A6162">
      <w:pPr>
        <w:widowControl/>
        <w:spacing w:before="100" w:beforeAutospacing="1" w:after="100" w:afterAutospacing="1"/>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94B6DA9">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无工作需要和无预算</w:t>
      </w:r>
      <w:r>
        <w:rPr>
          <w:rFonts w:hint="eastAsia" w:ascii="仿宋_GB2312" w:eastAsia="仿宋_GB2312"/>
          <w:color w:val="auto"/>
          <w:sz w:val="32"/>
          <w:szCs w:val="32"/>
          <w:highlight w:val="none"/>
        </w:rPr>
        <w:t>。</w:t>
      </w:r>
    </w:p>
    <w:p w14:paraId="7CC57FE3">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1.73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2022年底公务用报废，2023年度未编制预算</w:t>
      </w:r>
      <w:r>
        <w:rPr>
          <w:rFonts w:hint="eastAsia" w:ascii="仿宋_GB2312" w:eastAsia="仿宋_GB2312"/>
          <w:color w:val="auto"/>
          <w:sz w:val="32"/>
          <w:szCs w:val="32"/>
          <w:highlight w:val="none"/>
        </w:rPr>
        <w:t>。</w:t>
      </w:r>
    </w:p>
    <w:p w14:paraId="06824B87">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98193DD">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0558534">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是无公务接待</w:t>
      </w:r>
      <w:r>
        <w:rPr>
          <w:rFonts w:hint="eastAsia" w:ascii="仿宋_GB2312" w:eastAsia="仿宋_GB2312"/>
          <w:color w:val="auto"/>
          <w:sz w:val="32"/>
          <w:szCs w:val="32"/>
          <w:highlight w:val="none"/>
        </w:rPr>
        <w:t>。其中：</w:t>
      </w:r>
    </w:p>
    <w:p w14:paraId="252B6121">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执行公务、开展业务活动开支的交通费、住宿费、用餐费等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44C92FE">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34" w:name="_Toc15377218"/>
      <w:bookmarkStart w:id="35" w:name="_Toc15396610"/>
    </w:p>
    <w:p w14:paraId="04D53DF6">
      <w:pPr>
        <w:spacing w:line="600" w:lineRule="exact"/>
        <w:ind w:firstLine="320" w:firstLineChars="100"/>
        <w:outlineLvl w:val="1"/>
        <w:rPr>
          <w:rStyle w:val="23"/>
          <w:rFonts w:ascii="黑体" w:hAnsi="黑体" w:eastAsia="黑体"/>
          <w:color w:val="auto"/>
          <w:highlight w:val="none"/>
        </w:rPr>
      </w:pPr>
      <w:r>
        <w:rPr>
          <w:rFonts w:hint="eastAsia" w:ascii="黑体" w:eastAsia="黑体"/>
          <w:color w:val="auto"/>
          <w:sz w:val="32"/>
          <w:szCs w:val="32"/>
          <w:highlight w:val="none"/>
        </w:rPr>
        <w:t>八、</w:t>
      </w:r>
      <w:r>
        <w:rPr>
          <w:rStyle w:val="23"/>
          <w:rFonts w:hint="eastAsia" w:ascii="黑体" w:hAnsi="黑体" w:eastAsia="黑体"/>
          <w:b w:val="0"/>
          <w:color w:val="auto"/>
          <w:highlight w:val="none"/>
        </w:rPr>
        <w:t>政府性基金预算支出决算情况说明</w:t>
      </w:r>
      <w:bookmarkEnd w:id="34"/>
      <w:bookmarkEnd w:id="35"/>
    </w:p>
    <w:p w14:paraId="4063F71F">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DB7764F">
      <w:pPr>
        <w:numPr>
          <w:ilvl w:val="0"/>
          <w:numId w:val="3"/>
        </w:numPr>
        <w:spacing w:line="600" w:lineRule="exact"/>
        <w:ind w:firstLine="640"/>
        <w:outlineLvl w:val="1"/>
        <w:rPr>
          <w:rStyle w:val="23"/>
          <w:rFonts w:ascii="黑体" w:hAnsi="黑体" w:eastAsia="黑体"/>
          <w:b w:val="0"/>
          <w:color w:val="auto"/>
          <w:highlight w:val="none"/>
        </w:rPr>
      </w:pPr>
      <w:bookmarkStart w:id="36" w:name="_Toc15396611"/>
      <w:bookmarkStart w:id="37" w:name="_Toc15377219"/>
      <w:r>
        <w:rPr>
          <w:rStyle w:val="23"/>
          <w:rFonts w:hint="eastAsia" w:ascii="黑体" w:hAnsi="黑体" w:eastAsia="黑体"/>
          <w:b w:val="0"/>
          <w:color w:val="auto"/>
          <w:highlight w:val="none"/>
        </w:rPr>
        <w:t>国有资本经营预算支出决算情况说明</w:t>
      </w:r>
      <w:bookmarkEnd w:id="36"/>
      <w:bookmarkEnd w:id="37"/>
    </w:p>
    <w:p w14:paraId="413AE1F3">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205D21C">
      <w:pPr>
        <w:numPr>
          <w:ilvl w:val="0"/>
          <w:numId w:val="3"/>
        </w:numPr>
        <w:spacing w:line="600" w:lineRule="exact"/>
        <w:ind w:firstLine="640"/>
        <w:outlineLvl w:val="1"/>
        <w:rPr>
          <w:rStyle w:val="23"/>
          <w:rFonts w:hint="eastAsia" w:ascii="黑体" w:hAnsi="黑体" w:eastAsia="黑体"/>
          <w:b w:val="0"/>
          <w:color w:val="auto"/>
          <w:highlight w:val="none"/>
        </w:rPr>
      </w:pPr>
      <w:bookmarkStart w:id="38" w:name="_Toc15377221"/>
      <w:bookmarkStart w:id="39" w:name="_Toc15396612"/>
      <w:r>
        <w:rPr>
          <w:rStyle w:val="23"/>
          <w:rFonts w:hint="eastAsia" w:ascii="黑体" w:hAnsi="黑体" w:eastAsia="黑体"/>
          <w:b w:val="0"/>
          <w:color w:val="auto"/>
          <w:highlight w:val="none"/>
        </w:rPr>
        <w:t>其他重要事项的情况说明</w:t>
      </w:r>
      <w:bookmarkEnd w:id="38"/>
      <w:bookmarkEnd w:id="39"/>
    </w:p>
    <w:p w14:paraId="09E1A5F7">
      <w:pPr>
        <w:spacing w:line="600" w:lineRule="exact"/>
        <w:ind w:firstLine="643" w:firstLineChars="200"/>
        <w:outlineLvl w:val="2"/>
        <w:rPr>
          <w:rFonts w:ascii="仿宋" w:hAnsi="仿宋" w:eastAsia="仿宋"/>
          <w:color w:val="auto"/>
          <w:sz w:val="32"/>
          <w:szCs w:val="32"/>
          <w:highlight w:val="none"/>
        </w:rPr>
      </w:pPr>
      <w:bookmarkStart w:id="40" w:name="_Toc15377222"/>
      <w:r>
        <w:rPr>
          <w:rFonts w:hint="eastAsia" w:ascii="仿宋" w:hAnsi="仿宋" w:eastAsia="仿宋"/>
          <w:b/>
          <w:color w:val="auto"/>
          <w:sz w:val="32"/>
          <w:szCs w:val="32"/>
          <w:highlight w:val="none"/>
        </w:rPr>
        <w:t>（一）机关运行经费支出情况</w:t>
      </w:r>
      <w:bookmarkEnd w:id="40"/>
    </w:p>
    <w:p w14:paraId="0C4055A1">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8.1</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4.22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108.76%</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督查重，实地督查、季度督查等工作量的增多。</w:t>
      </w:r>
    </w:p>
    <w:p w14:paraId="2615FE8E">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107B527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1" w:name="_Toc15377223"/>
      <w:r>
        <w:rPr>
          <w:rFonts w:hint="eastAsia" w:ascii="仿宋" w:hAnsi="仿宋" w:eastAsia="仿宋"/>
          <w:b/>
          <w:color w:val="auto"/>
          <w:sz w:val="32"/>
          <w:szCs w:val="32"/>
          <w:highlight w:val="none"/>
        </w:rPr>
        <w:t>（二）政府采购支出情况</w:t>
      </w:r>
      <w:bookmarkEnd w:id="41"/>
    </w:p>
    <w:p w14:paraId="1E8F4EC2">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0E961F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2" w:name="_Toc15377224"/>
      <w:r>
        <w:rPr>
          <w:rFonts w:hint="eastAsia" w:ascii="仿宋" w:hAnsi="仿宋" w:eastAsia="仿宋"/>
          <w:b/>
          <w:color w:val="auto"/>
          <w:sz w:val="32"/>
          <w:szCs w:val="32"/>
          <w:highlight w:val="none"/>
        </w:rPr>
        <w:t>（三）国有资产占有使用情况</w:t>
      </w:r>
      <w:bookmarkEnd w:id="42"/>
    </w:p>
    <w:p w14:paraId="7AD44A6D">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A52C33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4381D1B1">
      <w:pPr>
        <w:widowControl/>
        <w:adjustRightInd w:val="0"/>
        <w:snapToGrid w:val="0"/>
        <w:spacing w:line="570" w:lineRule="exact"/>
        <w:ind w:firstLine="420" w:firstLineChars="200"/>
        <w:jc w:val="left"/>
        <w:rPr>
          <w:rFonts w:ascii="仿宋_GB2312" w:hAnsi="仿宋" w:eastAsia="仿宋_GB2312" w:cs="仿宋"/>
          <w:color w:val="000000"/>
          <w:kern w:val="0"/>
          <w:sz w:val="32"/>
          <w:szCs w:val="32"/>
        </w:rPr>
      </w:pPr>
      <w:r>
        <w:rPr>
          <w:rFonts w:hint="eastAsia"/>
          <w:lang w:val="en-US" w:eastAsia="zh-CN"/>
        </w:rPr>
        <w:t xml:space="preserve"> </w:t>
      </w:r>
      <w:r>
        <w:rPr>
          <w:rFonts w:hint="eastAsia" w:ascii="仿宋_GB2312" w:hAnsi="仿宋_GB2312" w:eastAsia="仿宋_GB2312" w:cs="仿宋_GB2312"/>
          <w:sz w:val="32"/>
          <w:szCs w:val="32"/>
        </w:rPr>
        <w:t>根本部门按要求对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年部门整体支出开展绩效自评，从评价情况看</w:t>
      </w:r>
      <w:r>
        <w:rPr>
          <w:rFonts w:hint="eastAsia" w:ascii="仿宋_GB2312" w:hAnsi="仿宋" w:eastAsia="仿宋_GB2312" w:cs="仿宋"/>
          <w:color w:val="000000"/>
          <w:kern w:val="0"/>
          <w:sz w:val="32"/>
          <w:szCs w:val="32"/>
        </w:rPr>
        <w:t>，我县委办公室依据整体绩效目标所设定的绩效指标清晰、细化、可衡量，与部门年度的任务数或计划数相对应；与本年度部门预算资金相匹配。严格按照年初预算进行部门整体支出。在支出过程中，能严格遵守各项规章制度，“三公经费”明显下降。尤其是在专项经费支出上，我们能专款专用，按项目实施计划的进度情况进行资金拨付，无截留、无挪用等现象。实行了先有预算、后有执行、“用钱必问效、无效必问责”的新常态。</w:t>
      </w:r>
    </w:p>
    <w:p w14:paraId="20079C8E">
      <w:pPr>
        <w:widowControl/>
        <w:ind w:firstLine="643" w:firstLineChars="200"/>
        <w:jc w:val="left"/>
        <w:rPr>
          <w:rFonts w:ascii="仿宋_GB2312" w:eastAsia="仿宋_GB2312"/>
          <w:b/>
          <w:color w:val="auto"/>
          <w:sz w:val="32"/>
          <w:szCs w:val="32"/>
          <w:highlight w:val="none"/>
        </w:rPr>
      </w:pPr>
    </w:p>
    <w:p w14:paraId="23C318BF"/>
    <w:p w14:paraId="725BA6A5">
      <w:pPr>
        <w:numPr>
          <w:ilvl w:val="0"/>
          <w:numId w:val="4"/>
        </w:numPr>
        <w:spacing w:line="600" w:lineRule="exact"/>
        <w:ind w:firstLine="660" w:firstLineChars="150"/>
        <w:jc w:val="center"/>
        <w:outlineLvl w:val="0"/>
        <w:rPr>
          <w:rStyle w:val="21"/>
          <w:rFonts w:ascii="黑体" w:hAnsi="黑体" w:eastAsia="黑体"/>
          <w:b w:val="0"/>
          <w:color w:val="auto"/>
          <w:highlight w:val="none"/>
        </w:rPr>
      </w:pPr>
      <w:bookmarkStart w:id="43" w:name="_Toc15396613"/>
      <w:bookmarkStart w:id="44" w:name="_Toc15377225"/>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43"/>
      <w:bookmarkEnd w:id="44"/>
    </w:p>
    <w:p w14:paraId="3B0F4560">
      <w:pPr>
        <w:spacing w:line="600" w:lineRule="exact"/>
        <w:jc w:val="left"/>
        <w:rPr>
          <w:rFonts w:ascii="宋体"/>
          <w:b/>
          <w:color w:val="auto"/>
          <w:sz w:val="44"/>
          <w:szCs w:val="44"/>
          <w:highlight w:val="none"/>
        </w:rPr>
      </w:pPr>
    </w:p>
    <w:p w14:paraId="59334B3A">
      <w:pPr>
        <w:pageBreakBefore w:val="0"/>
        <w:kinsoku/>
        <w:wordWrap/>
        <w:overflowPunct/>
        <w:topLinePunct w:val="0"/>
        <w:bidi w:val="0"/>
        <w:spacing w:line="578" w:lineRule="exact"/>
        <w:ind w:firstLine="0" w:firstLineChars="0"/>
        <w:rPr>
          <w:rFonts w:ascii="仿宋" w:hAnsi="仿宋" w:eastAsia="仿宋"/>
          <w:color w:val="000000"/>
          <w:sz w:val="32"/>
          <w:szCs w:val="32"/>
        </w:rPr>
      </w:pPr>
      <w:bookmarkStart w:id="45" w:name="_Toc15377226"/>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05F679B0">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42B782EE">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08BC8628">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14:paraId="4A2F4426">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0F6DE792">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2F5B477B">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35B773B4">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4F2446FA">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9.一般公共服务支出（201）党委办公厅（室）及相关机构事务（20131）事业运行（2013150）：反映事业单位的基本支出，不包括行政单位（包括实行公务员管理的事业单位）后勤服务中心、医务室等附属事业单位。</w:t>
      </w:r>
    </w:p>
    <w:p w14:paraId="503311E8">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p>
    <w:p w14:paraId="0992DE72">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p>
    <w:p w14:paraId="42C9BCAE">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卫生健康支出（210）行政事业单位医疗（21011）事业单位医疗（2101102）：反映财政部门安排的事业单位基本医疗保险缴费经费，未参加医疗保险的事业单位的公费医疗经费，按国家规定享受离休人员待遇的医疗经费。</w:t>
      </w:r>
    </w:p>
    <w:p w14:paraId="75EFCB43">
      <w:pPr>
        <w:pageBreakBefore w:val="0"/>
        <w:kinsoku/>
        <w:wordWrap/>
        <w:overflowPunct/>
        <w:topLinePunct w:val="0"/>
        <w:bidi w:val="0"/>
        <w:spacing w:line="578" w:lineRule="exact"/>
        <w:ind w:firstLine="0" w:firstLineChars="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13.卫生健康支出（210）行政事业单位医疗（21011）公务员医疗补助（2101103）：反映财政部门安排的公务员医疗补助经费。</w:t>
      </w:r>
    </w:p>
    <w:p w14:paraId="23DDA208">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14.住房保障支出（221）住房改革支出（22102）住房公积金（2210201）：反映行政事业单位按人力资源和社会保障部、财政部规定的基本工资和津贴补贴以及规定比例为职工缴纳的住房公积金。</w:t>
      </w:r>
    </w:p>
    <w:p w14:paraId="16A26632">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hint="eastAsia" w:ascii="仿宋" w:hAnsi="仿宋" w:eastAsia="仿宋"/>
          <w:color w:val="000000"/>
          <w:sz w:val="32"/>
          <w:szCs w:val="32"/>
        </w:rPr>
        <w:t>15.基本支出：指为保障机构正常运转、完成日常工作任务而发生的人员支出和公用支出。</w:t>
      </w:r>
    </w:p>
    <w:p w14:paraId="0509A172">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14:paraId="0D59BC4F">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hint="eastAsia" w:ascii="仿宋" w:hAnsi="仿宋" w:eastAsia="仿宋"/>
          <w:color w:val="000000"/>
          <w:sz w:val="32"/>
          <w:szCs w:val="32"/>
        </w:rPr>
        <w:t>16.经营支出：指事业单位在专业业务活动及其辅助活动之外开展非独立核算经营活动发生的支出。</w:t>
      </w:r>
    </w:p>
    <w:p w14:paraId="6A17AA9E">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hint="eastAsia" w:ascii="仿宋" w:hAnsi="仿宋" w:eastAsia="仿宋"/>
          <w:color w:val="000000"/>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90D7D7D">
      <w:pPr>
        <w:pageBreakBefore w:val="0"/>
        <w:kinsoku/>
        <w:wordWrap/>
        <w:overflowPunct/>
        <w:topLinePunct w:val="0"/>
        <w:bidi w:val="0"/>
        <w:spacing w:line="578" w:lineRule="exact"/>
        <w:ind w:firstLine="0" w:firstLineChars="0"/>
        <w:rPr>
          <w:rFonts w:ascii="仿宋" w:hAnsi="仿宋" w:eastAsia="仿宋"/>
          <w:color w:val="000000"/>
          <w:sz w:val="32"/>
          <w:szCs w:val="32"/>
        </w:rPr>
      </w:pPr>
      <w:r>
        <w:rPr>
          <w:rFonts w:hint="eastAsia" w:ascii="仿宋" w:hAnsi="仿宋" w:eastAsia="仿宋"/>
          <w:color w:val="000000"/>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2A45AB">
      <w:pPr>
        <w:pageBreakBefore w:val="0"/>
        <w:kinsoku/>
        <w:wordWrap/>
        <w:overflowPunct/>
        <w:topLinePunct w:val="0"/>
        <w:bidi w:val="0"/>
        <w:spacing w:line="578" w:lineRule="exact"/>
        <w:ind w:firstLine="0" w:firstLineChars="0"/>
        <w:rPr>
          <w:rFonts w:ascii="仿宋_GB2312" w:eastAsia="仿宋_GB2312" w:cs="黑体"/>
          <w:sz w:val="32"/>
          <w:szCs w:val="32"/>
        </w:rPr>
      </w:pPr>
      <w:r>
        <w:rPr>
          <w:rFonts w:hint="eastAsia" w:ascii="仿宋" w:hAnsi="仿宋" w:eastAsia="仿宋"/>
          <w:color w:val="000000"/>
          <w:sz w:val="32"/>
          <w:szCs w:val="32"/>
        </w:rPr>
        <w:t>19.财政应返还额度：为行政事业单位会计核算科目，用于核算实行国库集中支付的行政事业单位应收财政返还的资金额度。</w:t>
      </w:r>
    </w:p>
    <w:p w14:paraId="42E091D9">
      <w:pPr>
        <w:pageBreakBefore w:val="0"/>
        <w:widowControl/>
        <w:kinsoku/>
        <w:wordWrap/>
        <w:overflowPunct/>
        <w:topLinePunct w:val="0"/>
        <w:bidi w:val="0"/>
        <w:spacing w:line="578" w:lineRule="exact"/>
        <w:ind w:firstLine="0" w:firstLineChars="0"/>
        <w:jc w:val="left"/>
        <w:rPr>
          <w:rStyle w:val="29"/>
          <w:rFonts w:ascii="黑体" w:hAnsi="黑体" w:eastAsia="黑体"/>
        </w:rPr>
      </w:pPr>
      <w:r>
        <w:rPr>
          <w:rFonts w:ascii="宋体"/>
          <w:b/>
          <w:color w:val="auto"/>
          <w:sz w:val="44"/>
          <w:szCs w:val="44"/>
          <w:highlight w:val="none"/>
        </w:rPr>
        <w:br w:type="page"/>
      </w:r>
      <w:bookmarkStart w:id="46" w:name="_Toc15396614"/>
    </w:p>
    <w:p w14:paraId="046AA441">
      <w:pPr>
        <w:pStyle w:val="4"/>
        <w:pageBreakBefore w:val="0"/>
        <w:kinsoku/>
        <w:wordWrap/>
        <w:overflowPunct/>
        <w:topLinePunct w:val="0"/>
        <w:autoSpaceDE/>
        <w:autoSpaceDN/>
        <w:bidi w:val="0"/>
        <w:adjustRightInd/>
        <w:snapToGrid/>
        <w:spacing w:before="0" w:after="0" w:line="638" w:lineRule="exact"/>
        <w:ind w:firstLine="0" w:firstLineChars="0"/>
        <w:jc w:val="center"/>
        <w:rPr>
          <w:rFonts w:ascii="黑体" w:hAnsi="黑体" w:eastAsia="黑体" w:cs="黑体"/>
        </w:rPr>
      </w:pPr>
      <w:bookmarkStart w:id="47" w:name="_Toc113981024"/>
      <w:bookmarkStart w:id="48" w:name="_Toc12997"/>
      <w:bookmarkStart w:id="49" w:name="_Toc111208510"/>
      <w:r>
        <w:rPr>
          <w:rFonts w:hint="eastAsia" w:ascii="黑体" w:hAnsi="黑体" w:eastAsia="黑体" w:cs="黑体"/>
        </w:rPr>
        <w:t>第四部分 附件</w:t>
      </w:r>
      <w:bookmarkEnd w:id="47"/>
      <w:bookmarkEnd w:id="48"/>
      <w:bookmarkEnd w:id="49"/>
    </w:p>
    <w:p w14:paraId="25111B7D">
      <w:pPr>
        <w:pStyle w:val="30"/>
        <w:keepNext w:val="0"/>
        <w:keepLines w:val="0"/>
        <w:pageBreakBefore w:val="0"/>
        <w:widowControl/>
        <w:kinsoku/>
        <w:wordWrap/>
        <w:overflowPunct/>
        <w:topLinePunct w:val="0"/>
        <w:autoSpaceDE/>
        <w:autoSpaceDN/>
        <w:bidi w:val="0"/>
        <w:adjustRightInd/>
        <w:snapToGrid/>
        <w:spacing w:line="638" w:lineRule="exact"/>
        <w:ind w:left="0" w:firstLine="0" w:firstLineChars="0"/>
        <w:jc w:val="center"/>
        <w:textAlignment w:val="bottom"/>
        <w:outlineLvl w:val="1"/>
        <w:rPr>
          <w:rFonts w:ascii="方正小标宋简体" w:hAnsi="宋体" w:eastAsia="方正小标宋简体" w:cs="Times New Roman"/>
          <w:kern w:val="0"/>
          <w:sz w:val="44"/>
          <w:szCs w:val="44"/>
        </w:rPr>
      </w:pPr>
      <w:bookmarkStart w:id="50" w:name="_Toc29703"/>
      <w:r>
        <w:rPr>
          <w:rFonts w:hint="eastAsia" w:ascii="方正小标宋简体" w:hAnsi="宋体" w:eastAsia="方正小标宋简体" w:cs="Times New Roman"/>
          <w:kern w:val="0"/>
          <w:sz w:val="44"/>
          <w:szCs w:val="44"/>
          <w:lang w:val="en-US" w:eastAsia="zh-CN"/>
        </w:rPr>
        <w:t>2023</w:t>
      </w:r>
      <w:r>
        <w:rPr>
          <w:rFonts w:hint="eastAsia" w:ascii="方正小标宋简体" w:hAnsi="宋体" w:eastAsia="方正小标宋简体" w:cs="Times New Roman"/>
          <w:kern w:val="0"/>
          <w:sz w:val="44"/>
          <w:szCs w:val="44"/>
        </w:rPr>
        <w:t>年部门整体支出绩效报告</w:t>
      </w:r>
      <w:bookmarkEnd w:id="50"/>
    </w:p>
    <w:p w14:paraId="58BB2DBE">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outlineLvl w:val="1"/>
        <w:rPr>
          <w:rFonts w:ascii="黑体" w:hAnsi="宋体" w:eastAsia="黑体" w:cs="宋体"/>
          <w:color w:val="000000"/>
          <w:kern w:val="0"/>
          <w:lang w:val="zh-CN"/>
        </w:rPr>
      </w:pPr>
      <w:bookmarkStart w:id="51" w:name="_Toc2660"/>
      <w:r>
        <w:rPr>
          <w:rFonts w:hint="eastAsia" w:ascii="黑体" w:hAnsi="宋体" w:eastAsia="黑体" w:cs="宋体"/>
          <w:color w:val="000000"/>
          <w:kern w:val="0"/>
        </w:rPr>
        <w:t>一、</w:t>
      </w:r>
      <w:r>
        <w:rPr>
          <w:rFonts w:hint="eastAsia" w:ascii="黑体" w:hAnsi="宋体" w:eastAsia="黑体" w:cs="宋体"/>
          <w:color w:val="000000"/>
          <w:kern w:val="0"/>
          <w:lang w:val="zh-CN"/>
        </w:rPr>
        <w:t>部门（单位）概况</w:t>
      </w:r>
      <w:bookmarkEnd w:id="51"/>
    </w:p>
    <w:p w14:paraId="56B8F36F">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b/>
          <w:bCs/>
          <w:color w:val="4E4342"/>
          <w:szCs w:val="32"/>
          <w:lang w:val="zh-CN" w:eastAsia="zh-CN"/>
        </w:rPr>
      </w:pPr>
      <w:r>
        <w:rPr>
          <w:rFonts w:hint="eastAsia" w:ascii="仿宋_GB2312" w:hAnsi="仿宋_GB2312" w:cs="仿宋_GB2312"/>
          <w:b/>
          <w:bCs/>
          <w:color w:val="4E4342"/>
          <w:szCs w:val="32"/>
          <w:lang w:val="zh-CN" w:eastAsia="zh-CN"/>
        </w:rPr>
        <w:t>（一）机构职能</w:t>
      </w:r>
    </w:p>
    <w:p w14:paraId="7D3A4080">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1.协助县委、县政府和县委县政府领导督促检查贯彻落实党和国家方针、政策、指示、决定情况。</w:t>
      </w:r>
    </w:p>
    <w:p w14:paraId="38B4904B">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2.督查落实上级党委领导机关和领导同志批示交办事项。</w:t>
      </w:r>
    </w:p>
    <w:p w14:paraId="4944CDB8">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3.督查落实县委、县政府重要文件、重要会议决议、决定和重大决策、重要工作部署。</w:t>
      </w:r>
    </w:p>
    <w:p w14:paraId="13F1094A">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4.督查落实县委、县政府和领导同志重要指示、批示。</w:t>
      </w:r>
    </w:p>
    <w:p w14:paraId="2FA9A85D">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5.督查落实本级或上一级人大代表、政协委员提出的需要由县委、县政府答复的有关议案、提案的办理情况。</w:t>
      </w:r>
    </w:p>
    <w:p w14:paraId="71A4AC23">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6.查办新闻单位披露的本地、本部门的问题并要求反馈结果或需要核查的事项。</w:t>
      </w:r>
    </w:p>
    <w:p w14:paraId="7F246386">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7.根据决策实施的进展情况，对关系全局的热点问题、工作落实的难点问题和执行中出现的倾向性、苗头性问题开展调研，对重点问题进行解剖分析，向党委、政府写出专题或综合报告。</w:t>
      </w:r>
    </w:p>
    <w:p w14:paraId="2EDE184E">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8.根据党委、政府授权，协调和推动各职能部门和下级党委、政府开展督促检查。</w:t>
      </w:r>
    </w:p>
    <w:p w14:paraId="3472AA2C">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9.加强同各职能部门的联系，了解有关工作的进展情况，向党委、政府汇总报告。</w:t>
      </w:r>
    </w:p>
    <w:p w14:paraId="7B26384E">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10.指导、督促党委、政府重大决策和重要工作部署的全面落实。</w:t>
      </w:r>
    </w:p>
    <w:p w14:paraId="5DD7A2ED">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11.负责全县的目标管理考核工作。</w:t>
      </w:r>
    </w:p>
    <w:p w14:paraId="44B03F0E">
      <w:pPr>
        <w:pStyle w:val="30"/>
        <w:keepNext w:val="0"/>
        <w:keepLines w:val="0"/>
        <w:pageBreakBefore w:val="0"/>
        <w:kinsoku/>
        <w:wordWrap/>
        <w:overflowPunct/>
        <w:topLinePunct w:val="0"/>
        <w:autoSpaceDE/>
        <w:autoSpaceDN/>
        <w:bidi w:val="0"/>
        <w:spacing w:line="578" w:lineRule="exact"/>
        <w:ind w:firstLine="0" w:firstLineChars="0"/>
        <w:jc w:val="left"/>
        <w:rPr>
          <w:rFonts w:hint="eastAsia" w:ascii="仿宋_GB2312" w:hAnsi="仿宋_GB2312" w:cs="仿宋_GB2312"/>
          <w:color w:val="4E4342"/>
          <w:szCs w:val="32"/>
          <w:lang w:eastAsia="zh-CN"/>
        </w:rPr>
      </w:pPr>
      <w:r>
        <w:rPr>
          <w:rFonts w:hint="eastAsia" w:ascii="仿宋_GB2312" w:hAnsi="仿宋_GB2312" w:cs="仿宋_GB2312"/>
          <w:color w:val="4E4342"/>
          <w:szCs w:val="32"/>
          <w:lang w:eastAsia="zh-CN"/>
        </w:rPr>
        <w:t>12.负责编发《督查专报》。</w:t>
      </w:r>
    </w:p>
    <w:p w14:paraId="552BA425">
      <w:pPr>
        <w:pStyle w:val="30"/>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0" w:firstLineChars="0"/>
        <w:jc w:val="both"/>
        <w:textAlignment w:val="auto"/>
        <w:outlineLvl w:val="1"/>
        <w:rPr>
          <w:rFonts w:ascii="瀹嬩綋" w:eastAsia="瀹嬩綋"/>
          <w:color w:val="4E4342"/>
          <w:sz w:val="29"/>
          <w:szCs w:val="29"/>
        </w:rPr>
      </w:pPr>
      <w:bookmarkStart w:id="52" w:name="_Toc12627"/>
      <w:r>
        <w:rPr>
          <w:rFonts w:hint="eastAsia" w:ascii="黑体" w:hAnsi="宋体" w:eastAsia="黑体" w:cs="宋体"/>
          <w:color w:val="000000"/>
          <w:kern w:val="0"/>
        </w:rPr>
        <w:t>二、部门财政资金收支情况</w:t>
      </w:r>
      <w:bookmarkEnd w:id="52"/>
    </w:p>
    <w:p w14:paraId="3BD39604">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楷体" w:hAnsi="楷体" w:eastAsia="楷体" w:cs="宋体"/>
          <w:color w:val="000000"/>
          <w:kern w:val="0"/>
          <w:lang w:val="zh-CN"/>
        </w:rPr>
      </w:pPr>
      <w:r>
        <w:rPr>
          <w:rFonts w:hint="eastAsia" w:ascii="仿宋_GB2312" w:hAnsi="宋体" w:cs="宋体"/>
          <w:color w:val="000000"/>
          <w:kern w:val="0"/>
          <w:lang w:val="zh-CN"/>
        </w:rPr>
        <w:t>（</w:t>
      </w:r>
      <w:r>
        <w:rPr>
          <w:rFonts w:hint="eastAsia" w:ascii="楷体" w:hAnsi="楷体" w:eastAsia="楷体" w:cs="宋体"/>
          <w:color w:val="000000"/>
          <w:kern w:val="0"/>
          <w:lang w:val="zh-CN"/>
        </w:rPr>
        <w:t>一</w:t>
      </w:r>
      <w:r>
        <w:rPr>
          <w:rFonts w:hint="eastAsia" w:ascii="楷体" w:hAnsi="楷体" w:eastAsia="楷体" w:cs="楷体"/>
          <w:color w:val="000000"/>
          <w:kern w:val="0"/>
          <w:lang w:val="zh-CN"/>
        </w:rPr>
        <w:t>）部门财政资金收入情况</w:t>
      </w:r>
      <w:r>
        <w:rPr>
          <w:rFonts w:hint="eastAsia" w:ascii="楷体" w:hAnsi="楷体" w:eastAsia="楷体" w:cs="宋体"/>
          <w:color w:val="000000"/>
          <w:kern w:val="0"/>
          <w:lang w:val="zh-CN"/>
        </w:rPr>
        <w:t>。</w:t>
      </w:r>
    </w:p>
    <w:p w14:paraId="2C7174EB">
      <w:pPr>
        <w:pStyle w:val="31"/>
        <w:pageBreakBefore w:val="0"/>
        <w:kinsoku/>
        <w:wordWrap/>
        <w:overflowPunct/>
        <w:topLinePunct w:val="0"/>
        <w:bidi w:val="0"/>
        <w:spacing w:line="578"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3</w:t>
      </w:r>
      <w:r>
        <w:rPr>
          <w:rFonts w:hint="eastAsia" w:ascii="仿宋" w:hAnsi="仿宋" w:eastAsia="仿宋" w:cs="宋体"/>
          <w:sz w:val="32"/>
          <w:szCs w:val="32"/>
        </w:rPr>
        <w:t>年松潘县目标绩效督查事务中心本年收入合计</w:t>
      </w:r>
      <w:r>
        <w:rPr>
          <w:rFonts w:hint="eastAsia" w:ascii="仿宋" w:hAnsi="仿宋" w:eastAsia="仿宋" w:cs="宋体"/>
          <w:sz w:val="32"/>
          <w:szCs w:val="32"/>
          <w:lang w:val="en-US" w:eastAsia="zh-CN"/>
        </w:rPr>
        <w:t>168.65</w:t>
      </w:r>
      <w:r>
        <w:rPr>
          <w:rFonts w:hint="eastAsia" w:ascii="仿宋" w:hAnsi="仿宋" w:eastAsia="仿宋" w:cs="宋体"/>
          <w:sz w:val="32"/>
          <w:szCs w:val="32"/>
        </w:rPr>
        <w:t>万元，其中：财政拨款收入</w:t>
      </w:r>
      <w:r>
        <w:rPr>
          <w:rFonts w:hint="eastAsia" w:ascii="仿宋" w:hAnsi="仿宋" w:eastAsia="仿宋" w:cs="宋体"/>
          <w:sz w:val="32"/>
          <w:szCs w:val="32"/>
          <w:lang w:val="en-US" w:eastAsia="zh-CN"/>
        </w:rPr>
        <w:t>168.65</w:t>
      </w:r>
      <w:r>
        <w:rPr>
          <w:rFonts w:hint="eastAsia" w:ascii="仿宋" w:hAnsi="仿宋" w:eastAsia="仿宋" w:cs="宋体"/>
          <w:sz w:val="32"/>
          <w:szCs w:val="32"/>
        </w:rPr>
        <w:t>万元，占100%。</w:t>
      </w:r>
    </w:p>
    <w:p w14:paraId="5244650C">
      <w:pPr>
        <w:pStyle w:val="31"/>
        <w:pageBreakBefore w:val="0"/>
        <w:kinsoku/>
        <w:wordWrap/>
        <w:overflowPunct/>
        <w:topLinePunct w:val="0"/>
        <w:bidi w:val="0"/>
        <w:spacing w:line="578" w:lineRule="exact"/>
        <w:ind w:firstLine="0" w:firstLineChars="0"/>
        <w:rPr>
          <w:rFonts w:hint="eastAsia" w:ascii="仿宋" w:hAnsi="仿宋" w:eastAsia="仿宋" w:cs="宋体"/>
          <w:sz w:val="32"/>
          <w:szCs w:val="32"/>
          <w:lang w:val="en-US" w:eastAsia="zh-CN"/>
        </w:rPr>
      </w:pPr>
      <w:r>
        <w:rPr>
          <w:rFonts w:hint="eastAsia" w:ascii="仿宋" w:hAnsi="仿宋" w:eastAsia="仿宋" w:cs="宋体"/>
          <w:sz w:val="32"/>
          <w:szCs w:val="32"/>
        </w:rPr>
        <w:t xml:space="preserve">    </w:t>
      </w:r>
      <w:r>
        <w:rPr>
          <w:rFonts w:hint="eastAsia" w:ascii="仿宋" w:hAnsi="仿宋" w:eastAsia="仿宋" w:cs="宋体"/>
          <w:sz w:val="32"/>
          <w:szCs w:val="32"/>
          <w:lang w:val="en-US" w:eastAsia="zh-CN"/>
        </w:rPr>
        <w:t>2023</w:t>
      </w:r>
      <w:r>
        <w:rPr>
          <w:rFonts w:hint="eastAsia" w:ascii="仿宋" w:hAnsi="仿宋" w:eastAsia="仿宋" w:cs="宋体"/>
          <w:sz w:val="32"/>
          <w:szCs w:val="32"/>
        </w:rPr>
        <w:t>年松潘县目标绩效督查事务中心本年支出合计</w:t>
      </w:r>
      <w:r>
        <w:rPr>
          <w:rFonts w:hint="eastAsia" w:ascii="仿宋" w:hAnsi="仿宋" w:eastAsia="仿宋" w:cs="宋体"/>
          <w:sz w:val="32"/>
          <w:szCs w:val="32"/>
          <w:lang w:val="en-US" w:eastAsia="zh-CN"/>
        </w:rPr>
        <w:t>178.6</w:t>
      </w:r>
      <w:r>
        <w:rPr>
          <w:rFonts w:hint="eastAsia" w:ascii="仿宋" w:hAnsi="仿宋" w:eastAsia="仿宋" w:cs="宋体"/>
          <w:sz w:val="32"/>
          <w:szCs w:val="32"/>
        </w:rPr>
        <w:t>万元，其中：基本支出</w:t>
      </w:r>
      <w:r>
        <w:rPr>
          <w:rFonts w:hint="eastAsia" w:ascii="仿宋" w:hAnsi="仿宋" w:eastAsia="仿宋" w:cs="宋体"/>
          <w:sz w:val="32"/>
          <w:szCs w:val="32"/>
          <w:lang w:val="en-US" w:eastAsia="zh-CN"/>
        </w:rPr>
        <w:t>168.65</w:t>
      </w:r>
      <w:r>
        <w:rPr>
          <w:rFonts w:hint="eastAsia" w:ascii="仿宋" w:hAnsi="仿宋" w:eastAsia="仿宋" w:cs="宋体"/>
          <w:sz w:val="32"/>
          <w:szCs w:val="32"/>
        </w:rPr>
        <w:t>万元，</w:t>
      </w:r>
      <w:r>
        <w:rPr>
          <w:rFonts w:hint="eastAsia" w:ascii="仿宋" w:hAnsi="仿宋" w:eastAsia="仿宋" w:cs="宋体"/>
          <w:sz w:val="32"/>
          <w:szCs w:val="32"/>
          <w:lang w:eastAsia="zh-CN"/>
        </w:rPr>
        <w:t>占</w:t>
      </w:r>
      <w:r>
        <w:rPr>
          <w:rFonts w:hint="eastAsia" w:ascii="仿宋" w:hAnsi="仿宋" w:eastAsia="仿宋" w:cs="宋体"/>
          <w:sz w:val="32"/>
          <w:szCs w:val="32"/>
          <w:lang w:val="en-US" w:eastAsia="zh-CN"/>
        </w:rPr>
        <w:t>94.43</w:t>
      </w:r>
      <w:r>
        <w:rPr>
          <w:rFonts w:hint="eastAsia" w:ascii="仿宋" w:hAnsi="仿宋" w:eastAsia="仿宋" w:cs="宋体"/>
          <w:sz w:val="32"/>
          <w:szCs w:val="32"/>
        </w:rPr>
        <w:t>%；项目支出</w:t>
      </w:r>
      <w:r>
        <w:rPr>
          <w:rFonts w:hint="eastAsia" w:ascii="仿宋" w:hAnsi="仿宋" w:eastAsia="仿宋" w:cs="宋体"/>
          <w:sz w:val="32"/>
          <w:szCs w:val="32"/>
          <w:lang w:val="en-US" w:eastAsia="zh-CN"/>
        </w:rPr>
        <w:t>9.96万元，</w:t>
      </w:r>
      <w:r>
        <w:rPr>
          <w:rFonts w:hint="eastAsia" w:ascii="仿宋" w:hAnsi="仿宋" w:eastAsia="仿宋" w:cs="宋体"/>
          <w:sz w:val="32"/>
          <w:szCs w:val="32"/>
          <w:lang w:eastAsia="zh-CN"/>
        </w:rPr>
        <w:t>占</w:t>
      </w:r>
      <w:r>
        <w:rPr>
          <w:rFonts w:hint="eastAsia" w:ascii="仿宋" w:hAnsi="仿宋" w:eastAsia="仿宋" w:cs="宋体"/>
          <w:sz w:val="32"/>
          <w:szCs w:val="32"/>
          <w:lang w:val="en-US" w:eastAsia="zh-CN"/>
        </w:rPr>
        <w:t>5.57</w:t>
      </w:r>
      <w:r>
        <w:rPr>
          <w:rFonts w:hint="eastAsia" w:ascii="仿宋" w:hAnsi="仿宋" w:eastAsia="仿宋" w:cs="宋体"/>
          <w:sz w:val="32"/>
          <w:szCs w:val="32"/>
        </w:rPr>
        <w:t>%</w:t>
      </w:r>
      <w:r>
        <w:rPr>
          <w:rFonts w:hint="eastAsia" w:ascii="仿宋" w:hAnsi="仿宋" w:eastAsia="仿宋" w:cs="宋体"/>
          <w:sz w:val="32"/>
          <w:szCs w:val="32"/>
          <w:lang w:eastAsia="zh-CN"/>
        </w:rPr>
        <w:t>；</w:t>
      </w:r>
    </w:p>
    <w:p w14:paraId="210B2BF4">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hint="eastAsia" w:ascii="仿宋_GB2312" w:hAnsi="宋体" w:cs="宋体"/>
          <w:b/>
          <w:bCs/>
          <w:color w:val="000000"/>
          <w:kern w:val="0"/>
          <w:lang w:val="zh-CN"/>
        </w:rPr>
      </w:pPr>
      <w:r>
        <w:rPr>
          <w:rFonts w:hint="eastAsia" w:ascii="仿宋_GB2312" w:hAnsi="宋体" w:cs="宋体"/>
          <w:b/>
          <w:bCs/>
          <w:color w:val="000000"/>
          <w:kern w:val="0"/>
          <w:lang w:val="zh-CN"/>
        </w:rPr>
        <w:t>（二）</w:t>
      </w:r>
      <w:r>
        <w:rPr>
          <w:rFonts w:hint="eastAsia" w:ascii="楷体" w:hAnsi="楷体" w:eastAsia="楷体" w:cs="宋体"/>
          <w:color w:val="000000"/>
          <w:kern w:val="0"/>
          <w:lang w:val="zh-CN"/>
        </w:rPr>
        <w:t xml:space="preserve">财政拨款收支决算情况 </w:t>
      </w:r>
    </w:p>
    <w:p w14:paraId="6698AA01">
      <w:pPr>
        <w:pageBreakBefore w:val="0"/>
        <w:kinsoku/>
        <w:wordWrap/>
        <w:overflowPunct/>
        <w:topLinePunct w:val="0"/>
        <w:bidi w:val="0"/>
        <w:spacing w:line="578" w:lineRule="exact"/>
        <w:ind w:firstLine="320" w:firstLineChars="100"/>
        <w:rPr>
          <w:rFonts w:hint="eastAsia" w:ascii="仿宋" w:hAnsi="仿宋" w:eastAsia="仿宋"/>
          <w:color w:val="000000"/>
          <w:sz w:val="32"/>
          <w:szCs w:val="32"/>
          <w:lang w:eastAsia="zh-CN"/>
        </w:rPr>
      </w:pPr>
      <w:r>
        <w:rPr>
          <w:rFonts w:hint="eastAsia" w:ascii="仿宋" w:hAnsi="仿宋" w:eastAsia="仿宋" w:cs="宋体"/>
          <w:sz w:val="32"/>
          <w:szCs w:val="32"/>
        </w:rPr>
        <w:t xml:space="preserve"> </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168.65</w:t>
      </w:r>
      <w:r>
        <w:rPr>
          <w:rFonts w:hint="eastAsia" w:ascii="仿宋" w:hAnsi="仿宋" w:eastAsia="仿宋"/>
          <w:color w:val="000000"/>
          <w:sz w:val="32"/>
          <w:szCs w:val="32"/>
        </w:rPr>
        <w:t>万元，占本年支出合计的100.00%。与</w:t>
      </w: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年相比，收、支总计各</w:t>
      </w:r>
      <w:r>
        <w:rPr>
          <w:rFonts w:ascii="仿宋" w:hAnsi="仿宋" w:eastAsia="仿宋"/>
          <w:color w:val="000000"/>
          <w:sz w:val="32"/>
          <w:szCs w:val="32"/>
        </w:rPr>
        <w:t>增加</w:t>
      </w:r>
      <w:r>
        <w:rPr>
          <w:rFonts w:hint="eastAsia" w:ascii="仿宋" w:hAnsi="仿宋" w:eastAsia="仿宋"/>
          <w:color w:val="000000"/>
          <w:sz w:val="32"/>
          <w:szCs w:val="32"/>
          <w:lang w:val="en-US" w:eastAsia="zh-CN"/>
        </w:rPr>
        <w:t>55.88</w:t>
      </w:r>
      <w:r>
        <w:rPr>
          <w:rFonts w:hint="eastAsia" w:ascii="仿宋" w:hAnsi="仿宋" w:eastAsia="仿宋"/>
          <w:color w:val="000000"/>
          <w:sz w:val="32"/>
          <w:szCs w:val="32"/>
        </w:rPr>
        <w:t>万元，</w:t>
      </w:r>
      <w:r>
        <w:rPr>
          <w:rFonts w:hint="eastAsia" w:ascii="仿宋" w:hAnsi="仿宋" w:eastAsia="仿宋"/>
          <w:color w:val="auto"/>
          <w:sz w:val="32"/>
          <w:szCs w:val="32"/>
          <w:highlight w:val="none"/>
          <w:lang w:val="en-US" w:eastAsia="zh-CN"/>
        </w:rPr>
        <w:t>49.5</w:t>
      </w:r>
      <w:r>
        <w:rPr>
          <w:rFonts w:ascii="仿宋" w:hAnsi="仿宋" w:eastAsia="仿宋"/>
          <w:color w:val="auto"/>
          <w:sz w:val="32"/>
          <w:szCs w:val="32"/>
          <w:highlight w:val="none"/>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机构改革编制</w:t>
      </w:r>
      <w:r>
        <w:rPr>
          <w:rFonts w:hint="eastAsia" w:ascii="仿宋" w:hAnsi="仿宋" w:eastAsia="仿宋"/>
          <w:color w:val="000000"/>
          <w:sz w:val="32"/>
          <w:szCs w:val="32"/>
        </w:rPr>
        <w:t>增加</w:t>
      </w:r>
      <w:r>
        <w:rPr>
          <w:rFonts w:hint="eastAsia" w:ascii="仿宋" w:hAnsi="仿宋" w:eastAsia="仿宋"/>
          <w:color w:val="000000"/>
          <w:sz w:val="32"/>
          <w:szCs w:val="32"/>
          <w:lang w:eastAsia="zh-CN"/>
        </w:rPr>
        <w:t>，绩效、督查工作任务加大，运行费用增加，人员变动频繁，人员经费增加。</w:t>
      </w:r>
    </w:p>
    <w:p w14:paraId="45E369D8">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168.65</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135.32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s="宋体"/>
          <w:kern w:val="0"/>
          <w:sz w:val="32"/>
          <w:szCs w:val="32"/>
        </w:rPr>
        <w:t>22.91万元，占比12.83%</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ascii="仿宋" w:hAnsi="仿宋" w:eastAsia="仿宋"/>
          <w:color w:val="auto"/>
          <w:sz w:val="32"/>
          <w:szCs w:val="32"/>
          <w:highlight w:val="none"/>
        </w:rPr>
        <w:t>*</w:t>
      </w:r>
      <w:r>
        <w:rPr>
          <w:rFonts w:hint="eastAsia" w:ascii="仿宋" w:hAnsi="仿宋" w:eastAsia="仿宋" w:cs="宋体"/>
          <w:kern w:val="0"/>
          <w:sz w:val="32"/>
          <w:szCs w:val="32"/>
        </w:rPr>
        <w:t>8.48万元，占比4.75%</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s="宋体"/>
          <w:kern w:val="0"/>
          <w:sz w:val="32"/>
          <w:szCs w:val="32"/>
        </w:rPr>
        <w:t>11.89万元，占比6.66%</w:t>
      </w:r>
      <w:r>
        <w:rPr>
          <w:rFonts w:hint="eastAsia" w:ascii="仿宋" w:hAnsi="仿宋" w:eastAsia="仿宋" w:cs="宋体"/>
          <w:kern w:val="0"/>
          <w:sz w:val="32"/>
          <w:szCs w:val="32"/>
          <w:lang w:eastAsia="zh-CN"/>
        </w:rPr>
        <w:t>；</w:t>
      </w:r>
    </w:p>
    <w:p w14:paraId="09A43ACF">
      <w:pPr>
        <w:pStyle w:val="31"/>
        <w:pageBreakBefore w:val="0"/>
        <w:kinsoku/>
        <w:wordWrap/>
        <w:overflowPunct/>
        <w:topLinePunct w:val="0"/>
        <w:bidi w:val="0"/>
        <w:spacing w:line="578" w:lineRule="exact"/>
        <w:ind w:firstLine="0" w:firstLineChars="0"/>
        <w:rPr>
          <w:rFonts w:hint="eastAsia" w:ascii="仿宋" w:hAnsi="仿宋" w:eastAsia="仿宋" w:cs="宋体"/>
          <w:sz w:val="32"/>
          <w:szCs w:val="32"/>
        </w:rPr>
      </w:pPr>
      <w:r>
        <w:rPr>
          <w:rFonts w:hint="eastAsia" w:ascii="仿宋_GB2312" w:hAnsi="宋体" w:eastAsia="仿宋_GB2312" w:cs="宋体"/>
          <w:b/>
          <w:bCs/>
          <w:color w:val="000000"/>
          <w:kern w:val="0"/>
          <w:sz w:val="32"/>
          <w:szCs w:val="24"/>
          <w:lang w:val="zh-CN" w:eastAsia="zh-CN" w:bidi="ar-SA"/>
        </w:rPr>
        <w:t>（</w:t>
      </w:r>
      <w:r>
        <w:rPr>
          <w:rFonts w:hint="eastAsia" w:ascii="楷体" w:hAnsi="楷体" w:eastAsia="楷体" w:cs="宋体"/>
          <w:color w:val="000000"/>
          <w:kern w:val="0"/>
          <w:sz w:val="32"/>
          <w:szCs w:val="24"/>
          <w:lang w:val="zh-CN" w:eastAsia="zh-CN" w:bidi="ar-SA"/>
        </w:rPr>
        <w:t>三）“三公”经费财政拨款支出决算具体情况说明</w:t>
      </w:r>
    </w:p>
    <w:p w14:paraId="1CA53F39">
      <w:pPr>
        <w:pageBreakBefore w:val="0"/>
        <w:kinsoku/>
        <w:wordWrap/>
        <w:overflowPunct/>
        <w:topLinePunct w:val="0"/>
        <w:bidi w:val="0"/>
        <w:spacing w:line="578" w:lineRule="exact"/>
        <w:ind w:firstLine="320" w:firstLineChars="100"/>
        <w:rPr>
          <w:rFonts w:hint="eastAsia" w:ascii="仿宋" w:hAnsi="仿宋" w:eastAsia="仿宋" w:cs="宋体"/>
          <w:sz w:val="32"/>
          <w:szCs w:val="32"/>
          <w:lang w:val="en-US"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万，因公出国（境）费支出决算0.00万元，占0.00%；公务用车购置及运行维护费支出决算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万元，占100.00%；公务接待费支出决算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万元，占0.00%。</w:t>
      </w:r>
    </w:p>
    <w:p w14:paraId="3028229C">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楷体" w:hAnsi="楷体" w:eastAsia="楷体" w:cs="宋体"/>
          <w:color w:val="000000"/>
          <w:kern w:val="0"/>
          <w:lang w:val="zh-CN"/>
        </w:rPr>
      </w:pPr>
      <w:r>
        <w:rPr>
          <w:rFonts w:ascii="楷体" w:hAnsi="楷体" w:eastAsia="楷体" w:cs="宋体"/>
          <w:color w:val="000000"/>
          <w:kern w:val="0"/>
          <w:lang w:val="zh-CN"/>
        </w:rPr>
        <w:t>（</w:t>
      </w:r>
      <w:r>
        <w:rPr>
          <w:rFonts w:hint="eastAsia" w:ascii="楷体" w:hAnsi="楷体" w:eastAsia="楷体" w:cs="宋体"/>
          <w:color w:val="000000"/>
          <w:kern w:val="0"/>
          <w:lang w:val="zh-CN"/>
        </w:rPr>
        <w:t>四</w:t>
      </w:r>
      <w:r>
        <w:rPr>
          <w:rFonts w:ascii="楷体" w:hAnsi="楷体" w:eastAsia="楷体" w:cs="宋体"/>
          <w:color w:val="000000"/>
          <w:kern w:val="0"/>
          <w:lang w:val="zh-CN"/>
        </w:rPr>
        <w:t>）部门整体支出情况分析。</w:t>
      </w:r>
    </w:p>
    <w:p w14:paraId="7D3CFC67">
      <w:pPr>
        <w:pStyle w:val="30"/>
        <w:keepNext w:val="0"/>
        <w:keepLines w:val="0"/>
        <w:pageBreakBefore w:val="0"/>
        <w:widowControl/>
        <w:kinsoku/>
        <w:wordWrap/>
        <w:overflowPunct/>
        <w:topLinePunct w:val="0"/>
        <w:autoSpaceDE/>
        <w:autoSpaceDN/>
        <w:bidi w:val="0"/>
        <w:adjustRightInd w:val="0"/>
        <w:snapToGrid w:val="0"/>
        <w:spacing w:line="578" w:lineRule="exact"/>
        <w:ind w:firstLine="320" w:firstLineChars="100"/>
        <w:jc w:val="left"/>
        <w:rPr>
          <w:rFonts w:ascii="仿宋_GB2312" w:hAnsi="仿宋_GB2312" w:cs="仿宋_GB2312"/>
          <w:color w:val="4E4342"/>
          <w:szCs w:val="32"/>
        </w:rPr>
      </w:pPr>
      <w:r>
        <w:rPr>
          <w:rFonts w:ascii="仿宋_GB2312" w:hAnsi="仿宋_GB2312" w:cs="仿宋_GB2312"/>
          <w:color w:val="4E4342"/>
          <w:szCs w:val="32"/>
        </w:rPr>
        <w:t>从整体情况来看，</w:t>
      </w:r>
      <w:r>
        <w:rPr>
          <w:rFonts w:hint="eastAsia" w:ascii="仿宋_GB2312" w:hAnsi="仿宋_GB2312" w:cs="仿宋_GB2312"/>
          <w:color w:val="4E4342"/>
          <w:szCs w:val="32"/>
        </w:rPr>
        <w:t>我</w:t>
      </w:r>
      <w:r>
        <w:rPr>
          <w:rFonts w:hint="eastAsia" w:ascii="仿宋_GB2312" w:hAnsi="仿宋_GB2312" w:cs="仿宋_GB2312"/>
          <w:color w:val="4E4342"/>
          <w:szCs w:val="32"/>
          <w:lang w:eastAsia="zh-CN"/>
        </w:rPr>
        <w:t>单位</w:t>
      </w:r>
      <w:r>
        <w:rPr>
          <w:rFonts w:hint="eastAsia" w:ascii="仿宋_GB2312" w:hAnsi="仿宋_GB2312" w:cs="仿宋_GB2312"/>
          <w:color w:val="4E4342"/>
          <w:szCs w:val="32"/>
        </w:rPr>
        <w:t>依据整体绩效目标所设定的绩效指标清晰、细化、可衡量，与部门年度的任务数或计划数相对应；与本年度部门预算资金相匹配。</w:t>
      </w:r>
      <w:r>
        <w:rPr>
          <w:rFonts w:ascii="仿宋_GB2312" w:hAnsi="仿宋_GB2312" w:cs="仿宋_GB2312"/>
          <w:color w:val="4E4342"/>
          <w:szCs w:val="32"/>
        </w:rPr>
        <w:t>严格按照年初预算进行部门整体支出。在支出过程中，能严格遵守各项规章制度，“三公经费”明显下降。尤其是在专项经费支出上，我们能专款专用，按项目实施计划的进度情况进行资金拨付，无截留、无挪用等现象。实行了先有预算、后有执行、“用钱必问效、无效必问责”的新常态。</w:t>
      </w:r>
    </w:p>
    <w:p w14:paraId="2C5DF765">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outlineLvl w:val="1"/>
        <w:rPr>
          <w:rFonts w:ascii="黑体" w:hAnsi="宋体" w:eastAsia="黑体" w:cs="宋体"/>
          <w:color w:val="000000"/>
          <w:kern w:val="0"/>
        </w:rPr>
      </w:pPr>
      <w:bookmarkStart w:id="53" w:name="_Toc21797"/>
      <w:r>
        <w:rPr>
          <w:rFonts w:hint="eastAsia" w:ascii="黑体" w:hAnsi="宋体" w:eastAsia="黑体" w:cs="宋体"/>
          <w:color w:val="000000"/>
          <w:kern w:val="0"/>
        </w:rPr>
        <w:t>三、部门财政支出管理情况</w:t>
      </w:r>
      <w:bookmarkEnd w:id="53"/>
    </w:p>
    <w:p w14:paraId="2C52FB4C">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楷体" w:hAnsi="楷体" w:eastAsia="楷体" w:cs="宋体"/>
          <w:color w:val="000000"/>
          <w:kern w:val="0"/>
          <w:lang w:val="zh-CN"/>
        </w:rPr>
      </w:pPr>
      <w:r>
        <w:rPr>
          <w:rFonts w:hint="eastAsia" w:ascii="楷体" w:hAnsi="楷体" w:eastAsia="楷体" w:cs="宋体"/>
          <w:color w:val="000000"/>
          <w:kern w:val="0"/>
          <w:lang w:val="zh-CN"/>
        </w:rPr>
        <w:t>（一）预算编制情况。</w:t>
      </w:r>
    </w:p>
    <w:p w14:paraId="25376C90">
      <w:pPr>
        <w:pStyle w:val="30"/>
        <w:keepNext w:val="0"/>
        <w:keepLines w:val="0"/>
        <w:pageBreakBefore w:val="0"/>
        <w:widowControl/>
        <w:kinsoku/>
        <w:wordWrap/>
        <w:overflowPunct/>
        <w:topLinePunct w:val="0"/>
        <w:autoSpaceDE/>
        <w:autoSpaceDN/>
        <w:bidi w:val="0"/>
        <w:adjustRightInd w:val="0"/>
        <w:snapToGrid w:val="0"/>
        <w:spacing w:line="578" w:lineRule="exact"/>
        <w:ind w:firstLine="320" w:firstLineChars="100"/>
        <w:jc w:val="left"/>
        <w:rPr>
          <w:rFonts w:ascii="仿宋_GB2312" w:hAnsi="宋体" w:cs="宋体"/>
          <w:color w:val="000000"/>
          <w:kern w:val="0"/>
          <w:lang w:val="zh-CN"/>
        </w:rPr>
      </w:pPr>
      <w:r>
        <w:rPr>
          <w:rFonts w:hint="eastAsia" w:ascii="仿宋_GB2312" w:hAnsi="宋体" w:cs="宋体"/>
          <w:color w:val="000000"/>
          <w:kern w:val="0"/>
          <w:lang w:val="zh-CN"/>
        </w:rPr>
        <w:t>严格按照“统筹兼顾、勤俭节约、量力而行、讲求绩效、收支平衡”的原则编制预算，明确绩效目标，项目经费使用提前细化并上报财政与政府，在当年9月将审核汇总的部门预算及项目支出的相关依据报送县财政局（“一上”）。10月前调整和完善部门预算及相关材料，再次按时上报部门预算（“二上”）。</w:t>
      </w:r>
    </w:p>
    <w:p w14:paraId="2F48DA7B">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楷体" w:hAnsi="楷体" w:eastAsia="楷体" w:cs="宋体"/>
          <w:color w:val="000000"/>
          <w:kern w:val="0"/>
          <w:lang w:val="zh-CN"/>
        </w:rPr>
      </w:pPr>
      <w:r>
        <w:rPr>
          <w:rFonts w:hint="eastAsia" w:ascii="楷体" w:hAnsi="楷体" w:eastAsia="楷体" w:cs="宋体"/>
          <w:color w:val="000000"/>
          <w:kern w:val="0"/>
          <w:lang w:val="zh-CN"/>
        </w:rPr>
        <w:t>（二）执行管理情况。</w:t>
      </w:r>
      <w:r>
        <w:rPr>
          <w:rFonts w:ascii="楷体" w:hAnsi="楷体" w:eastAsia="楷体" w:cs="宋体"/>
          <w:color w:val="000000"/>
          <w:kern w:val="0"/>
          <w:lang w:val="zh-CN"/>
        </w:rPr>
        <w:tab/>
      </w:r>
    </w:p>
    <w:p w14:paraId="3B41027E">
      <w:pPr>
        <w:pStyle w:val="30"/>
        <w:keepNext w:val="0"/>
        <w:keepLines w:val="0"/>
        <w:pageBreakBefore w:val="0"/>
        <w:widowControl/>
        <w:kinsoku/>
        <w:wordWrap/>
        <w:overflowPunct/>
        <w:topLinePunct w:val="0"/>
        <w:autoSpaceDE/>
        <w:autoSpaceDN/>
        <w:bidi w:val="0"/>
        <w:adjustRightInd w:val="0"/>
        <w:snapToGrid w:val="0"/>
        <w:spacing w:line="578" w:lineRule="exact"/>
        <w:ind w:firstLine="320" w:firstLineChars="100"/>
        <w:jc w:val="left"/>
        <w:rPr>
          <w:rFonts w:ascii="楷体" w:hAnsi="楷体" w:eastAsia="楷体" w:cs="宋体"/>
          <w:color w:val="000000"/>
          <w:kern w:val="0"/>
          <w:lang w:val="zh-CN"/>
        </w:rPr>
      </w:pPr>
      <w:r>
        <w:rPr>
          <w:rFonts w:hint="eastAsia" w:ascii="仿宋_GB2312" w:hAnsi="宋体" w:cs="宋体"/>
          <w:color w:val="000000"/>
          <w:kern w:val="0"/>
          <w:lang w:val="zh-CN"/>
        </w:rPr>
        <w:t>财政及时下达预算指标，本部门严格按照预算分配情况进行资金支付，部门预算执行进度严格按照预算执行、中期自我评估良好、本部门节能降耗和“三公”经费实行厉行节约条例。</w:t>
      </w:r>
    </w:p>
    <w:p w14:paraId="50ABFC06">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仿宋_GB2312" w:hAnsi="宋体" w:cs="宋体"/>
          <w:color w:val="000000"/>
          <w:kern w:val="0"/>
          <w:lang w:val="zh-CN"/>
        </w:rPr>
      </w:pPr>
      <w:r>
        <w:rPr>
          <w:rFonts w:hint="eastAsia" w:ascii="仿宋_GB2312" w:hAnsi="宋体" w:cs="宋体"/>
          <w:color w:val="000000"/>
          <w:kern w:val="0"/>
          <w:lang w:val="zh-CN"/>
        </w:rPr>
        <w:t>（三）综合管理情况。</w:t>
      </w:r>
    </w:p>
    <w:p w14:paraId="5713CFAC">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仿宋_GB2312" w:hAnsi="宋体" w:cs="宋体"/>
          <w:color w:val="000000"/>
          <w:kern w:val="0"/>
          <w:lang w:val="zh-CN"/>
        </w:rPr>
      </w:pPr>
      <w:r>
        <w:rPr>
          <w:rFonts w:hint="eastAsia" w:ascii="仿宋_GB2312"/>
          <w:color w:val="000000"/>
          <w:lang w:val="zh-CN"/>
        </w:rPr>
        <w:t>严格资金监管和使用，坚持专款专用，严格遵守执行《预算法》《会计法》《松潘县政府性投资项目管理办法》《进一步加强财政资金管理的实施意见》等法律法规，确保资金的安全、有效使用。</w:t>
      </w:r>
    </w:p>
    <w:p w14:paraId="7AAFCE8E">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楷体" w:hAnsi="楷体" w:eastAsia="楷体" w:cs="宋体"/>
          <w:color w:val="000000"/>
          <w:kern w:val="0"/>
          <w:lang w:val="zh-CN"/>
        </w:rPr>
      </w:pPr>
      <w:r>
        <w:rPr>
          <w:rFonts w:hint="eastAsia" w:ascii="楷体" w:hAnsi="楷体" w:eastAsia="楷体" w:cs="宋体"/>
          <w:color w:val="000000"/>
          <w:kern w:val="0"/>
          <w:lang w:val="zh-CN"/>
        </w:rPr>
        <w:t>（四）整体绩效。</w:t>
      </w:r>
    </w:p>
    <w:p w14:paraId="1262A1B5">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仿宋_GB2312"/>
          <w:color w:val="000000"/>
          <w:lang w:val="zh-CN"/>
        </w:rPr>
      </w:pPr>
      <w:r>
        <w:rPr>
          <w:rFonts w:hint="eastAsia" w:ascii="仿宋_GB2312"/>
          <w:color w:val="000000"/>
          <w:lang w:val="zh-CN"/>
        </w:rPr>
        <w:t>严格执行《四川省省级财政专项资金绩效分配管理暂行办法》，实施绩效分配情况。服务对象满意程度。本部门实行让每个项目的服务对象的满意程度达到非常满意。</w:t>
      </w:r>
    </w:p>
    <w:p w14:paraId="5057B6C3">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outlineLvl w:val="1"/>
        <w:rPr>
          <w:rFonts w:ascii="黑体" w:hAnsi="宋体" w:eastAsia="黑体" w:cs="宋体"/>
          <w:color w:val="000000"/>
          <w:kern w:val="0"/>
        </w:rPr>
      </w:pPr>
      <w:bookmarkStart w:id="54" w:name="_Toc23492"/>
      <w:r>
        <w:rPr>
          <w:rFonts w:hint="eastAsia" w:ascii="黑体" w:hAnsi="宋体" w:eastAsia="黑体" w:cs="宋体"/>
          <w:color w:val="000000"/>
          <w:kern w:val="0"/>
        </w:rPr>
        <w:t>四、评价结论及建议</w:t>
      </w:r>
      <w:bookmarkEnd w:id="54"/>
    </w:p>
    <w:p w14:paraId="403304A7">
      <w:pPr>
        <w:pStyle w:val="30"/>
        <w:keepNext w:val="0"/>
        <w:keepLines w:val="0"/>
        <w:pageBreakBefore w:val="0"/>
        <w:kinsoku/>
        <w:wordWrap/>
        <w:overflowPunct/>
        <w:topLinePunct w:val="0"/>
        <w:autoSpaceDE/>
        <w:autoSpaceDN/>
        <w:bidi w:val="0"/>
        <w:spacing w:line="578" w:lineRule="exact"/>
        <w:ind w:firstLine="0" w:firstLineChars="0"/>
        <w:rPr>
          <w:rFonts w:hint="eastAsia" w:ascii="仿宋_GB2312" w:hAnsi="宋体" w:cs="宋体"/>
          <w:color w:val="000000"/>
          <w:kern w:val="0"/>
          <w:lang w:val="zh-CN"/>
        </w:rPr>
      </w:pPr>
      <w:r>
        <w:rPr>
          <w:rFonts w:hint="eastAsia" w:ascii="仿宋_GB2312" w:hAnsi="宋体" w:cs="宋体"/>
          <w:color w:val="000000"/>
          <w:kern w:val="0"/>
          <w:lang w:val="zh-CN"/>
        </w:rPr>
        <w:t>（一）评价结论。</w:t>
      </w:r>
    </w:p>
    <w:p w14:paraId="7E4F4813">
      <w:pPr>
        <w:pStyle w:val="30"/>
        <w:keepNext w:val="0"/>
        <w:keepLines w:val="0"/>
        <w:pageBreakBefore w:val="0"/>
        <w:kinsoku/>
        <w:wordWrap/>
        <w:overflowPunct/>
        <w:topLinePunct w:val="0"/>
        <w:autoSpaceDE/>
        <w:autoSpaceDN/>
        <w:bidi w:val="0"/>
        <w:spacing w:line="578" w:lineRule="exact"/>
        <w:ind w:firstLine="0" w:firstLineChars="0"/>
        <w:rPr>
          <w:szCs w:val="32"/>
        </w:rPr>
      </w:pPr>
      <w:r>
        <w:rPr>
          <w:szCs w:val="32"/>
        </w:rPr>
        <w:t>全体干部职工紧紧围绕县委中心工作，始终坚持以“让县委满意、让部门满意、让基层和人民群众满意”为目标，与时俱进、团结协作、统筹兼顾、狠抓落实，努力提升办公室服务水平，切实发挥</w:t>
      </w:r>
      <w:r>
        <w:rPr>
          <w:szCs w:val="34"/>
        </w:rPr>
        <w:t>参谋助手、综合协调和后勤保障作用，内强素质，外树形象，开拓创新，扎实工作，较好地完成了各项工作任务</w:t>
      </w:r>
      <w:r>
        <w:rPr>
          <w:szCs w:val="32"/>
        </w:rPr>
        <w:t>和领导交办的任务。</w:t>
      </w:r>
    </w:p>
    <w:p w14:paraId="1B43F91B">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hint="eastAsia" w:ascii="仿宋_GB2312" w:hAnsi="宋体" w:cs="宋体"/>
          <w:color w:val="000000"/>
          <w:kern w:val="0"/>
          <w:lang w:val="zh-CN"/>
        </w:rPr>
      </w:pPr>
      <w:r>
        <w:rPr>
          <w:rFonts w:hint="eastAsia" w:ascii="仿宋_GB2312" w:hAnsi="宋体" w:cs="宋体"/>
          <w:color w:val="000000"/>
          <w:kern w:val="0"/>
          <w:lang w:val="zh-CN"/>
        </w:rPr>
        <w:t>（二）存在问题。</w:t>
      </w:r>
    </w:p>
    <w:p w14:paraId="53B19965">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hint="eastAsia" w:ascii="仿宋_GB2312" w:hAnsi="宋体" w:cs="宋体"/>
          <w:color w:val="000000"/>
          <w:kern w:val="0"/>
          <w:lang w:val="zh-CN"/>
        </w:rPr>
      </w:pPr>
      <w:r>
        <w:rPr>
          <w:rFonts w:hint="eastAsia" w:ascii="仿宋_GB2312" w:hAnsi="宋体" w:cs="宋体"/>
          <w:color w:val="000000"/>
          <w:kern w:val="0"/>
          <w:lang w:val="zh-CN"/>
        </w:rPr>
        <w:t>1.</w:t>
      </w:r>
      <w:r>
        <w:rPr>
          <w:rFonts w:ascii="仿宋_GB2312" w:hAnsi="宋体" w:cs="宋体"/>
          <w:color w:val="000000"/>
          <w:kern w:val="0"/>
          <w:lang w:val="zh-CN"/>
        </w:rPr>
        <w:t>资金使用效益有待进一步提高</w:t>
      </w:r>
      <w:r>
        <w:rPr>
          <w:rFonts w:hint="eastAsia" w:ascii="仿宋_GB2312" w:hAnsi="宋体" w:cs="宋体"/>
          <w:color w:val="000000"/>
          <w:kern w:val="0"/>
          <w:lang w:val="zh-CN"/>
        </w:rPr>
        <w:t>，加强财政资金事前、事中、事后的监管。</w:t>
      </w:r>
    </w:p>
    <w:p w14:paraId="1CAC74CD">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仿宋_GB2312" w:hAnsi="宋体" w:cs="宋体"/>
          <w:color w:val="000000"/>
          <w:kern w:val="0"/>
          <w:lang w:val="zh-CN"/>
        </w:rPr>
      </w:pPr>
      <w:r>
        <w:rPr>
          <w:rFonts w:hint="eastAsia" w:ascii="仿宋_GB2312" w:hAnsi="宋体" w:cs="宋体"/>
          <w:color w:val="000000"/>
          <w:kern w:val="0"/>
          <w:lang w:val="zh-CN"/>
        </w:rPr>
        <w:t>2.</w:t>
      </w:r>
      <w:r>
        <w:rPr>
          <w:rFonts w:ascii="仿宋_GB2312" w:hAnsi="宋体" w:cs="宋体"/>
          <w:color w:val="000000"/>
          <w:kern w:val="0"/>
          <w:lang w:val="zh-CN"/>
        </w:rPr>
        <w:t>绩效目标设立不够明确、细化和量化。</w:t>
      </w:r>
    </w:p>
    <w:p w14:paraId="69BCD096">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ascii="仿宋_GB2312" w:hAnsi="宋体" w:cs="宋体"/>
          <w:color w:val="000000"/>
          <w:kern w:val="0"/>
          <w:lang w:val="zh-CN"/>
        </w:rPr>
      </w:pPr>
      <w:r>
        <w:rPr>
          <w:rFonts w:hint="eastAsia" w:ascii="仿宋_GB2312" w:hAnsi="宋体" w:cs="宋体"/>
          <w:color w:val="000000"/>
          <w:kern w:val="0"/>
          <w:lang w:val="zh-CN"/>
        </w:rPr>
        <w:t>（三）改进建议。</w:t>
      </w:r>
    </w:p>
    <w:p w14:paraId="0EF82284">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hint="eastAsia" w:ascii="仿宋_GB2312" w:hAnsi="宋体" w:cs="宋体"/>
          <w:color w:val="000000"/>
          <w:kern w:val="0"/>
          <w:lang w:val="zh-CN"/>
        </w:rPr>
      </w:pPr>
      <w:r>
        <w:rPr>
          <w:rFonts w:hint="eastAsia" w:ascii="仿宋_GB2312" w:hAnsi="宋体" w:cs="宋体"/>
          <w:color w:val="000000"/>
          <w:kern w:val="0"/>
          <w:lang w:val="zh-CN"/>
        </w:rPr>
        <w:t>1.加强学习，提高思想认识。组织单位财务人员认真学习《预算法》等相关法规、制度，提高单位领导对全面预算管理的重视程度，增强财务人员的预算意识。</w:t>
      </w:r>
    </w:p>
    <w:p w14:paraId="05CD1345">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hint="eastAsia" w:ascii="仿宋_GB2312" w:hAnsi="宋体" w:cs="宋体"/>
          <w:color w:val="000000"/>
          <w:kern w:val="0"/>
          <w:lang w:val="zh-CN"/>
        </w:rPr>
      </w:pPr>
      <w:r>
        <w:rPr>
          <w:rFonts w:hint="eastAsia" w:ascii="仿宋_GB2312" w:hAnsi="宋体" w:cs="宋体"/>
          <w:color w:val="000000"/>
          <w:kern w:val="0"/>
          <w:lang w:val="zh-CN"/>
        </w:rPr>
        <w:t>2.加强财务管理，严格财务审批，严格执行预算，杜绝超预算超支出现象，细化预算编制工作，认真做好预算的编制。</w:t>
      </w:r>
    </w:p>
    <w:p w14:paraId="33AE852D">
      <w:pPr>
        <w:pStyle w:val="30"/>
        <w:keepNext w:val="0"/>
        <w:keepLines w:val="0"/>
        <w:pageBreakBefore w:val="0"/>
        <w:widowControl/>
        <w:kinsoku/>
        <w:wordWrap/>
        <w:overflowPunct/>
        <w:topLinePunct w:val="0"/>
        <w:autoSpaceDE/>
        <w:autoSpaceDN/>
        <w:bidi w:val="0"/>
        <w:adjustRightInd w:val="0"/>
        <w:snapToGrid w:val="0"/>
        <w:spacing w:line="578" w:lineRule="exact"/>
        <w:ind w:firstLine="0" w:firstLineChars="0"/>
        <w:jc w:val="left"/>
        <w:rPr>
          <w:rFonts w:hint="eastAsia" w:ascii="仿宋_GB2312" w:hAnsi="宋体" w:cs="宋体"/>
          <w:color w:val="000000"/>
          <w:kern w:val="0"/>
          <w:lang w:val="zh-CN"/>
        </w:rPr>
      </w:pPr>
      <w:r>
        <w:rPr>
          <w:rFonts w:hint="eastAsia" w:ascii="仿宋_GB2312" w:hAnsi="宋体" w:cs="宋体"/>
          <w:color w:val="000000"/>
          <w:kern w:val="0"/>
          <w:lang w:val="zh-CN"/>
        </w:rPr>
        <w:t>3、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14:paraId="545FE145">
      <w:pPr>
        <w:spacing w:line="600" w:lineRule="exact"/>
        <w:jc w:val="center"/>
        <w:outlineLvl w:val="0"/>
        <w:rPr>
          <w:rFonts w:ascii="宋体"/>
          <w:b/>
          <w:color w:val="auto"/>
          <w:sz w:val="44"/>
          <w:szCs w:val="44"/>
          <w:highlight w:val="none"/>
        </w:rPr>
      </w:pPr>
    </w:p>
    <w:bookmarkEnd w:id="46"/>
    <w:p w14:paraId="1C0195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113F3E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Times New Roman"/>
          <w:sz w:val="32"/>
          <w:szCs w:val="32"/>
          <w:lang w:val="zh-CN" w:eastAsia="zh-CN"/>
        </w:rPr>
        <w:t>根据部门预算绩效评价指标体系“总体绩效”涉及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default" w:ascii="Times New Roman" w:hAnsi="Times New Roman" w:eastAsia="仿宋_GB2312" w:cs="Times New Roman"/>
          <w:sz w:val="32"/>
          <w:szCs w:val="32"/>
          <w:lang w:val="zh-CN" w:eastAsia="zh-CN"/>
        </w:rPr>
        <w:t>，依次包括履职效能、预算管理、财务管理、资产管理、采购管理等情况。</w:t>
      </w:r>
    </w:p>
    <w:p w14:paraId="0A78EF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Times New Roman" w:hAnsi="Times New Roman" w:eastAsia="仿宋_GB2312" w:cs="Times New Roman"/>
          <w:sz w:val="32"/>
          <w:szCs w:val="32"/>
          <w:lang w:val="zh-CN" w:eastAsia="zh-CN"/>
        </w:rPr>
        <w:t>部门整体绩效目标中选定3—5个核心职能目标，对职能目标完成效果情况进行分析。</w:t>
      </w:r>
    </w:p>
    <w:p w14:paraId="3399C5E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围绕预算编制质量、单位收入统筹、支出执行进度、预算年终结余、严控一般性支出</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0E8833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围绕财务管理制度、财务岗位设置、资金使用规范</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4272640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围绕人均资产变化率、资产利用率、资产盘活率</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211BA57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围绕支持中小企业发展、采购执行率</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39A6580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Times New Roman"/>
          <w:sz w:val="32"/>
          <w:szCs w:val="32"/>
          <w:lang w:val="zh-CN" w:eastAsia="zh-CN"/>
        </w:rPr>
        <w:t>填报以下数据，并</w:t>
      </w:r>
      <w:r>
        <w:rPr>
          <w:rFonts w:hint="default" w:ascii="Times New Roman" w:hAnsi="Times New Roman" w:eastAsia="仿宋_GB2312" w:cs="Times New Roman"/>
          <w:sz w:val="32"/>
          <w:szCs w:val="32"/>
          <w:lang w:val="zh-CN" w:eastAsia="zh-CN"/>
        </w:rPr>
        <w:t>根据部门预算绩效评价指标体系“项目绩效”涉及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default" w:ascii="Times New Roman" w:hAnsi="Times New Roman" w:eastAsia="仿宋_GB2312" w:cs="Times New Roman"/>
          <w:sz w:val="32"/>
          <w:szCs w:val="32"/>
          <w:lang w:val="zh-CN" w:eastAsia="zh-CN"/>
        </w:rPr>
        <w:t>，依次包括项目</w:t>
      </w:r>
      <w:r>
        <w:rPr>
          <w:rFonts w:hint="default" w:ascii="Times New Roman" w:hAnsi="Times New Roman" w:eastAsia="仿宋_GB2312" w:cs="Times New Roman"/>
          <w:sz w:val="32"/>
          <w:szCs w:val="32"/>
          <w:lang w:val="en-US" w:eastAsia="zh-CN"/>
        </w:rPr>
        <w:t>决策、项目执行、目标实现等情况</w:t>
      </w:r>
      <w:r>
        <w:rPr>
          <w:rFonts w:hint="eastAsia" w:ascii="Times New Roman" w:hAnsi="Times New Roman" w:eastAsia="仿宋_GB2312" w:cs="Times New Roman"/>
          <w:sz w:val="32"/>
          <w:szCs w:val="32"/>
          <w:lang w:val="en-US" w:eastAsia="zh-CN"/>
        </w:rPr>
        <w:t>。</w:t>
      </w:r>
    </w:p>
    <w:p w14:paraId="7954997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w:t>
      </w:r>
    </w:p>
    <w:p w14:paraId="1527064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w:t>
      </w:r>
    </w:p>
    <w:p w14:paraId="7E6FAA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12B414E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围绕资金执行导向、项目调整、执行结果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47831AA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14:paraId="36BAB7EB">
      <w:pPr>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333333"/>
          <w:sz w:val="32"/>
          <w:szCs w:val="32"/>
          <w:highlight w:val="none"/>
          <w:u w:val="none"/>
          <w:shd w:val="clear" w:color="auto" w:fill="auto"/>
          <w:lang w:bidi="ar"/>
        </w:rPr>
      </w:pPr>
      <w:r>
        <w:rPr>
          <w:rFonts w:hint="default" w:ascii="Times New Roman" w:hAnsi="Times New Roman" w:eastAsia="仿宋_GB2312" w:cs="Times New Roman"/>
          <w:sz w:val="32"/>
          <w:szCs w:val="32"/>
          <w:u w:val="none"/>
        </w:rPr>
        <w:t>省级部门</w:t>
      </w:r>
      <w:r>
        <w:rPr>
          <w:rFonts w:hint="eastAsia" w:ascii="Times New Roman" w:hAnsi="Times New Roman" w:eastAsia="仿宋_GB2312" w:cs="Times New Roman"/>
          <w:sz w:val="32"/>
          <w:szCs w:val="32"/>
          <w:u w:val="none"/>
          <w:lang w:val="en-US" w:eastAsia="zh-CN"/>
        </w:rPr>
        <w:t>2023年度</w:t>
      </w:r>
      <w:r>
        <w:rPr>
          <w:rFonts w:hint="default" w:ascii="Times New Roman" w:hAnsi="Times New Roman" w:eastAsia="仿宋_GB2312" w:cs="Times New Roman"/>
          <w:sz w:val="32"/>
          <w:szCs w:val="32"/>
          <w:u w:val="none"/>
        </w:rPr>
        <w:t>若涉及国有资</w:t>
      </w:r>
      <w:r>
        <w:rPr>
          <w:rFonts w:hint="default" w:ascii="Times New Roman" w:hAnsi="Times New Roman" w:eastAsia="仿宋_GB2312" w:cs="Times New Roman"/>
          <w:sz w:val="32"/>
          <w:szCs w:val="32"/>
          <w:highlight w:val="none"/>
          <w:u w:val="none"/>
        </w:rPr>
        <w:t>本经营预算、社会保险基金预算的，</w:t>
      </w:r>
      <w:r>
        <w:rPr>
          <w:rFonts w:hint="default" w:ascii="Times New Roman" w:hAnsi="Times New Roman" w:eastAsia="仿宋_GB2312" w:cs="Times New Roman"/>
          <w:sz w:val="32"/>
          <w:szCs w:val="32"/>
          <w:highlight w:val="none"/>
          <w:u w:val="none"/>
          <w:lang w:bidi="ar"/>
        </w:rPr>
        <w:t>应在部门</w:t>
      </w:r>
      <w:r>
        <w:rPr>
          <w:rFonts w:hint="default" w:ascii="Times New Roman" w:hAnsi="Times New Roman" w:eastAsia="仿宋_GB2312" w:cs="Times New Roman"/>
          <w:sz w:val="32"/>
          <w:szCs w:val="32"/>
          <w:u w:val="none"/>
          <w:lang w:eastAsia="zh-CN" w:bidi="ar"/>
        </w:rPr>
        <w:t>预算</w:t>
      </w:r>
      <w:r>
        <w:rPr>
          <w:rFonts w:hint="default" w:ascii="Times New Roman" w:hAnsi="Times New Roman" w:eastAsia="仿宋_GB2312" w:cs="Times New Roman"/>
          <w:sz w:val="32"/>
          <w:szCs w:val="32"/>
          <w:highlight w:val="none"/>
          <w:u w:val="none"/>
          <w:lang w:bidi="ar"/>
        </w:rPr>
        <w:t>绩效自评报告中</w:t>
      </w:r>
      <w:r>
        <w:rPr>
          <w:rFonts w:hint="default" w:ascii="Times New Roman" w:hAnsi="Times New Roman" w:eastAsia="仿宋_GB2312" w:cs="Times New Roman"/>
          <w:sz w:val="32"/>
          <w:szCs w:val="32"/>
          <w:highlight w:val="none"/>
          <w:u w:val="none"/>
          <w:lang w:eastAsia="zh-CN" w:bidi="ar"/>
        </w:rPr>
        <w:t>对</w:t>
      </w:r>
      <w:r>
        <w:rPr>
          <w:rFonts w:hint="default" w:ascii="Times New Roman" w:hAnsi="Times New Roman" w:eastAsia="仿宋_GB2312" w:cs="Times New Roman"/>
          <w:sz w:val="32"/>
          <w:szCs w:val="32"/>
          <w:highlight w:val="none"/>
          <w:u w:val="none"/>
          <w:lang w:bidi="ar"/>
        </w:rPr>
        <w:t>完成情况</w:t>
      </w:r>
      <w:r>
        <w:rPr>
          <w:rFonts w:hint="default" w:ascii="Times New Roman" w:hAnsi="Times New Roman" w:eastAsia="仿宋_GB2312" w:cs="Times New Roman"/>
          <w:sz w:val="32"/>
          <w:szCs w:val="32"/>
          <w:highlight w:val="none"/>
          <w:u w:val="none"/>
          <w:lang w:eastAsia="zh-CN" w:bidi="ar"/>
        </w:rPr>
        <w:t>进行梳理阐述</w:t>
      </w:r>
      <w:r>
        <w:rPr>
          <w:rFonts w:hint="default" w:ascii="Times New Roman" w:hAnsi="Times New Roman" w:eastAsia="仿宋_GB2312" w:cs="Times New Roman"/>
          <w:sz w:val="32"/>
          <w:szCs w:val="32"/>
          <w:highlight w:val="none"/>
          <w:u w:val="none"/>
        </w:rPr>
        <w:t>。国有资本经营预算绩效自评</w:t>
      </w:r>
      <w:r>
        <w:rPr>
          <w:rFonts w:hint="eastAsia" w:cs="Times New Roman"/>
          <w:sz w:val="32"/>
          <w:szCs w:val="32"/>
          <w:highlight w:val="none"/>
          <w:u w:val="none"/>
          <w:lang w:eastAsia="zh-CN"/>
        </w:rPr>
        <w:t>重点</w:t>
      </w:r>
      <w:r>
        <w:rPr>
          <w:rFonts w:hint="default" w:ascii="Times New Roman" w:hAnsi="Times New Roman" w:eastAsia="仿宋_GB2312" w:cs="Times New Roman"/>
          <w:sz w:val="32"/>
          <w:szCs w:val="32"/>
          <w:highlight w:val="none"/>
          <w:u w:val="none"/>
        </w:rPr>
        <w:t>关注企业的运营质量、行业水平等情况；社会保险基金预算绩效自评重点关注基金可持续性、区域安全性等情况。</w:t>
      </w:r>
    </w:p>
    <w:p w14:paraId="4F3D948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highlight w:val="none"/>
          <w:u w:val="none"/>
        </w:rPr>
        <w:t>省级部门</w:t>
      </w:r>
      <w:r>
        <w:rPr>
          <w:rFonts w:hint="eastAsia" w:ascii="Times New Roman" w:hAnsi="Times New Roman" w:eastAsia="仿宋_GB2312" w:cs="Times New Roman"/>
          <w:sz w:val="32"/>
          <w:szCs w:val="32"/>
          <w:u w:val="none"/>
          <w:lang w:val="en-US" w:eastAsia="zh-CN"/>
        </w:rPr>
        <w:t>2023年度</w:t>
      </w:r>
      <w:r>
        <w:rPr>
          <w:rFonts w:hint="default" w:ascii="Times New Roman" w:hAnsi="Times New Roman" w:eastAsia="仿宋_GB2312" w:cs="Times New Roman"/>
          <w:sz w:val="32"/>
          <w:szCs w:val="32"/>
          <w:highlight w:val="none"/>
          <w:u w:val="none"/>
        </w:rPr>
        <w:t>若涉及国有资本、行政事业性国有资产、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bidi="ar"/>
        </w:rPr>
        <w:t>应在部门</w:t>
      </w:r>
      <w:r>
        <w:rPr>
          <w:rFonts w:hint="default" w:ascii="Times New Roman" w:hAnsi="Times New Roman" w:eastAsia="仿宋_GB2312" w:cs="Times New Roman"/>
          <w:sz w:val="32"/>
          <w:szCs w:val="32"/>
          <w:u w:val="none"/>
          <w:lang w:eastAsia="zh-CN" w:bidi="ar"/>
        </w:rPr>
        <w:t>预算</w:t>
      </w:r>
      <w:r>
        <w:rPr>
          <w:rFonts w:hint="default" w:ascii="Times New Roman" w:hAnsi="Times New Roman" w:eastAsia="仿宋_GB2312" w:cs="Times New Roman"/>
          <w:sz w:val="32"/>
          <w:szCs w:val="32"/>
          <w:highlight w:val="none"/>
          <w:u w:val="none"/>
          <w:lang w:bidi="ar"/>
        </w:rPr>
        <w:t>绩效自评报告中</w:t>
      </w:r>
      <w:r>
        <w:rPr>
          <w:rFonts w:hint="default" w:ascii="Times New Roman" w:hAnsi="Times New Roman" w:eastAsia="仿宋_GB2312" w:cs="Times New Roman"/>
          <w:sz w:val="32"/>
          <w:szCs w:val="32"/>
          <w:highlight w:val="none"/>
          <w:u w:val="none"/>
          <w:lang w:eastAsia="zh-CN" w:bidi="ar"/>
        </w:rPr>
        <w:t>对完成情况进行梳理阐述</w:t>
      </w:r>
      <w:r>
        <w:rPr>
          <w:rFonts w:hint="eastAsia" w:ascii="Times New Roman" w:hAnsi="Times New Roman" w:cs="Times New Roman"/>
          <w:sz w:val="32"/>
          <w:szCs w:val="32"/>
          <w:highlight w:val="none"/>
          <w:u w:val="none"/>
          <w:lang w:eastAsia="zh-CN" w:bidi="ar"/>
        </w:rPr>
        <w:t>。</w:t>
      </w:r>
    </w:p>
    <w:p w14:paraId="5AFA63A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4E77DDC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14:paraId="77DA9E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u w:val="none"/>
          <w:lang w:val="en-US" w:eastAsia="zh-CN" w:bidi="ar"/>
        </w:rPr>
        <w:t>简要阐述部门预算绩效自评总体结论，其中必须包含自评得分。</w:t>
      </w:r>
    </w:p>
    <w:p w14:paraId="0516C5D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简要阐述部门预算绩效自评发现的主要问题。</w:t>
      </w:r>
    </w:p>
    <w:p w14:paraId="629E39B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仿宋_GB2312" w:cs="Times New Roman"/>
          <w:sz w:val="32"/>
          <w:szCs w:val="32"/>
          <w:u w:val="none"/>
          <w:lang w:val="en-US" w:eastAsia="zh-CN" w:bidi="ar"/>
        </w:rPr>
        <w:t>简要阐述</w:t>
      </w:r>
      <w:bookmarkStart w:id="55" w:name="_Hlk110546638"/>
      <w:r>
        <w:rPr>
          <w:rFonts w:hint="eastAsia" w:ascii="Times New Roman" w:hAnsi="Times New Roman" w:eastAsia="仿宋_GB2312" w:cs="Times New Roman"/>
          <w:sz w:val="32"/>
          <w:szCs w:val="32"/>
          <w:u w:val="none"/>
          <w:lang w:val="en" w:eastAsia="zh-CN" w:bidi="ar"/>
        </w:rPr>
        <w:t>预算安排、完善政策、改进管理等方面的</w:t>
      </w:r>
      <w:r>
        <w:rPr>
          <w:rFonts w:hint="eastAsia" w:ascii="Times New Roman" w:hAnsi="Times New Roman" w:eastAsia="仿宋_GB2312" w:cs="Times New Roman"/>
          <w:sz w:val="32"/>
          <w:szCs w:val="32"/>
          <w:u w:val="none"/>
          <w:lang w:val="en-US" w:eastAsia="zh-CN" w:bidi="ar"/>
        </w:rPr>
        <w:t>措施</w:t>
      </w:r>
      <w:r>
        <w:rPr>
          <w:rFonts w:hint="eastAsia" w:ascii="Times New Roman" w:hAnsi="Times New Roman" w:eastAsia="仿宋_GB2312" w:cs="Times New Roman"/>
          <w:sz w:val="32"/>
          <w:szCs w:val="32"/>
          <w:u w:val="none"/>
          <w:lang w:val="en" w:eastAsia="zh-CN" w:bidi="ar"/>
        </w:rPr>
        <w:t>建议，其中</w:t>
      </w:r>
      <w:r>
        <w:rPr>
          <w:rFonts w:hint="eastAsia" w:ascii="Times New Roman" w:hAnsi="Times New Roman" w:eastAsia="仿宋_GB2312" w:cs="Times New Roman"/>
          <w:sz w:val="32"/>
          <w:szCs w:val="32"/>
          <w:u w:val="none"/>
          <w:lang w:val="en-US" w:eastAsia="zh-CN" w:bidi="ar"/>
        </w:rPr>
        <w:t>必须对应评价发现的主要问题一一提出措施建议。</w:t>
      </w:r>
    </w:p>
    <w:bookmarkEnd w:id="55"/>
    <w:p w14:paraId="7BF5D106">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14:paraId="22593A91">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tbl>
      <w:tblPr>
        <w:tblStyle w:val="17"/>
        <w:tblW w:w="5000" w:type="pct"/>
        <w:jc w:val="center"/>
        <w:tblLayout w:type="autofit"/>
        <w:tblCellMar>
          <w:top w:w="15" w:type="dxa"/>
          <w:left w:w="15" w:type="dxa"/>
          <w:bottom w:w="15" w:type="dxa"/>
          <w:right w:w="15" w:type="dxa"/>
        </w:tblCellMar>
      </w:tblPr>
      <w:tblGrid>
        <w:gridCol w:w="1035"/>
        <w:gridCol w:w="1064"/>
        <w:gridCol w:w="1005"/>
        <w:gridCol w:w="869"/>
        <w:gridCol w:w="904"/>
        <w:gridCol w:w="1017"/>
        <w:gridCol w:w="835"/>
        <w:gridCol w:w="730"/>
        <w:gridCol w:w="877"/>
      </w:tblGrid>
      <w:tr w14:paraId="31986811">
        <w:tblPrEx>
          <w:tblCellMar>
            <w:top w:w="15" w:type="dxa"/>
            <w:left w:w="15" w:type="dxa"/>
            <w:bottom w:w="15" w:type="dxa"/>
            <w:right w:w="15" w:type="dxa"/>
          </w:tblCellMar>
        </w:tblPrEx>
        <w:trPr>
          <w:trHeight w:val="762" w:hRule="exact"/>
          <w:jc w:val="center"/>
        </w:trPr>
        <w:tc>
          <w:tcPr>
            <w:tcW w:w="5000" w:type="pct"/>
            <w:gridSpan w:val="9"/>
            <w:shd w:val="clear" w:color="auto" w:fill="auto"/>
            <w:vAlign w:val="center"/>
          </w:tcPr>
          <w:p w14:paraId="77632369">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4A15BC41">
        <w:tblPrEx>
          <w:tblCellMar>
            <w:top w:w="15" w:type="dxa"/>
            <w:left w:w="15" w:type="dxa"/>
            <w:bottom w:w="15" w:type="dxa"/>
            <w:right w:w="15" w:type="dxa"/>
          </w:tblCellMar>
        </w:tblPrEx>
        <w:trPr>
          <w:trHeight w:val="23" w:hRule="atLeast"/>
          <w:jc w:val="center"/>
        </w:trPr>
        <w:tc>
          <w:tcPr>
            <w:tcW w:w="5000" w:type="pct"/>
            <w:gridSpan w:val="9"/>
            <w:shd w:val="clear" w:color="auto" w:fill="auto"/>
            <w:vAlign w:val="center"/>
          </w:tcPr>
          <w:p w14:paraId="7E90222B">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14:paraId="562A3E36">
        <w:tblPrEx>
          <w:tblCellMar>
            <w:top w:w="15" w:type="dxa"/>
            <w:left w:w="15" w:type="dxa"/>
            <w:bottom w:w="15" w:type="dxa"/>
            <w:right w:w="15" w:type="dxa"/>
          </w:tblCellMar>
        </w:tblPrEx>
        <w:trPr>
          <w:trHeight w:val="23" w:hRule="atLeast"/>
          <w:jc w:val="center"/>
        </w:trPr>
        <w:tc>
          <w:tcPr>
            <w:tcW w:w="5000" w:type="pct"/>
            <w:gridSpan w:val="9"/>
            <w:tcBorders>
              <w:bottom w:val="single" w:color="000000" w:sz="4" w:space="0"/>
            </w:tcBorders>
            <w:shd w:val="clear" w:color="auto" w:fill="auto"/>
            <w:vAlign w:val="center"/>
          </w:tcPr>
          <w:p w14:paraId="13D67876">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70024709">
        <w:tblPrEx>
          <w:tblCellMar>
            <w:top w:w="15" w:type="dxa"/>
            <w:left w:w="15" w:type="dxa"/>
            <w:bottom w:w="15" w:type="dxa"/>
            <w:right w:w="15" w:type="dxa"/>
          </w:tblCellMar>
        </w:tblPrEx>
        <w:trPr>
          <w:trHeight w:val="23" w:hRule="atLeast"/>
          <w:jc w:val="center"/>
        </w:trPr>
        <w:tc>
          <w:tcPr>
            <w:tcW w:w="1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8AD18">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3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E2848">
            <w:pPr>
              <w:widowControl/>
              <w:spacing w:line="300" w:lineRule="exact"/>
              <w:jc w:val="center"/>
              <w:textAlignment w:val="center"/>
              <w:rPr>
                <w:rFonts w:eastAsia="宋体"/>
                <w:color w:val="000000"/>
                <w:sz w:val="24"/>
              </w:rPr>
            </w:pPr>
            <w:r>
              <w:rPr>
                <w:rFonts w:hint="eastAsia" w:eastAsia="宋体"/>
                <w:color w:val="000000"/>
                <w:kern w:val="0"/>
                <w:sz w:val="24"/>
                <w:lang w:bidi="ar"/>
              </w:rPr>
              <w:t>中共松潘县委办公室</w:t>
            </w:r>
          </w:p>
        </w:tc>
      </w:tr>
      <w:tr w14:paraId="64A0F58A">
        <w:tblPrEx>
          <w:tblCellMar>
            <w:top w:w="15" w:type="dxa"/>
            <w:left w:w="15" w:type="dxa"/>
            <w:bottom w:w="15" w:type="dxa"/>
            <w:right w:w="15" w:type="dxa"/>
          </w:tblCellMar>
        </w:tblPrEx>
        <w:trPr>
          <w:trHeight w:val="23"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7C451">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1B41">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F5926">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0D61D">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14:paraId="4077F2B1">
        <w:tblPrEx>
          <w:tblCellMar>
            <w:top w:w="15" w:type="dxa"/>
            <w:left w:w="15" w:type="dxa"/>
            <w:bottom w:w="15" w:type="dxa"/>
            <w:right w:w="15" w:type="dxa"/>
          </w:tblCellMar>
        </w:tblPrEx>
        <w:trPr>
          <w:trHeight w:val="23"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D723">
            <w:pPr>
              <w:widowControl/>
              <w:spacing w:line="300" w:lineRule="exact"/>
              <w:jc w:val="center"/>
              <w:rPr>
                <w:rFonts w:eastAsia="宋体"/>
                <w:color w:val="000000"/>
                <w:sz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36BBF">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168.65</w:t>
            </w:r>
          </w:p>
        </w:tc>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96B66">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168.65</w:t>
            </w:r>
          </w:p>
        </w:tc>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694D3B">
            <w:pPr>
              <w:widowControl/>
              <w:spacing w:line="300" w:lineRule="exact"/>
              <w:jc w:val="center"/>
              <w:textAlignment w:val="center"/>
              <w:rPr>
                <w:rFonts w:eastAsia="宋体"/>
                <w:color w:val="000000"/>
                <w:sz w:val="24"/>
              </w:rPr>
            </w:pPr>
          </w:p>
        </w:tc>
      </w:tr>
      <w:tr w14:paraId="742246AB">
        <w:tblPrEx>
          <w:tblCellMar>
            <w:top w:w="15" w:type="dxa"/>
            <w:left w:w="15" w:type="dxa"/>
            <w:bottom w:w="15" w:type="dxa"/>
            <w:right w:w="15" w:type="dxa"/>
          </w:tblCellMar>
        </w:tblPrEx>
        <w:trPr>
          <w:trHeight w:val="23" w:hRule="atLeast"/>
          <w:jc w:val="center"/>
        </w:trPr>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A0D">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14:paraId="57DA27C8">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43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9AB042">
            <w:pPr>
              <w:pStyle w:val="9"/>
              <w:rPr>
                <w:rFonts w:hint="eastAsia" w:ascii="仿宋" w:hAnsi="仿宋" w:eastAsia="仿宋" w:cs="宋体"/>
                <w:kern w:val="0"/>
                <w:sz w:val="20"/>
                <w:szCs w:val="20"/>
              </w:rPr>
            </w:pPr>
            <w:r>
              <w:rPr>
                <w:rFonts w:hint="eastAsia" w:ascii="仿宋" w:hAnsi="仿宋" w:eastAsia="仿宋" w:cs="宋体"/>
                <w:kern w:val="0"/>
                <w:sz w:val="20"/>
                <w:szCs w:val="20"/>
              </w:rPr>
              <w:t>1.协助县委、县政府和县委县政府领导督促检查贯彻落实党和国家方针、政策、指示、决定情况。</w:t>
            </w:r>
          </w:p>
          <w:p w14:paraId="381C1B0B">
            <w:pPr>
              <w:pStyle w:val="9"/>
              <w:rPr>
                <w:rFonts w:hint="eastAsia" w:ascii="仿宋" w:hAnsi="仿宋" w:eastAsia="仿宋" w:cs="宋体"/>
                <w:kern w:val="0"/>
                <w:sz w:val="20"/>
                <w:szCs w:val="20"/>
              </w:rPr>
            </w:pPr>
            <w:r>
              <w:rPr>
                <w:rFonts w:hint="eastAsia" w:ascii="仿宋" w:hAnsi="仿宋" w:eastAsia="仿宋" w:cs="宋体"/>
                <w:kern w:val="0"/>
                <w:sz w:val="20"/>
                <w:szCs w:val="20"/>
              </w:rPr>
              <w:t>2.督查落实上级党委领导机关和领导同志批示交办事项。</w:t>
            </w:r>
          </w:p>
          <w:p w14:paraId="1512478D">
            <w:pPr>
              <w:pStyle w:val="9"/>
              <w:rPr>
                <w:rFonts w:hint="eastAsia" w:ascii="仿宋" w:hAnsi="仿宋" w:eastAsia="仿宋" w:cs="宋体"/>
                <w:kern w:val="0"/>
                <w:sz w:val="20"/>
                <w:szCs w:val="20"/>
              </w:rPr>
            </w:pPr>
            <w:r>
              <w:rPr>
                <w:rFonts w:hint="eastAsia" w:ascii="仿宋" w:hAnsi="仿宋" w:eastAsia="仿宋" w:cs="宋体"/>
                <w:kern w:val="0"/>
                <w:sz w:val="20"/>
                <w:szCs w:val="20"/>
              </w:rPr>
              <w:t>3.督查落实县委、县政府重要文件、重要会议决议、决定和重大决策、重要工作部署。</w:t>
            </w:r>
          </w:p>
          <w:p w14:paraId="35BC78DF">
            <w:pPr>
              <w:pStyle w:val="9"/>
              <w:rPr>
                <w:rFonts w:hint="eastAsia" w:ascii="仿宋" w:hAnsi="仿宋" w:eastAsia="仿宋" w:cs="宋体"/>
                <w:kern w:val="0"/>
                <w:sz w:val="20"/>
                <w:szCs w:val="20"/>
              </w:rPr>
            </w:pPr>
            <w:r>
              <w:rPr>
                <w:rFonts w:hint="eastAsia" w:ascii="仿宋" w:hAnsi="仿宋" w:eastAsia="仿宋" w:cs="宋体"/>
                <w:kern w:val="0"/>
                <w:sz w:val="20"/>
                <w:szCs w:val="20"/>
              </w:rPr>
              <w:t>4.督查落实县委、县政府和领导同志重要指示、批示。</w:t>
            </w:r>
          </w:p>
          <w:p w14:paraId="02A77AA5">
            <w:pPr>
              <w:pStyle w:val="9"/>
              <w:rPr>
                <w:rFonts w:hint="eastAsia" w:ascii="仿宋" w:hAnsi="仿宋" w:eastAsia="仿宋" w:cs="宋体"/>
                <w:kern w:val="0"/>
                <w:sz w:val="20"/>
                <w:szCs w:val="20"/>
              </w:rPr>
            </w:pPr>
            <w:r>
              <w:rPr>
                <w:rFonts w:hint="eastAsia" w:ascii="仿宋" w:hAnsi="仿宋" w:eastAsia="仿宋" w:cs="宋体"/>
                <w:kern w:val="0"/>
                <w:sz w:val="20"/>
                <w:szCs w:val="20"/>
              </w:rPr>
              <w:t>5.督查落实本级或上一级人大代表、政协委员提出的需要由县委、县政府答复的有关议案、提案的办理情况。</w:t>
            </w:r>
          </w:p>
          <w:p w14:paraId="452D3F0E">
            <w:pPr>
              <w:pStyle w:val="9"/>
              <w:rPr>
                <w:rFonts w:hint="eastAsia" w:ascii="仿宋" w:hAnsi="仿宋" w:eastAsia="仿宋" w:cs="宋体"/>
                <w:kern w:val="0"/>
                <w:sz w:val="20"/>
                <w:szCs w:val="20"/>
              </w:rPr>
            </w:pPr>
            <w:r>
              <w:rPr>
                <w:rFonts w:hint="eastAsia" w:ascii="仿宋" w:hAnsi="仿宋" w:eastAsia="仿宋" w:cs="宋体"/>
                <w:kern w:val="0"/>
                <w:sz w:val="20"/>
                <w:szCs w:val="20"/>
              </w:rPr>
              <w:t>6.查办新闻单位披露的本地、本部门的问题并要求反馈结果或需要核查的事项。</w:t>
            </w:r>
          </w:p>
          <w:p w14:paraId="369797B3">
            <w:pPr>
              <w:pStyle w:val="9"/>
              <w:rPr>
                <w:rFonts w:hint="eastAsia" w:ascii="仿宋" w:hAnsi="仿宋" w:eastAsia="仿宋" w:cs="宋体"/>
                <w:kern w:val="0"/>
                <w:sz w:val="20"/>
                <w:szCs w:val="20"/>
              </w:rPr>
            </w:pPr>
            <w:r>
              <w:rPr>
                <w:rFonts w:hint="eastAsia" w:ascii="仿宋" w:hAnsi="仿宋" w:eastAsia="仿宋" w:cs="宋体"/>
                <w:kern w:val="0"/>
                <w:sz w:val="20"/>
                <w:szCs w:val="20"/>
              </w:rPr>
              <w:t>7.根据决策实施的进展情况，对关系全局的热点问题、工作落实的难点问题和执行中出现的倾向性、苗头性问题开展调研，对重点问题进行解剖分析，向党委、政府写出专题或综合报告。</w:t>
            </w:r>
          </w:p>
          <w:p w14:paraId="2517B761">
            <w:pPr>
              <w:pStyle w:val="9"/>
              <w:rPr>
                <w:rFonts w:hint="eastAsia" w:ascii="仿宋" w:hAnsi="仿宋" w:eastAsia="仿宋" w:cs="宋体"/>
                <w:kern w:val="0"/>
                <w:sz w:val="20"/>
                <w:szCs w:val="20"/>
              </w:rPr>
            </w:pPr>
            <w:r>
              <w:rPr>
                <w:rFonts w:hint="eastAsia" w:ascii="仿宋" w:hAnsi="仿宋" w:eastAsia="仿宋" w:cs="宋体"/>
                <w:kern w:val="0"/>
                <w:sz w:val="20"/>
                <w:szCs w:val="20"/>
              </w:rPr>
              <w:t>8.根据党委、政府授权，协调和推动各职能部门和下级党委、政府开展督促检查。</w:t>
            </w:r>
          </w:p>
          <w:p w14:paraId="514C2050">
            <w:pPr>
              <w:pStyle w:val="9"/>
              <w:rPr>
                <w:rFonts w:hint="eastAsia" w:ascii="仿宋" w:hAnsi="仿宋" w:eastAsia="仿宋" w:cs="宋体"/>
                <w:kern w:val="0"/>
                <w:sz w:val="20"/>
                <w:szCs w:val="20"/>
              </w:rPr>
            </w:pPr>
            <w:r>
              <w:rPr>
                <w:rFonts w:hint="eastAsia" w:ascii="仿宋" w:hAnsi="仿宋" w:eastAsia="仿宋" w:cs="宋体"/>
                <w:kern w:val="0"/>
                <w:sz w:val="20"/>
                <w:szCs w:val="20"/>
              </w:rPr>
              <w:t>9.加强同各职能部门的联系，了解有关工作的进展情况，向党委、政府汇总报告。</w:t>
            </w:r>
          </w:p>
          <w:p w14:paraId="4BBD1173">
            <w:pPr>
              <w:pStyle w:val="9"/>
              <w:ind w:firstLine="640"/>
              <w:rPr>
                <w:rFonts w:hint="eastAsia" w:ascii="仿宋" w:hAnsi="仿宋" w:eastAsia="仿宋" w:cs="宋体"/>
                <w:kern w:val="0"/>
                <w:sz w:val="20"/>
                <w:szCs w:val="20"/>
              </w:rPr>
            </w:pPr>
            <w:r>
              <w:rPr>
                <w:rFonts w:hint="eastAsia" w:ascii="仿宋" w:hAnsi="仿宋" w:eastAsia="仿宋" w:cs="宋体"/>
                <w:kern w:val="0"/>
                <w:sz w:val="20"/>
                <w:szCs w:val="20"/>
              </w:rPr>
              <w:t>10.指导、督促党委、政府重大决策和重要工作部署的全面落实。</w:t>
            </w:r>
          </w:p>
          <w:p w14:paraId="3D05EBD1">
            <w:pPr>
              <w:pStyle w:val="9"/>
              <w:ind w:firstLine="640"/>
              <w:rPr>
                <w:rFonts w:hint="eastAsia" w:ascii="仿宋" w:hAnsi="仿宋" w:eastAsia="仿宋" w:cs="宋体"/>
                <w:kern w:val="0"/>
                <w:sz w:val="20"/>
                <w:szCs w:val="20"/>
              </w:rPr>
            </w:pPr>
            <w:r>
              <w:rPr>
                <w:rFonts w:hint="eastAsia" w:ascii="仿宋" w:hAnsi="仿宋" w:eastAsia="仿宋" w:cs="宋体"/>
                <w:kern w:val="0"/>
                <w:sz w:val="20"/>
                <w:szCs w:val="20"/>
              </w:rPr>
              <w:t>11.负责全县的目标管理考核工作。</w:t>
            </w:r>
          </w:p>
          <w:p w14:paraId="6833F393">
            <w:pPr>
              <w:pStyle w:val="9"/>
              <w:rPr>
                <w:rFonts w:hint="eastAsia" w:ascii="仿宋" w:hAnsi="仿宋" w:eastAsia="仿宋" w:cs="宋体"/>
                <w:kern w:val="0"/>
                <w:sz w:val="20"/>
                <w:szCs w:val="20"/>
              </w:rPr>
            </w:pPr>
            <w:r>
              <w:rPr>
                <w:rFonts w:hint="eastAsia" w:ascii="仿宋" w:hAnsi="仿宋" w:eastAsia="仿宋" w:cs="宋体"/>
                <w:kern w:val="0"/>
                <w:sz w:val="20"/>
                <w:szCs w:val="20"/>
              </w:rPr>
              <w:t>12.负责编发《督查专报》。</w:t>
            </w:r>
          </w:p>
          <w:p w14:paraId="520E9E77">
            <w:pPr>
              <w:widowControl/>
              <w:spacing w:line="300" w:lineRule="exact"/>
              <w:jc w:val="left"/>
              <w:textAlignment w:val="center"/>
              <w:rPr>
                <w:rFonts w:eastAsia="宋体"/>
                <w:color w:val="000000"/>
                <w:sz w:val="24"/>
              </w:rPr>
            </w:pPr>
          </w:p>
        </w:tc>
      </w:tr>
      <w:tr w14:paraId="4EE89DBC">
        <w:tblPrEx>
          <w:tblCellMar>
            <w:top w:w="15" w:type="dxa"/>
            <w:left w:w="15" w:type="dxa"/>
            <w:bottom w:w="15" w:type="dxa"/>
            <w:right w:w="15" w:type="dxa"/>
          </w:tblCellMar>
        </w:tblPrEx>
        <w:trPr>
          <w:trHeight w:val="23" w:hRule="atLeast"/>
          <w:jc w:val="center"/>
        </w:trPr>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7A2C">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14:paraId="480B3018">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AC186">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3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FA9A9D">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14:paraId="17EDAF91">
        <w:tblPrEx>
          <w:tblCellMar>
            <w:top w:w="15" w:type="dxa"/>
            <w:left w:w="15" w:type="dxa"/>
            <w:bottom w:w="15" w:type="dxa"/>
            <w:right w:w="15" w:type="dxa"/>
          </w:tblCellMar>
        </w:tblPrEx>
        <w:trPr>
          <w:trHeight w:val="23"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EFA7">
            <w:pPr>
              <w:widowControl/>
              <w:spacing w:line="300" w:lineRule="exact"/>
              <w:jc w:val="center"/>
              <w:rPr>
                <w:rFonts w:eastAsia="宋体"/>
                <w:color w:val="000000"/>
                <w:sz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F7BAB">
            <w:pPr>
              <w:widowControl/>
              <w:spacing w:line="300" w:lineRule="exact"/>
              <w:jc w:val="left"/>
              <w:textAlignment w:val="center"/>
              <w:rPr>
                <w:rFonts w:eastAsia="宋体"/>
                <w:color w:val="000000"/>
                <w:sz w:val="24"/>
              </w:rPr>
            </w:pPr>
            <w:r>
              <w:rPr>
                <w:rFonts w:hint="eastAsia" w:eastAsia="宋体"/>
                <w:color w:val="000000"/>
                <w:kern w:val="0"/>
                <w:sz w:val="24"/>
                <w:lang w:bidi="ar"/>
              </w:rPr>
              <w:t>2023年人员工资足额发放，社保缴费足额缴纳</w:t>
            </w:r>
          </w:p>
        </w:tc>
        <w:tc>
          <w:tcPr>
            <w:tcW w:w="3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9B42C9">
            <w:pPr>
              <w:widowControl/>
              <w:spacing w:line="300" w:lineRule="exact"/>
              <w:jc w:val="left"/>
              <w:textAlignment w:val="center"/>
              <w:rPr>
                <w:rFonts w:eastAsia="宋体"/>
                <w:color w:val="000000"/>
                <w:sz w:val="24"/>
              </w:rPr>
            </w:pPr>
            <w:r>
              <w:rPr>
                <w:rFonts w:hint="eastAsia" w:eastAsia="宋体"/>
                <w:color w:val="000000"/>
                <w:kern w:val="0"/>
                <w:sz w:val="24"/>
                <w:lang w:bidi="ar"/>
              </w:rPr>
              <w:t>保障2023年</w:t>
            </w:r>
            <w:r>
              <w:rPr>
                <w:rFonts w:hint="eastAsia" w:eastAsia="宋体"/>
                <w:color w:val="000000"/>
                <w:kern w:val="0"/>
                <w:sz w:val="24"/>
                <w:lang w:eastAsia="zh-CN" w:bidi="ar"/>
              </w:rPr>
              <w:t>县目标绩效督查事务中心</w:t>
            </w:r>
            <w:r>
              <w:rPr>
                <w:rFonts w:hint="eastAsia" w:eastAsia="宋体"/>
                <w:color w:val="000000"/>
                <w:kern w:val="0"/>
                <w:sz w:val="24"/>
                <w:lang w:bidi="ar"/>
              </w:rPr>
              <w:t>全年人员工资足额发放，社保缴费足额缴纳</w:t>
            </w:r>
          </w:p>
        </w:tc>
      </w:tr>
      <w:tr w14:paraId="5F86ECD4">
        <w:tblPrEx>
          <w:tblCellMar>
            <w:top w:w="15" w:type="dxa"/>
            <w:left w:w="15" w:type="dxa"/>
            <w:bottom w:w="15" w:type="dxa"/>
            <w:right w:w="15" w:type="dxa"/>
          </w:tblCellMar>
        </w:tblPrEx>
        <w:trPr>
          <w:trHeight w:val="23" w:hRule="atLeast"/>
          <w:jc w:val="center"/>
        </w:trPr>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7B63">
            <w:pPr>
              <w:widowControl/>
              <w:spacing w:line="300" w:lineRule="exact"/>
              <w:jc w:val="center"/>
              <w:rPr>
                <w:rFonts w:eastAsia="宋体"/>
                <w:color w:val="000000"/>
                <w:sz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1543C">
            <w:pPr>
              <w:widowControl/>
              <w:spacing w:line="300" w:lineRule="exact"/>
              <w:jc w:val="left"/>
              <w:rPr>
                <w:rFonts w:eastAsia="宋体"/>
                <w:color w:val="000000"/>
                <w:sz w:val="24"/>
              </w:rPr>
            </w:pPr>
            <w:r>
              <w:rPr>
                <w:rFonts w:hint="eastAsia" w:eastAsia="宋体"/>
                <w:color w:val="000000"/>
                <w:sz w:val="24"/>
              </w:rPr>
              <w:t>2023年公用经费运行保障</w:t>
            </w:r>
          </w:p>
        </w:tc>
        <w:tc>
          <w:tcPr>
            <w:tcW w:w="31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D1AE7F">
            <w:pPr>
              <w:widowControl/>
              <w:spacing w:line="300" w:lineRule="exact"/>
              <w:jc w:val="left"/>
              <w:rPr>
                <w:rFonts w:eastAsia="宋体"/>
                <w:color w:val="000000"/>
                <w:sz w:val="24"/>
              </w:rPr>
            </w:pPr>
            <w:r>
              <w:rPr>
                <w:rFonts w:hint="eastAsia" w:eastAsia="宋体"/>
                <w:color w:val="000000"/>
                <w:sz w:val="24"/>
              </w:rPr>
              <w:t>保障2023年</w:t>
            </w:r>
            <w:r>
              <w:rPr>
                <w:rFonts w:hint="eastAsia" w:eastAsia="宋体"/>
                <w:color w:val="000000"/>
                <w:sz w:val="24"/>
                <w:lang w:eastAsia="zh-CN"/>
              </w:rPr>
              <w:t>县</w:t>
            </w:r>
            <w:r>
              <w:rPr>
                <w:rFonts w:hint="eastAsia" w:eastAsia="宋体"/>
                <w:color w:val="000000"/>
                <w:kern w:val="0"/>
                <w:sz w:val="24"/>
                <w:lang w:eastAsia="zh-CN" w:bidi="ar"/>
              </w:rPr>
              <w:t>目标绩效督查事务中心</w:t>
            </w:r>
            <w:r>
              <w:rPr>
                <w:rFonts w:hint="eastAsia" w:eastAsia="宋体"/>
                <w:color w:val="000000"/>
                <w:sz w:val="24"/>
              </w:rPr>
              <w:t>全年目标任务工作运行费用</w:t>
            </w:r>
          </w:p>
        </w:tc>
      </w:tr>
      <w:tr w14:paraId="310B18B2">
        <w:tblPrEx>
          <w:tblCellMar>
            <w:top w:w="15" w:type="dxa"/>
            <w:left w:w="15" w:type="dxa"/>
            <w:bottom w:w="15" w:type="dxa"/>
            <w:right w:w="15" w:type="dxa"/>
          </w:tblCellMar>
        </w:tblPrEx>
        <w:trPr>
          <w:trHeight w:val="23" w:hRule="atLeast"/>
          <w:jc w:val="center"/>
        </w:trPr>
        <w:tc>
          <w:tcPr>
            <w:tcW w:w="621" w:type="pct"/>
            <w:vMerge w:val="restart"/>
            <w:tcBorders>
              <w:top w:val="single" w:color="000000" w:sz="4" w:space="0"/>
              <w:left w:val="single" w:color="000000" w:sz="4" w:space="0"/>
              <w:right w:val="single" w:color="000000" w:sz="4" w:space="0"/>
            </w:tcBorders>
            <w:shd w:val="clear" w:color="auto" w:fill="auto"/>
            <w:vAlign w:val="center"/>
          </w:tcPr>
          <w:p w14:paraId="7BB4A6EB">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14:paraId="56818217">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A222">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EAC6">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5501">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1418">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绩效指标性质</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5372">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5771">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438" w:type="pct"/>
            <w:tcBorders>
              <w:top w:val="single" w:color="000000" w:sz="4" w:space="0"/>
              <w:left w:val="single" w:color="000000" w:sz="4" w:space="0"/>
              <w:bottom w:val="single" w:color="000000" w:sz="4" w:space="0"/>
            </w:tcBorders>
            <w:shd w:val="clear" w:color="auto" w:fill="auto"/>
            <w:vAlign w:val="center"/>
          </w:tcPr>
          <w:p w14:paraId="3D5E24AB">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FC13">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实际完成指标值</w:t>
            </w:r>
          </w:p>
        </w:tc>
      </w:tr>
      <w:tr w14:paraId="77E9A431">
        <w:tblPrEx>
          <w:tblCellMar>
            <w:top w:w="15" w:type="dxa"/>
            <w:left w:w="15" w:type="dxa"/>
            <w:bottom w:w="15" w:type="dxa"/>
            <w:right w:w="15" w:type="dxa"/>
          </w:tblCellMar>
        </w:tblPrEx>
        <w:trPr>
          <w:trHeight w:val="23" w:hRule="atLeast"/>
          <w:jc w:val="center"/>
        </w:trPr>
        <w:tc>
          <w:tcPr>
            <w:tcW w:w="621" w:type="pct"/>
            <w:vMerge w:val="continue"/>
            <w:tcBorders>
              <w:left w:val="single" w:color="000000" w:sz="4" w:space="0"/>
              <w:right w:val="single" w:color="000000" w:sz="4" w:space="0"/>
            </w:tcBorders>
            <w:shd w:val="clear" w:color="auto" w:fill="auto"/>
            <w:vAlign w:val="center"/>
          </w:tcPr>
          <w:p w14:paraId="0C8663FD">
            <w:pPr>
              <w:widowControl/>
              <w:spacing w:line="300" w:lineRule="exact"/>
              <w:jc w:val="center"/>
              <w:rPr>
                <w:rFonts w:eastAsia="宋体"/>
                <w:color w:val="000000"/>
                <w:sz w:val="24"/>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D2E38">
            <w:pPr>
              <w:widowControl/>
              <w:spacing w:line="300" w:lineRule="exact"/>
              <w:jc w:val="center"/>
              <w:textAlignment w:val="center"/>
              <w:rPr>
                <w:rFonts w:eastAsia="宋体"/>
                <w:color w:val="000000"/>
                <w:sz w:val="24"/>
              </w:rPr>
            </w:pPr>
            <w:r>
              <w:rPr>
                <w:rFonts w:eastAsia="宋体"/>
                <w:color w:val="000000"/>
                <w:kern w:val="0"/>
                <w:sz w:val="24"/>
                <w:lang w:bidi="ar"/>
              </w:rPr>
              <w:t>产出指标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F59A">
            <w:pPr>
              <w:widowControl/>
              <w:spacing w:line="300" w:lineRule="exact"/>
              <w:jc w:val="center"/>
              <w:textAlignment w:val="center"/>
              <w:rPr>
                <w:rFonts w:eastAsia="宋体"/>
                <w:color w:val="000000"/>
                <w:sz w:val="24"/>
              </w:rPr>
            </w:pPr>
            <w:r>
              <w:rPr>
                <w:rFonts w:eastAsia="宋体"/>
                <w:color w:val="000000"/>
                <w:kern w:val="0"/>
                <w:sz w:val="24"/>
                <w:lang w:bidi="ar"/>
              </w:rPr>
              <w:t>数量指标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BE02">
            <w:pPr>
              <w:widowControl/>
              <w:spacing w:line="300" w:lineRule="exact"/>
              <w:jc w:val="left"/>
              <w:textAlignment w:val="center"/>
              <w:rPr>
                <w:rFonts w:eastAsia="宋体"/>
                <w:color w:val="000000"/>
                <w:sz w:val="24"/>
              </w:rPr>
            </w:pPr>
            <w:r>
              <w:rPr>
                <w:rFonts w:hint="eastAsia" w:eastAsia="宋体"/>
                <w:color w:val="000000"/>
                <w:kern w:val="0"/>
                <w:sz w:val="24"/>
                <w:lang w:bidi="ar"/>
              </w:rPr>
              <w:t>发放缴纳覆盖率</w:t>
            </w:r>
          </w:p>
        </w:tc>
        <w:tc>
          <w:tcPr>
            <w:tcW w:w="542" w:type="pct"/>
            <w:tcBorders>
              <w:top w:val="single" w:color="auto" w:sz="4" w:space="0"/>
              <w:left w:val="nil"/>
              <w:bottom w:val="single" w:color="auto" w:sz="4" w:space="0"/>
              <w:right w:val="single" w:color="auto" w:sz="4" w:space="0"/>
            </w:tcBorders>
            <w:shd w:val="clear" w:color="auto" w:fill="auto"/>
            <w:vAlign w:val="center"/>
          </w:tcPr>
          <w:p w14:paraId="5100985B">
            <w:pPr>
              <w:widowControl/>
              <w:jc w:val="left"/>
              <w:rPr>
                <w:rFonts w:eastAsia="宋体"/>
                <w:color w:val="000000"/>
                <w:kern w:val="0"/>
                <w:sz w:val="24"/>
              </w:rPr>
            </w:pPr>
            <w:r>
              <w:rPr>
                <w:rFonts w:hint="eastAsia"/>
                <w:color w:val="000000"/>
                <w:sz w:val="24"/>
              </w:rPr>
              <w:t>＝</w:t>
            </w:r>
          </w:p>
        </w:tc>
        <w:tc>
          <w:tcPr>
            <w:tcW w:w="610" w:type="pct"/>
            <w:tcBorders>
              <w:top w:val="single" w:color="auto" w:sz="4" w:space="0"/>
              <w:left w:val="nil"/>
              <w:bottom w:val="single" w:color="auto" w:sz="4" w:space="0"/>
              <w:right w:val="single" w:color="auto" w:sz="4" w:space="0"/>
            </w:tcBorders>
            <w:shd w:val="clear" w:color="auto" w:fill="auto"/>
            <w:vAlign w:val="center"/>
          </w:tcPr>
          <w:p w14:paraId="76D1CDFF">
            <w:pPr>
              <w:rPr>
                <w:color w:val="000000"/>
                <w:sz w:val="24"/>
              </w:rPr>
            </w:pPr>
            <w:r>
              <w:rPr>
                <w:rFonts w:hint="eastAsia"/>
                <w:color w:val="000000"/>
                <w:sz w:val="24"/>
              </w:rPr>
              <w:t>95</w:t>
            </w:r>
          </w:p>
        </w:tc>
        <w:tc>
          <w:tcPr>
            <w:tcW w:w="501" w:type="pct"/>
            <w:tcBorders>
              <w:top w:val="single" w:color="auto" w:sz="4" w:space="0"/>
              <w:left w:val="nil"/>
              <w:bottom w:val="single" w:color="auto" w:sz="4" w:space="0"/>
              <w:right w:val="single" w:color="auto" w:sz="4" w:space="0"/>
            </w:tcBorders>
            <w:shd w:val="clear" w:color="auto" w:fill="auto"/>
            <w:vAlign w:val="center"/>
          </w:tcPr>
          <w:p w14:paraId="255FF754">
            <w:pPr>
              <w:rPr>
                <w:color w:val="000000"/>
                <w:sz w:val="24"/>
              </w:rPr>
            </w:pPr>
            <w:r>
              <w:rPr>
                <w:rFonts w:hint="eastAsia"/>
                <w:color w:val="000000"/>
                <w:sz w:val="24"/>
              </w:rPr>
              <w:t>%</w:t>
            </w:r>
          </w:p>
        </w:tc>
        <w:tc>
          <w:tcPr>
            <w:tcW w:w="438" w:type="pct"/>
            <w:tcBorders>
              <w:top w:val="single" w:color="auto" w:sz="4" w:space="0"/>
              <w:left w:val="nil"/>
              <w:bottom w:val="single" w:color="auto" w:sz="4" w:space="0"/>
              <w:right w:val="single" w:color="auto" w:sz="4" w:space="0"/>
            </w:tcBorders>
            <w:shd w:val="clear" w:color="auto" w:fill="auto"/>
            <w:vAlign w:val="center"/>
          </w:tcPr>
          <w:p w14:paraId="6E88FF2C">
            <w:pPr>
              <w:rPr>
                <w:color w:val="000000"/>
                <w:sz w:val="24"/>
              </w:rPr>
            </w:pPr>
            <w:r>
              <w:rPr>
                <w:rFonts w:hint="eastAsia"/>
                <w:color w:val="000000"/>
                <w:sz w:val="24"/>
              </w:rPr>
              <w:t>20%</w:t>
            </w:r>
          </w:p>
        </w:tc>
        <w:tc>
          <w:tcPr>
            <w:tcW w:w="526" w:type="pct"/>
            <w:tcBorders>
              <w:left w:val="single" w:color="000000" w:sz="4" w:space="0"/>
              <w:bottom w:val="single" w:color="000000" w:sz="4" w:space="0"/>
              <w:right w:val="single" w:color="000000" w:sz="4" w:space="0"/>
            </w:tcBorders>
            <w:shd w:val="clear" w:color="auto" w:fill="auto"/>
            <w:vAlign w:val="center"/>
          </w:tcPr>
          <w:p w14:paraId="4302E25F">
            <w:pPr>
              <w:widowControl/>
              <w:spacing w:line="300" w:lineRule="exact"/>
              <w:jc w:val="left"/>
              <w:textAlignment w:val="center"/>
              <w:rPr>
                <w:rFonts w:eastAsia="宋体"/>
                <w:color w:val="000000"/>
                <w:sz w:val="24"/>
              </w:rPr>
            </w:pPr>
            <w:r>
              <w:rPr>
                <w:rFonts w:hint="eastAsia" w:eastAsia="宋体"/>
                <w:color w:val="000000"/>
                <w:sz w:val="24"/>
              </w:rPr>
              <w:t>100</w:t>
            </w:r>
          </w:p>
        </w:tc>
      </w:tr>
      <w:tr w14:paraId="4226C02A">
        <w:tblPrEx>
          <w:tblCellMar>
            <w:top w:w="15" w:type="dxa"/>
            <w:left w:w="15" w:type="dxa"/>
            <w:bottom w:w="15" w:type="dxa"/>
            <w:right w:w="15" w:type="dxa"/>
          </w:tblCellMar>
        </w:tblPrEx>
        <w:trPr>
          <w:cantSplit/>
          <w:trHeight w:val="23" w:hRule="atLeast"/>
          <w:jc w:val="center"/>
        </w:trPr>
        <w:tc>
          <w:tcPr>
            <w:tcW w:w="621" w:type="pct"/>
            <w:vMerge w:val="continue"/>
            <w:tcBorders>
              <w:left w:val="single" w:color="000000" w:sz="4" w:space="0"/>
              <w:right w:val="single" w:color="000000" w:sz="4" w:space="0"/>
            </w:tcBorders>
            <w:shd w:val="clear" w:color="auto" w:fill="auto"/>
            <w:vAlign w:val="center"/>
          </w:tcPr>
          <w:p w14:paraId="419807B8">
            <w:pPr>
              <w:widowControl/>
              <w:spacing w:line="300" w:lineRule="exact"/>
              <w:jc w:val="center"/>
              <w:rPr>
                <w:rFonts w:eastAsia="宋体"/>
                <w:color w:val="000000"/>
                <w:sz w:val="24"/>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7FC8">
            <w:pPr>
              <w:widowControl/>
              <w:spacing w:line="300" w:lineRule="exact"/>
              <w:jc w:val="center"/>
              <w:rPr>
                <w:rFonts w:eastAsia="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8D47">
            <w:pPr>
              <w:widowControl/>
              <w:spacing w:line="300" w:lineRule="exact"/>
              <w:jc w:val="center"/>
              <w:textAlignment w:val="center"/>
              <w:rPr>
                <w:rFonts w:eastAsia="宋体"/>
                <w:color w:val="000000"/>
                <w:sz w:val="24"/>
              </w:rPr>
            </w:pPr>
            <w:r>
              <w:rPr>
                <w:rFonts w:eastAsia="宋体"/>
                <w:color w:val="000000"/>
                <w:kern w:val="0"/>
                <w:sz w:val="24"/>
                <w:lang w:bidi="ar"/>
              </w:rPr>
              <w:t>质量指标</w:t>
            </w:r>
          </w:p>
        </w:tc>
        <w:tc>
          <w:tcPr>
            <w:tcW w:w="521" w:type="pct"/>
            <w:tcBorders>
              <w:top w:val="single" w:color="000000" w:sz="4" w:space="0"/>
              <w:left w:val="single" w:color="000000" w:sz="4" w:space="0"/>
              <w:bottom w:val="single" w:color="000000" w:sz="4" w:space="0"/>
              <w:right w:val="single" w:color="auto" w:sz="4" w:space="0"/>
            </w:tcBorders>
            <w:shd w:val="clear" w:color="auto" w:fill="auto"/>
            <w:vAlign w:val="center"/>
          </w:tcPr>
          <w:p w14:paraId="442124AC">
            <w:pPr>
              <w:widowControl/>
              <w:spacing w:line="300" w:lineRule="exact"/>
              <w:jc w:val="left"/>
              <w:rPr>
                <w:rFonts w:eastAsia="宋体"/>
                <w:color w:val="000000"/>
                <w:sz w:val="24"/>
              </w:rPr>
            </w:pPr>
            <w:r>
              <w:rPr>
                <w:rFonts w:hint="eastAsia" w:eastAsia="宋体"/>
                <w:color w:val="000000"/>
                <w:sz w:val="24"/>
              </w:rPr>
              <w:t>目标工作通过率，提高办公运转</w:t>
            </w:r>
            <w:r>
              <w:rPr>
                <w:rFonts w:hint="eastAsia"/>
                <w:color w:val="000000"/>
                <w:sz w:val="24"/>
                <w:lang w:eastAsia="zh-CN"/>
              </w:rPr>
              <w:t>效率</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171D433">
            <w:pPr>
              <w:rPr>
                <w:color w:val="000000"/>
                <w:sz w:val="24"/>
              </w:rPr>
            </w:pPr>
            <w:r>
              <w:rPr>
                <w:rFonts w:hint="eastAsia"/>
                <w:color w:val="000000"/>
                <w:sz w:val="24"/>
              </w:rPr>
              <w:t>＝</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32AB915D">
            <w:pPr>
              <w:rPr>
                <w:color w:val="000000"/>
                <w:sz w:val="24"/>
              </w:rPr>
            </w:pPr>
            <w:r>
              <w:rPr>
                <w:rFonts w:hint="eastAsia"/>
                <w:color w:val="000000"/>
                <w:sz w:val="24"/>
              </w:rPr>
              <w:t>95</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1E4D30A8">
            <w:pPr>
              <w:rPr>
                <w:color w:val="000000"/>
                <w:sz w:val="24"/>
              </w:rPr>
            </w:pPr>
            <w:r>
              <w:rPr>
                <w:rFonts w:hint="eastAsia"/>
                <w:color w:val="000000"/>
                <w:sz w:val="24"/>
              </w:rPr>
              <w: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96A2BF2">
            <w:pPr>
              <w:rPr>
                <w:color w:val="000000"/>
                <w:sz w:val="24"/>
              </w:rPr>
            </w:pPr>
            <w:r>
              <w:rPr>
                <w:rFonts w:hint="eastAsia"/>
                <w:color w:val="000000"/>
                <w:sz w:val="24"/>
              </w:rPr>
              <w:t>20%</w:t>
            </w:r>
          </w:p>
        </w:tc>
        <w:tc>
          <w:tcPr>
            <w:tcW w:w="526" w:type="pct"/>
            <w:tcBorders>
              <w:top w:val="single" w:color="000000" w:sz="4" w:space="0"/>
              <w:left w:val="single" w:color="auto" w:sz="4" w:space="0"/>
              <w:bottom w:val="single" w:color="000000" w:sz="4" w:space="0"/>
              <w:right w:val="single" w:color="000000" w:sz="4" w:space="0"/>
            </w:tcBorders>
            <w:shd w:val="clear" w:color="auto" w:fill="auto"/>
            <w:vAlign w:val="center"/>
          </w:tcPr>
          <w:p w14:paraId="0456D292">
            <w:pPr>
              <w:widowControl/>
              <w:spacing w:line="300" w:lineRule="exact"/>
              <w:jc w:val="left"/>
              <w:rPr>
                <w:rFonts w:eastAsia="宋体"/>
                <w:color w:val="000000"/>
                <w:sz w:val="24"/>
              </w:rPr>
            </w:pPr>
            <w:r>
              <w:rPr>
                <w:rFonts w:hint="eastAsia" w:eastAsia="宋体"/>
                <w:color w:val="000000"/>
                <w:sz w:val="24"/>
              </w:rPr>
              <w:t>95</w:t>
            </w:r>
          </w:p>
        </w:tc>
      </w:tr>
      <w:tr w14:paraId="0A6B3774">
        <w:tblPrEx>
          <w:tblCellMar>
            <w:top w:w="15" w:type="dxa"/>
            <w:left w:w="15" w:type="dxa"/>
            <w:bottom w:w="15" w:type="dxa"/>
            <w:right w:w="15" w:type="dxa"/>
          </w:tblCellMar>
        </w:tblPrEx>
        <w:trPr>
          <w:trHeight w:val="23" w:hRule="atLeast"/>
          <w:jc w:val="center"/>
        </w:trPr>
        <w:tc>
          <w:tcPr>
            <w:tcW w:w="621" w:type="pct"/>
            <w:vMerge w:val="continue"/>
            <w:tcBorders>
              <w:left w:val="single" w:color="000000" w:sz="4" w:space="0"/>
              <w:right w:val="single" w:color="000000" w:sz="4" w:space="0"/>
            </w:tcBorders>
            <w:shd w:val="clear" w:color="auto" w:fill="auto"/>
            <w:vAlign w:val="center"/>
          </w:tcPr>
          <w:p w14:paraId="664AB1B5">
            <w:pPr>
              <w:widowControl/>
              <w:spacing w:line="300" w:lineRule="exact"/>
              <w:jc w:val="center"/>
              <w:rPr>
                <w:rFonts w:eastAsia="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05E1">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603" w:type="pct"/>
            <w:tcBorders>
              <w:top w:val="single" w:color="000000" w:sz="4" w:space="0"/>
              <w:left w:val="single" w:color="000000" w:sz="4" w:space="0"/>
              <w:right w:val="single" w:color="000000" w:sz="4" w:space="0"/>
            </w:tcBorders>
            <w:shd w:val="clear" w:color="auto" w:fill="auto"/>
            <w:vAlign w:val="center"/>
          </w:tcPr>
          <w:p w14:paraId="5D5D7DC8">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社会效益</w:t>
            </w:r>
          </w:p>
          <w:p w14:paraId="67A5F818">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5BAF">
            <w:pPr>
              <w:widowControl/>
              <w:spacing w:line="300" w:lineRule="exact"/>
              <w:jc w:val="left"/>
              <w:rPr>
                <w:rFonts w:eastAsia="宋体"/>
                <w:color w:val="000000"/>
                <w:sz w:val="24"/>
              </w:rPr>
            </w:pPr>
            <w:r>
              <w:rPr>
                <w:rFonts w:hint="eastAsia" w:eastAsia="宋体"/>
                <w:color w:val="000000"/>
                <w:sz w:val="24"/>
              </w:rPr>
              <w:t>部门正常运转情况</w:t>
            </w:r>
          </w:p>
        </w:tc>
        <w:tc>
          <w:tcPr>
            <w:tcW w:w="542" w:type="pct"/>
            <w:tcBorders>
              <w:top w:val="single" w:color="auto" w:sz="4" w:space="0"/>
              <w:left w:val="nil"/>
              <w:bottom w:val="single" w:color="auto" w:sz="4" w:space="0"/>
              <w:right w:val="single" w:color="auto" w:sz="4" w:space="0"/>
            </w:tcBorders>
            <w:shd w:val="clear" w:color="auto" w:fill="auto"/>
            <w:vAlign w:val="center"/>
          </w:tcPr>
          <w:p w14:paraId="1592A4C8">
            <w:pPr>
              <w:rPr>
                <w:color w:val="000000"/>
                <w:sz w:val="24"/>
              </w:rPr>
            </w:pPr>
            <w:r>
              <w:rPr>
                <w:rFonts w:hint="eastAsia"/>
                <w:color w:val="000000"/>
                <w:sz w:val="24"/>
              </w:rPr>
              <w:t>定性</w:t>
            </w:r>
          </w:p>
        </w:tc>
        <w:tc>
          <w:tcPr>
            <w:tcW w:w="610" w:type="pct"/>
            <w:tcBorders>
              <w:top w:val="single" w:color="auto" w:sz="4" w:space="0"/>
              <w:left w:val="nil"/>
              <w:bottom w:val="single" w:color="auto" w:sz="4" w:space="0"/>
              <w:right w:val="single" w:color="auto" w:sz="4" w:space="0"/>
            </w:tcBorders>
            <w:shd w:val="clear" w:color="auto" w:fill="auto"/>
            <w:vAlign w:val="center"/>
          </w:tcPr>
          <w:p w14:paraId="3354D883">
            <w:pPr>
              <w:rPr>
                <w:color w:val="000000"/>
                <w:sz w:val="24"/>
              </w:rPr>
            </w:pPr>
            <w:r>
              <w:rPr>
                <w:rFonts w:hint="eastAsia"/>
                <w:color w:val="000000"/>
                <w:sz w:val="24"/>
              </w:rPr>
              <w:t>正常运转</w:t>
            </w:r>
          </w:p>
        </w:tc>
        <w:tc>
          <w:tcPr>
            <w:tcW w:w="501" w:type="pct"/>
            <w:tcBorders>
              <w:top w:val="single" w:color="auto" w:sz="4" w:space="0"/>
              <w:left w:val="nil"/>
              <w:bottom w:val="single" w:color="auto" w:sz="4" w:space="0"/>
              <w:right w:val="single" w:color="auto" w:sz="4" w:space="0"/>
            </w:tcBorders>
            <w:shd w:val="clear" w:color="auto" w:fill="auto"/>
            <w:vAlign w:val="center"/>
          </w:tcPr>
          <w:p w14:paraId="31A18A39">
            <w:pPr>
              <w:rPr>
                <w:color w:val="000000"/>
                <w:sz w:val="24"/>
              </w:rPr>
            </w:pPr>
            <w:r>
              <w:rPr>
                <w:rFonts w:hint="eastAsia"/>
                <w:color w:val="000000"/>
                <w:sz w:val="24"/>
              </w:rPr>
              <w:t>%</w:t>
            </w:r>
          </w:p>
        </w:tc>
        <w:tc>
          <w:tcPr>
            <w:tcW w:w="438" w:type="pct"/>
            <w:tcBorders>
              <w:top w:val="single" w:color="auto" w:sz="4" w:space="0"/>
              <w:left w:val="nil"/>
              <w:bottom w:val="single" w:color="auto" w:sz="4" w:space="0"/>
              <w:right w:val="single" w:color="auto" w:sz="4" w:space="0"/>
            </w:tcBorders>
            <w:shd w:val="clear" w:color="auto" w:fill="auto"/>
            <w:vAlign w:val="center"/>
          </w:tcPr>
          <w:p w14:paraId="18AB660B">
            <w:pPr>
              <w:rPr>
                <w:color w:val="000000"/>
                <w:sz w:val="24"/>
              </w:rPr>
            </w:pPr>
            <w:r>
              <w:rPr>
                <w:rFonts w:hint="eastAsia"/>
                <w:color w:val="000000"/>
                <w:sz w:val="24"/>
              </w:rPr>
              <w:t>20%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D43A">
            <w:pPr>
              <w:widowControl/>
              <w:spacing w:line="300" w:lineRule="exact"/>
              <w:jc w:val="left"/>
              <w:rPr>
                <w:rFonts w:eastAsia="宋体"/>
                <w:color w:val="000000"/>
                <w:sz w:val="24"/>
              </w:rPr>
            </w:pPr>
            <w:r>
              <w:rPr>
                <w:rFonts w:hint="eastAsia" w:eastAsia="宋体"/>
                <w:color w:val="000000"/>
                <w:sz w:val="24"/>
              </w:rPr>
              <w:t>正常运转</w:t>
            </w:r>
          </w:p>
        </w:tc>
      </w:tr>
      <w:tr w14:paraId="49FAA64B">
        <w:tblPrEx>
          <w:tblCellMar>
            <w:top w:w="15" w:type="dxa"/>
            <w:left w:w="15" w:type="dxa"/>
            <w:bottom w:w="15" w:type="dxa"/>
            <w:right w:w="15" w:type="dxa"/>
          </w:tblCellMar>
        </w:tblPrEx>
        <w:trPr>
          <w:trHeight w:val="23" w:hRule="atLeast"/>
          <w:jc w:val="center"/>
        </w:trPr>
        <w:tc>
          <w:tcPr>
            <w:tcW w:w="621" w:type="pct"/>
            <w:vMerge w:val="continue"/>
            <w:tcBorders>
              <w:left w:val="single" w:color="000000" w:sz="4" w:space="0"/>
              <w:right w:val="single" w:color="000000" w:sz="4" w:space="0"/>
            </w:tcBorders>
            <w:shd w:val="clear" w:color="auto" w:fill="auto"/>
            <w:vAlign w:val="center"/>
          </w:tcPr>
          <w:p w14:paraId="119B5AA0">
            <w:pPr>
              <w:widowControl/>
              <w:spacing w:line="300" w:lineRule="exact"/>
              <w:jc w:val="center"/>
              <w:rPr>
                <w:rFonts w:eastAsia="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0ABC">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906D">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1BB4">
            <w:pPr>
              <w:widowControl/>
              <w:spacing w:line="300" w:lineRule="exact"/>
              <w:jc w:val="left"/>
              <w:rPr>
                <w:rFonts w:eastAsia="宋体"/>
                <w:color w:val="000000"/>
                <w:sz w:val="24"/>
              </w:rPr>
            </w:pPr>
            <w:r>
              <w:rPr>
                <w:rFonts w:hint="eastAsia" w:eastAsia="宋体"/>
                <w:color w:val="000000"/>
                <w:sz w:val="24"/>
              </w:rPr>
              <w:t>服务对象对机关保障满意度</w:t>
            </w:r>
          </w:p>
        </w:tc>
        <w:tc>
          <w:tcPr>
            <w:tcW w:w="542" w:type="pct"/>
            <w:tcBorders>
              <w:top w:val="nil"/>
              <w:left w:val="nil"/>
              <w:bottom w:val="single" w:color="auto" w:sz="4" w:space="0"/>
              <w:right w:val="single" w:color="auto" w:sz="4" w:space="0"/>
            </w:tcBorders>
            <w:shd w:val="clear" w:color="auto" w:fill="auto"/>
            <w:vAlign w:val="center"/>
          </w:tcPr>
          <w:p w14:paraId="4A976211">
            <w:pPr>
              <w:rPr>
                <w:color w:val="000000"/>
                <w:sz w:val="24"/>
              </w:rPr>
            </w:pPr>
            <w:r>
              <w:rPr>
                <w:rFonts w:hint="eastAsia"/>
                <w:color w:val="000000"/>
                <w:sz w:val="24"/>
              </w:rPr>
              <w:t>≥</w:t>
            </w:r>
          </w:p>
        </w:tc>
        <w:tc>
          <w:tcPr>
            <w:tcW w:w="610" w:type="pct"/>
            <w:tcBorders>
              <w:top w:val="nil"/>
              <w:left w:val="nil"/>
              <w:bottom w:val="single" w:color="auto" w:sz="4" w:space="0"/>
              <w:right w:val="single" w:color="auto" w:sz="4" w:space="0"/>
            </w:tcBorders>
            <w:shd w:val="clear" w:color="auto" w:fill="auto"/>
            <w:vAlign w:val="center"/>
          </w:tcPr>
          <w:p w14:paraId="4FD73EC8">
            <w:pPr>
              <w:rPr>
                <w:color w:val="000000"/>
                <w:sz w:val="24"/>
              </w:rPr>
            </w:pPr>
            <w:r>
              <w:rPr>
                <w:rFonts w:hint="eastAsia"/>
                <w:color w:val="000000"/>
                <w:sz w:val="24"/>
              </w:rPr>
              <w:t>90</w:t>
            </w:r>
          </w:p>
        </w:tc>
        <w:tc>
          <w:tcPr>
            <w:tcW w:w="501" w:type="pct"/>
            <w:tcBorders>
              <w:top w:val="nil"/>
              <w:left w:val="nil"/>
              <w:bottom w:val="single" w:color="auto" w:sz="4" w:space="0"/>
              <w:right w:val="single" w:color="auto" w:sz="4" w:space="0"/>
            </w:tcBorders>
            <w:shd w:val="clear" w:color="auto" w:fill="auto"/>
            <w:vAlign w:val="center"/>
          </w:tcPr>
          <w:p w14:paraId="23B4387C">
            <w:pPr>
              <w:rPr>
                <w:color w:val="000000"/>
                <w:sz w:val="24"/>
              </w:rPr>
            </w:pPr>
            <w:r>
              <w:rPr>
                <w:rFonts w:hint="eastAsia"/>
                <w:color w:val="000000"/>
                <w:sz w:val="24"/>
              </w:rPr>
              <w:t>%</w:t>
            </w:r>
          </w:p>
        </w:tc>
        <w:tc>
          <w:tcPr>
            <w:tcW w:w="438" w:type="pct"/>
            <w:tcBorders>
              <w:top w:val="nil"/>
              <w:left w:val="nil"/>
              <w:bottom w:val="single" w:color="auto" w:sz="4" w:space="0"/>
              <w:right w:val="single" w:color="auto" w:sz="4" w:space="0"/>
            </w:tcBorders>
            <w:shd w:val="clear" w:color="auto" w:fill="auto"/>
            <w:vAlign w:val="center"/>
          </w:tcPr>
          <w:p w14:paraId="499B82E8">
            <w:pPr>
              <w:rPr>
                <w:color w:val="000000"/>
                <w:sz w:val="24"/>
              </w:rPr>
            </w:pPr>
            <w:r>
              <w:rPr>
                <w:rFonts w:hint="eastAsia"/>
                <w:color w:val="000000"/>
                <w:sz w:val="24"/>
              </w:rPr>
              <w:t>10%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7139">
            <w:pPr>
              <w:widowControl/>
              <w:spacing w:line="300" w:lineRule="exact"/>
              <w:jc w:val="left"/>
              <w:rPr>
                <w:rFonts w:eastAsia="宋体"/>
                <w:color w:val="000000"/>
                <w:sz w:val="24"/>
              </w:rPr>
            </w:pPr>
            <w:r>
              <w:rPr>
                <w:rFonts w:hint="eastAsia" w:eastAsia="宋体"/>
                <w:color w:val="000000"/>
                <w:sz w:val="24"/>
              </w:rPr>
              <w:t>90</w:t>
            </w:r>
          </w:p>
        </w:tc>
      </w:tr>
      <w:tr w14:paraId="738CE45A">
        <w:tblPrEx>
          <w:tblCellMar>
            <w:top w:w="15" w:type="dxa"/>
            <w:left w:w="15" w:type="dxa"/>
            <w:bottom w:w="15" w:type="dxa"/>
            <w:right w:w="15" w:type="dxa"/>
          </w:tblCellMar>
        </w:tblPrEx>
        <w:trPr>
          <w:trHeight w:val="23" w:hRule="atLeast"/>
          <w:jc w:val="center"/>
        </w:trPr>
        <w:tc>
          <w:tcPr>
            <w:tcW w:w="621" w:type="pct"/>
            <w:vMerge w:val="continue"/>
            <w:tcBorders>
              <w:left w:val="single" w:color="000000" w:sz="4" w:space="0"/>
              <w:bottom w:val="single" w:color="000000" w:sz="4" w:space="0"/>
              <w:right w:val="single" w:color="000000" w:sz="4" w:space="0"/>
            </w:tcBorders>
            <w:shd w:val="clear" w:color="auto" w:fill="auto"/>
            <w:vAlign w:val="center"/>
          </w:tcPr>
          <w:p w14:paraId="13E7F69B">
            <w:pPr>
              <w:widowControl/>
              <w:spacing w:line="300" w:lineRule="exact"/>
              <w:jc w:val="center"/>
              <w:rPr>
                <w:rFonts w:eastAsia="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01A8">
            <w:pPr>
              <w:widowControl/>
              <w:spacing w:line="300" w:lineRule="exact"/>
              <w:jc w:val="center"/>
              <w:textAlignment w:val="center"/>
              <w:rPr>
                <w:rFonts w:eastAsia="宋体"/>
                <w:color w:val="000000"/>
                <w:kern w:val="0"/>
                <w:sz w:val="24"/>
                <w:lang w:bidi="ar"/>
              </w:rPr>
            </w:pPr>
            <w:r>
              <w:rPr>
                <w:rFonts w:hint="eastAsia" w:eastAsia="宋体"/>
                <w:color w:val="000000"/>
                <w:kern w:val="0"/>
                <w:sz w:val="24"/>
                <w:lang w:bidi="ar"/>
              </w:rPr>
              <w:t>成本指标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0BF0">
            <w:pPr>
              <w:widowControl/>
              <w:spacing w:line="300" w:lineRule="exact"/>
              <w:jc w:val="center"/>
              <w:textAlignment w:val="center"/>
              <w:rPr>
                <w:rFonts w:eastAsia="宋体"/>
                <w:color w:val="000000"/>
                <w:kern w:val="0"/>
                <w:sz w:val="24"/>
                <w:lang w:bidi="ar"/>
              </w:rPr>
            </w:pPr>
            <w:r>
              <w:rPr>
                <w:rFonts w:hint="eastAsia" w:eastAsia="宋体"/>
                <w:color w:val="000000"/>
                <w:kern w:val="0"/>
                <w:sz w:val="24"/>
                <w:lang w:bidi="ar"/>
              </w:rPr>
              <w:t>经济成本指标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3AEB">
            <w:pPr>
              <w:widowControl/>
              <w:spacing w:line="300" w:lineRule="exact"/>
              <w:jc w:val="left"/>
              <w:rPr>
                <w:rFonts w:eastAsia="宋体"/>
                <w:color w:val="000000"/>
                <w:sz w:val="24"/>
              </w:rPr>
            </w:pPr>
            <w:r>
              <w:rPr>
                <w:rFonts w:hint="eastAsia" w:eastAsia="宋体"/>
                <w:color w:val="000000"/>
                <w:sz w:val="24"/>
              </w:rPr>
              <w:t>资金总成本</w:t>
            </w:r>
          </w:p>
        </w:tc>
        <w:tc>
          <w:tcPr>
            <w:tcW w:w="542" w:type="pct"/>
            <w:tcBorders>
              <w:top w:val="nil"/>
              <w:left w:val="nil"/>
              <w:bottom w:val="single" w:color="auto" w:sz="4" w:space="0"/>
              <w:right w:val="single" w:color="auto" w:sz="4" w:space="0"/>
            </w:tcBorders>
            <w:shd w:val="clear" w:color="auto" w:fill="auto"/>
            <w:vAlign w:val="center"/>
          </w:tcPr>
          <w:p w14:paraId="50E42ECF">
            <w:pPr>
              <w:rPr>
                <w:rFonts w:hint="eastAsia" w:eastAsia="宋体"/>
                <w:color w:val="000000"/>
                <w:sz w:val="24"/>
                <w:lang w:val="en-US" w:eastAsia="zh-CN"/>
              </w:rPr>
            </w:pPr>
            <w:r>
              <w:rPr>
                <w:rFonts w:hint="eastAsia" w:eastAsia="宋体"/>
                <w:color w:val="000000"/>
                <w:sz w:val="24"/>
                <w:lang w:val="en-US" w:eastAsia="zh-CN"/>
              </w:rPr>
              <w:t>≤</w:t>
            </w:r>
          </w:p>
        </w:tc>
        <w:tc>
          <w:tcPr>
            <w:tcW w:w="610" w:type="pct"/>
            <w:tcBorders>
              <w:top w:val="nil"/>
              <w:left w:val="nil"/>
              <w:bottom w:val="single" w:color="auto" w:sz="4" w:space="0"/>
              <w:right w:val="single" w:color="auto" w:sz="4" w:space="0"/>
            </w:tcBorders>
            <w:shd w:val="clear" w:color="auto" w:fill="auto"/>
            <w:vAlign w:val="center"/>
          </w:tcPr>
          <w:p w14:paraId="431E0F00">
            <w:pPr>
              <w:rPr>
                <w:rFonts w:hint="eastAsia" w:eastAsia="宋体"/>
                <w:color w:val="000000"/>
                <w:sz w:val="24"/>
                <w:lang w:val="en-US" w:eastAsia="zh-CN"/>
              </w:rPr>
            </w:pPr>
            <w:r>
              <w:rPr>
                <w:rFonts w:hint="eastAsia" w:eastAsia="宋体"/>
                <w:color w:val="000000"/>
                <w:sz w:val="24"/>
                <w:lang w:val="en-US" w:eastAsia="zh-CN"/>
              </w:rPr>
              <w:t>121.62万元</w:t>
            </w:r>
          </w:p>
        </w:tc>
        <w:tc>
          <w:tcPr>
            <w:tcW w:w="501" w:type="pct"/>
            <w:tcBorders>
              <w:top w:val="nil"/>
              <w:left w:val="nil"/>
              <w:bottom w:val="single" w:color="auto" w:sz="4" w:space="0"/>
              <w:right w:val="single" w:color="auto" w:sz="4" w:space="0"/>
            </w:tcBorders>
            <w:shd w:val="clear" w:color="auto" w:fill="auto"/>
            <w:vAlign w:val="center"/>
          </w:tcPr>
          <w:p w14:paraId="0570CED4">
            <w:pPr>
              <w:rPr>
                <w:color w:val="000000"/>
                <w:sz w:val="24"/>
              </w:rPr>
            </w:pPr>
            <w:r>
              <w:rPr>
                <w:rFonts w:hint="eastAsia"/>
                <w:color w:val="000000"/>
                <w:sz w:val="24"/>
              </w:rPr>
              <w:t>元</w:t>
            </w:r>
          </w:p>
        </w:tc>
        <w:tc>
          <w:tcPr>
            <w:tcW w:w="438" w:type="pct"/>
            <w:tcBorders>
              <w:top w:val="nil"/>
              <w:left w:val="nil"/>
              <w:bottom w:val="single" w:color="auto" w:sz="4" w:space="0"/>
              <w:right w:val="single" w:color="auto" w:sz="4" w:space="0"/>
            </w:tcBorders>
            <w:shd w:val="clear" w:color="auto" w:fill="auto"/>
            <w:vAlign w:val="center"/>
          </w:tcPr>
          <w:p w14:paraId="536076E6">
            <w:pPr>
              <w:rPr>
                <w:color w:val="000000"/>
                <w:sz w:val="24"/>
              </w:rPr>
            </w:pPr>
            <w:r>
              <w:rPr>
                <w:rFonts w:hint="eastAsia"/>
                <w:color w:val="000000"/>
                <w:sz w:val="24"/>
              </w:rPr>
              <w:t>20%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8563">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178.6万元</w:t>
            </w:r>
          </w:p>
        </w:tc>
      </w:tr>
    </w:tbl>
    <w:p w14:paraId="0B862320">
      <w:pPr>
        <w:pStyle w:val="2"/>
        <w:ind w:left="0" w:leftChars="0" w:firstLine="0" w:firstLineChars="0"/>
        <w:rPr>
          <w:rFonts w:ascii="Times New Roman" w:eastAsia="黑体"/>
          <w:sz w:val="24"/>
          <w:szCs w:val="24"/>
        </w:rPr>
      </w:pPr>
    </w:p>
    <w:p w14:paraId="335AEDD8">
      <w:pPr>
        <w:pStyle w:val="8"/>
        <w:rPr>
          <w:rFonts w:hint="eastAsia" w:hAnsi="宋体" w:cs="宋体"/>
          <w:color w:val="FF0000"/>
          <w:kern w:val="0"/>
          <w:sz w:val="32"/>
          <w:szCs w:val="32"/>
          <w:highlight w:val="yellow"/>
          <w:shd w:val="clear" w:color="auto" w:fill="FFFFFF"/>
          <w:lang w:val="zh-CN"/>
        </w:rPr>
      </w:pPr>
    </w:p>
    <w:p w14:paraId="20C85EF2">
      <w:pPr>
        <w:rPr>
          <w:rFonts w:hint="eastAsia" w:ascii="黑体" w:hAnsi="黑体" w:eastAsia="黑体"/>
          <w:color w:val="auto"/>
          <w:sz w:val="44"/>
          <w:szCs w:val="44"/>
          <w:highlight w:val="none"/>
        </w:rPr>
      </w:pPr>
      <w:bookmarkStart w:id="56" w:name="_Toc15396618"/>
    </w:p>
    <w:p w14:paraId="5DA7DD4B">
      <w:pPr>
        <w:widowControl/>
        <w:jc w:val="center"/>
        <w:rPr>
          <w:rFonts w:hint="eastAsia" w:ascii="黑体" w:hAnsi="黑体" w:eastAsia="黑体"/>
          <w:color w:val="auto"/>
          <w:sz w:val="44"/>
          <w:szCs w:val="44"/>
          <w:highlight w:val="none"/>
        </w:rPr>
      </w:pPr>
    </w:p>
    <w:p w14:paraId="5C8983A9">
      <w:pPr>
        <w:widowControl/>
        <w:jc w:val="both"/>
        <w:rPr>
          <w:rFonts w:hint="eastAsia" w:ascii="黑体" w:hAnsi="黑体" w:eastAsia="黑体"/>
          <w:color w:val="auto"/>
          <w:sz w:val="44"/>
          <w:szCs w:val="44"/>
          <w:highlight w:val="none"/>
        </w:rPr>
      </w:pPr>
    </w:p>
    <w:p w14:paraId="07DA57E1">
      <w:pPr>
        <w:widowControl/>
        <w:jc w:val="both"/>
        <w:rPr>
          <w:rFonts w:hint="eastAsia" w:ascii="黑体" w:hAnsi="黑体" w:eastAsia="黑体"/>
          <w:color w:val="auto"/>
          <w:sz w:val="44"/>
          <w:szCs w:val="44"/>
          <w:highlight w:val="none"/>
        </w:rPr>
      </w:pPr>
    </w:p>
    <w:p w14:paraId="41EBFD68">
      <w:pPr>
        <w:widowControl/>
        <w:jc w:val="both"/>
        <w:rPr>
          <w:rFonts w:hint="eastAsia" w:ascii="黑体" w:hAnsi="黑体" w:eastAsia="黑体"/>
          <w:color w:val="auto"/>
          <w:sz w:val="44"/>
          <w:szCs w:val="44"/>
          <w:highlight w:val="none"/>
        </w:rPr>
      </w:pPr>
    </w:p>
    <w:p w14:paraId="288D9F2B">
      <w:pPr>
        <w:widowControl/>
        <w:jc w:val="both"/>
        <w:rPr>
          <w:rFonts w:hint="eastAsia" w:ascii="黑体" w:hAnsi="黑体" w:eastAsia="黑体"/>
          <w:color w:val="auto"/>
          <w:sz w:val="44"/>
          <w:szCs w:val="44"/>
          <w:highlight w:val="none"/>
        </w:rPr>
      </w:pPr>
    </w:p>
    <w:p w14:paraId="18A48F69">
      <w:pPr>
        <w:widowControl/>
        <w:jc w:val="both"/>
        <w:rPr>
          <w:rFonts w:hint="eastAsia" w:ascii="黑体" w:hAnsi="黑体" w:eastAsia="黑体"/>
          <w:color w:val="auto"/>
          <w:sz w:val="44"/>
          <w:szCs w:val="44"/>
          <w:highlight w:val="none"/>
        </w:rPr>
      </w:pPr>
    </w:p>
    <w:p w14:paraId="506007B8">
      <w:pPr>
        <w:pStyle w:val="2"/>
        <w:rPr>
          <w:rFonts w:hint="eastAsia" w:ascii="黑体" w:hAnsi="黑体" w:eastAsia="黑体"/>
          <w:color w:val="auto"/>
          <w:sz w:val="44"/>
          <w:szCs w:val="44"/>
          <w:highlight w:val="none"/>
        </w:rPr>
      </w:pPr>
    </w:p>
    <w:p w14:paraId="193ACDD7">
      <w:pPr>
        <w:pStyle w:val="2"/>
        <w:rPr>
          <w:rFonts w:hint="eastAsia" w:ascii="黑体" w:hAnsi="黑体" w:eastAsia="黑体"/>
          <w:color w:val="auto"/>
          <w:sz w:val="44"/>
          <w:szCs w:val="44"/>
          <w:highlight w:val="none"/>
        </w:rPr>
      </w:pPr>
    </w:p>
    <w:p w14:paraId="7DC2BD77">
      <w:pPr>
        <w:pStyle w:val="2"/>
        <w:rPr>
          <w:rFonts w:hint="eastAsia" w:ascii="黑体" w:hAnsi="黑体" w:eastAsia="黑体"/>
          <w:color w:val="auto"/>
          <w:sz w:val="44"/>
          <w:szCs w:val="44"/>
          <w:highlight w:val="none"/>
        </w:rPr>
      </w:pPr>
    </w:p>
    <w:p w14:paraId="17BAC937">
      <w:pPr>
        <w:pStyle w:val="2"/>
        <w:rPr>
          <w:rFonts w:hint="eastAsia" w:ascii="黑体" w:hAnsi="黑体" w:eastAsia="黑体"/>
          <w:color w:val="auto"/>
          <w:sz w:val="44"/>
          <w:szCs w:val="44"/>
          <w:highlight w:val="none"/>
        </w:rPr>
      </w:pPr>
    </w:p>
    <w:p w14:paraId="7434C4AB">
      <w:pPr>
        <w:pStyle w:val="2"/>
        <w:rPr>
          <w:rFonts w:hint="eastAsia" w:ascii="黑体" w:hAnsi="黑体" w:eastAsia="黑体"/>
          <w:color w:val="auto"/>
          <w:sz w:val="44"/>
          <w:szCs w:val="44"/>
          <w:highlight w:val="none"/>
        </w:rPr>
      </w:pPr>
    </w:p>
    <w:p w14:paraId="7E3863DE">
      <w:pPr>
        <w:widowControl/>
        <w:ind w:firstLine="2200" w:firstLineChars="500"/>
        <w:jc w:val="both"/>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45"/>
      <w:bookmarkEnd w:id="56"/>
      <w:bookmarkStart w:id="57" w:name="_Toc15396619"/>
    </w:p>
    <w:p w14:paraId="2EB50178">
      <w:pPr>
        <w:pStyle w:val="5"/>
        <w:rPr>
          <w:rFonts w:ascii="仿宋" w:hAnsi="仿宋" w:eastAsia="仿宋"/>
          <w:color w:val="auto"/>
          <w:highlight w:val="none"/>
        </w:rPr>
      </w:pPr>
      <w:r>
        <w:rPr>
          <w:rFonts w:hint="eastAsia" w:ascii="仿宋" w:hAnsi="仿宋" w:eastAsia="仿宋"/>
          <w:b w:val="0"/>
          <w:color w:val="auto"/>
          <w:highlight w:val="none"/>
        </w:rPr>
        <w:t>一、收</w:t>
      </w:r>
      <w:r>
        <w:rPr>
          <w:rStyle w:val="23"/>
          <w:rFonts w:hint="eastAsia" w:ascii="仿宋" w:hAnsi="仿宋" w:eastAsia="仿宋"/>
          <w:b w:val="0"/>
          <w:bCs w:val="0"/>
          <w:color w:val="auto"/>
          <w:highlight w:val="none"/>
        </w:rPr>
        <w:t>入支出决算总表</w:t>
      </w:r>
      <w:bookmarkEnd w:id="57"/>
    </w:p>
    <w:p w14:paraId="1FEB0F73">
      <w:pPr>
        <w:pStyle w:val="5"/>
        <w:rPr>
          <w:rFonts w:ascii="仿宋" w:hAnsi="仿宋" w:eastAsia="仿宋"/>
          <w:color w:val="auto"/>
          <w:highlight w:val="none"/>
        </w:rPr>
      </w:pPr>
      <w:bookmarkStart w:id="58" w:name="_Toc15396620"/>
      <w:r>
        <w:rPr>
          <w:rFonts w:hint="eastAsia" w:ascii="仿宋" w:hAnsi="仿宋" w:eastAsia="仿宋"/>
          <w:b w:val="0"/>
          <w:color w:val="auto"/>
          <w:highlight w:val="none"/>
        </w:rPr>
        <w:t>二、收</w:t>
      </w:r>
      <w:r>
        <w:rPr>
          <w:rStyle w:val="23"/>
          <w:rFonts w:hint="eastAsia" w:ascii="仿宋" w:hAnsi="仿宋" w:eastAsia="仿宋"/>
          <w:b w:val="0"/>
          <w:bCs w:val="0"/>
          <w:color w:val="auto"/>
          <w:highlight w:val="none"/>
        </w:rPr>
        <w:t>入决算表</w:t>
      </w:r>
      <w:bookmarkEnd w:id="58"/>
    </w:p>
    <w:p w14:paraId="033C9D19">
      <w:pPr>
        <w:pStyle w:val="5"/>
        <w:rPr>
          <w:rFonts w:ascii="仿宋" w:hAnsi="仿宋" w:eastAsia="仿宋"/>
          <w:color w:val="auto"/>
          <w:highlight w:val="none"/>
        </w:rPr>
      </w:pPr>
      <w:bookmarkStart w:id="59" w:name="_Toc15396621"/>
      <w:r>
        <w:rPr>
          <w:rStyle w:val="2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3"/>
          <w:rFonts w:hint="eastAsia" w:ascii="仿宋" w:hAnsi="仿宋" w:eastAsia="仿宋"/>
          <w:b w:val="0"/>
          <w:bCs w:val="0"/>
          <w:color w:val="auto"/>
          <w:highlight w:val="none"/>
        </w:rPr>
        <w:t>出决算表</w:t>
      </w:r>
      <w:bookmarkEnd w:id="59"/>
    </w:p>
    <w:p w14:paraId="483AE8EA">
      <w:pPr>
        <w:pStyle w:val="5"/>
        <w:rPr>
          <w:rFonts w:ascii="仿宋" w:hAnsi="仿宋" w:eastAsia="仿宋"/>
          <w:b w:val="0"/>
          <w:color w:val="auto"/>
          <w:highlight w:val="none"/>
        </w:rPr>
      </w:pPr>
      <w:bookmarkStart w:id="60" w:name="_Toc15396622"/>
      <w:r>
        <w:rPr>
          <w:rStyle w:val="2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政拨款收入支出决算总表</w:t>
      </w:r>
      <w:bookmarkEnd w:id="60"/>
    </w:p>
    <w:p w14:paraId="647B6090">
      <w:pPr>
        <w:pStyle w:val="5"/>
        <w:rPr>
          <w:rStyle w:val="23"/>
          <w:rFonts w:ascii="仿宋" w:hAnsi="仿宋" w:eastAsia="仿宋"/>
          <w:b w:val="0"/>
          <w:bCs w:val="0"/>
          <w:color w:val="auto"/>
          <w:highlight w:val="none"/>
        </w:rPr>
      </w:pPr>
      <w:bookmarkStart w:id="61" w:name="_Toc15396623"/>
      <w:r>
        <w:rPr>
          <w:rStyle w:val="2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政拨款支出决算明细表</w:t>
      </w:r>
      <w:bookmarkEnd w:id="61"/>
      <w:bookmarkStart w:id="62" w:name="_Toc15396624"/>
    </w:p>
    <w:p w14:paraId="3C8EC83C">
      <w:pPr>
        <w:pStyle w:val="5"/>
        <w:rPr>
          <w:rFonts w:ascii="仿宋" w:hAnsi="仿宋" w:eastAsia="仿宋"/>
          <w:color w:val="auto"/>
          <w:highlight w:val="none"/>
        </w:rPr>
      </w:pPr>
      <w:r>
        <w:rPr>
          <w:rStyle w:val="2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般公共预算财政拨款支出决算表</w:t>
      </w:r>
      <w:bookmarkEnd w:id="62"/>
    </w:p>
    <w:p w14:paraId="0853932F">
      <w:pPr>
        <w:pStyle w:val="5"/>
        <w:rPr>
          <w:rFonts w:ascii="仿宋" w:hAnsi="仿宋" w:eastAsia="仿宋"/>
          <w:color w:val="auto"/>
          <w:highlight w:val="none"/>
        </w:rPr>
      </w:pPr>
      <w:bookmarkStart w:id="63" w:name="_Toc15396625"/>
      <w:r>
        <w:rPr>
          <w:rStyle w:val="2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般公共预算财政拨款支出决算明细表</w:t>
      </w:r>
      <w:bookmarkEnd w:id="63"/>
    </w:p>
    <w:p w14:paraId="135D5C66">
      <w:pPr>
        <w:pStyle w:val="5"/>
        <w:rPr>
          <w:rFonts w:ascii="仿宋" w:hAnsi="仿宋" w:eastAsia="仿宋"/>
          <w:color w:val="auto"/>
          <w:highlight w:val="none"/>
        </w:rPr>
      </w:pPr>
      <w:bookmarkStart w:id="64" w:name="_Toc15396626"/>
      <w:r>
        <w:rPr>
          <w:rStyle w:val="2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般公共预算财政拨款基本支出决算表</w:t>
      </w:r>
      <w:bookmarkEnd w:id="64"/>
    </w:p>
    <w:p w14:paraId="29D7EE7C">
      <w:pPr>
        <w:pStyle w:val="5"/>
        <w:rPr>
          <w:rFonts w:ascii="仿宋" w:hAnsi="仿宋" w:eastAsia="仿宋"/>
          <w:color w:val="auto"/>
          <w:highlight w:val="none"/>
        </w:rPr>
      </w:pPr>
      <w:bookmarkStart w:id="65" w:name="_Toc15396627"/>
      <w:r>
        <w:rPr>
          <w:rStyle w:val="2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般公共预算财政拨款项目支出决算表</w:t>
      </w:r>
      <w:bookmarkEnd w:id="65"/>
    </w:p>
    <w:p w14:paraId="3B034411">
      <w:pPr>
        <w:pStyle w:val="5"/>
        <w:rPr>
          <w:rFonts w:ascii="仿宋" w:hAnsi="仿宋" w:eastAsia="仿宋"/>
          <w:color w:val="auto"/>
          <w:highlight w:val="none"/>
        </w:rPr>
      </w:pPr>
      <w:bookmarkStart w:id="66" w:name="_Toc15396628"/>
      <w:r>
        <w:rPr>
          <w:rStyle w:val="23"/>
          <w:rFonts w:hint="eastAsia" w:ascii="仿宋" w:hAnsi="仿宋" w:eastAsia="仿宋"/>
          <w:b w:val="0"/>
          <w:bCs w:val="0"/>
          <w:color w:val="auto"/>
          <w:highlight w:val="none"/>
        </w:rPr>
        <w:t>十、</w:t>
      </w:r>
      <w:bookmarkEnd w:id="66"/>
      <w:r>
        <w:rPr>
          <w:rFonts w:hint="eastAsia" w:ascii="仿宋" w:hAnsi="仿宋" w:eastAsia="仿宋"/>
          <w:b w:val="0"/>
          <w:color w:val="auto"/>
          <w:highlight w:val="none"/>
        </w:rPr>
        <w:t>政</w:t>
      </w:r>
      <w:r>
        <w:rPr>
          <w:rStyle w:val="23"/>
          <w:rFonts w:hint="eastAsia" w:ascii="仿宋" w:hAnsi="仿宋" w:eastAsia="仿宋"/>
          <w:b w:val="0"/>
          <w:bCs w:val="0"/>
          <w:color w:val="auto"/>
          <w:highlight w:val="none"/>
        </w:rPr>
        <w:t>府性基金预算财政拨款收入支出决算表</w:t>
      </w:r>
    </w:p>
    <w:p w14:paraId="2B0F2348">
      <w:pPr>
        <w:pStyle w:val="5"/>
        <w:rPr>
          <w:rFonts w:ascii="仿宋" w:hAnsi="仿宋" w:eastAsia="仿宋"/>
          <w:color w:val="auto"/>
          <w:highlight w:val="none"/>
        </w:rPr>
      </w:pPr>
      <w:bookmarkStart w:id="67" w:name="_Toc15396629"/>
      <w:r>
        <w:rPr>
          <w:rStyle w:val="23"/>
          <w:rFonts w:hint="eastAsia" w:ascii="仿宋" w:hAnsi="仿宋" w:eastAsia="仿宋"/>
          <w:b w:val="0"/>
          <w:bCs w:val="0"/>
          <w:color w:val="auto"/>
          <w:highlight w:val="none"/>
        </w:rPr>
        <w:t>十一、</w:t>
      </w:r>
      <w:bookmarkEnd w:id="67"/>
      <w:r>
        <w:rPr>
          <w:rFonts w:hint="eastAsia" w:ascii="仿宋" w:hAnsi="仿宋" w:eastAsia="仿宋"/>
          <w:b w:val="0"/>
          <w:color w:val="auto"/>
          <w:highlight w:val="none"/>
        </w:rPr>
        <w:t>国</w:t>
      </w:r>
      <w:r>
        <w:rPr>
          <w:rStyle w:val="23"/>
          <w:rFonts w:hint="eastAsia" w:ascii="仿宋" w:hAnsi="仿宋" w:eastAsia="仿宋"/>
          <w:b w:val="0"/>
          <w:bCs w:val="0"/>
          <w:color w:val="auto"/>
          <w:highlight w:val="none"/>
        </w:rPr>
        <w:t>有资本经营预算</w:t>
      </w:r>
      <w:r>
        <w:rPr>
          <w:rStyle w:val="23"/>
          <w:rFonts w:hint="eastAsia" w:ascii="仿宋" w:hAnsi="仿宋" w:eastAsia="仿宋"/>
          <w:b w:val="0"/>
          <w:bCs w:val="0"/>
          <w:color w:val="auto"/>
          <w:highlight w:val="none"/>
          <w:lang w:eastAsia="zh-CN"/>
        </w:rPr>
        <w:t>财政拨款收入</w:t>
      </w:r>
      <w:r>
        <w:rPr>
          <w:rStyle w:val="23"/>
          <w:rFonts w:hint="eastAsia" w:ascii="仿宋" w:hAnsi="仿宋" w:eastAsia="仿宋"/>
          <w:b w:val="0"/>
          <w:bCs w:val="0"/>
          <w:color w:val="auto"/>
          <w:highlight w:val="none"/>
        </w:rPr>
        <w:t>支出决算表</w:t>
      </w:r>
    </w:p>
    <w:p w14:paraId="3D69200D">
      <w:pPr>
        <w:pStyle w:val="5"/>
        <w:rPr>
          <w:rFonts w:ascii="仿宋" w:hAnsi="仿宋" w:eastAsia="仿宋"/>
          <w:color w:val="auto"/>
          <w:highlight w:val="none"/>
        </w:rPr>
      </w:pPr>
      <w:bookmarkStart w:id="68" w:name="_Toc15396630"/>
      <w:r>
        <w:rPr>
          <w:rStyle w:val="23"/>
          <w:rFonts w:hint="eastAsia" w:ascii="仿宋" w:hAnsi="仿宋" w:eastAsia="仿宋"/>
          <w:b w:val="0"/>
          <w:bCs w:val="0"/>
          <w:color w:val="auto"/>
          <w:highlight w:val="none"/>
        </w:rPr>
        <w:t>十二、</w:t>
      </w:r>
      <w:bookmarkEnd w:id="68"/>
      <w:r>
        <w:rPr>
          <w:rStyle w:val="23"/>
          <w:rFonts w:hint="eastAsia" w:ascii="仿宋" w:hAnsi="仿宋" w:eastAsia="仿宋"/>
          <w:b w:val="0"/>
          <w:bCs w:val="0"/>
          <w:color w:val="auto"/>
          <w:highlight w:val="none"/>
          <w:lang w:eastAsia="zh-CN"/>
        </w:rPr>
        <w:t>国有资本经营预算财政拨款支出决算表</w:t>
      </w:r>
    </w:p>
    <w:p w14:paraId="035487F0">
      <w:pPr>
        <w:pStyle w:val="5"/>
        <w:rPr>
          <w:rStyle w:val="23"/>
          <w:rFonts w:hint="eastAsia" w:ascii="仿宋" w:hAnsi="仿宋" w:eastAsia="仿宋"/>
          <w:b w:val="0"/>
          <w:bCs w:val="0"/>
          <w:color w:val="auto"/>
          <w:highlight w:val="none"/>
          <w:lang w:eastAsia="zh-CN"/>
        </w:rPr>
      </w:pPr>
      <w:bookmarkStart w:id="69" w:name="_Toc15396631"/>
      <w:r>
        <w:rPr>
          <w:rStyle w:val="23"/>
          <w:rFonts w:hint="eastAsia" w:ascii="仿宋" w:hAnsi="仿宋" w:eastAsia="仿宋"/>
          <w:b w:val="0"/>
          <w:bCs w:val="0"/>
          <w:color w:val="auto"/>
          <w:highlight w:val="none"/>
        </w:rPr>
        <w:t>十三、</w:t>
      </w:r>
      <w:bookmarkEnd w:id="69"/>
      <w:r>
        <w:rPr>
          <w:rStyle w:val="23"/>
          <w:rFonts w:hint="eastAsia" w:ascii="仿宋" w:hAnsi="仿宋" w:eastAsia="仿宋"/>
          <w:b w:val="0"/>
          <w:bCs w:val="0"/>
          <w:color w:val="auto"/>
          <w:highlight w:val="none"/>
          <w:lang w:eastAsia="zh-CN"/>
        </w:rPr>
        <w:t>财政拨款“三公”经费支出决算表</w:t>
      </w:r>
    </w:p>
    <w:p w14:paraId="2FD743A0"/>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BCC7">
    <w:pPr>
      <w:pStyle w:val="10"/>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D547B5">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14:paraId="7AD547B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709ADCE"/>
    <w:multiLevelType w:val="singleLevel"/>
    <w:tmpl w:val="4709ADCE"/>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16CB1E6E"/>
    <w:rsid w:val="1E636E30"/>
    <w:rsid w:val="2FCE5C85"/>
    <w:rsid w:val="302D5C7B"/>
    <w:rsid w:val="35645510"/>
    <w:rsid w:val="4C143394"/>
    <w:rsid w:val="51B02591"/>
    <w:rsid w:val="56FA762A"/>
    <w:rsid w:val="5BB15DFB"/>
    <w:rsid w:val="69E421A0"/>
    <w:rsid w:val="AFEF8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3"/>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8">
    <w:name w:val="Default Paragraph Fon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6">
    <w:name w:val="Normal Indent"/>
    <w:basedOn w:val="1"/>
    <w:unhideWhenUsed/>
    <w:qFormat/>
    <w:uiPriority w:val="99"/>
    <w:pPr>
      <w:ind w:firstLine="680"/>
    </w:pPr>
  </w:style>
  <w:style w:type="paragraph" w:styleId="7">
    <w:name w:val="caption"/>
    <w:basedOn w:val="1"/>
    <w:qFormat/>
    <w:uiPriority w:val="0"/>
    <w:pPr>
      <w:widowControl w:val="0"/>
      <w:suppressLineNumbers/>
      <w:suppressAutoHyphens/>
      <w:spacing w:before="120" w:after="120"/>
    </w:pPr>
    <w:rPr>
      <w:i/>
      <w:iCs/>
      <w:sz w:val="24"/>
      <w:szCs w:val="24"/>
    </w:rPr>
  </w:style>
  <w:style w:type="paragraph" w:styleId="8">
    <w:name w:val="Body Text"/>
    <w:basedOn w:val="1"/>
    <w:uiPriority w:val="0"/>
    <w:pPr>
      <w:spacing w:before="0" w:after="140" w:line="276" w:lineRule="auto"/>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rFonts w:eastAsia="宋体"/>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List"/>
    <w:basedOn w:val="8"/>
    <w:uiPriority w:val="0"/>
  </w:style>
  <w:style w:type="paragraph" w:styleId="14">
    <w:name w:val="footnote text"/>
    <w:basedOn w:val="1"/>
    <w:next w:val="2"/>
    <w:semiHidden/>
    <w:qFormat/>
    <w:uiPriority w:val="0"/>
    <w:pPr>
      <w:snapToGrid w:val="0"/>
      <w:jc w:val="left"/>
    </w:pPr>
    <w:rPr>
      <w:sz w:val="18"/>
      <w:szCs w:val="18"/>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u w:val="single"/>
    </w:rPr>
  </w:style>
  <w:style w:type="character" w:customStyle="1" w:styleId="21">
    <w:name w:val="标题 1 Char"/>
    <w:basedOn w:val="18"/>
    <w:link w:val="4"/>
    <w:qFormat/>
    <w:uiPriority w:val="9"/>
    <w:rPr>
      <w:b/>
      <w:bCs/>
      <w:kern w:val="44"/>
      <w:sz w:val="44"/>
      <w:szCs w:val="44"/>
    </w:rPr>
  </w:style>
  <w:style w:type="character" w:customStyle="1" w:styleId="22">
    <w:name w:val="默认段落字体1"/>
    <w:uiPriority w:val="0"/>
  </w:style>
  <w:style w:type="character" w:customStyle="1" w:styleId="23">
    <w:name w:val="标题 2 Char"/>
    <w:basedOn w:val="18"/>
    <w:link w:val="5"/>
    <w:qFormat/>
    <w:uiPriority w:val="9"/>
    <w:rPr>
      <w:rFonts w:ascii="Cambria" w:hAnsi="Cambria" w:eastAsia="宋体" w:cs="Times New Roman"/>
      <w:b/>
      <w:bCs/>
      <w:sz w:val="32"/>
      <w:szCs w:val="32"/>
    </w:rPr>
  </w:style>
  <w:style w:type="paragraph" w:customStyle="1" w:styleId="2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Heading"/>
    <w:basedOn w:val="1"/>
    <w:next w:val="8"/>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7">
    <w:name w:val="Index"/>
    <w:basedOn w:val="1"/>
    <w:uiPriority w:val="0"/>
    <w:pPr>
      <w:widowControl w:val="0"/>
      <w:suppressLineNumbers/>
      <w:suppressAutoHyphens/>
    </w:pPr>
  </w:style>
  <w:style w:type="paragraph" w:styleId="28">
    <w:name w:val="List Paragraph"/>
    <w:basedOn w:val="1"/>
    <w:qFormat/>
    <w:uiPriority w:val="34"/>
    <w:pPr>
      <w:ind w:firstLine="420" w:firstLineChars="200"/>
    </w:pPr>
  </w:style>
  <w:style w:type="character" w:customStyle="1" w:styleId="29">
    <w:name w:val="标题 1 字符"/>
    <w:basedOn w:val="18"/>
    <w:link w:val="4"/>
    <w:qFormat/>
    <w:uiPriority w:val="9"/>
    <w:rPr>
      <w:rFonts w:ascii="Times New Roman" w:hAnsi="Times New Roman"/>
      <w:b/>
      <w:bCs/>
      <w:kern w:val="44"/>
      <w:sz w:val="44"/>
      <w:szCs w:val="44"/>
    </w:rPr>
  </w:style>
  <w:style w:type="paragraph" w:customStyle="1" w:styleId="30">
    <w:name w:val="Normalc4adaeef"/>
    <w:next w:val="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1">
    <w:name w:val="Plain Text4"/>
    <w:basedOn w:val="30"/>
    <w:qFormat/>
    <w:uiPriority w:val="0"/>
    <w:rPr>
      <w:rFonts w:ascii="宋体" w:hAnsi="Courier New" w:cs="Courier New"/>
      <w:szCs w:val="21"/>
    </w:rPr>
  </w:style>
  <w:style w:type="paragraph" w:customStyle="1" w:styleId="3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Workbook1.xls"/><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9077</Words>
  <Characters>9971</Characters>
  <TotalTime>27</TotalTime>
  <ScaleCrop>false</ScaleCrop>
  <LinksUpToDate>false</LinksUpToDate>
  <CharactersWithSpaces>10027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奕夕^_^</cp:lastModifiedBy>
  <dcterms:modified xsi:type="dcterms:W3CDTF">2024-09-23T01:34:47Z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BE720C2552234EA1B282A56F328CBB3A_13</vt:lpwstr>
  </property>
</Properties>
</file>