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56730">
      <w:pPr>
        <w:spacing w:line="600" w:lineRule="exact"/>
        <w:jc w:val="center"/>
        <w:outlineLvl w:val="0"/>
        <w:rPr>
          <w:rFonts w:ascii="方正小标宋简体" w:hAnsi="宋体" w:eastAsia="方正小标宋简体"/>
          <w:color w:val="000000"/>
          <w:sz w:val="72"/>
          <w:szCs w:val="72"/>
        </w:rPr>
      </w:pPr>
      <w:bookmarkStart w:id="0" w:name="_Toc15306267"/>
    </w:p>
    <w:p w14:paraId="0303FCDC">
      <w:pPr>
        <w:spacing w:line="600" w:lineRule="exact"/>
        <w:jc w:val="center"/>
        <w:outlineLvl w:val="0"/>
        <w:rPr>
          <w:rFonts w:ascii="方正小标宋简体" w:hAnsi="宋体" w:eastAsia="方正小标宋简体"/>
          <w:color w:val="000000"/>
          <w:sz w:val="72"/>
          <w:szCs w:val="72"/>
        </w:rPr>
      </w:pPr>
    </w:p>
    <w:p w14:paraId="16B5AD60">
      <w:pPr>
        <w:spacing w:line="600" w:lineRule="exact"/>
        <w:jc w:val="center"/>
        <w:outlineLvl w:val="0"/>
        <w:rPr>
          <w:rFonts w:ascii="方正小标宋简体" w:hAnsi="宋体" w:eastAsia="方正小标宋简体"/>
          <w:color w:val="000000"/>
          <w:sz w:val="72"/>
          <w:szCs w:val="72"/>
        </w:rPr>
      </w:pPr>
    </w:p>
    <w:p w14:paraId="6DD8992D">
      <w:pPr>
        <w:jc w:val="center"/>
        <w:rPr>
          <w:rFonts w:ascii="黑体" w:hAnsi="黑体" w:eastAsia="黑体"/>
          <w:sz w:val="72"/>
          <w:szCs w:val="72"/>
        </w:rPr>
      </w:pPr>
      <w:bookmarkStart w:id="1" w:name="_Toc15378441"/>
      <w:bookmarkStart w:id="2" w:name="_Toc15377193"/>
      <w:bookmarkStart w:id="3" w:name="_Toc15377425"/>
      <w:bookmarkStart w:id="4" w:name="_Toc15396475"/>
      <w:bookmarkStart w:id="5" w:name="_Toc15396597"/>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14:paraId="4F83B461">
      <w:pPr>
        <w:jc w:val="center"/>
        <w:rPr>
          <w:rFonts w:hint="eastAsia" w:ascii="方正小标宋简体" w:eastAsia="方正小标宋简体"/>
          <w:sz w:val="72"/>
          <w:szCs w:val="72"/>
          <w:lang w:eastAsia="zh-CN"/>
        </w:rPr>
      </w:pPr>
      <w:bookmarkStart w:id="6" w:name="_Toc15378442"/>
      <w:bookmarkStart w:id="7" w:name="_Toc15396598"/>
      <w:bookmarkStart w:id="8" w:name="_Toc15377194"/>
      <w:bookmarkStart w:id="9" w:name="_Toc15396476"/>
      <w:bookmarkStart w:id="10" w:name="_Toc15377426"/>
      <w:r>
        <w:rPr>
          <w:rFonts w:hint="eastAsia" w:ascii="方正小标宋简体" w:eastAsia="方正小标宋简体"/>
          <w:sz w:val="72"/>
          <w:szCs w:val="72"/>
        </w:rPr>
        <w:t>四川省阿坝州</w:t>
      </w:r>
      <w:bookmarkEnd w:id="0"/>
      <w:bookmarkStart w:id="11" w:name="_Toc15306268"/>
      <w:r>
        <w:rPr>
          <w:rFonts w:hint="eastAsia" w:ascii="方正小标宋简体" w:eastAsia="方正小标宋简体"/>
          <w:sz w:val="72"/>
          <w:szCs w:val="72"/>
          <w:lang w:eastAsia="zh-CN"/>
        </w:rPr>
        <w:t>松潘县目标绩效督查事务中心</w:t>
      </w:r>
    </w:p>
    <w:p w14:paraId="6361E1A6">
      <w:pPr>
        <w:jc w:val="center"/>
        <w:rPr>
          <w:rFonts w:ascii="方正小标宋简体" w:eastAsia="方正小标宋简体"/>
          <w:sz w:val="72"/>
          <w:szCs w:val="72"/>
        </w:rPr>
      </w:pPr>
      <w:r>
        <w:rPr>
          <w:rFonts w:hint="eastAsia" w:ascii="方正小标宋简体" w:eastAsia="方正小标宋简体"/>
          <w:sz w:val="72"/>
          <w:szCs w:val="72"/>
        </w:rPr>
        <w:t>部门决算</w:t>
      </w:r>
      <w:bookmarkEnd w:id="6"/>
      <w:bookmarkEnd w:id="7"/>
      <w:bookmarkEnd w:id="8"/>
      <w:bookmarkEnd w:id="9"/>
      <w:bookmarkEnd w:id="10"/>
      <w:bookmarkEnd w:id="11"/>
    </w:p>
    <w:p w14:paraId="4D5C7E87">
      <w:pPr>
        <w:widowControl/>
        <w:jc w:val="center"/>
        <w:rPr>
          <w:rFonts w:ascii="方正小标宋简体" w:hAnsi="宋体" w:eastAsia="方正小标宋简体"/>
          <w:color w:val="000000"/>
          <w:sz w:val="36"/>
          <w:szCs w:val="36"/>
        </w:rPr>
      </w:pPr>
    </w:p>
    <w:p w14:paraId="558FE6B3">
      <w:pPr>
        <w:rPr>
          <w:rFonts w:ascii="方正小标宋简体" w:hAnsi="宋体" w:eastAsia="方正小标宋简体"/>
          <w:sz w:val="36"/>
          <w:szCs w:val="36"/>
        </w:rPr>
      </w:pPr>
    </w:p>
    <w:p w14:paraId="3CBB9214">
      <w:pPr>
        <w:rPr>
          <w:rFonts w:ascii="方正小标宋简体" w:hAnsi="宋体" w:eastAsia="方正小标宋简体"/>
          <w:sz w:val="36"/>
          <w:szCs w:val="36"/>
        </w:rPr>
      </w:pPr>
    </w:p>
    <w:p w14:paraId="790A5FD0">
      <w:pPr>
        <w:rPr>
          <w:rFonts w:ascii="方正小标宋简体" w:hAnsi="宋体" w:eastAsia="方正小标宋简体"/>
          <w:sz w:val="36"/>
          <w:szCs w:val="36"/>
        </w:rPr>
      </w:pPr>
    </w:p>
    <w:p w14:paraId="17654F76">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14:paraId="71EBEF87">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14:paraId="5D73B858">
      <w:pPr>
        <w:widowControl/>
        <w:jc w:val="center"/>
        <w:rPr>
          <w:rFonts w:ascii="方正小标宋简体" w:hAnsi="宋体" w:eastAsia="方正小标宋简体"/>
          <w:color w:val="000000"/>
          <w:sz w:val="36"/>
          <w:szCs w:val="36"/>
        </w:rPr>
      </w:pPr>
    </w:p>
    <w:p w14:paraId="6ACAC13A">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5877D64D">
      <w:pPr>
        <w:pStyle w:val="16"/>
        <w:jc w:val="center"/>
        <w:rPr>
          <w:rFonts w:hAnsiTheme="minorHAnsi"/>
          <w:b w:val="0"/>
          <w:bCs w:val="0"/>
          <w:sz w:val="24"/>
          <w:szCs w:val="24"/>
        </w:rPr>
      </w:pPr>
      <w:r>
        <w:rPr>
          <w:rFonts w:hint="eastAsia" w:hAnsiTheme="minorHAnsi"/>
          <w:b w:val="0"/>
          <w:bCs w:val="0"/>
          <w:sz w:val="24"/>
          <w:szCs w:val="24"/>
        </w:rPr>
        <w:t xml:space="preserve">公开时间：2021年 </w:t>
      </w:r>
      <w:r>
        <w:rPr>
          <w:rFonts w:hint="eastAsia" w:hAnsiTheme="minorHAnsi"/>
          <w:b w:val="0"/>
          <w:bCs w:val="0"/>
          <w:sz w:val="24"/>
          <w:szCs w:val="24"/>
          <w:lang w:val="en-US" w:eastAsia="zh-CN"/>
        </w:rPr>
        <w:t>9</w:t>
      </w:r>
      <w:r>
        <w:rPr>
          <w:rFonts w:hint="eastAsia" w:hAnsiTheme="minorHAnsi"/>
          <w:b w:val="0"/>
          <w:bCs w:val="0"/>
          <w:sz w:val="24"/>
          <w:szCs w:val="24"/>
        </w:rPr>
        <w:t xml:space="preserve">月 </w:t>
      </w:r>
      <w:r>
        <w:rPr>
          <w:rFonts w:hint="eastAsia" w:hAnsiTheme="minorHAnsi"/>
          <w:b w:val="0"/>
          <w:bCs w:val="0"/>
          <w:sz w:val="24"/>
          <w:szCs w:val="24"/>
          <w:lang w:val="en-US" w:eastAsia="zh-CN"/>
        </w:rPr>
        <w:t>24</w:t>
      </w:r>
      <w:r>
        <w:rPr>
          <w:rFonts w:hint="eastAsia" w:hAnsiTheme="minorHAnsi"/>
          <w:b w:val="0"/>
          <w:bCs w:val="0"/>
          <w:sz w:val="24"/>
          <w:szCs w:val="24"/>
        </w:rPr>
        <w:t>日</w:t>
      </w:r>
    </w:p>
    <w:p w14:paraId="06C2E8FF">
      <w:pPr>
        <w:pStyle w:val="16"/>
        <w:tabs>
          <w:tab w:val="right" w:leader="dot" w:pos="8296"/>
        </w:tabs>
        <w:rPr>
          <w:rFonts w:hint="eastAsia" w:hAnsiTheme="minorHAnsi" w:eastAsiaTheme="minorHAnsi" w:cstheme="minorBidi"/>
          <w:b w:val="0"/>
          <w:bCs w:val="0"/>
          <w:caps w:val="0"/>
          <w:sz w:val="21"/>
          <w:szCs w:val="22"/>
          <w:lang w:val="en-US" w:eastAsia="zh-CN"/>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rPr>
          <w:rFonts w:hint="eastAsia"/>
          <w:lang w:val="en-US" w:eastAsia="zh-CN"/>
        </w:rPr>
        <w:t>9</w:t>
      </w:r>
    </w:p>
    <w:p w14:paraId="3FBFA361">
      <w:pPr>
        <w:pStyle w:val="19"/>
        <w:tabs>
          <w:tab w:val="right" w:leader="dot" w:pos="8296"/>
        </w:tabs>
        <w:rPr>
          <w:rFonts w:hAnsiTheme="minorHAnsi" w:eastAsiaTheme="minorEastAsia" w:cstheme="minorBidi"/>
          <w:smallCaps w:val="0"/>
          <w:sz w:val="21"/>
          <w:szCs w:val="22"/>
        </w:rPr>
      </w:pPr>
      <w:r>
        <w:rPr>
          <w:rFonts w:ascii="黑体" w:hAnsi="黑体" w:eastAsia="黑体"/>
          <w:color w:val="000000"/>
        </w:rPr>
        <w:t>一、基</w:t>
      </w:r>
      <w:r>
        <w:rPr>
          <w:rFonts w:ascii="黑体" w:hAnsi="黑体" w:eastAsia="黑体"/>
        </w:rPr>
        <w:t>本职能及主要工作</w:t>
      </w:r>
      <w:r>
        <w:tab/>
      </w:r>
      <w:r>
        <w:fldChar w:fldCharType="begin"/>
      </w:r>
      <w:r>
        <w:instrText xml:space="preserve"> PAGEREF _Toc79163852 \h </w:instrText>
      </w:r>
      <w:r>
        <w:fldChar w:fldCharType="separate"/>
      </w:r>
      <w:r>
        <w:t>4</w:t>
      </w:r>
      <w:r>
        <w:fldChar w:fldCharType="end"/>
      </w:r>
    </w:p>
    <w:p w14:paraId="4D166140">
      <w:pPr>
        <w:pStyle w:val="10"/>
        <w:tabs>
          <w:tab w:val="right" w:leader="dot" w:pos="8296"/>
        </w:tabs>
        <w:rPr>
          <w:rFonts w:hAnsiTheme="minorHAnsi" w:eastAsiaTheme="minorEastAsia" w:cstheme="minorBidi"/>
          <w:i w:val="0"/>
          <w:iCs w:val="0"/>
          <w:sz w:val="21"/>
          <w:szCs w:val="22"/>
        </w:rPr>
      </w:pPr>
      <w:r>
        <w:rPr>
          <w:rFonts w:ascii="仿宋" w:hAnsi="仿宋" w:eastAsia="仿宋"/>
          <w:bCs/>
          <w:color w:val="000000"/>
        </w:rPr>
        <w:t>（一）主要职能。</w:t>
      </w:r>
      <w:r>
        <w:tab/>
      </w:r>
      <w:r>
        <w:fldChar w:fldCharType="begin"/>
      </w:r>
      <w:r>
        <w:instrText xml:space="preserve"> PAGEREF _Toc79163853 \h </w:instrText>
      </w:r>
      <w:r>
        <w:fldChar w:fldCharType="separate"/>
      </w:r>
      <w:r>
        <w:t>4</w:t>
      </w:r>
      <w:r>
        <w:fldChar w:fldCharType="end"/>
      </w:r>
    </w:p>
    <w:p w14:paraId="4C545303">
      <w:pPr>
        <w:pStyle w:val="10"/>
        <w:tabs>
          <w:tab w:val="right" w:leader="dot" w:pos="8296"/>
        </w:tabs>
        <w:rPr>
          <w:rFonts w:hAnsiTheme="minorHAnsi" w:eastAsiaTheme="minorEastAsia" w:cstheme="minorBidi"/>
          <w:i w:val="0"/>
          <w:iCs w:val="0"/>
          <w:sz w:val="21"/>
          <w:szCs w:val="22"/>
        </w:rPr>
      </w:pPr>
      <w:r>
        <w:rPr>
          <w:rFonts w:ascii="仿宋" w:hAnsi="仿宋" w:eastAsia="仿宋"/>
          <w:bCs/>
          <w:color w:val="000000"/>
        </w:rPr>
        <w:t>（二）2020年重点工作完成情况。</w:t>
      </w:r>
      <w:r>
        <w:tab/>
      </w:r>
      <w:r>
        <w:fldChar w:fldCharType="begin"/>
      </w:r>
      <w:r>
        <w:instrText xml:space="preserve"> PAGEREF _Toc79163854 \h </w:instrText>
      </w:r>
      <w:r>
        <w:fldChar w:fldCharType="separate"/>
      </w:r>
      <w:r>
        <w:t>4</w:t>
      </w:r>
      <w:r>
        <w:fldChar w:fldCharType="end"/>
      </w:r>
    </w:p>
    <w:p w14:paraId="388AFAD9">
      <w:pPr>
        <w:pStyle w:val="19"/>
        <w:tabs>
          <w:tab w:val="right" w:leader="dot" w:pos="8296"/>
        </w:tabs>
        <w:rPr>
          <w:rFonts w:hAnsiTheme="minorHAnsi" w:eastAsiaTheme="minorEastAsia" w:cstheme="minorBidi"/>
          <w:smallCap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fldChar w:fldCharType="begin"/>
      </w:r>
      <w:r>
        <w:instrText xml:space="preserve"> PAGEREF _Toc79163855 \h </w:instrText>
      </w:r>
      <w:r>
        <w:fldChar w:fldCharType="separate"/>
      </w:r>
      <w:r>
        <w:t>4</w:t>
      </w:r>
      <w:r>
        <w:fldChar w:fldCharType="end"/>
      </w:r>
    </w:p>
    <w:p w14:paraId="3FCA8900">
      <w:pPr>
        <w:pStyle w:val="16"/>
        <w:tabs>
          <w:tab w:val="right" w:leader="dot" w:pos="8296"/>
        </w:tabs>
        <w:rPr>
          <w:rFonts w:hAnsiTheme="minorHAnsi" w:eastAsiaTheme="minorEastAsia" w:cstheme="minorBidi"/>
          <w:b w:val="0"/>
          <w:bCs w:val="0"/>
          <w:caps w:val="0"/>
          <w:sz w:val="21"/>
          <w:szCs w:val="22"/>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2020年度部门决算情况说明</w:t>
      </w:r>
      <w:r>
        <w:tab/>
      </w:r>
      <w:r>
        <w:fldChar w:fldCharType="begin"/>
      </w:r>
      <w:r>
        <w:instrText xml:space="preserve"> PAGEREF _Toc79163859 \h </w:instrText>
      </w:r>
      <w:r>
        <w:fldChar w:fldCharType="separate"/>
      </w:r>
      <w:r>
        <w:t>5</w:t>
      </w:r>
      <w:r>
        <w:fldChar w:fldCharType="end"/>
      </w:r>
    </w:p>
    <w:p w14:paraId="71792DB0">
      <w:pPr>
        <w:pStyle w:val="19"/>
        <w:tabs>
          <w:tab w:val="left" w:pos="840"/>
          <w:tab w:val="right" w:leader="dot" w:pos="8296"/>
        </w:tabs>
        <w:rPr>
          <w:rFonts w:hAnsiTheme="minorHAnsi" w:eastAsiaTheme="minorEastAsia"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fldChar w:fldCharType="begin"/>
      </w:r>
      <w:r>
        <w:instrText xml:space="preserve"> PAGEREF _Toc79163860 \h </w:instrText>
      </w:r>
      <w:r>
        <w:fldChar w:fldCharType="separate"/>
      </w:r>
      <w:r>
        <w:t>5</w:t>
      </w:r>
      <w:r>
        <w:fldChar w:fldCharType="end"/>
      </w:r>
    </w:p>
    <w:p w14:paraId="19C3DEAA">
      <w:pPr>
        <w:pStyle w:val="19"/>
        <w:tabs>
          <w:tab w:val="left" w:pos="840"/>
          <w:tab w:val="right" w:leader="dot" w:pos="8296"/>
        </w:tabs>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fldChar w:fldCharType="begin"/>
      </w:r>
      <w:r>
        <w:instrText xml:space="preserve"> PAGEREF _Toc79163861 \h </w:instrText>
      </w:r>
      <w:r>
        <w:fldChar w:fldCharType="separate"/>
      </w:r>
      <w:r>
        <w:t>5</w:t>
      </w:r>
      <w:r>
        <w:fldChar w:fldCharType="end"/>
      </w:r>
    </w:p>
    <w:p w14:paraId="7F310EE5">
      <w:pPr>
        <w:pStyle w:val="19"/>
        <w:tabs>
          <w:tab w:val="left" w:pos="840"/>
          <w:tab w:val="right" w:leader="dot" w:pos="8296"/>
        </w:tabs>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fldChar w:fldCharType="begin"/>
      </w:r>
      <w:r>
        <w:instrText xml:space="preserve"> PAGEREF _Toc79163862 \h </w:instrText>
      </w:r>
      <w:r>
        <w:fldChar w:fldCharType="separate"/>
      </w:r>
      <w:r>
        <w:t>5</w:t>
      </w:r>
      <w:r>
        <w:fldChar w:fldCharType="end"/>
      </w:r>
    </w:p>
    <w:p w14:paraId="5F6688E6">
      <w:pPr>
        <w:pStyle w:val="19"/>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6</w:t>
      </w:r>
      <w:r>
        <w:fldChar w:fldCharType="end"/>
      </w:r>
    </w:p>
    <w:p w14:paraId="68E92FCD">
      <w:pPr>
        <w:pStyle w:val="19"/>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6</w:t>
      </w:r>
      <w:r>
        <w:fldChar w:fldCharType="end"/>
      </w:r>
    </w:p>
    <w:p w14:paraId="31F681FC">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（一）一般公共预算财政拨款支出决算总体情况</w:t>
      </w:r>
      <w:r>
        <w:tab/>
      </w:r>
      <w:r>
        <w:fldChar w:fldCharType="begin"/>
      </w:r>
      <w:r>
        <w:instrText xml:space="preserve"> PAGEREF _Toc79163865 \h </w:instrText>
      </w:r>
      <w:r>
        <w:fldChar w:fldCharType="separate"/>
      </w:r>
      <w:r>
        <w:t>6</w:t>
      </w:r>
      <w:r>
        <w:fldChar w:fldCharType="end"/>
      </w:r>
    </w:p>
    <w:p w14:paraId="65752E40">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7</w:t>
      </w:r>
      <w:r>
        <w:fldChar w:fldCharType="end"/>
      </w:r>
    </w:p>
    <w:p w14:paraId="7976C9CD">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7</w:t>
      </w:r>
      <w:r>
        <w:fldChar w:fldCharType="end"/>
      </w:r>
    </w:p>
    <w:p w14:paraId="2FF03CC1">
      <w:pPr>
        <w:pStyle w:val="19"/>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8</w:t>
      </w:r>
      <w:r>
        <w:fldChar w:fldCharType="end"/>
      </w:r>
    </w:p>
    <w:p w14:paraId="222A2C2A">
      <w:pPr>
        <w:pStyle w:val="19"/>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9</w:t>
      </w:r>
      <w:r>
        <w:fldChar w:fldCharType="end"/>
      </w:r>
    </w:p>
    <w:p w14:paraId="14E901D4">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（一）“三公”经费财政拨款支出决算总体情况说明</w:t>
      </w:r>
      <w:r>
        <w:tab/>
      </w:r>
      <w:r>
        <w:fldChar w:fldCharType="begin"/>
      </w:r>
      <w:r>
        <w:instrText xml:space="preserve"> PAGEREF _Toc79163870 \h </w:instrText>
      </w:r>
      <w:r>
        <w:fldChar w:fldCharType="separate"/>
      </w:r>
      <w:r>
        <w:t>9</w:t>
      </w:r>
      <w:r>
        <w:fldChar w:fldCharType="end"/>
      </w:r>
    </w:p>
    <w:p w14:paraId="201BDB29">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（二）“三公”经费财政拨款支出决算具体情况说明</w:t>
      </w:r>
      <w:r>
        <w:tab/>
      </w:r>
      <w:r>
        <w:fldChar w:fldCharType="begin"/>
      </w:r>
      <w:r>
        <w:instrText xml:space="preserve"> PAGEREF _Toc79163871 \h </w:instrText>
      </w:r>
      <w:r>
        <w:fldChar w:fldCharType="separate"/>
      </w:r>
      <w:r>
        <w:t>9</w:t>
      </w:r>
      <w:r>
        <w:fldChar w:fldCharType="end"/>
      </w:r>
    </w:p>
    <w:p w14:paraId="330F28ED">
      <w:pPr>
        <w:pStyle w:val="19"/>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11</w:t>
      </w:r>
      <w:r>
        <w:fldChar w:fldCharType="end"/>
      </w:r>
    </w:p>
    <w:p w14:paraId="4F805D78">
      <w:pPr>
        <w:pStyle w:val="19"/>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11</w:t>
      </w:r>
      <w:r>
        <w:fldChar w:fldCharType="end"/>
      </w:r>
    </w:p>
    <w:p w14:paraId="6F647006">
      <w:pPr>
        <w:pStyle w:val="19"/>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11</w:t>
      </w:r>
      <w:r>
        <w:fldChar w:fldCharType="end"/>
      </w:r>
    </w:p>
    <w:p w14:paraId="556075E4">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11</w:t>
      </w:r>
      <w:r>
        <w:fldChar w:fldCharType="end"/>
      </w:r>
    </w:p>
    <w:p w14:paraId="231352E6">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11</w:t>
      </w:r>
      <w:r>
        <w:fldChar w:fldCharType="end"/>
      </w:r>
    </w:p>
    <w:p w14:paraId="2B354D69">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11</w:t>
      </w:r>
      <w:r>
        <w:fldChar w:fldCharType="end"/>
      </w:r>
    </w:p>
    <w:p w14:paraId="19421866">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t>12</w:t>
      </w:r>
      <w:r>
        <w:fldChar w:fldCharType="end"/>
      </w:r>
    </w:p>
    <w:p w14:paraId="2CEDAADE">
      <w:pPr>
        <w:pStyle w:val="16"/>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16</w:t>
      </w:r>
      <w:r>
        <w:fldChar w:fldCharType="end"/>
      </w:r>
    </w:p>
    <w:p w14:paraId="44BE596C">
      <w:pPr>
        <w:pStyle w:val="16"/>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19</w:t>
      </w:r>
      <w:r>
        <w:fldChar w:fldCharType="end"/>
      </w:r>
    </w:p>
    <w:p w14:paraId="7BC3EA3D">
      <w:pPr>
        <w:pStyle w:val="16"/>
        <w:tabs>
          <w:tab w:val="right" w:leader="dot" w:pos="8296"/>
        </w:tabs>
        <w:rPr>
          <w:rFonts w:hAnsiTheme="minorHAnsi" w:eastAsiaTheme="minorEastAsia" w:cstheme="minorBidi"/>
          <w:b w:val="0"/>
          <w:bCs w:val="0"/>
          <w:caps w:val="0"/>
          <w:sz w:val="21"/>
          <w:szCs w:val="22"/>
        </w:rPr>
      </w:pPr>
      <w:r>
        <w:rPr>
          <w:rFonts w:ascii="黑体" w:hAnsi="黑体" w:eastAsia="黑体" w:cs="黑体"/>
        </w:rPr>
        <w:t>附件1</w:t>
      </w:r>
      <w:r>
        <w:tab/>
      </w:r>
      <w:r>
        <w:fldChar w:fldCharType="begin"/>
      </w:r>
      <w:r>
        <w:instrText xml:space="preserve"> PAGEREF _Toc79163881 \h </w:instrText>
      </w:r>
      <w:r>
        <w:fldChar w:fldCharType="separate"/>
      </w:r>
      <w:r>
        <w:t>19</w:t>
      </w:r>
      <w:r>
        <w:fldChar w:fldCharType="end"/>
      </w:r>
    </w:p>
    <w:p w14:paraId="19A2401C">
      <w:pPr>
        <w:pStyle w:val="16"/>
        <w:tabs>
          <w:tab w:val="right" w:leader="dot" w:pos="8296"/>
        </w:tabs>
        <w:rPr>
          <w:rFonts w:hAnsiTheme="minorHAnsi" w:eastAsiaTheme="minorEastAsia" w:cstheme="minorBidi"/>
          <w:b w:val="0"/>
          <w:bCs w:val="0"/>
          <w:caps w:val="0"/>
          <w:sz w:val="21"/>
          <w:szCs w:val="22"/>
        </w:rPr>
      </w:pPr>
      <w:r>
        <w:rPr>
          <w:rFonts w:ascii="方正小标宋简体" w:hAnsi="黑体" w:eastAsia="方正小标宋简体" w:cs="黑体"/>
        </w:rPr>
        <w:t>XX部门2020年部门整体支出绩效评价报告</w:t>
      </w:r>
      <w:r>
        <w:tab/>
      </w:r>
      <w:r>
        <w:fldChar w:fldCharType="begin"/>
      </w:r>
      <w:r>
        <w:instrText xml:space="preserve"> PAGEREF _Toc79163882 \h </w:instrText>
      </w:r>
      <w:r>
        <w:fldChar w:fldCharType="separate"/>
      </w:r>
      <w:r>
        <w:t>19</w:t>
      </w:r>
      <w:r>
        <w:fldChar w:fldCharType="end"/>
      </w:r>
    </w:p>
    <w:p w14:paraId="40386C3B">
      <w:pPr>
        <w:pStyle w:val="16"/>
        <w:tabs>
          <w:tab w:val="right" w:leader="dot" w:pos="8296"/>
        </w:tabs>
        <w:rPr>
          <w:rFonts w:hAnsiTheme="minorHAnsi" w:eastAsiaTheme="minorEastAsia" w:cstheme="minorBidi"/>
          <w:b w:val="0"/>
          <w:bCs w:val="0"/>
          <w:caps w:val="0"/>
          <w:sz w:val="21"/>
          <w:szCs w:val="22"/>
        </w:rPr>
      </w:pPr>
      <w:r>
        <w:rPr>
          <w:rFonts w:ascii="黑体" w:hAnsi="黑体" w:eastAsia="黑体" w:cs="黑体"/>
        </w:rPr>
        <w:t>附件2</w:t>
      </w:r>
      <w:r>
        <w:tab/>
      </w:r>
      <w:r>
        <w:fldChar w:fldCharType="begin"/>
      </w:r>
      <w:r>
        <w:instrText xml:space="preserve"> PAGEREF _Toc79163883 \h </w:instrText>
      </w:r>
      <w:r>
        <w:fldChar w:fldCharType="separate"/>
      </w:r>
      <w:r>
        <w:t>20</w:t>
      </w:r>
      <w:r>
        <w:fldChar w:fldCharType="end"/>
      </w:r>
    </w:p>
    <w:p w14:paraId="056F39DA">
      <w:pPr>
        <w:pStyle w:val="16"/>
        <w:tabs>
          <w:tab w:val="right" w:leader="dot" w:pos="8296"/>
        </w:tabs>
        <w:rPr>
          <w:rFonts w:hAnsiTheme="minorHAnsi" w:eastAsiaTheme="minorEastAsia" w:cstheme="minorBidi"/>
          <w:b w:val="0"/>
          <w:bCs w:val="0"/>
          <w:caps w:val="0"/>
          <w:sz w:val="21"/>
          <w:szCs w:val="22"/>
        </w:rPr>
      </w:pPr>
      <w:r>
        <w:rPr>
          <w:rFonts w:ascii="方正小标宋简体" w:hAnsi="黑体" w:eastAsia="方正小标宋简体" w:cs="黑体"/>
        </w:rPr>
        <w:t>XXX项目2020年绩效评价报告</w:t>
      </w:r>
      <w:r>
        <w:tab/>
      </w:r>
      <w:r>
        <w:fldChar w:fldCharType="begin"/>
      </w:r>
      <w:r>
        <w:instrText xml:space="preserve"> PAGEREF _Toc79163884 \h </w:instrText>
      </w:r>
      <w:r>
        <w:fldChar w:fldCharType="separate"/>
      </w:r>
      <w:r>
        <w:t>20</w:t>
      </w:r>
      <w:r>
        <w:fldChar w:fldCharType="end"/>
      </w:r>
    </w:p>
    <w:p w14:paraId="5550298D">
      <w:pPr>
        <w:pStyle w:val="16"/>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fldChar w:fldCharType="begin"/>
      </w:r>
      <w:r>
        <w:instrText xml:space="preserve"> PAGEREF _Toc79163885 \h </w:instrText>
      </w:r>
      <w:r>
        <w:fldChar w:fldCharType="separate"/>
      </w:r>
      <w:r>
        <w:t>24</w:t>
      </w:r>
      <w:r>
        <w:fldChar w:fldCharType="end"/>
      </w:r>
    </w:p>
    <w:p w14:paraId="4327348E">
      <w:pPr>
        <w:pStyle w:val="19"/>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24</w:t>
      </w:r>
      <w:r>
        <w:fldChar w:fldCharType="end"/>
      </w:r>
    </w:p>
    <w:p w14:paraId="55027DE2">
      <w:pPr>
        <w:pStyle w:val="19"/>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24</w:t>
      </w:r>
      <w:r>
        <w:fldChar w:fldCharType="end"/>
      </w:r>
    </w:p>
    <w:p w14:paraId="5F0E628A">
      <w:pPr>
        <w:pStyle w:val="19"/>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24</w:t>
      </w:r>
      <w:r>
        <w:fldChar w:fldCharType="end"/>
      </w:r>
    </w:p>
    <w:p w14:paraId="2FAB44C2">
      <w:pPr>
        <w:pStyle w:val="19"/>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24</w:t>
      </w:r>
      <w:r>
        <w:fldChar w:fldCharType="end"/>
      </w:r>
    </w:p>
    <w:p w14:paraId="349FEAE2">
      <w:pPr>
        <w:pStyle w:val="19"/>
        <w:tabs>
          <w:tab w:val="right" w:leader="dot" w:pos="8296"/>
        </w:tabs>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24</w:t>
      </w:r>
      <w:r>
        <w:fldChar w:fldCharType="end"/>
      </w:r>
    </w:p>
    <w:p w14:paraId="3EEF2B15">
      <w:pPr>
        <w:pStyle w:val="19"/>
        <w:tabs>
          <w:tab w:val="right" w:leader="dot" w:pos="8296"/>
        </w:tabs>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24</w:t>
      </w:r>
      <w:r>
        <w:fldChar w:fldCharType="end"/>
      </w:r>
    </w:p>
    <w:p w14:paraId="0ACB7ADB">
      <w:pPr>
        <w:pStyle w:val="19"/>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24</w:t>
      </w:r>
      <w:r>
        <w:fldChar w:fldCharType="end"/>
      </w:r>
    </w:p>
    <w:p w14:paraId="6D38D473">
      <w:pPr>
        <w:pStyle w:val="19"/>
        <w:tabs>
          <w:tab w:val="right" w:leader="dot" w:pos="8296"/>
        </w:tabs>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24</w:t>
      </w:r>
      <w:r>
        <w:fldChar w:fldCharType="end"/>
      </w:r>
    </w:p>
    <w:p w14:paraId="083058E2">
      <w:pPr>
        <w:pStyle w:val="19"/>
        <w:tabs>
          <w:tab w:val="right" w:leader="dot" w:pos="8296"/>
        </w:tabs>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24</w:t>
      </w:r>
      <w:r>
        <w:fldChar w:fldCharType="end"/>
      </w:r>
    </w:p>
    <w:p w14:paraId="6BB5C898">
      <w:pPr>
        <w:pStyle w:val="19"/>
        <w:tabs>
          <w:tab w:val="right" w:leader="dot" w:pos="8296"/>
        </w:tabs>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fldChar w:fldCharType="begin"/>
      </w:r>
      <w:r>
        <w:instrText xml:space="preserve"> PAGEREF _Toc79163895 \h </w:instrText>
      </w:r>
      <w:r>
        <w:fldChar w:fldCharType="separate"/>
      </w:r>
      <w:r>
        <w:t>24</w:t>
      </w:r>
      <w:r>
        <w:fldChar w:fldCharType="end"/>
      </w:r>
    </w:p>
    <w:p w14:paraId="1DA87FF8">
      <w:pPr>
        <w:pStyle w:val="19"/>
        <w:tabs>
          <w:tab w:val="right" w:leader="dot" w:pos="8296"/>
        </w:tabs>
        <w:rPr>
          <w:rFonts w:hAnsiTheme="minorHAnsi" w:eastAsiaTheme="minorEastAsia" w:cstheme="minorBidi"/>
          <w:smallCaps w:val="0"/>
          <w:sz w:val="21"/>
          <w:szCs w:val="22"/>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24</w:t>
      </w:r>
      <w:r>
        <w:fldChar w:fldCharType="end"/>
      </w:r>
    </w:p>
    <w:p w14:paraId="58494A4A">
      <w:pPr>
        <w:pStyle w:val="19"/>
        <w:tabs>
          <w:tab w:val="right" w:leader="dot" w:pos="8296"/>
        </w:tabs>
        <w:rPr>
          <w:rFonts w:hAnsiTheme="minorHAnsi" w:eastAsiaTheme="minorEastAsia" w:cstheme="minorBidi"/>
          <w:smallCaps w:val="0"/>
          <w:sz w:val="21"/>
          <w:szCs w:val="22"/>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fldChar w:fldCharType="begin"/>
      </w:r>
      <w:r>
        <w:instrText xml:space="preserve"> PAGEREF _Toc79163897 \h </w:instrText>
      </w:r>
      <w:r>
        <w:fldChar w:fldCharType="separate"/>
      </w:r>
      <w:r>
        <w:t>24</w:t>
      </w:r>
      <w:r>
        <w:fldChar w:fldCharType="end"/>
      </w:r>
    </w:p>
    <w:p w14:paraId="278536BC">
      <w:pPr>
        <w:pStyle w:val="19"/>
        <w:tabs>
          <w:tab w:val="right" w:leader="dot" w:pos="8296"/>
        </w:tabs>
        <w:rPr>
          <w:rFonts w:hAnsiTheme="minorHAnsi" w:eastAsiaTheme="minorEastAsia" w:cstheme="minorBidi"/>
          <w:smallCaps w:val="0"/>
          <w:sz w:val="21"/>
          <w:szCs w:val="22"/>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lang w:eastAsia="zh-CN"/>
        </w:rPr>
        <w:t>收入</w:t>
      </w:r>
      <w:r>
        <w:rPr>
          <w:rFonts w:ascii="仿宋" w:hAnsi="仿宋" w:eastAsia="仿宋"/>
        </w:rPr>
        <w:t>支出决算表</w:t>
      </w:r>
      <w:r>
        <w:tab/>
      </w:r>
      <w:r>
        <w:fldChar w:fldCharType="begin"/>
      </w:r>
      <w:r>
        <w:instrText xml:space="preserve"> PAGEREF _Toc79163898 \h </w:instrText>
      </w:r>
      <w:r>
        <w:fldChar w:fldCharType="separate"/>
      </w:r>
      <w:r>
        <w:t>24</w:t>
      </w:r>
      <w:r>
        <w:fldChar w:fldCharType="end"/>
      </w:r>
    </w:p>
    <w:p w14:paraId="7C65136A">
      <w:pPr>
        <w:pStyle w:val="19"/>
        <w:tabs>
          <w:tab w:val="right" w:leader="dot" w:pos="8296"/>
        </w:tabs>
        <w:rPr>
          <w:rFonts w:hAnsiTheme="minorHAnsi" w:eastAsiaTheme="minorEastAsia" w:cstheme="minorBidi"/>
          <w:smallCaps w:val="0"/>
          <w:sz w:val="21"/>
          <w:szCs w:val="22"/>
        </w:rPr>
      </w:pPr>
      <w:r>
        <w:rPr>
          <w:rFonts w:ascii="仿宋" w:hAnsi="仿宋" w:eastAsia="仿宋"/>
        </w:rPr>
        <w:t>十四、国有资本经营预算财政拨款支出决算表</w:t>
      </w:r>
      <w:r>
        <w:tab/>
      </w:r>
      <w:r>
        <w:fldChar w:fldCharType="begin"/>
      </w:r>
      <w:r>
        <w:instrText xml:space="preserve"> PAGEREF _Toc79163899 \h </w:instrText>
      </w:r>
      <w:r>
        <w:fldChar w:fldCharType="separate"/>
      </w:r>
      <w:r>
        <w:t>24</w:t>
      </w:r>
      <w:r>
        <w:fldChar w:fldCharType="end"/>
      </w:r>
    </w:p>
    <w:p w14:paraId="637AB07F">
      <w:r>
        <w:rPr>
          <w:rFonts w:asciiTheme="minorHAnsi" w:eastAsiaTheme="minorHAnsi"/>
          <w:b/>
          <w:bCs/>
          <w:caps/>
          <w:sz w:val="20"/>
          <w:szCs w:val="20"/>
        </w:rPr>
        <w:fldChar w:fldCharType="end"/>
      </w:r>
    </w:p>
    <w:p w14:paraId="481D5CE1">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3E540906">
      <w:pPr>
        <w:pStyle w:val="4"/>
        <w:jc w:val="center"/>
        <w:rPr>
          <w:rStyle w:val="26"/>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6"/>
          <w:rFonts w:hint="eastAsia" w:ascii="黑体" w:hAnsi="黑体" w:eastAsia="黑体"/>
          <w:b w:val="0"/>
          <w:bCs w:val="0"/>
        </w:rPr>
        <w:t>部门概况</w:t>
      </w:r>
      <w:bookmarkEnd w:id="12"/>
      <w:bookmarkEnd w:id="13"/>
      <w:bookmarkEnd w:id="14"/>
      <w:bookmarkEnd w:id="15"/>
    </w:p>
    <w:p w14:paraId="372165DE">
      <w:pPr>
        <w:widowControl/>
        <w:jc w:val="left"/>
        <w:rPr>
          <w:rFonts w:ascii="黑体" w:eastAsia="黑体"/>
          <w:color w:val="000000"/>
          <w:sz w:val="32"/>
          <w:szCs w:val="32"/>
        </w:rPr>
      </w:pPr>
    </w:p>
    <w:p w14:paraId="6DD116CE">
      <w:pPr>
        <w:spacing w:line="560" w:lineRule="exact"/>
        <w:rPr>
          <w:rFonts w:hint="eastAsia" w:ascii="仿宋" w:hAnsi="仿宋" w:eastAsia="仿宋"/>
          <w:color w:val="000000"/>
          <w:sz w:val="32"/>
          <w:szCs w:val="32"/>
        </w:rPr>
      </w:pPr>
      <w:bookmarkStart w:id="16" w:name="_Toc15378446"/>
      <w:bookmarkStart w:id="17" w:name="_Toc79163604"/>
      <w:bookmarkStart w:id="18" w:name="_Toc15377199"/>
      <w:bookmarkStart w:id="19" w:name="_Toc79163854"/>
      <w:r>
        <w:rPr>
          <w:rFonts w:hint="eastAsia" w:ascii="黑体" w:hAnsi="黑体" w:eastAsia="黑体"/>
          <w:color w:val="000000"/>
          <w:sz w:val="32"/>
          <w:szCs w:val="32"/>
        </w:rPr>
        <w:t xml:space="preserve">一、基本职能及主要工作 </w:t>
      </w:r>
      <w:r>
        <w:rPr>
          <w:rFonts w:hint="eastAsia" w:ascii="黑体" w:hAnsi="黑体" w:eastAsia="黑体"/>
          <w:color w:val="000000"/>
          <w:sz w:val="32"/>
          <w:szCs w:val="32"/>
        </w:rPr>
        <w:br w:type="textWrapping"/>
      </w:r>
      <w:r>
        <w:rPr>
          <w:rFonts w:hint="eastAsia" w:ascii="仿宋" w:hAnsi="仿宋" w:eastAsia="仿宋"/>
          <w:color w:val="000000"/>
          <w:sz w:val="32"/>
          <w:szCs w:val="32"/>
        </w:rPr>
        <w:t xml:space="preserve">  </w:t>
      </w:r>
      <w:r>
        <w:rPr>
          <w:rFonts w:hint="eastAsia" w:ascii="楷体" w:hAnsi="楷体" w:eastAsia="楷体"/>
          <w:color w:val="000000"/>
          <w:sz w:val="32"/>
          <w:szCs w:val="32"/>
        </w:rPr>
        <w:t xml:space="preserve">（一）主要职责。 </w:t>
      </w:r>
      <w:r>
        <w:rPr>
          <w:rFonts w:hint="eastAsia" w:ascii="楷体" w:hAnsi="楷体" w:eastAsia="楷体"/>
          <w:color w:val="000000"/>
          <w:sz w:val="32"/>
          <w:szCs w:val="32"/>
        </w:rPr>
        <w:br w:type="textWrapping"/>
      </w:r>
      <w:r>
        <w:rPr>
          <w:rFonts w:hint="eastAsia" w:ascii="仿宋" w:hAnsi="仿宋" w:eastAsia="仿宋"/>
          <w:color w:val="000000"/>
          <w:sz w:val="32"/>
          <w:szCs w:val="32"/>
        </w:rPr>
        <w:t xml:space="preserve">   1、负责中央、省委、州委、县委决策部署贯彻落实的协调、督促、检查，中央、省委、州委、县委领导同志批示的传达和督办。</w:t>
      </w:r>
    </w:p>
    <w:p w14:paraId="519A4F8D">
      <w:pPr>
        <w:numPr>
          <w:ilvl w:val="0"/>
          <w:numId w:val="1"/>
        </w:numPr>
        <w:spacing w:line="560" w:lineRule="exact"/>
        <w:ind w:firstLine="320"/>
        <w:rPr>
          <w:rFonts w:hint="eastAsia" w:ascii="仿宋" w:hAnsi="仿宋" w:eastAsia="仿宋"/>
          <w:color w:val="000000"/>
          <w:sz w:val="32"/>
          <w:szCs w:val="32"/>
        </w:rPr>
      </w:pPr>
      <w:r>
        <w:rPr>
          <w:rFonts w:hint="eastAsia" w:ascii="仿宋" w:hAnsi="仿宋" w:eastAsia="仿宋"/>
          <w:color w:val="000000"/>
          <w:sz w:val="32"/>
          <w:szCs w:val="32"/>
        </w:rPr>
        <w:t>负责县委会议、重大活动的准备和实施，县委领导活动的协调安排，县委各类文稿的撰写、修改和印制。</w:t>
      </w:r>
    </w:p>
    <w:p w14:paraId="0880647E">
      <w:pPr>
        <w:numPr>
          <w:ilvl w:val="0"/>
          <w:numId w:val="1"/>
        </w:numPr>
        <w:spacing w:line="560" w:lineRule="exact"/>
        <w:ind w:firstLine="320" w:firstLineChars="100"/>
        <w:rPr>
          <w:rFonts w:hint="eastAsia" w:ascii="仿宋" w:hAnsi="仿宋" w:eastAsia="仿宋"/>
          <w:color w:val="000000"/>
          <w:sz w:val="32"/>
          <w:szCs w:val="32"/>
        </w:rPr>
      </w:pPr>
      <w:r>
        <w:rPr>
          <w:rFonts w:hint="eastAsia" w:ascii="仿宋" w:hAnsi="仿宋" w:eastAsia="仿宋"/>
          <w:color w:val="000000"/>
          <w:sz w:val="32"/>
          <w:szCs w:val="32"/>
        </w:rPr>
        <w:t>围绕州委和县委总体工作部署，收集信息，反映情况，调查研究，综合协调，为县委决策提供依据和服务。</w:t>
      </w:r>
    </w:p>
    <w:p w14:paraId="07B11D0C">
      <w:pPr>
        <w:numPr>
          <w:ilvl w:val="0"/>
          <w:numId w:val="1"/>
        </w:numPr>
        <w:spacing w:line="560" w:lineRule="exact"/>
        <w:ind w:firstLine="320" w:firstLineChars="100"/>
        <w:rPr>
          <w:rFonts w:hint="eastAsia" w:ascii="仿宋" w:hAnsi="仿宋" w:eastAsia="仿宋"/>
          <w:color w:val="000000"/>
          <w:sz w:val="32"/>
          <w:szCs w:val="32"/>
        </w:rPr>
      </w:pPr>
      <w:r>
        <w:rPr>
          <w:rFonts w:hint="eastAsia" w:ascii="仿宋" w:hAnsi="仿宋" w:eastAsia="仿宋"/>
          <w:color w:val="000000"/>
          <w:sz w:val="32"/>
          <w:szCs w:val="32"/>
        </w:rPr>
        <w:t>负责上级公文的承办和县委文件的草拟 、印制、分发管理等工作。</w:t>
      </w:r>
    </w:p>
    <w:p w14:paraId="2B9EC8CD">
      <w:pPr>
        <w:numPr>
          <w:ilvl w:val="0"/>
          <w:numId w:val="1"/>
        </w:numPr>
        <w:spacing w:line="560" w:lineRule="exact"/>
        <w:ind w:firstLine="320" w:firstLineChars="100"/>
        <w:rPr>
          <w:rFonts w:hint="eastAsia" w:ascii="仿宋" w:hAnsi="仿宋" w:eastAsia="仿宋"/>
          <w:color w:val="000000"/>
          <w:sz w:val="32"/>
          <w:szCs w:val="32"/>
        </w:rPr>
      </w:pPr>
      <w:r>
        <w:rPr>
          <w:rFonts w:hint="eastAsia" w:ascii="仿宋" w:hAnsi="仿宋" w:eastAsia="仿宋"/>
          <w:color w:val="000000"/>
          <w:sz w:val="32"/>
          <w:szCs w:val="32"/>
        </w:rPr>
        <w:t>负责督促指导全县党内规范性文件的制定、审查、备案等工作。</w:t>
      </w:r>
    </w:p>
    <w:p w14:paraId="2FB59BE9">
      <w:pPr>
        <w:numPr>
          <w:ilvl w:val="0"/>
          <w:numId w:val="1"/>
        </w:numPr>
        <w:spacing w:line="560" w:lineRule="exact"/>
        <w:ind w:firstLine="320" w:firstLineChars="100"/>
        <w:rPr>
          <w:rFonts w:hint="eastAsia" w:ascii="仿宋" w:hAnsi="仿宋" w:eastAsia="仿宋"/>
          <w:color w:val="000000"/>
          <w:sz w:val="32"/>
          <w:szCs w:val="32"/>
        </w:rPr>
      </w:pPr>
      <w:r>
        <w:rPr>
          <w:rFonts w:hint="eastAsia" w:ascii="仿宋" w:hAnsi="仿宋" w:eastAsia="仿宋"/>
          <w:color w:val="000000"/>
          <w:sz w:val="32"/>
          <w:szCs w:val="32"/>
        </w:rPr>
        <w:t>承担县委值班工作，负责全县党委办公室系统值班检查指导，对突发事件紧急情况跟踪了解、</w:t>
      </w:r>
      <w:r>
        <w:rPr>
          <w:rFonts w:hint="eastAsia" w:ascii="仿宋" w:hAnsi="仿宋" w:eastAsia="仿宋"/>
          <w:color w:val="000000"/>
          <w:sz w:val="32"/>
          <w:szCs w:val="32"/>
          <w:lang w:eastAsia="zh-CN"/>
        </w:rPr>
        <w:t>协调</w:t>
      </w:r>
      <w:r>
        <w:rPr>
          <w:rFonts w:hint="eastAsia" w:ascii="仿宋" w:hAnsi="仿宋" w:eastAsia="仿宋"/>
          <w:color w:val="000000"/>
          <w:sz w:val="32"/>
          <w:szCs w:val="32"/>
        </w:rPr>
        <w:t>处理。</w:t>
      </w:r>
    </w:p>
    <w:p w14:paraId="0F0AC5D1">
      <w:pPr>
        <w:numPr>
          <w:ilvl w:val="0"/>
          <w:numId w:val="1"/>
        </w:numPr>
        <w:spacing w:line="560" w:lineRule="exact"/>
        <w:ind w:firstLine="320" w:firstLineChars="100"/>
        <w:rPr>
          <w:rFonts w:hint="eastAsia" w:ascii="仿宋" w:hAnsi="仿宋" w:eastAsia="仿宋"/>
          <w:color w:val="000000"/>
          <w:sz w:val="32"/>
          <w:szCs w:val="32"/>
        </w:rPr>
      </w:pPr>
      <w:r>
        <w:rPr>
          <w:rFonts w:hint="eastAsia" w:ascii="仿宋" w:hAnsi="仿宋" w:eastAsia="仿宋"/>
          <w:color w:val="000000"/>
          <w:sz w:val="32"/>
          <w:szCs w:val="32"/>
        </w:rPr>
        <w:t>负责做好与州委藏区办工作的对接和办理。</w:t>
      </w:r>
    </w:p>
    <w:p w14:paraId="4A65196D">
      <w:pPr>
        <w:numPr>
          <w:ilvl w:val="0"/>
          <w:numId w:val="1"/>
        </w:numPr>
        <w:spacing w:line="560" w:lineRule="exact"/>
        <w:ind w:firstLine="320" w:firstLineChars="100"/>
        <w:rPr>
          <w:rFonts w:hint="eastAsia" w:ascii="仿宋" w:hAnsi="仿宋" w:eastAsia="仿宋"/>
          <w:color w:val="000000"/>
          <w:sz w:val="32"/>
          <w:szCs w:val="32"/>
        </w:rPr>
      </w:pPr>
      <w:r>
        <w:rPr>
          <w:rFonts w:hint="eastAsia" w:ascii="仿宋" w:hAnsi="仿宋" w:eastAsia="仿宋"/>
          <w:color w:val="000000"/>
          <w:sz w:val="32"/>
          <w:szCs w:val="32"/>
        </w:rPr>
        <w:t>负责贯彻执行《中华人民共和国档案法》等相关法律法规。负责制定全县档案事业发展规划和年度计划并组织实施。负责全县档案工作的统筹规划和管理，依法对全县档案工作进行监督检查并查处违法行为。</w:t>
      </w:r>
    </w:p>
    <w:p w14:paraId="6E72A45B">
      <w:pPr>
        <w:numPr>
          <w:ilvl w:val="0"/>
          <w:numId w:val="1"/>
        </w:numPr>
        <w:spacing w:line="560" w:lineRule="exact"/>
        <w:ind w:firstLine="320" w:firstLineChars="100"/>
        <w:rPr>
          <w:rFonts w:hint="eastAsia" w:ascii="仿宋" w:hAnsi="仿宋" w:eastAsia="仿宋"/>
          <w:color w:val="000000"/>
          <w:sz w:val="32"/>
          <w:szCs w:val="32"/>
        </w:rPr>
      </w:pPr>
      <w:r>
        <w:rPr>
          <w:rFonts w:hint="eastAsia" w:ascii="仿宋" w:hAnsi="仿宋" w:eastAsia="仿宋"/>
          <w:color w:val="000000"/>
          <w:sz w:val="32"/>
          <w:szCs w:val="32"/>
        </w:rPr>
        <w:t>负责全县机要密码和保密工作。</w:t>
      </w:r>
    </w:p>
    <w:p w14:paraId="389B8618">
      <w:pPr>
        <w:numPr>
          <w:ilvl w:val="0"/>
          <w:numId w:val="1"/>
        </w:numPr>
        <w:spacing w:line="560" w:lineRule="exact"/>
        <w:ind w:firstLine="320" w:firstLineChars="100"/>
        <w:rPr>
          <w:rFonts w:hint="eastAsia" w:ascii="仿宋" w:hAnsi="仿宋" w:eastAsia="仿宋"/>
          <w:color w:val="000000"/>
          <w:sz w:val="32"/>
          <w:szCs w:val="32"/>
        </w:rPr>
      </w:pPr>
      <w:r>
        <w:rPr>
          <w:rFonts w:hint="eastAsia" w:ascii="仿宋" w:hAnsi="仿宋" w:eastAsia="仿宋"/>
          <w:color w:val="000000"/>
          <w:sz w:val="32"/>
          <w:szCs w:val="32"/>
        </w:rPr>
        <w:t>代管县公务服务中心、县档案馆。</w:t>
      </w:r>
    </w:p>
    <w:p w14:paraId="2A6ECD7D">
      <w:pPr>
        <w:numPr>
          <w:ilvl w:val="0"/>
          <w:numId w:val="1"/>
        </w:numPr>
        <w:spacing w:line="560" w:lineRule="exact"/>
        <w:ind w:firstLine="320" w:firstLineChars="100"/>
        <w:rPr>
          <w:rFonts w:hint="eastAsia" w:ascii="仿宋" w:hAnsi="仿宋" w:eastAsia="仿宋"/>
          <w:color w:val="000000"/>
          <w:sz w:val="32"/>
          <w:szCs w:val="32"/>
        </w:rPr>
      </w:pPr>
      <w:r>
        <w:rPr>
          <w:rFonts w:hint="eastAsia" w:ascii="仿宋" w:hAnsi="仿宋" w:eastAsia="仿宋"/>
          <w:color w:val="000000"/>
          <w:sz w:val="32"/>
          <w:szCs w:val="32"/>
        </w:rPr>
        <w:t>完成县委交办的其他任务。　</w:t>
      </w:r>
    </w:p>
    <w:p w14:paraId="2FE92154">
      <w:pPr>
        <w:spacing w:line="560" w:lineRule="exact"/>
        <w:ind w:left="210" w:leftChars="100" w:firstLine="160" w:firstLineChars="50"/>
        <w:rPr>
          <w:rFonts w:hint="eastAsia" w:ascii="楷体" w:hAnsi="楷体" w:eastAsia="楷体"/>
          <w:color w:val="000000"/>
          <w:sz w:val="32"/>
          <w:szCs w:val="32"/>
        </w:rPr>
      </w:pPr>
      <w:r>
        <w:rPr>
          <w:rFonts w:hint="eastAsia" w:ascii="楷体" w:hAnsi="楷体" w:eastAsia="楷体"/>
          <w:color w:val="000000"/>
          <w:sz w:val="32"/>
          <w:szCs w:val="32"/>
        </w:rPr>
        <w:t>（二）</w:t>
      </w:r>
      <w:r>
        <w:rPr>
          <w:rFonts w:hint="eastAsia" w:ascii="楷体" w:hAnsi="楷体" w:eastAsia="楷体"/>
          <w:b/>
          <w:color w:val="000000"/>
          <w:sz w:val="32"/>
          <w:szCs w:val="32"/>
        </w:rPr>
        <w:t>2020年重点工作完成情况。</w:t>
      </w:r>
    </w:p>
    <w:p w14:paraId="68E82323">
      <w:pPr>
        <w:spacing w:line="560" w:lineRule="exact"/>
        <w:rPr>
          <w:rFonts w:ascii="仿宋" w:hAnsi="仿宋" w:eastAsia="仿宋"/>
          <w:color w:val="000000"/>
          <w:sz w:val="32"/>
          <w:szCs w:val="32"/>
        </w:rPr>
      </w:pPr>
      <w:r>
        <w:rPr>
          <w:rFonts w:hint="eastAsia" w:ascii="仿宋" w:hAnsi="仿宋" w:eastAsia="仿宋"/>
          <w:color w:val="000000"/>
          <w:sz w:val="32"/>
          <w:szCs w:val="32"/>
        </w:rPr>
        <w:t xml:space="preserve">    </w:t>
      </w:r>
      <w:r>
        <w:rPr>
          <w:rFonts w:ascii="仿宋" w:hAnsi="仿宋" w:eastAsia="仿宋"/>
          <w:color w:val="000000"/>
          <w:sz w:val="32"/>
          <w:szCs w:val="32"/>
        </w:rPr>
        <w:t>2020</w:t>
      </w:r>
      <w:r>
        <w:rPr>
          <w:rFonts w:hint="eastAsia" w:ascii="仿宋" w:hAnsi="仿宋" w:eastAsia="仿宋"/>
          <w:color w:val="000000"/>
          <w:sz w:val="32"/>
          <w:szCs w:val="32"/>
        </w:rPr>
        <w:t>年以来，县委办公室在县委的坚强领导下，坚持以习近平新时代中国特色社会主义思想为指导，深入贯彻习近平总书记关于</w:t>
      </w:r>
      <w:r>
        <w:rPr>
          <w:rFonts w:ascii="仿宋" w:hAnsi="仿宋" w:eastAsia="仿宋"/>
          <w:color w:val="000000"/>
          <w:sz w:val="32"/>
          <w:szCs w:val="32"/>
        </w:rPr>
        <w:t>“</w:t>
      </w:r>
      <w:r>
        <w:rPr>
          <w:rFonts w:hint="eastAsia" w:ascii="仿宋" w:hAnsi="仿宋" w:eastAsia="仿宋"/>
          <w:color w:val="000000"/>
          <w:sz w:val="32"/>
          <w:szCs w:val="32"/>
        </w:rPr>
        <w:t>坚持绝对忠诚的政治品格、坚持高度自觉的大局意识、坚持极端负责的工作作风、坚持无怨无悔的奉献精神、坚持廉洁自律的道德操守</w:t>
      </w:r>
      <w:r>
        <w:rPr>
          <w:rFonts w:ascii="仿宋" w:hAnsi="仿宋" w:eastAsia="仿宋"/>
          <w:color w:val="000000"/>
          <w:sz w:val="32"/>
          <w:szCs w:val="32"/>
        </w:rPr>
        <w:t>”“</w:t>
      </w:r>
      <w:r>
        <w:rPr>
          <w:rFonts w:hint="eastAsia" w:ascii="仿宋" w:hAnsi="仿宋" w:eastAsia="仿宋"/>
          <w:color w:val="000000"/>
          <w:sz w:val="32"/>
          <w:szCs w:val="32"/>
        </w:rPr>
        <w:t>五个坚持</w:t>
      </w:r>
      <w:r>
        <w:rPr>
          <w:rFonts w:ascii="仿宋" w:hAnsi="仿宋" w:eastAsia="仿宋"/>
          <w:color w:val="000000"/>
          <w:sz w:val="32"/>
          <w:szCs w:val="32"/>
        </w:rPr>
        <w:t>”</w:t>
      </w:r>
      <w:r>
        <w:rPr>
          <w:rFonts w:hint="eastAsia" w:ascii="仿宋" w:hAnsi="仿宋" w:eastAsia="仿宋"/>
          <w:color w:val="000000"/>
          <w:sz w:val="32"/>
          <w:szCs w:val="32"/>
        </w:rPr>
        <w:t>要求，紧紧围绕县委工作全局，抓实参谋助手、综合协调、督办督查、服务保障</w:t>
      </w:r>
      <w:r>
        <w:rPr>
          <w:rFonts w:ascii="仿宋" w:hAnsi="仿宋" w:eastAsia="仿宋"/>
          <w:color w:val="000000"/>
          <w:sz w:val="32"/>
          <w:szCs w:val="32"/>
        </w:rPr>
        <w:t>“</w:t>
      </w:r>
      <w:r>
        <w:rPr>
          <w:rFonts w:hint="eastAsia" w:ascii="仿宋" w:hAnsi="仿宋" w:eastAsia="仿宋"/>
          <w:color w:val="000000"/>
          <w:sz w:val="32"/>
          <w:szCs w:val="32"/>
        </w:rPr>
        <w:t>四大职能</w:t>
      </w:r>
      <w:r>
        <w:rPr>
          <w:rFonts w:ascii="仿宋" w:hAnsi="仿宋" w:eastAsia="仿宋"/>
          <w:color w:val="000000"/>
          <w:sz w:val="32"/>
          <w:szCs w:val="32"/>
        </w:rPr>
        <w:t>”</w:t>
      </w:r>
      <w:r>
        <w:rPr>
          <w:rFonts w:hint="eastAsia" w:ascii="仿宋" w:hAnsi="仿宋" w:eastAsia="仿宋"/>
          <w:color w:val="000000"/>
          <w:sz w:val="32"/>
          <w:szCs w:val="32"/>
        </w:rPr>
        <w:t>和服务领导、服务机关、服务群众</w:t>
      </w:r>
      <w:r>
        <w:rPr>
          <w:rFonts w:ascii="仿宋" w:hAnsi="仿宋" w:eastAsia="仿宋"/>
          <w:color w:val="000000"/>
          <w:sz w:val="32"/>
          <w:szCs w:val="32"/>
        </w:rPr>
        <w:t>“</w:t>
      </w:r>
      <w:r>
        <w:rPr>
          <w:rFonts w:hint="eastAsia" w:ascii="仿宋" w:hAnsi="仿宋" w:eastAsia="仿宋"/>
          <w:color w:val="000000"/>
          <w:sz w:val="32"/>
          <w:szCs w:val="32"/>
        </w:rPr>
        <w:t>三个服务</w:t>
      </w:r>
      <w:r>
        <w:rPr>
          <w:rFonts w:ascii="仿宋" w:hAnsi="仿宋" w:eastAsia="仿宋"/>
          <w:color w:val="000000"/>
          <w:sz w:val="32"/>
          <w:szCs w:val="32"/>
        </w:rPr>
        <w:t>”</w:t>
      </w:r>
      <w:r>
        <w:rPr>
          <w:rFonts w:hint="eastAsia" w:ascii="仿宋" w:hAnsi="仿宋" w:eastAsia="仿宋"/>
          <w:color w:val="000000"/>
          <w:sz w:val="32"/>
          <w:szCs w:val="32"/>
        </w:rPr>
        <w:t>以及办文、办会、办事</w:t>
      </w:r>
      <w:r>
        <w:rPr>
          <w:rFonts w:ascii="仿宋" w:hAnsi="仿宋" w:eastAsia="仿宋"/>
          <w:color w:val="000000"/>
          <w:sz w:val="32"/>
          <w:szCs w:val="32"/>
        </w:rPr>
        <w:t>“</w:t>
      </w:r>
      <w:r>
        <w:rPr>
          <w:rFonts w:hint="eastAsia" w:ascii="仿宋" w:hAnsi="仿宋" w:eastAsia="仿宋"/>
          <w:color w:val="000000"/>
          <w:sz w:val="32"/>
          <w:szCs w:val="32"/>
        </w:rPr>
        <w:t>三项工作</w:t>
      </w:r>
      <w:r>
        <w:rPr>
          <w:rFonts w:ascii="仿宋" w:hAnsi="仿宋" w:eastAsia="仿宋"/>
          <w:color w:val="000000"/>
          <w:sz w:val="32"/>
          <w:szCs w:val="32"/>
        </w:rPr>
        <w:t>”</w:t>
      </w:r>
      <w:r>
        <w:rPr>
          <w:rFonts w:hint="eastAsia" w:ascii="仿宋" w:hAnsi="仿宋" w:eastAsia="仿宋"/>
          <w:color w:val="000000"/>
          <w:sz w:val="32"/>
          <w:szCs w:val="32"/>
        </w:rPr>
        <w:t>，认真落实全县新冠肺炎疫情防控部署，机关党建、党委信息、深化改革、保密机要等工作有力推进。</w:t>
      </w:r>
    </w:p>
    <w:p w14:paraId="611A1675">
      <w:pPr>
        <w:autoSpaceDE w:val="0"/>
        <w:autoSpaceDN w:val="0"/>
        <w:adjustRightInd w:val="0"/>
        <w:spacing w:line="578" w:lineRule="atLeast"/>
        <w:ind w:firstLine="640"/>
        <w:rPr>
          <w:rFonts w:ascii="仿宋" w:hAnsi="仿宋" w:eastAsia="仿宋"/>
          <w:color w:val="000000"/>
          <w:sz w:val="32"/>
          <w:szCs w:val="32"/>
        </w:rPr>
      </w:pPr>
      <w:r>
        <w:rPr>
          <w:rFonts w:hint="eastAsia" w:ascii="楷体" w:hAnsi="楷体" w:eastAsia="楷体"/>
          <w:b/>
          <w:color w:val="000000"/>
          <w:sz w:val="32"/>
          <w:szCs w:val="32"/>
        </w:rPr>
        <w:t>一、在绝对忠诚上争当先进。</w:t>
      </w:r>
      <w:r>
        <w:rPr>
          <w:rFonts w:hint="eastAsia" w:ascii="仿宋" w:hAnsi="仿宋" w:eastAsia="仿宋"/>
          <w:b/>
          <w:color w:val="000000"/>
          <w:sz w:val="32"/>
          <w:szCs w:val="32"/>
        </w:rPr>
        <w:t>一是深入学习教育</w:t>
      </w:r>
      <w:r>
        <w:rPr>
          <w:rFonts w:hint="eastAsia" w:ascii="仿宋" w:hAnsi="仿宋" w:eastAsia="仿宋"/>
          <w:color w:val="000000"/>
          <w:sz w:val="32"/>
          <w:szCs w:val="32"/>
        </w:rPr>
        <w:t>。突出领导干部带头，组织开展集体学习</w:t>
      </w:r>
      <w:r>
        <w:rPr>
          <w:rFonts w:ascii="仿宋" w:hAnsi="仿宋" w:eastAsia="仿宋"/>
          <w:color w:val="000000"/>
          <w:sz w:val="32"/>
          <w:szCs w:val="32"/>
        </w:rPr>
        <w:t>5</w:t>
      </w:r>
      <w:r>
        <w:rPr>
          <w:rFonts w:hint="eastAsia" w:ascii="仿宋" w:hAnsi="仿宋" w:eastAsia="仿宋"/>
          <w:color w:val="000000"/>
          <w:sz w:val="32"/>
          <w:szCs w:val="32"/>
        </w:rPr>
        <w:t>次、专题研讨</w:t>
      </w:r>
      <w:r>
        <w:rPr>
          <w:rFonts w:ascii="仿宋" w:hAnsi="仿宋" w:eastAsia="仿宋"/>
          <w:color w:val="000000"/>
          <w:sz w:val="32"/>
          <w:szCs w:val="32"/>
        </w:rPr>
        <w:t>2</w:t>
      </w:r>
      <w:r>
        <w:rPr>
          <w:rFonts w:hint="eastAsia" w:ascii="仿宋" w:hAnsi="仿宋" w:eastAsia="仿宋"/>
          <w:color w:val="000000"/>
          <w:sz w:val="32"/>
          <w:szCs w:val="32"/>
        </w:rPr>
        <w:t>次；召开党员大会</w:t>
      </w:r>
      <w:r>
        <w:rPr>
          <w:rFonts w:ascii="仿宋" w:hAnsi="仿宋" w:eastAsia="仿宋"/>
          <w:color w:val="000000"/>
          <w:sz w:val="32"/>
          <w:szCs w:val="32"/>
        </w:rPr>
        <w:t>2</w:t>
      </w:r>
      <w:r>
        <w:rPr>
          <w:rFonts w:hint="eastAsia" w:ascii="仿宋" w:hAnsi="仿宋" w:eastAsia="仿宋"/>
          <w:color w:val="000000"/>
          <w:sz w:val="32"/>
          <w:szCs w:val="32"/>
        </w:rPr>
        <w:t>次，及时传达学习贯彻中央、省委、州委和县委有关文件和重要会议精神；</w:t>
      </w:r>
      <w:r>
        <w:rPr>
          <w:rFonts w:ascii="仿宋" w:hAnsi="仿宋" w:eastAsia="仿宋"/>
          <w:color w:val="000000"/>
          <w:sz w:val="32"/>
          <w:szCs w:val="32"/>
        </w:rPr>
        <w:t>6</w:t>
      </w:r>
      <w:r>
        <w:rPr>
          <w:rFonts w:hint="eastAsia" w:ascii="仿宋" w:hAnsi="仿宋" w:eastAsia="仿宋"/>
          <w:color w:val="000000"/>
          <w:sz w:val="32"/>
          <w:szCs w:val="32"/>
        </w:rPr>
        <w:t>月</w:t>
      </w:r>
      <w:r>
        <w:rPr>
          <w:rFonts w:ascii="仿宋" w:hAnsi="仿宋" w:eastAsia="仿宋"/>
          <w:color w:val="000000"/>
          <w:sz w:val="32"/>
          <w:szCs w:val="32"/>
        </w:rPr>
        <w:t>7</w:t>
      </w:r>
      <w:r>
        <w:rPr>
          <w:rFonts w:hint="eastAsia" w:ascii="仿宋" w:hAnsi="仿宋" w:eastAsia="仿宋"/>
          <w:color w:val="000000"/>
          <w:sz w:val="32"/>
          <w:szCs w:val="32"/>
        </w:rPr>
        <w:t>日，组织党员、入党积极分子到</w:t>
      </w:r>
      <w:r>
        <w:rPr>
          <w:rFonts w:ascii="仿宋" w:hAnsi="仿宋" w:eastAsia="仿宋"/>
          <w:color w:val="000000"/>
          <w:sz w:val="32"/>
          <w:szCs w:val="32"/>
        </w:rPr>
        <w:t>“</w:t>
      </w:r>
      <w:r>
        <w:rPr>
          <w:rFonts w:hint="eastAsia" w:ascii="仿宋" w:hAnsi="仿宋" w:eastAsia="仿宋"/>
          <w:color w:val="000000"/>
          <w:sz w:val="32"/>
          <w:szCs w:val="32"/>
        </w:rPr>
        <w:t>塔坪山战役</w:t>
      </w:r>
      <w:r>
        <w:rPr>
          <w:rFonts w:ascii="仿宋" w:hAnsi="仿宋" w:eastAsia="仿宋"/>
          <w:color w:val="000000"/>
          <w:sz w:val="32"/>
          <w:szCs w:val="32"/>
        </w:rPr>
        <w:t>”</w:t>
      </w:r>
      <w:r>
        <w:rPr>
          <w:rFonts w:hint="eastAsia" w:ascii="仿宋" w:hAnsi="仿宋" w:eastAsia="仿宋"/>
          <w:color w:val="000000"/>
          <w:sz w:val="32"/>
          <w:szCs w:val="32"/>
        </w:rPr>
        <w:t>遗址开展主题党日活动；</w:t>
      </w:r>
      <w:r>
        <w:rPr>
          <w:rFonts w:ascii="仿宋" w:hAnsi="仿宋" w:eastAsia="仿宋"/>
          <w:color w:val="000000"/>
          <w:sz w:val="32"/>
          <w:szCs w:val="32"/>
        </w:rPr>
        <w:t>7</w:t>
      </w:r>
      <w:r>
        <w:rPr>
          <w:rFonts w:hint="eastAsia" w:ascii="仿宋" w:hAnsi="仿宋" w:eastAsia="仿宋"/>
          <w:color w:val="000000"/>
          <w:sz w:val="32"/>
          <w:szCs w:val="32"/>
        </w:rPr>
        <w:t>月</w:t>
      </w:r>
      <w:r>
        <w:rPr>
          <w:rFonts w:ascii="仿宋" w:hAnsi="仿宋" w:eastAsia="仿宋"/>
          <w:color w:val="000000"/>
          <w:sz w:val="32"/>
          <w:szCs w:val="32"/>
        </w:rPr>
        <w:t>1</w:t>
      </w:r>
      <w:r>
        <w:rPr>
          <w:rFonts w:hint="eastAsia" w:ascii="仿宋" w:hAnsi="仿宋" w:eastAsia="仿宋"/>
          <w:color w:val="000000"/>
          <w:sz w:val="32"/>
          <w:szCs w:val="32"/>
        </w:rPr>
        <w:t>日，组织召开</w:t>
      </w:r>
      <w:r>
        <w:rPr>
          <w:rFonts w:ascii="仿宋" w:hAnsi="仿宋" w:eastAsia="仿宋"/>
          <w:color w:val="000000"/>
          <w:sz w:val="32"/>
          <w:szCs w:val="32"/>
        </w:rPr>
        <w:t>“</w:t>
      </w:r>
      <w:r>
        <w:rPr>
          <w:rFonts w:hint="eastAsia" w:ascii="仿宋" w:hAnsi="仿宋" w:eastAsia="仿宋"/>
          <w:color w:val="000000"/>
          <w:sz w:val="32"/>
          <w:szCs w:val="32"/>
        </w:rPr>
        <w:t>庆祝中国共产党成立</w:t>
      </w:r>
      <w:r>
        <w:rPr>
          <w:rFonts w:ascii="仿宋" w:hAnsi="仿宋" w:eastAsia="仿宋"/>
          <w:color w:val="000000"/>
          <w:sz w:val="32"/>
          <w:szCs w:val="32"/>
        </w:rPr>
        <w:t>99</w:t>
      </w:r>
      <w:r>
        <w:rPr>
          <w:rFonts w:hint="eastAsia" w:ascii="仿宋" w:hAnsi="仿宋" w:eastAsia="仿宋"/>
          <w:color w:val="000000"/>
          <w:sz w:val="32"/>
          <w:szCs w:val="32"/>
        </w:rPr>
        <w:t>周年党员大会</w:t>
      </w:r>
      <w:r>
        <w:rPr>
          <w:rFonts w:ascii="仿宋" w:hAnsi="仿宋" w:eastAsia="仿宋"/>
          <w:color w:val="000000"/>
          <w:sz w:val="32"/>
          <w:szCs w:val="32"/>
        </w:rPr>
        <w:t>”</w:t>
      </w:r>
      <w:r>
        <w:rPr>
          <w:rFonts w:hint="eastAsia" w:ascii="仿宋" w:hAnsi="仿宋" w:eastAsia="仿宋"/>
          <w:color w:val="000000"/>
          <w:sz w:val="32"/>
          <w:szCs w:val="32"/>
        </w:rPr>
        <w:t>，通过观看红色纪录片等方式，引导党员干部思想得到洗礼，灵魂得到触动。二是深抓调查研究。聚焦县委中心工作、突出基层社会治理，依托</w:t>
      </w:r>
      <w:r>
        <w:rPr>
          <w:rFonts w:ascii="仿宋" w:hAnsi="仿宋" w:eastAsia="仿宋"/>
          <w:color w:val="000000"/>
          <w:sz w:val="32"/>
          <w:szCs w:val="32"/>
        </w:rPr>
        <w:t>“</w:t>
      </w:r>
      <w:r>
        <w:rPr>
          <w:rFonts w:hint="eastAsia" w:ascii="仿宋" w:hAnsi="仿宋" w:eastAsia="仿宋"/>
          <w:color w:val="000000"/>
          <w:sz w:val="32"/>
          <w:szCs w:val="32"/>
        </w:rPr>
        <w:t>两联一进</w:t>
      </w:r>
      <w:r>
        <w:rPr>
          <w:rFonts w:ascii="仿宋" w:hAnsi="仿宋" w:eastAsia="仿宋"/>
          <w:color w:val="000000"/>
          <w:sz w:val="32"/>
          <w:szCs w:val="32"/>
        </w:rPr>
        <w:t>”</w:t>
      </w:r>
      <w:r>
        <w:rPr>
          <w:rFonts w:hint="eastAsia" w:ascii="仿宋" w:hAnsi="仿宋" w:eastAsia="仿宋"/>
          <w:color w:val="000000"/>
          <w:sz w:val="32"/>
          <w:szCs w:val="32"/>
        </w:rPr>
        <w:t>群众工作全覆盖和</w:t>
      </w:r>
      <w:r>
        <w:rPr>
          <w:rFonts w:ascii="仿宋" w:hAnsi="仿宋" w:eastAsia="仿宋"/>
          <w:color w:val="000000"/>
          <w:sz w:val="32"/>
          <w:szCs w:val="32"/>
        </w:rPr>
        <w:t>“</w:t>
      </w:r>
      <w:r>
        <w:rPr>
          <w:rFonts w:hint="eastAsia" w:ascii="仿宋" w:hAnsi="仿宋" w:eastAsia="仿宋"/>
          <w:color w:val="000000"/>
          <w:sz w:val="32"/>
          <w:szCs w:val="32"/>
        </w:rPr>
        <w:t>户户访·人人忙</w:t>
      </w:r>
      <w:r>
        <w:rPr>
          <w:rFonts w:ascii="仿宋" w:hAnsi="仿宋" w:eastAsia="仿宋"/>
          <w:color w:val="000000"/>
          <w:sz w:val="32"/>
          <w:szCs w:val="32"/>
        </w:rPr>
        <w:t>”</w:t>
      </w:r>
      <w:r>
        <w:rPr>
          <w:rFonts w:hint="eastAsia" w:ascii="仿宋" w:hAnsi="仿宋" w:eastAsia="仿宋"/>
          <w:color w:val="000000"/>
          <w:sz w:val="32"/>
          <w:szCs w:val="32"/>
        </w:rPr>
        <w:t>专题实践活动，深入基层一线、问题一线、矛盾一线，扎扎实实勤调研、摸实情。</w:t>
      </w:r>
      <w:r>
        <w:rPr>
          <w:rFonts w:hint="eastAsia" w:ascii="宋体" w:hAnsi="Times New Roman" w:cs="宋体"/>
          <w:b/>
          <w:bCs/>
          <w:kern w:val="0"/>
          <w:sz w:val="32"/>
          <w:szCs w:val="32"/>
          <w:lang w:val="zh-CN"/>
        </w:rPr>
        <w:t>三是深化整改落实。</w:t>
      </w:r>
      <w:r>
        <w:rPr>
          <w:rFonts w:hint="eastAsia" w:ascii="仿宋" w:hAnsi="仿宋" w:eastAsia="仿宋"/>
          <w:color w:val="000000"/>
          <w:sz w:val="32"/>
          <w:szCs w:val="32"/>
        </w:rPr>
        <w:t>紧扣州委重大决策部署督查反馈的</w:t>
      </w:r>
      <w:r>
        <w:rPr>
          <w:rFonts w:ascii="仿宋" w:hAnsi="仿宋" w:eastAsia="仿宋"/>
          <w:color w:val="000000"/>
          <w:sz w:val="32"/>
          <w:szCs w:val="32"/>
        </w:rPr>
        <w:t>7</w:t>
      </w:r>
      <w:r>
        <w:rPr>
          <w:rFonts w:hint="eastAsia" w:ascii="仿宋" w:hAnsi="仿宋" w:eastAsia="仿宋"/>
          <w:color w:val="000000"/>
          <w:sz w:val="32"/>
          <w:szCs w:val="32"/>
        </w:rPr>
        <w:t>个方面共性问题和</w:t>
      </w:r>
      <w:r>
        <w:rPr>
          <w:rFonts w:ascii="仿宋" w:hAnsi="仿宋" w:eastAsia="仿宋"/>
          <w:color w:val="000000"/>
          <w:sz w:val="32"/>
          <w:szCs w:val="32"/>
        </w:rPr>
        <w:t>5</w:t>
      </w:r>
      <w:r>
        <w:rPr>
          <w:rFonts w:hint="eastAsia" w:ascii="仿宋" w:hAnsi="仿宋" w:eastAsia="仿宋"/>
          <w:color w:val="000000"/>
          <w:sz w:val="32"/>
          <w:szCs w:val="32"/>
        </w:rPr>
        <w:t>个方面个性问题，细化分解</w:t>
      </w:r>
      <w:r>
        <w:rPr>
          <w:rFonts w:ascii="仿宋" w:hAnsi="仿宋" w:eastAsia="仿宋"/>
          <w:color w:val="000000"/>
          <w:sz w:val="32"/>
          <w:szCs w:val="32"/>
        </w:rPr>
        <w:t>7</w:t>
      </w:r>
      <w:r>
        <w:rPr>
          <w:rFonts w:hint="eastAsia" w:ascii="仿宋" w:hAnsi="仿宋" w:eastAsia="仿宋"/>
          <w:color w:val="000000"/>
          <w:sz w:val="32"/>
          <w:szCs w:val="32"/>
        </w:rPr>
        <w:t>大类</w:t>
      </w:r>
      <w:r>
        <w:rPr>
          <w:rFonts w:ascii="仿宋" w:hAnsi="仿宋" w:eastAsia="仿宋"/>
          <w:color w:val="000000"/>
          <w:sz w:val="32"/>
          <w:szCs w:val="32"/>
        </w:rPr>
        <w:t>27</w:t>
      </w:r>
      <w:r>
        <w:rPr>
          <w:rFonts w:hint="eastAsia" w:ascii="仿宋" w:hAnsi="仿宋" w:eastAsia="仿宋"/>
          <w:color w:val="000000"/>
          <w:sz w:val="32"/>
          <w:szCs w:val="32"/>
        </w:rPr>
        <w:t>项具体整改任务，会同县纪委监委等单位对</w:t>
      </w:r>
      <w:r>
        <w:rPr>
          <w:rFonts w:ascii="仿宋" w:hAnsi="仿宋" w:eastAsia="仿宋"/>
          <w:color w:val="000000"/>
          <w:sz w:val="32"/>
          <w:szCs w:val="32"/>
        </w:rPr>
        <w:t>7</w:t>
      </w:r>
      <w:r>
        <w:rPr>
          <w:rFonts w:hint="eastAsia" w:ascii="仿宋" w:hAnsi="仿宋" w:eastAsia="仿宋"/>
          <w:color w:val="000000"/>
          <w:sz w:val="32"/>
          <w:szCs w:val="32"/>
        </w:rPr>
        <w:t>项工作牵头单位开展督查督导，推动作风问题与工作问题、共性问题与个性问题同步解决。</w:t>
      </w:r>
    </w:p>
    <w:p w14:paraId="08CB06F0">
      <w:pPr>
        <w:autoSpaceDE w:val="0"/>
        <w:autoSpaceDN w:val="0"/>
        <w:adjustRightInd w:val="0"/>
        <w:spacing w:line="578" w:lineRule="atLeast"/>
        <w:ind w:firstLine="640"/>
        <w:rPr>
          <w:rFonts w:ascii="仿宋" w:hAnsi="仿宋" w:eastAsia="仿宋"/>
          <w:color w:val="000000"/>
          <w:sz w:val="32"/>
          <w:szCs w:val="32"/>
        </w:rPr>
      </w:pPr>
      <w:r>
        <w:rPr>
          <w:rFonts w:hint="eastAsia" w:ascii="楷体" w:hAnsi="楷体" w:eastAsia="楷体"/>
          <w:b/>
          <w:color w:val="000000"/>
          <w:sz w:val="32"/>
          <w:szCs w:val="32"/>
        </w:rPr>
        <w:t>二、在参谋助手上争当先进。</w:t>
      </w:r>
      <w:r>
        <w:rPr>
          <w:rFonts w:hint="eastAsia" w:ascii="仿宋" w:hAnsi="仿宋" w:eastAsia="仿宋"/>
          <w:b/>
          <w:color w:val="000000"/>
          <w:sz w:val="32"/>
          <w:szCs w:val="32"/>
        </w:rPr>
        <w:t>一是切实以文辅政。</w:t>
      </w:r>
      <w:r>
        <w:rPr>
          <w:rFonts w:hint="eastAsia" w:ascii="仿宋" w:hAnsi="仿宋" w:eastAsia="仿宋"/>
          <w:color w:val="000000"/>
          <w:sz w:val="32"/>
          <w:szCs w:val="32"/>
        </w:rPr>
        <w:t>起草向省委、州委领导汇报材料</w:t>
      </w:r>
      <w:r>
        <w:rPr>
          <w:rFonts w:ascii="仿宋" w:hAnsi="仿宋" w:eastAsia="仿宋"/>
          <w:color w:val="000000"/>
          <w:sz w:val="32"/>
          <w:szCs w:val="32"/>
        </w:rPr>
        <w:t>30</w:t>
      </w:r>
      <w:r>
        <w:rPr>
          <w:rFonts w:hint="eastAsia" w:ascii="仿宋" w:hAnsi="仿宋" w:eastAsia="仿宋"/>
          <w:color w:val="000000"/>
          <w:sz w:val="32"/>
          <w:szCs w:val="32"/>
        </w:rPr>
        <w:t>余篇，起草《在全县巩固</w:t>
      </w:r>
      <w:r>
        <w:rPr>
          <w:rFonts w:hint="eastAsia" w:ascii="仿宋" w:hAnsi="仿宋" w:eastAsia="仿宋"/>
          <w:color w:val="000000"/>
          <w:sz w:val="32"/>
          <w:szCs w:val="32"/>
          <w:lang w:eastAsia="zh-CN"/>
        </w:rPr>
        <w:t>脱贫攻坚成果</w:t>
      </w:r>
      <w:r>
        <w:rPr>
          <w:rFonts w:hint="eastAsia" w:ascii="仿宋" w:hAnsi="仿宋" w:eastAsia="仿宋"/>
          <w:color w:val="000000"/>
          <w:sz w:val="32"/>
          <w:szCs w:val="32"/>
        </w:rPr>
        <w:t>全面建成小康社会视频会议上的讲话》等各类讲话稿</w:t>
      </w:r>
      <w:r>
        <w:rPr>
          <w:rFonts w:ascii="仿宋" w:hAnsi="仿宋" w:eastAsia="仿宋"/>
          <w:color w:val="000000"/>
          <w:sz w:val="32"/>
          <w:szCs w:val="32"/>
        </w:rPr>
        <w:t>50</w:t>
      </w:r>
      <w:r>
        <w:rPr>
          <w:rFonts w:hint="eastAsia" w:ascii="仿宋" w:hAnsi="仿宋" w:eastAsia="仿宋"/>
          <w:color w:val="000000"/>
          <w:sz w:val="32"/>
          <w:szCs w:val="32"/>
        </w:rPr>
        <w:t>余篇，编制各类方案</w:t>
      </w:r>
      <w:r>
        <w:rPr>
          <w:rFonts w:ascii="仿宋" w:hAnsi="仿宋" w:eastAsia="仿宋"/>
          <w:color w:val="000000"/>
          <w:sz w:val="32"/>
          <w:szCs w:val="32"/>
        </w:rPr>
        <w:t>20</w:t>
      </w:r>
      <w:r>
        <w:rPr>
          <w:rFonts w:hint="eastAsia" w:ascii="仿宋" w:hAnsi="仿宋" w:eastAsia="仿宋"/>
          <w:color w:val="000000"/>
          <w:sz w:val="32"/>
          <w:szCs w:val="32"/>
        </w:rPr>
        <w:t>余篇，形成县委常委会纪要</w:t>
      </w:r>
      <w:r>
        <w:rPr>
          <w:rFonts w:ascii="仿宋" w:hAnsi="仿宋" w:eastAsia="仿宋"/>
          <w:color w:val="000000"/>
          <w:sz w:val="32"/>
          <w:szCs w:val="32"/>
        </w:rPr>
        <w:t>15</w:t>
      </w:r>
      <w:r>
        <w:rPr>
          <w:rFonts w:hint="eastAsia" w:ascii="仿宋" w:hAnsi="仿宋" w:eastAsia="仿宋"/>
          <w:color w:val="000000"/>
          <w:sz w:val="32"/>
          <w:szCs w:val="32"/>
        </w:rPr>
        <w:t>期，有效提升文稿质量。</w:t>
      </w:r>
      <w:r>
        <w:rPr>
          <w:rFonts w:hint="eastAsia" w:ascii="仿宋" w:hAnsi="仿宋" w:eastAsia="仿宋"/>
          <w:b/>
          <w:color w:val="000000"/>
          <w:sz w:val="32"/>
          <w:szCs w:val="32"/>
        </w:rPr>
        <w:t>二是当好参谋助手</w:t>
      </w:r>
      <w:r>
        <w:rPr>
          <w:rFonts w:hint="eastAsia" w:ascii="仿宋" w:hAnsi="仿宋" w:eastAsia="仿宋"/>
          <w:color w:val="000000"/>
          <w:sz w:val="32"/>
          <w:szCs w:val="32"/>
        </w:rPr>
        <w:t>。高质量形成《松潘县黄河流域生态保护和高质量发展的实践与思考》等调研报告，为县委领导科学决策提供参考。</w:t>
      </w:r>
      <w:r>
        <w:rPr>
          <w:rFonts w:hint="eastAsia" w:ascii="仿宋" w:hAnsi="仿宋" w:eastAsia="仿宋"/>
          <w:b/>
          <w:color w:val="000000"/>
          <w:sz w:val="32"/>
          <w:szCs w:val="32"/>
        </w:rPr>
        <w:t>三是优化信息服务。</w:t>
      </w:r>
      <w:r>
        <w:rPr>
          <w:rFonts w:hint="eastAsia" w:ascii="仿宋" w:hAnsi="仿宋" w:eastAsia="仿宋"/>
          <w:color w:val="000000"/>
          <w:sz w:val="32"/>
          <w:szCs w:val="32"/>
        </w:rPr>
        <w:t>及时向省委办公厅报送党委信息</w:t>
      </w:r>
      <w:r>
        <w:rPr>
          <w:rFonts w:ascii="仿宋" w:hAnsi="仿宋" w:eastAsia="仿宋"/>
          <w:color w:val="000000"/>
          <w:sz w:val="32"/>
          <w:szCs w:val="32"/>
        </w:rPr>
        <w:t>22</w:t>
      </w:r>
      <w:r>
        <w:rPr>
          <w:rFonts w:hint="eastAsia" w:ascii="仿宋" w:hAnsi="仿宋" w:eastAsia="仿宋"/>
          <w:color w:val="000000"/>
          <w:sz w:val="32"/>
          <w:szCs w:val="32"/>
        </w:rPr>
        <w:t>期，向州委办报送约稿信息、常规信息、应急信息等</w:t>
      </w:r>
      <w:r>
        <w:rPr>
          <w:rFonts w:ascii="仿宋" w:hAnsi="仿宋" w:eastAsia="仿宋"/>
          <w:color w:val="000000"/>
          <w:sz w:val="32"/>
          <w:szCs w:val="32"/>
        </w:rPr>
        <w:t>44</w:t>
      </w:r>
      <w:r>
        <w:rPr>
          <w:rFonts w:hint="eastAsia" w:ascii="仿宋" w:hAnsi="仿宋" w:eastAsia="仿宋"/>
          <w:color w:val="000000"/>
          <w:sz w:val="32"/>
          <w:szCs w:val="32"/>
        </w:rPr>
        <w:t>期，《松潘县创新方式加大新冠肺炎疫情防控》《松潘县运用</w:t>
      </w:r>
      <w:r>
        <w:rPr>
          <w:rFonts w:ascii="仿宋" w:hAnsi="仿宋" w:eastAsia="仿宋"/>
          <w:color w:val="000000"/>
          <w:sz w:val="32"/>
          <w:szCs w:val="32"/>
        </w:rPr>
        <w:t>“</w:t>
      </w:r>
      <w:r>
        <w:rPr>
          <w:rFonts w:hint="eastAsia" w:ascii="仿宋" w:hAnsi="仿宋" w:eastAsia="仿宋"/>
          <w:color w:val="000000"/>
          <w:sz w:val="32"/>
          <w:szCs w:val="32"/>
        </w:rPr>
        <w:t>四则运算</w:t>
      </w:r>
      <w:r>
        <w:rPr>
          <w:rFonts w:ascii="仿宋" w:hAnsi="仿宋" w:eastAsia="仿宋"/>
          <w:color w:val="000000"/>
          <w:sz w:val="32"/>
          <w:szCs w:val="32"/>
        </w:rPr>
        <w:t>”</w:t>
      </w:r>
      <w:r>
        <w:rPr>
          <w:rFonts w:hint="eastAsia" w:ascii="仿宋" w:hAnsi="仿宋" w:eastAsia="仿宋"/>
          <w:color w:val="000000"/>
          <w:sz w:val="32"/>
          <w:szCs w:val="32"/>
        </w:rPr>
        <w:t>做好村级建制调整改革》等</w:t>
      </w:r>
      <w:r>
        <w:rPr>
          <w:rFonts w:ascii="仿宋" w:hAnsi="仿宋" w:eastAsia="仿宋"/>
          <w:color w:val="000000"/>
          <w:sz w:val="32"/>
          <w:szCs w:val="32"/>
        </w:rPr>
        <w:t>6</w:t>
      </w:r>
      <w:r>
        <w:rPr>
          <w:rFonts w:hint="eastAsia" w:ascii="仿宋" w:hAnsi="仿宋" w:eastAsia="仿宋"/>
          <w:color w:val="000000"/>
          <w:sz w:val="32"/>
          <w:szCs w:val="32"/>
        </w:rPr>
        <w:t>期信息被州委信息办采纳。</w:t>
      </w:r>
    </w:p>
    <w:p w14:paraId="3237E200">
      <w:pPr>
        <w:autoSpaceDE w:val="0"/>
        <w:autoSpaceDN w:val="0"/>
        <w:adjustRightInd w:val="0"/>
        <w:spacing w:line="576" w:lineRule="atLeast"/>
        <w:ind w:firstLine="640"/>
        <w:rPr>
          <w:rFonts w:ascii="Times New Roman" w:hAnsi="Times New Roman"/>
          <w:kern w:val="0"/>
          <w:sz w:val="32"/>
          <w:szCs w:val="32"/>
        </w:rPr>
      </w:pPr>
      <w:r>
        <w:rPr>
          <w:rFonts w:hint="eastAsia" w:ascii="楷体" w:hAnsi="楷体" w:eastAsia="楷体"/>
          <w:b/>
          <w:color w:val="000000"/>
          <w:sz w:val="32"/>
          <w:szCs w:val="32"/>
        </w:rPr>
        <w:t>三、在勇于担当上争当先进</w:t>
      </w:r>
      <w:r>
        <w:rPr>
          <w:rFonts w:hint="eastAsia" w:ascii="宋体" w:hAnsi="Times New Roman" w:cs="宋体"/>
          <w:kern w:val="0"/>
          <w:sz w:val="32"/>
          <w:szCs w:val="32"/>
          <w:lang w:val="zh-CN"/>
        </w:rPr>
        <w:t>。</w:t>
      </w:r>
      <w:r>
        <w:rPr>
          <w:rFonts w:hint="eastAsia" w:ascii="仿宋" w:hAnsi="仿宋" w:eastAsia="仿宋"/>
          <w:b/>
          <w:color w:val="000000"/>
          <w:sz w:val="32"/>
          <w:szCs w:val="32"/>
        </w:rPr>
        <w:t>一是稳步推进国安办工作</w:t>
      </w:r>
      <w:r>
        <w:rPr>
          <w:rFonts w:hint="eastAsia" w:ascii="仿宋" w:hAnsi="仿宋" w:eastAsia="仿宋"/>
          <w:color w:val="000000"/>
          <w:sz w:val="32"/>
          <w:szCs w:val="32"/>
        </w:rPr>
        <w:t>。建立国安情报信息日、周、月、季专报制，向州委国安办报送国安信息</w:t>
      </w:r>
      <w:r>
        <w:rPr>
          <w:rFonts w:ascii="仿宋" w:hAnsi="仿宋" w:eastAsia="仿宋"/>
          <w:color w:val="000000"/>
          <w:sz w:val="32"/>
          <w:szCs w:val="32"/>
        </w:rPr>
        <w:t>120</w:t>
      </w:r>
      <w:r>
        <w:rPr>
          <w:rFonts w:hint="eastAsia" w:ascii="仿宋" w:hAnsi="仿宋" w:eastAsia="仿宋"/>
          <w:color w:val="000000"/>
          <w:sz w:val="32"/>
          <w:szCs w:val="32"/>
        </w:rPr>
        <w:t>期；</w:t>
      </w:r>
      <w:r>
        <w:rPr>
          <w:rFonts w:ascii="仿宋" w:hAnsi="仿宋" w:eastAsia="仿宋"/>
          <w:color w:val="000000"/>
          <w:sz w:val="32"/>
          <w:szCs w:val="32"/>
        </w:rPr>
        <w:t>4</w:t>
      </w:r>
      <w:r>
        <w:rPr>
          <w:rFonts w:hint="eastAsia" w:ascii="仿宋" w:hAnsi="仿宋" w:eastAsia="仿宋"/>
          <w:color w:val="000000"/>
          <w:sz w:val="32"/>
          <w:szCs w:val="32"/>
        </w:rPr>
        <w:t>月</w:t>
      </w:r>
      <w:r>
        <w:rPr>
          <w:rFonts w:ascii="仿宋" w:hAnsi="仿宋" w:eastAsia="仿宋"/>
          <w:color w:val="000000"/>
          <w:sz w:val="32"/>
          <w:szCs w:val="32"/>
        </w:rPr>
        <w:t>15</w:t>
      </w:r>
      <w:r>
        <w:rPr>
          <w:rFonts w:hint="eastAsia" w:ascii="仿宋" w:hAnsi="仿宋" w:eastAsia="仿宋"/>
          <w:color w:val="000000"/>
          <w:sz w:val="32"/>
          <w:szCs w:val="32"/>
        </w:rPr>
        <w:t>日，在全县范</w:t>
      </w:r>
      <w:r>
        <w:rPr>
          <w:rFonts w:hint="eastAsia" w:ascii="仿宋" w:hAnsi="仿宋" w:eastAsia="仿宋"/>
          <w:color w:val="000000"/>
          <w:sz w:val="32"/>
          <w:szCs w:val="32"/>
          <w:lang w:eastAsia="zh-CN"/>
        </w:rPr>
        <w:t>围内</w:t>
      </w:r>
      <w:r>
        <w:rPr>
          <w:rFonts w:hint="eastAsia" w:ascii="仿宋" w:hAnsi="仿宋" w:eastAsia="仿宋"/>
          <w:color w:val="000000"/>
          <w:sz w:val="32"/>
          <w:szCs w:val="32"/>
        </w:rPr>
        <w:t>牵头开展国家安全教育日普法宣传活动，有效提升全县广大干群国家安全意识</w:t>
      </w:r>
      <w:r>
        <w:rPr>
          <w:rFonts w:hint="eastAsia" w:ascii="仿宋" w:hAnsi="仿宋" w:eastAsia="仿宋"/>
          <w:b/>
          <w:color w:val="000000"/>
          <w:sz w:val="32"/>
          <w:szCs w:val="32"/>
        </w:rPr>
        <w:t>。二是认真推进藏区办工作。</w:t>
      </w:r>
      <w:r>
        <w:rPr>
          <w:rFonts w:hint="eastAsia" w:ascii="仿宋" w:hAnsi="仿宋" w:eastAsia="仿宋"/>
          <w:color w:val="000000"/>
          <w:sz w:val="32"/>
          <w:szCs w:val="32"/>
        </w:rPr>
        <w:t>制定印发《贯彻落实州委藏区工作领导小组</w:t>
      </w:r>
      <w:r>
        <w:rPr>
          <w:rFonts w:ascii="仿宋" w:hAnsi="仿宋" w:eastAsia="仿宋"/>
          <w:color w:val="000000"/>
          <w:sz w:val="32"/>
          <w:szCs w:val="32"/>
        </w:rPr>
        <w:t>2020</w:t>
      </w:r>
      <w:r>
        <w:rPr>
          <w:rFonts w:hint="eastAsia" w:ascii="仿宋" w:hAnsi="仿宋" w:eastAsia="仿宋"/>
          <w:color w:val="000000"/>
          <w:sz w:val="32"/>
          <w:szCs w:val="32"/>
        </w:rPr>
        <w:t>年工作要点责任分工方案》，协助指导统战民宗部门拟定报送</w:t>
      </w:r>
      <w:r>
        <w:rPr>
          <w:rFonts w:ascii="仿宋" w:hAnsi="仿宋" w:eastAsia="仿宋"/>
          <w:color w:val="000000"/>
          <w:sz w:val="32"/>
          <w:szCs w:val="32"/>
        </w:rPr>
        <w:t>“</w:t>
      </w:r>
      <w:r>
        <w:rPr>
          <w:rFonts w:hint="eastAsia" w:ascii="仿宋" w:hAnsi="仿宋" w:eastAsia="仿宋"/>
          <w:color w:val="000000"/>
          <w:sz w:val="32"/>
          <w:szCs w:val="32"/>
        </w:rPr>
        <w:t>一寺一策</w:t>
      </w:r>
      <w:r>
        <w:rPr>
          <w:rFonts w:ascii="仿宋" w:hAnsi="仿宋" w:eastAsia="仿宋"/>
          <w:color w:val="000000"/>
          <w:sz w:val="32"/>
          <w:szCs w:val="32"/>
        </w:rPr>
        <w:t>”</w:t>
      </w:r>
      <w:r>
        <w:rPr>
          <w:rFonts w:hint="eastAsia" w:ascii="仿宋" w:hAnsi="仿宋" w:eastAsia="仿宋"/>
          <w:color w:val="000000"/>
          <w:sz w:val="32"/>
          <w:szCs w:val="32"/>
        </w:rPr>
        <w:t>依法管理实施方案。</w:t>
      </w:r>
      <w:r>
        <w:rPr>
          <w:rFonts w:hint="eastAsia" w:ascii="仿宋" w:hAnsi="仿宋" w:eastAsia="仿宋"/>
          <w:b/>
          <w:color w:val="000000"/>
          <w:sz w:val="32"/>
          <w:szCs w:val="32"/>
        </w:rPr>
        <w:t>三是扎实推进深改办工作。</w:t>
      </w:r>
      <w:r>
        <w:rPr>
          <w:rFonts w:hint="eastAsia" w:ascii="仿宋" w:hAnsi="仿宋" w:eastAsia="仿宋"/>
          <w:color w:val="000000"/>
          <w:sz w:val="32"/>
          <w:szCs w:val="32"/>
        </w:rPr>
        <w:t>筹备召开县委深改工作专题会议，拟定</w:t>
      </w:r>
      <w:r>
        <w:rPr>
          <w:rFonts w:ascii="仿宋" w:hAnsi="仿宋" w:eastAsia="仿宋"/>
          <w:color w:val="000000"/>
          <w:sz w:val="32"/>
          <w:szCs w:val="32"/>
        </w:rPr>
        <w:t>2020</w:t>
      </w:r>
      <w:r>
        <w:rPr>
          <w:rFonts w:hint="eastAsia" w:ascii="仿宋" w:hAnsi="仿宋" w:eastAsia="仿宋"/>
          <w:color w:val="000000"/>
          <w:sz w:val="32"/>
          <w:szCs w:val="32"/>
        </w:rPr>
        <w:t>年全面深化改革《工作要点》和《工作台账》，向州委深改办报送专报信息</w:t>
      </w:r>
      <w:r>
        <w:rPr>
          <w:rFonts w:ascii="仿宋" w:hAnsi="仿宋" w:eastAsia="仿宋"/>
          <w:color w:val="000000"/>
          <w:sz w:val="32"/>
          <w:szCs w:val="32"/>
        </w:rPr>
        <w:t>9</w:t>
      </w:r>
      <w:r>
        <w:rPr>
          <w:rFonts w:hint="eastAsia" w:ascii="仿宋" w:hAnsi="仿宋" w:eastAsia="仿宋"/>
          <w:color w:val="000000"/>
          <w:sz w:val="32"/>
          <w:szCs w:val="32"/>
        </w:rPr>
        <w:t>条，《阿坝州松潘县：探索</w:t>
      </w:r>
      <w:r>
        <w:rPr>
          <w:rFonts w:ascii="仿宋" w:hAnsi="仿宋" w:eastAsia="仿宋"/>
          <w:color w:val="000000"/>
          <w:sz w:val="32"/>
          <w:szCs w:val="32"/>
        </w:rPr>
        <w:t>“</w:t>
      </w:r>
      <w:r>
        <w:rPr>
          <w:rFonts w:hint="eastAsia" w:ascii="仿宋" w:hAnsi="仿宋" w:eastAsia="仿宋"/>
          <w:color w:val="000000"/>
          <w:sz w:val="32"/>
          <w:szCs w:val="32"/>
        </w:rPr>
        <w:t>三项加法</w:t>
      </w:r>
      <w:r>
        <w:rPr>
          <w:rFonts w:ascii="仿宋" w:hAnsi="仿宋" w:eastAsia="仿宋"/>
          <w:color w:val="000000"/>
          <w:sz w:val="32"/>
          <w:szCs w:val="32"/>
        </w:rPr>
        <w:t>”</w:t>
      </w:r>
      <w:r>
        <w:rPr>
          <w:rFonts w:hint="eastAsia" w:ascii="仿宋" w:hAnsi="仿宋" w:eastAsia="仿宋"/>
          <w:color w:val="000000"/>
          <w:sz w:val="32"/>
          <w:szCs w:val="32"/>
        </w:rPr>
        <w:t>高原国有企业由小及精改革机制》《松潘县主动融入川西北阿坝生态示范区建设，积极推进县域内重点区域水土流失综合治理》</w:t>
      </w:r>
      <w:r>
        <w:rPr>
          <w:rFonts w:ascii="仿宋" w:hAnsi="仿宋" w:eastAsia="仿宋"/>
          <w:color w:val="000000"/>
          <w:sz w:val="32"/>
          <w:szCs w:val="32"/>
        </w:rPr>
        <w:t>2</w:t>
      </w:r>
      <w:r>
        <w:rPr>
          <w:rFonts w:hint="eastAsia" w:ascii="仿宋" w:hAnsi="仿宋" w:eastAsia="仿宋"/>
          <w:color w:val="000000"/>
          <w:sz w:val="32"/>
          <w:szCs w:val="32"/>
        </w:rPr>
        <w:t>篇信息被采用。</w:t>
      </w:r>
      <w:r>
        <w:rPr>
          <w:rFonts w:hint="eastAsia" w:ascii="仿宋" w:hAnsi="仿宋" w:eastAsia="仿宋"/>
          <w:b/>
          <w:color w:val="000000"/>
          <w:sz w:val="32"/>
          <w:szCs w:val="32"/>
        </w:rPr>
        <w:t>四是着力推进督查室工作。</w:t>
      </w:r>
      <w:r>
        <w:rPr>
          <w:rFonts w:hint="eastAsia" w:ascii="仿宋" w:hAnsi="仿宋" w:eastAsia="仿宋"/>
          <w:color w:val="000000"/>
          <w:sz w:val="32"/>
          <w:szCs w:val="32"/>
        </w:rPr>
        <w:t>按照</w:t>
      </w:r>
      <w:r>
        <w:rPr>
          <w:rFonts w:ascii="仿宋" w:hAnsi="仿宋" w:eastAsia="仿宋"/>
          <w:color w:val="000000"/>
          <w:sz w:val="32"/>
          <w:szCs w:val="32"/>
        </w:rPr>
        <w:t>“</w:t>
      </w:r>
      <w:r>
        <w:rPr>
          <w:rFonts w:hint="eastAsia" w:ascii="仿宋" w:hAnsi="仿宋" w:eastAsia="仿宋"/>
          <w:color w:val="000000"/>
          <w:sz w:val="32"/>
          <w:szCs w:val="32"/>
        </w:rPr>
        <w:t>督查倒逼落实</w:t>
      </w:r>
      <w:r>
        <w:rPr>
          <w:rFonts w:ascii="仿宋" w:hAnsi="仿宋" w:eastAsia="仿宋"/>
          <w:color w:val="000000"/>
          <w:sz w:val="32"/>
          <w:szCs w:val="32"/>
        </w:rPr>
        <w:t>”</w:t>
      </w:r>
      <w:r>
        <w:rPr>
          <w:rFonts w:hint="eastAsia" w:ascii="仿宋" w:hAnsi="仿宋" w:eastAsia="仿宋"/>
          <w:color w:val="000000"/>
          <w:sz w:val="32"/>
          <w:szCs w:val="32"/>
        </w:rPr>
        <w:t>的要求，针对县委常委会、书记专题会等会议议定事项，分解任务、建立台账，开展常规督查</w:t>
      </w:r>
      <w:r>
        <w:rPr>
          <w:rFonts w:ascii="仿宋" w:hAnsi="仿宋" w:eastAsia="仿宋"/>
          <w:color w:val="000000"/>
          <w:sz w:val="32"/>
          <w:szCs w:val="32"/>
        </w:rPr>
        <w:t>16</w:t>
      </w:r>
      <w:r>
        <w:rPr>
          <w:rFonts w:hint="eastAsia" w:ascii="仿宋" w:hAnsi="仿宋" w:eastAsia="仿宋"/>
          <w:color w:val="000000"/>
          <w:sz w:val="32"/>
          <w:szCs w:val="32"/>
        </w:rPr>
        <w:t>次，民生、项目、脱贫攻坚、防汛减灾等专项督查</w:t>
      </w:r>
      <w:r>
        <w:rPr>
          <w:rFonts w:ascii="仿宋" w:hAnsi="仿宋" w:eastAsia="仿宋"/>
          <w:color w:val="000000"/>
          <w:sz w:val="32"/>
          <w:szCs w:val="32"/>
        </w:rPr>
        <w:t>7</w:t>
      </w:r>
      <w:r>
        <w:rPr>
          <w:rFonts w:hint="eastAsia" w:ascii="仿宋" w:hAnsi="仿宋" w:eastAsia="仿宋"/>
          <w:color w:val="000000"/>
          <w:sz w:val="32"/>
          <w:szCs w:val="32"/>
        </w:rPr>
        <w:t>次，形成督查专报</w:t>
      </w:r>
      <w:r>
        <w:rPr>
          <w:rFonts w:ascii="仿宋" w:hAnsi="仿宋" w:eastAsia="仿宋"/>
          <w:color w:val="000000"/>
          <w:sz w:val="32"/>
          <w:szCs w:val="32"/>
        </w:rPr>
        <w:t>9</w:t>
      </w:r>
      <w:r>
        <w:rPr>
          <w:rFonts w:hint="eastAsia" w:ascii="仿宋" w:hAnsi="仿宋" w:eastAsia="仿宋"/>
          <w:color w:val="000000"/>
          <w:sz w:val="32"/>
          <w:szCs w:val="32"/>
        </w:rPr>
        <w:t>期，切实做到</w:t>
      </w:r>
      <w:r>
        <w:rPr>
          <w:rFonts w:ascii="仿宋" w:hAnsi="仿宋" w:eastAsia="仿宋"/>
          <w:color w:val="000000"/>
          <w:sz w:val="32"/>
          <w:szCs w:val="32"/>
        </w:rPr>
        <w:t>“</w:t>
      </w:r>
      <w:r>
        <w:rPr>
          <w:rFonts w:hint="eastAsia" w:ascii="仿宋" w:hAnsi="仿宋" w:eastAsia="仿宋"/>
          <w:color w:val="000000"/>
          <w:sz w:val="32"/>
          <w:szCs w:val="32"/>
        </w:rPr>
        <w:t>决策作出之时即为督查启动之时</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五是务实推进联系点工作</w:t>
      </w:r>
      <w:r>
        <w:rPr>
          <w:rFonts w:hint="eastAsia" w:ascii="仿宋" w:hAnsi="仿宋" w:eastAsia="仿宋"/>
          <w:color w:val="000000"/>
          <w:sz w:val="32"/>
          <w:szCs w:val="32"/>
        </w:rPr>
        <w:t>。深入安宏乡扎实开展</w:t>
      </w:r>
      <w:r>
        <w:rPr>
          <w:rFonts w:ascii="仿宋" w:hAnsi="仿宋" w:eastAsia="仿宋"/>
          <w:color w:val="000000"/>
          <w:sz w:val="32"/>
          <w:szCs w:val="32"/>
        </w:rPr>
        <w:t>“</w:t>
      </w:r>
      <w:r>
        <w:rPr>
          <w:rFonts w:hint="eastAsia" w:ascii="仿宋" w:hAnsi="仿宋" w:eastAsia="仿宋"/>
          <w:color w:val="000000"/>
          <w:sz w:val="32"/>
          <w:szCs w:val="32"/>
        </w:rPr>
        <w:t>两联一进</w:t>
      </w:r>
      <w:r>
        <w:rPr>
          <w:rFonts w:ascii="仿宋" w:hAnsi="仿宋" w:eastAsia="仿宋"/>
          <w:color w:val="000000"/>
          <w:sz w:val="32"/>
          <w:szCs w:val="32"/>
        </w:rPr>
        <w:t>”</w:t>
      </w:r>
      <w:r>
        <w:rPr>
          <w:rFonts w:hint="eastAsia" w:ascii="仿宋" w:hAnsi="仿宋" w:eastAsia="仿宋"/>
          <w:color w:val="000000"/>
          <w:sz w:val="32"/>
          <w:szCs w:val="32"/>
        </w:rPr>
        <w:t>群众工作全覆盖、</w:t>
      </w:r>
      <w:r>
        <w:rPr>
          <w:rFonts w:ascii="仿宋" w:hAnsi="仿宋" w:eastAsia="仿宋"/>
          <w:color w:val="000000"/>
          <w:sz w:val="32"/>
          <w:szCs w:val="32"/>
        </w:rPr>
        <w:t>“</w:t>
      </w:r>
      <w:r>
        <w:rPr>
          <w:rFonts w:hint="eastAsia" w:ascii="仿宋" w:hAnsi="仿宋" w:eastAsia="仿宋"/>
          <w:color w:val="000000"/>
          <w:sz w:val="32"/>
          <w:szCs w:val="32"/>
        </w:rPr>
        <w:t>户户访·人人忙</w:t>
      </w:r>
      <w:r>
        <w:rPr>
          <w:rFonts w:ascii="仿宋" w:hAnsi="仿宋" w:eastAsia="仿宋"/>
          <w:color w:val="000000"/>
          <w:sz w:val="32"/>
          <w:szCs w:val="32"/>
        </w:rPr>
        <w:t>”</w:t>
      </w:r>
      <w:r>
        <w:rPr>
          <w:rFonts w:hint="eastAsia" w:ascii="仿宋" w:hAnsi="仿宋" w:eastAsia="仿宋"/>
          <w:color w:val="000000"/>
          <w:sz w:val="32"/>
          <w:szCs w:val="32"/>
        </w:rPr>
        <w:t>专题实践活动等工作，帮扶人员到村开展帮扶工作</w:t>
      </w:r>
      <w:r>
        <w:rPr>
          <w:rFonts w:ascii="仿宋" w:hAnsi="仿宋" w:eastAsia="仿宋"/>
          <w:color w:val="000000"/>
          <w:sz w:val="32"/>
          <w:szCs w:val="32"/>
        </w:rPr>
        <w:t>80</w:t>
      </w:r>
      <w:r>
        <w:rPr>
          <w:rFonts w:hint="eastAsia" w:ascii="仿宋" w:hAnsi="仿宋" w:eastAsia="仿宋"/>
          <w:color w:val="000000"/>
          <w:sz w:val="32"/>
          <w:szCs w:val="32"/>
        </w:rPr>
        <w:t>余人次，带头转作风密切联系群众。为安宏乡解决</w:t>
      </w:r>
      <w:r>
        <w:rPr>
          <w:rFonts w:ascii="仿宋" w:hAnsi="仿宋" w:eastAsia="仿宋"/>
          <w:color w:val="000000"/>
          <w:sz w:val="32"/>
          <w:szCs w:val="32"/>
        </w:rPr>
        <w:t>“</w:t>
      </w:r>
      <w:r>
        <w:rPr>
          <w:rFonts w:hint="eastAsia" w:ascii="仿宋" w:hAnsi="仿宋" w:eastAsia="仿宋"/>
          <w:color w:val="000000"/>
          <w:sz w:val="32"/>
          <w:szCs w:val="32"/>
        </w:rPr>
        <w:t>三域一居</w:t>
      </w:r>
      <w:r>
        <w:rPr>
          <w:rFonts w:ascii="仿宋" w:hAnsi="仿宋" w:eastAsia="仿宋"/>
          <w:color w:val="000000"/>
          <w:sz w:val="32"/>
          <w:szCs w:val="32"/>
        </w:rPr>
        <w:t>”</w:t>
      </w:r>
      <w:r>
        <w:rPr>
          <w:rFonts w:hint="eastAsia" w:ascii="仿宋" w:hAnsi="仿宋" w:eastAsia="仿宋"/>
          <w:color w:val="000000"/>
          <w:sz w:val="32"/>
          <w:szCs w:val="32"/>
        </w:rPr>
        <w:t>环境整治和群众接待室硬件设施采买资金</w:t>
      </w:r>
      <w:r>
        <w:rPr>
          <w:rFonts w:ascii="仿宋" w:hAnsi="仿宋" w:eastAsia="仿宋"/>
          <w:color w:val="000000"/>
          <w:sz w:val="32"/>
          <w:szCs w:val="32"/>
        </w:rPr>
        <w:t>9</w:t>
      </w:r>
      <w:r>
        <w:rPr>
          <w:rFonts w:hint="eastAsia" w:ascii="仿宋" w:hAnsi="仿宋" w:eastAsia="仿宋"/>
          <w:color w:val="000000"/>
          <w:sz w:val="32"/>
          <w:szCs w:val="32"/>
        </w:rPr>
        <w:t>万元。六是有效推进后勤服务。严明会计制度和财经纪律，完成政府采购项目</w:t>
      </w:r>
      <w:r>
        <w:rPr>
          <w:rFonts w:ascii="仿宋" w:hAnsi="仿宋" w:eastAsia="仿宋"/>
          <w:color w:val="000000"/>
          <w:sz w:val="32"/>
          <w:szCs w:val="32"/>
        </w:rPr>
        <w:t>1</w:t>
      </w:r>
      <w:r>
        <w:rPr>
          <w:rFonts w:hint="eastAsia" w:ascii="仿宋" w:hAnsi="仿宋" w:eastAsia="仿宋"/>
          <w:color w:val="000000"/>
          <w:sz w:val="32"/>
          <w:szCs w:val="32"/>
        </w:rPr>
        <w:t>项，处理财务账目</w:t>
      </w:r>
      <w:r>
        <w:rPr>
          <w:rFonts w:ascii="仿宋" w:hAnsi="仿宋" w:eastAsia="仿宋"/>
          <w:color w:val="000000"/>
          <w:sz w:val="32"/>
          <w:szCs w:val="32"/>
        </w:rPr>
        <w:t>5</w:t>
      </w:r>
      <w:r>
        <w:rPr>
          <w:rFonts w:hint="eastAsia" w:ascii="仿宋" w:hAnsi="仿宋" w:eastAsia="仿宋"/>
          <w:color w:val="000000"/>
          <w:sz w:val="32"/>
          <w:szCs w:val="32"/>
        </w:rPr>
        <w:t>份，编制财务报表、账目凭证96册，完善固定资产基础数据台账</w:t>
      </w:r>
      <w:r>
        <w:rPr>
          <w:rFonts w:ascii="仿宋" w:hAnsi="仿宋" w:eastAsia="仿宋"/>
          <w:color w:val="000000"/>
          <w:sz w:val="32"/>
          <w:szCs w:val="32"/>
        </w:rPr>
        <w:t>148</w:t>
      </w:r>
      <w:r>
        <w:rPr>
          <w:rFonts w:hint="eastAsia" w:ascii="仿宋" w:hAnsi="仿宋" w:eastAsia="仿宋"/>
          <w:color w:val="000000"/>
          <w:sz w:val="32"/>
          <w:szCs w:val="32"/>
        </w:rPr>
        <w:t>条。做好县委重要会议后勤保障，累计办会180余场次。</w:t>
      </w:r>
    </w:p>
    <w:p w14:paraId="1E44C603">
      <w:pPr>
        <w:autoSpaceDE w:val="0"/>
        <w:autoSpaceDN w:val="0"/>
        <w:adjustRightInd w:val="0"/>
        <w:spacing w:line="578" w:lineRule="atLeast"/>
        <w:ind w:firstLine="640"/>
        <w:rPr>
          <w:rFonts w:ascii="仿宋" w:hAnsi="仿宋" w:eastAsia="仿宋"/>
          <w:color w:val="000000"/>
          <w:sz w:val="32"/>
          <w:szCs w:val="32"/>
        </w:rPr>
      </w:pPr>
      <w:r>
        <w:rPr>
          <w:rFonts w:hint="eastAsia" w:ascii="楷体" w:hAnsi="楷体" w:eastAsia="楷体"/>
          <w:b/>
          <w:color w:val="000000"/>
          <w:sz w:val="32"/>
          <w:szCs w:val="32"/>
        </w:rPr>
        <w:t>四、在</w:t>
      </w:r>
      <w:r>
        <w:rPr>
          <w:rFonts w:hint="eastAsia" w:ascii="楷体" w:hAnsi="楷体" w:eastAsia="楷体"/>
          <w:b/>
          <w:color w:val="000000"/>
          <w:sz w:val="32"/>
          <w:szCs w:val="32"/>
          <w:lang w:eastAsia="zh-CN"/>
        </w:rPr>
        <w:t>提高</w:t>
      </w:r>
      <w:r>
        <w:rPr>
          <w:rFonts w:hint="eastAsia" w:ascii="楷体" w:hAnsi="楷体" w:eastAsia="楷体"/>
          <w:b/>
          <w:color w:val="000000"/>
          <w:sz w:val="32"/>
          <w:szCs w:val="32"/>
        </w:rPr>
        <w:t>效率上争当先进。</w:t>
      </w:r>
      <w:r>
        <w:rPr>
          <w:rFonts w:hint="eastAsia" w:ascii="宋体" w:hAnsi="Times New Roman" w:cs="宋体"/>
          <w:b/>
          <w:bCs/>
          <w:kern w:val="0"/>
          <w:sz w:val="32"/>
          <w:szCs w:val="32"/>
          <w:lang w:val="zh-CN"/>
        </w:rPr>
        <w:t>一</w:t>
      </w:r>
      <w:r>
        <w:rPr>
          <w:rFonts w:hint="eastAsia" w:ascii="仿宋" w:hAnsi="仿宋" w:eastAsia="仿宋"/>
          <w:b/>
          <w:color w:val="000000"/>
          <w:sz w:val="32"/>
          <w:szCs w:val="32"/>
        </w:rPr>
        <w:t>是明确职责任务</w:t>
      </w:r>
      <w:r>
        <w:rPr>
          <w:rFonts w:hint="eastAsia" w:ascii="仿宋" w:hAnsi="仿宋" w:eastAsia="仿宋"/>
          <w:color w:val="000000"/>
          <w:sz w:val="32"/>
          <w:szCs w:val="32"/>
        </w:rPr>
        <w:t>。按照县委机构改革要求，根据县委办公室新</w:t>
      </w:r>
      <w:r>
        <w:rPr>
          <w:rFonts w:ascii="仿宋" w:hAnsi="仿宋" w:eastAsia="仿宋"/>
          <w:color w:val="000000"/>
          <w:sz w:val="32"/>
          <w:szCs w:val="32"/>
        </w:rPr>
        <w:t>“</w:t>
      </w:r>
      <w:r>
        <w:rPr>
          <w:rFonts w:hint="eastAsia" w:ascii="仿宋" w:hAnsi="仿宋" w:eastAsia="仿宋"/>
          <w:color w:val="000000"/>
          <w:sz w:val="32"/>
          <w:szCs w:val="32"/>
        </w:rPr>
        <w:t>三定</w:t>
      </w:r>
      <w:r>
        <w:rPr>
          <w:rFonts w:ascii="仿宋" w:hAnsi="仿宋" w:eastAsia="仿宋"/>
          <w:color w:val="000000"/>
          <w:sz w:val="32"/>
          <w:szCs w:val="32"/>
        </w:rPr>
        <w:t>”</w:t>
      </w:r>
      <w:r>
        <w:rPr>
          <w:rFonts w:hint="eastAsia" w:ascii="仿宋" w:hAnsi="仿宋" w:eastAsia="仿宋"/>
          <w:color w:val="000000"/>
          <w:sz w:val="32"/>
          <w:szCs w:val="32"/>
        </w:rPr>
        <w:t>方案，及时调整班子配备，完成科室职能职责调整细化和人员配备，及时补位不缺位。</w:t>
      </w:r>
      <w:r>
        <w:rPr>
          <w:rFonts w:hint="eastAsia" w:ascii="仿宋" w:hAnsi="仿宋" w:eastAsia="仿宋"/>
          <w:b/>
          <w:color w:val="000000"/>
          <w:sz w:val="32"/>
          <w:szCs w:val="32"/>
        </w:rPr>
        <w:t>二是统筹重大活动。</w:t>
      </w:r>
      <w:r>
        <w:rPr>
          <w:rFonts w:hint="eastAsia" w:ascii="仿宋" w:hAnsi="仿宋" w:eastAsia="仿宋"/>
          <w:color w:val="000000"/>
          <w:sz w:val="32"/>
          <w:szCs w:val="32"/>
        </w:rPr>
        <w:t>服务省部级领导来松调研视察</w:t>
      </w:r>
      <w:r>
        <w:rPr>
          <w:rFonts w:ascii="仿宋" w:hAnsi="仿宋" w:eastAsia="仿宋"/>
          <w:color w:val="000000"/>
          <w:sz w:val="32"/>
          <w:szCs w:val="32"/>
        </w:rPr>
        <w:t>2</w:t>
      </w:r>
      <w:r>
        <w:rPr>
          <w:rFonts w:hint="eastAsia" w:ascii="仿宋" w:hAnsi="仿宋" w:eastAsia="仿宋"/>
          <w:color w:val="000000"/>
          <w:sz w:val="32"/>
          <w:szCs w:val="32"/>
        </w:rPr>
        <w:t>批次、厅级领导</w:t>
      </w:r>
      <w:r>
        <w:rPr>
          <w:rFonts w:ascii="仿宋" w:hAnsi="仿宋" w:eastAsia="仿宋"/>
          <w:color w:val="000000"/>
          <w:sz w:val="32"/>
          <w:szCs w:val="32"/>
        </w:rPr>
        <w:t>44</w:t>
      </w:r>
      <w:r>
        <w:rPr>
          <w:rFonts w:hint="eastAsia" w:ascii="仿宋" w:hAnsi="仿宋" w:eastAsia="仿宋"/>
          <w:color w:val="000000"/>
          <w:sz w:val="32"/>
          <w:szCs w:val="32"/>
        </w:rPr>
        <w:t>批次，州级检查组96</w:t>
      </w:r>
      <w:r>
        <w:rPr>
          <w:rFonts w:hint="eastAsia" w:ascii="仿宋" w:hAnsi="仿宋" w:eastAsia="仿宋"/>
          <w:color w:val="000000"/>
          <w:sz w:val="32"/>
          <w:szCs w:val="32"/>
          <w:lang w:eastAsia="zh-CN"/>
        </w:rPr>
        <w:t>批次</w:t>
      </w:r>
      <w:r>
        <w:rPr>
          <w:rFonts w:hint="eastAsia" w:ascii="仿宋" w:hAnsi="仿宋" w:eastAsia="仿宋"/>
          <w:color w:val="000000"/>
          <w:sz w:val="32"/>
          <w:szCs w:val="32"/>
        </w:rPr>
        <w:t>，累计服务接待2196人。圆满完成成西铁路四川段建设启动仪式、天府旅游名县创建，</w:t>
      </w:r>
      <w:r>
        <w:rPr>
          <w:rFonts w:hint="eastAsia" w:ascii="仿宋" w:hAnsi="仿宋" w:eastAsia="仿宋"/>
          <w:color w:val="000000"/>
          <w:sz w:val="32"/>
          <w:szCs w:val="32"/>
          <w:lang w:eastAsia="zh-CN"/>
        </w:rPr>
        <w:t>脱贫</w:t>
      </w:r>
      <w:r>
        <w:rPr>
          <w:rFonts w:hint="eastAsia" w:ascii="仿宋" w:hAnsi="仿宋" w:eastAsia="仿宋"/>
          <w:color w:val="000000"/>
          <w:sz w:val="32"/>
          <w:szCs w:val="32"/>
        </w:rPr>
        <w:t>攻坚成效考核等接待任务。</w:t>
      </w:r>
      <w:r>
        <w:rPr>
          <w:rFonts w:hint="eastAsia" w:ascii="仿宋" w:hAnsi="仿宋" w:eastAsia="仿宋"/>
          <w:b/>
          <w:color w:val="000000"/>
          <w:sz w:val="32"/>
          <w:szCs w:val="32"/>
        </w:rPr>
        <w:t>三是大力减负增效</w:t>
      </w:r>
      <w:r>
        <w:rPr>
          <w:rFonts w:hint="eastAsia" w:ascii="仿宋" w:hAnsi="仿宋" w:eastAsia="仿宋"/>
          <w:color w:val="000000"/>
          <w:sz w:val="32"/>
          <w:szCs w:val="32"/>
        </w:rPr>
        <w:t>。坚持从破除</w:t>
      </w:r>
      <w:r>
        <w:rPr>
          <w:rFonts w:ascii="仿宋" w:hAnsi="仿宋" w:eastAsia="仿宋"/>
          <w:color w:val="000000"/>
          <w:sz w:val="32"/>
          <w:szCs w:val="32"/>
        </w:rPr>
        <w:t>“</w:t>
      </w:r>
      <w:r>
        <w:rPr>
          <w:rFonts w:hint="eastAsia" w:ascii="仿宋" w:hAnsi="仿宋" w:eastAsia="仿宋"/>
          <w:color w:val="000000"/>
          <w:sz w:val="32"/>
          <w:szCs w:val="32"/>
        </w:rPr>
        <w:t>文山会海</w:t>
      </w:r>
      <w:r>
        <w:rPr>
          <w:rFonts w:ascii="仿宋" w:hAnsi="仿宋" w:eastAsia="仿宋"/>
          <w:color w:val="000000"/>
          <w:sz w:val="32"/>
          <w:szCs w:val="32"/>
        </w:rPr>
        <w:t>”“</w:t>
      </w:r>
      <w:r>
        <w:rPr>
          <w:rFonts w:hint="eastAsia" w:ascii="仿宋" w:hAnsi="仿宋" w:eastAsia="仿宋"/>
          <w:color w:val="000000"/>
          <w:sz w:val="32"/>
          <w:szCs w:val="32"/>
        </w:rPr>
        <w:t>繁文缛节</w:t>
      </w:r>
      <w:r>
        <w:rPr>
          <w:rFonts w:ascii="仿宋" w:hAnsi="仿宋" w:eastAsia="仿宋"/>
          <w:color w:val="000000"/>
          <w:sz w:val="32"/>
          <w:szCs w:val="32"/>
        </w:rPr>
        <w:t>”“</w:t>
      </w:r>
      <w:r>
        <w:rPr>
          <w:rFonts w:hint="eastAsia" w:ascii="仿宋" w:hAnsi="仿宋" w:eastAsia="仿宋"/>
          <w:color w:val="000000"/>
          <w:sz w:val="32"/>
          <w:szCs w:val="32"/>
        </w:rPr>
        <w:t>过度留痕</w:t>
      </w:r>
      <w:r>
        <w:rPr>
          <w:rFonts w:ascii="仿宋" w:hAnsi="仿宋" w:eastAsia="仿宋"/>
          <w:color w:val="000000"/>
          <w:sz w:val="32"/>
          <w:szCs w:val="32"/>
        </w:rPr>
        <w:t>”</w:t>
      </w:r>
      <w:r>
        <w:rPr>
          <w:rFonts w:hint="eastAsia" w:ascii="仿宋" w:hAnsi="仿宋" w:eastAsia="仿宋"/>
          <w:color w:val="000000"/>
          <w:sz w:val="32"/>
          <w:szCs w:val="32"/>
        </w:rPr>
        <w:t>等入手，加大形式主义、官僚主义整治力度，制发文件</w:t>
      </w:r>
      <w:r>
        <w:rPr>
          <w:rFonts w:ascii="仿宋" w:hAnsi="仿宋" w:eastAsia="仿宋"/>
          <w:color w:val="000000"/>
          <w:sz w:val="32"/>
          <w:szCs w:val="32"/>
        </w:rPr>
        <w:t>136</w:t>
      </w:r>
      <w:r>
        <w:rPr>
          <w:rFonts w:hint="eastAsia" w:ascii="仿宋" w:hAnsi="仿宋" w:eastAsia="仿宋"/>
          <w:color w:val="000000"/>
          <w:sz w:val="32"/>
          <w:szCs w:val="32"/>
        </w:rPr>
        <w:t>件、同比减少</w:t>
      </w:r>
      <w:r>
        <w:rPr>
          <w:rFonts w:ascii="仿宋" w:hAnsi="仿宋" w:eastAsia="仿宋"/>
          <w:color w:val="000000"/>
          <w:sz w:val="32"/>
          <w:szCs w:val="32"/>
        </w:rPr>
        <w:t>38%</w:t>
      </w:r>
      <w:r>
        <w:rPr>
          <w:rFonts w:hint="eastAsia" w:ascii="仿宋" w:hAnsi="仿宋" w:eastAsia="仿宋"/>
          <w:color w:val="000000"/>
          <w:sz w:val="32"/>
          <w:szCs w:val="32"/>
        </w:rPr>
        <w:t>，筹备全县性会议</w:t>
      </w:r>
      <w:r>
        <w:rPr>
          <w:rFonts w:ascii="仿宋" w:hAnsi="仿宋" w:eastAsia="仿宋"/>
          <w:color w:val="000000"/>
          <w:sz w:val="32"/>
          <w:szCs w:val="32"/>
        </w:rPr>
        <w:t>20</w:t>
      </w:r>
      <w:r>
        <w:rPr>
          <w:rFonts w:hint="eastAsia" w:ascii="仿宋" w:hAnsi="仿宋" w:eastAsia="仿宋"/>
          <w:color w:val="000000"/>
          <w:sz w:val="32"/>
          <w:szCs w:val="32"/>
        </w:rPr>
        <w:t>余次、同比减少</w:t>
      </w:r>
      <w:r>
        <w:rPr>
          <w:rFonts w:ascii="仿宋" w:hAnsi="仿宋" w:eastAsia="仿宋"/>
          <w:color w:val="000000"/>
          <w:sz w:val="32"/>
          <w:szCs w:val="32"/>
        </w:rPr>
        <w:t>15%</w:t>
      </w:r>
      <w:r>
        <w:rPr>
          <w:rFonts w:hint="eastAsia" w:ascii="仿宋" w:hAnsi="仿宋" w:eastAsia="仿宋"/>
          <w:color w:val="000000"/>
          <w:sz w:val="32"/>
          <w:szCs w:val="32"/>
        </w:rPr>
        <w:t>，督查、考核事项同比分别减少</w:t>
      </w:r>
      <w:r>
        <w:rPr>
          <w:rFonts w:ascii="仿宋" w:hAnsi="仿宋" w:eastAsia="仿宋"/>
          <w:color w:val="000000"/>
          <w:sz w:val="32"/>
          <w:szCs w:val="32"/>
        </w:rPr>
        <w:t>20%</w:t>
      </w:r>
      <w:r>
        <w:rPr>
          <w:rFonts w:hint="eastAsia" w:ascii="仿宋" w:hAnsi="仿宋" w:eastAsia="仿宋"/>
          <w:color w:val="000000"/>
          <w:sz w:val="32"/>
          <w:szCs w:val="32"/>
        </w:rPr>
        <w:t>、</w:t>
      </w:r>
      <w:r>
        <w:rPr>
          <w:rFonts w:ascii="仿宋" w:hAnsi="仿宋" w:eastAsia="仿宋"/>
          <w:color w:val="000000"/>
          <w:sz w:val="32"/>
          <w:szCs w:val="32"/>
        </w:rPr>
        <w:t>30%</w:t>
      </w:r>
      <w:r>
        <w:rPr>
          <w:rFonts w:hint="eastAsia" w:ascii="仿宋" w:hAnsi="仿宋" w:eastAsia="仿宋"/>
          <w:color w:val="000000"/>
          <w:sz w:val="32"/>
          <w:szCs w:val="32"/>
        </w:rPr>
        <w:t>，着力为基层减负。四是积极回应诉求。办理转办州委书记信箱信件</w:t>
      </w:r>
      <w:r>
        <w:rPr>
          <w:rFonts w:ascii="仿宋" w:hAnsi="仿宋" w:eastAsia="仿宋"/>
          <w:color w:val="000000"/>
          <w:sz w:val="32"/>
          <w:szCs w:val="32"/>
        </w:rPr>
        <w:t>11</w:t>
      </w:r>
      <w:r>
        <w:rPr>
          <w:rFonts w:hint="eastAsia" w:ascii="仿宋" w:hAnsi="仿宋" w:eastAsia="仿宋"/>
          <w:color w:val="000000"/>
          <w:sz w:val="32"/>
          <w:szCs w:val="32"/>
        </w:rPr>
        <w:t>件，协调解决基层困难</w:t>
      </w:r>
      <w:r>
        <w:rPr>
          <w:rFonts w:ascii="仿宋" w:hAnsi="仿宋" w:eastAsia="仿宋"/>
          <w:color w:val="000000"/>
          <w:sz w:val="32"/>
          <w:szCs w:val="32"/>
        </w:rPr>
        <w:t>30</w:t>
      </w:r>
      <w:r>
        <w:rPr>
          <w:rFonts w:hint="eastAsia" w:ascii="仿宋" w:hAnsi="仿宋" w:eastAsia="仿宋"/>
          <w:color w:val="000000"/>
          <w:sz w:val="32"/>
          <w:szCs w:val="32"/>
        </w:rPr>
        <w:t>余件，得到全县各界一致好评。</w:t>
      </w:r>
    </w:p>
    <w:p w14:paraId="54F25E3D">
      <w:pPr>
        <w:pStyle w:val="11"/>
        <w:rPr>
          <w:rFonts w:hint="eastAsia" w:ascii="黑体" w:hAnsi="黑体" w:eastAsia="黑体" w:cs="宋体"/>
          <w:sz w:val="32"/>
          <w:szCs w:val="32"/>
        </w:rPr>
      </w:pPr>
      <w:r>
        <w:rPr>
          <w:rFonts w:hint="eastAsia" w:ascii="楷体" w:hAnsi="楷体" w:eastAsia="楷体"/>
          <w:b/>
          <w:color w:val="000000"/>
          <w:sz w:val="32"/>
          <w:szCs w:val="32"/>
        </w:rPr>
        <w:t>五、在遵规守纪上争当先进。</w:t>
      </w:r>
      <w:r>
        <w:rPr>
          <w:rFonts w:hint="eastAsia" w:ascii="宋体" w:hAnsi="Times New Roman" w:cs="宋体"/>
          <w:b/>
          <w:bCs/>
          <w:kern w:val="0"/>
          <w:sz w:val="32"/>
          <w:szCs w:val="32"/>
          <w:lang w:val="zh-CN"/>
        </w:rPr>
        <w:t>一</w:t>
      </w:r>
      <w:r>
        <w:rPr>
          <w:rFonts w:hint="eastAsia" w:ascii="仿宋" w:hAnsi="仿宋" w:eastAsia="仿宋"/>
          <w:b/>
          <w:color w:val="000000"/>
          <w:sz w:val="32"/>
          <w:szCs w:val="32"/>
        </w:rPr>
        <w:t>是</w:t>
      </w:r>
      <w:r>
        <w:rPr>
          <w:rFonts w:hint="eastAsia" w:ascii="仿宋" w:hAnsi="仿宋" w:eastAsia="仿宋"/>
          <w:b/>
          <w:color w:val="000000"/>
          <w:sz w:val="32"/>
          <w:szCs w:val="32"/>
          <w:lang w:eastAsia="zh-CN"/>
        </w:rPr>
        <w:t>严</w:t>
      </w:r>
      <w:r>
        <w:rPr>
          <w:rFonts w:hint="eastAsia" w:ascii="仿宋" w:hAnsi="仿宋" w:eastAsia="仿宋"/>
          <w:b/>
          <w:color w:val="000000"/>
          <w:sz w:val="32"/>
          <w:szCs w:val="32"/>
        </w:rPr>
        <w:t>抓廉政建设</w:t>
      </w:r>
      <w:r>
        <w:rPr>
          <w:rFonts w:hint="eastAsia" w:ascii="仿宋" w:hAnsi="仿宋" w:eastAsia="仿宋"/>
          <w:color w:val="000000"/>
          <w:sz w:val="32"/>
          <w:szCs w:val="32"/>
        </w:rPr>
        <w:t>。认真履行主体责任，全面落实</w:t>
      </w:r>
      <w:r>
        <w:rPr>
          <w:rFonts w:ascii="仿宋" w:hAnsi="仿宋" w:eastAsia="仿宋"/>
          <w:color w:val="000000"/>
          <w:sz w:val="32"/>
          <w:szCs w:val="32"/>
        </w:rPr>
        <w:t>“</w:t>
      </w:r>
      <w:r>
        <w:rPr>
          <w:rFonts w:hint="eastAsia" w:ascii="仿宋" w:hAnsi="仿宋" w:eastAsia="仿宋"/>
          <w:color w:val="000000"/>
          <w:sz w:val="32"/>
          <w:szCs w:val="32"/>
        </w:rPr>
        <w:t>一岗双责</w:t>
      </w:r>
      <w:r>
        <w:rPr>
          <w:rFonts w:ascii="仿宋" w:hAnsi="仿宋" w:eastAsia="仿宋"/>
          <w:color w:val="000000"/>
          <w:sz w:val="32"/>
          <w:szCs w:val="32"/>
        </w:rPr>
        <w:t>”</w:t>
      </w:r>
      <w:r>
        <w:rPr>
          <w:rFonts w:hint="eastAsia" w:ascii="仿宋" w:hAnsi="仿宋" w:eastAsia="仿宋"/>
          <w:color w:val="000000"/>
          <w:sz w:val="32"/>
          <w:szCs w:val="32"/>
        </w:rPr>
        <w:t>，签订《党风廉政建设主体责任书》《不利用地方名贵特产谋取私利承诺书》《党员干部、国家公职人员不参与赌博承诺书》</w:t>
      </w:r>
      <w:r>
        <w:rPr>
          <w:rFonts w:ascii="仿宋" w:hAnsi="仿宋" w:eastAsia="仿宋"/>
          <w:color w:val="000000"/>
          <w:sz w:val="32"/>
          <w:szCs w:val="32"/>
        </w:rPr>
        <w:t>50</w:t>
      </w:r>
      <w:r>
        <w:rPr>
          <w:rFonts w:hint="eastAsia" w:ascii="仿宋" w:hAnsi="仿宋" w:eastAsia="仿宋"/>
          <w:color w:val="000000"/>
          <w:sz w:val="32"/>
          <w:szCs w:val="32"/>
        </w:rPr>
        <w:t>余份，切实压紧压实廉政责任。</w:t>
      </w:r>
      <w:r>
        <w:rPr>
          <w:rFonts w:hint="eastAsia" w:ascii="仿宋" w:hAnsi="仿宋" w:eastAsia="仿宋"/>
          <w:b/>
          <w:color w:val="000000"/>
          <w:sz w:val="32"/>
          <w:szCs w:val="32"/>
        </w:rPr>
        <w:t>二是安全抓保密机要。</w:t>
      </w:r>
      <w:r>
        <w:rPr>
          <w:rFonts w:hint="eastAsia" w:ascii="仿宋" w:hAnsi="仿宋" w:eastAsia="仿宋"/>
          <w:color w:val="000000"/>
          <w:sz w:val="32"/>
          <w:szCs w:val="32"/>
        </w:rPr>
        <w:t>扎实开展安可试点工作，保障党政高清视频会议</w:t>
      </w:r>
      <w:r>
        <w:rPr>
          <w:rFonts w:ascii="仿宋" w:hAnsi="仿宋" w:eastAsia="仿宋"/>
          <w:color w:val="000000"/>
          <w:sz w:val="32"/>
          <w:szCs w:val="32"/>
        </w:rPr>
        <w:t>80</w:t>
      </w:r>
      <w:r>
        <w:rPr>
          <w:rFonts w:hint="eastAsia" w:ascii="仿宋" w:hAnsi="仿宋" w:eastAsia="仿宋"/>
          <w:color w:val="000000"/>
          <w:sz w:val="32"/>
          <w:szCs w:val="32"/>
        </w:rPr>
        <w:t>余场次。严格按照党政网省级业务应用迁移工作推进时间节点和工作任务，基本党政网迁移工作。牵头承办应急密码保障演练现场会。组织力量对各乡镇、各部门开展保密自查自评督查，举办保密法律法规宣传教育会议</w:t>
      </w:r>
      <w:r>
        <w:rPr>
          <w:rFonts w:ascii="仿宋" w:hAnsi="仿宋" w:eastAsia="仿宋"/>
          <w:color w:val="000000"/>
          <w:sz w:val="32"/>
          <w:szCs w:val="32"/>
        </w:rPr>
        <w:t>1</w:t>
      </w:r>
      <w:r>
        <w:rPr>
          <w:rFonts w:hint="eastAsia" w:ascii="仿宋" w:hAnsi="仿宋" w:eastAsia="仿宋"/>
          <w:color w:val="000000"/>
          <w:sz w:val="32"/>
          <w:szCs w:val="32"/>
        </w:rPr>
        <w:t>期，与全县</w:t>
      </w:r>
      <w:r>
        <w:rPr>
          <w:rFonts w:ascii="仿宋" w:hAnsi="仿宋" w:eastAsia="仿宋"/>
          <w:color w:val="000000"/>
          <w:sz w:val="32"/>
          <w:szCs w:val="32"/>
        </w:rPr>
        <w:t>28</w:t>
      </w:r>
      <w:r>
        <w:rPr>
          <w:rFonts w:hint="eastAsia" w:ascii="仿宋" w:hAnsi="仿宋" w:eastAsia="仿宋"/>
          <w:color w:val="000000"/>
          <w:sz w:val="32"/>
          <w:szCs w:val="32"/>
        </w:rPr>
        <w:t>家文印店签订保密责任书，协助纪委查处泄密案件</w:t>
      </w:r>
      <w:r>
        <w:rPr>
          <w:rFonts w:ascii="仿宋" w:hAnsi="仿宋" w:eastAsia="仿宋"/>
          <w:color w:val="000000"/>
          <w:sz w:val="32"/>
          <w:szCs w:val="32"/>
        </w:rPr>
        <w:t>1</w:t>
      </w:r>
      <w:r>
        <w:rPr>
          <w:rFonts w:hint="eastAsia" w:ascii="仿宋" w:hAnsi="仿宋" w:eastAsia="仿宋"/>
          <w:color w:val="000000"/>
          <w:sz w:val="32"/>
          <w:szCs w:val="32"/>
        </w:rPr>
        <w:t>起。</w:t>
      </w:r>
      <w:r>
        <w:rPr>
          <w:rFonts w:hint="eastAsia" w:ascii="仿宋" w:hAnsi="仿宋" w:eastAsia="仿宋"/>
          <w:b/>
          <w:color w:val="000000"/>
          <w:sz w:val="32"/>
          <w:szCs w:val="32"/>
        </w:rPr>
        <w:t>三是规范抓应急值守</w:t>
      </w:r>
      <w:r>
        <w:rPr>
          <w:rFonts w:hint="eastAsia" w:ascii="仿宋" w:hAnsi="仿宋" w:eastAsia="仿宋"/>
          <w:color w:val="000000"/>
          <w:sz w:val="32"/>
          <w:szCs w:val="32"/>
        </w:rPr>
        <w:t>。严格值班值守制度，向州委办报送《值班报告》</w:t>
      </w:r>
      <w:r>
        <w:rPr>
          <w:rFonts w:ascii="仿宋" w:hAnsi="仿宋" w:eastAsia="仿宋"/>
          <w:color w:val="000000"/>
          <w:sz w:val="32"/>
          <w:szCs w:val="32"/>
        </w:rPr>
        <w:t>20</w:t>
      </w:r>
      <w:r>
        <w:rPr>
          <w:rFonts w:hint="eastAsia" w:ascii="仿宋" w:hAnsi="仿宋" w:eastAsia="仿宋"/>
          <w:color w:val="000000"/>
          <w:sz w:val="32"/>
          <w:szCs w:val="32"/>
        </w:rPr>
        <w:t>期。全力保障</w:t>
      </w:r>
      <w:r>
        <w:rPr>
          <w:rFonts w:ascii="仿宋" w:hAnsi="仿宋" w:eastAsia="仿宋"/>
          <w:color w:val="000000"/>
          <w:sz w:val="32"/>
          <w:szCs w:val="32"/>
        </w:rPr>
        <w:t>3</w:t>
      </w:r>
      <w:r>
        <w:rPr>
          <w:rFonts w:hint="eastAsia" w:ascii="仿宋" w:hAnsi="仿宋" w:eastAsia="仿宋"/>
          <w:color w:val="000000"/>
          <w:sz w:val="32"/>
          <w:szCs w:val="32"/>
        </w:rPr>
        <w:t>月、</w:t>
      </w:r>
      <w:r>
        <w:rPr>
          <w:rFonts w:ascii="仿宋" w:hAnsi="仿宋" w:eastAsia="仿宋"/>
          <w:color w:val="000000"/>
          <w:sz w:val="32"/>
          <w:szCs w:val="32"/>
        </w:rPr>
        <w:t>7</w:t>
      </w:r>
      <w:r>
        <w:rPr>
          <w:rFonts w:hint="eastAsia" w:ascii="仿宋" w:hAnsi="仿宋" w:eastAsia="仿宋"/>
          <w:color w:val="000000"/>
          <w:sz w:val="32"/>
          <w:szCs w:val="32"/>
        </w:rPr>
        <w:t>月、8月等敏感节点值守任务，在防汛期间昼夜值班值守，全力支持抢险救灾等工作。四是贴心抓人文关爱。办公室领导先后与</w:t>
      </w:r>
      <w:r>
        <w:rPr>
          <w:rFonts w:ascii="仿宋" w:hAnsi="仿宋" w:eastAsia="仿宋"/>
          <w:color w:val="000000"/>
          <w:sz w:val="32"/>
          <w:szCs w:val="32"/>
        </w:rPr>
        <w:t>30</w:t>
      </w:r>
      <w:r>
        <w:rPr>
          <w:rFonts w:hint="eastAsia" w:ascii="仿宋" w:hAnsi="仿宋" w:eastAsia="仿宋"/>
          <w:color w:val="000000"/>
          <w:sz w:val="32"/>
          <w:szCs w:val="32"/>
        </w:rPr>
        <w:t>余名干部职工谈心谈话、交流思想；切实保障职工年休假、产假、病</w:t>
      </w:r>
      <w:bookmarkEnd w:id="16"/>
      <w:bookmarkEnd w:id="17"/>
      <w:bookmarkEnd w:id="18"/>
      <w:bookmarkEnd w:id="19"/>
      <w:r>
        <w:rPr>
          <w:rFonts w:hint="eastAsia" w:ascii="黑体" w:hAnsi="黑体" w:eastAsia="黑体" w:cs="宋体"/>
          <w:sz w:val="32"/>
          <w:szCs w:val="32"/>
        </w:rPr>
        <w:t xml:space="preserve"> 一、部门（单位）情况</w:t>
      </w:r>
    </w:p>
    <w:p w14:paraId="1814DD2D">
      <w:pPr>
        <w:pStyle w:val="11"/>
        <w:rPr>
          <w:rFonts w:hint="eastAsia" w:ascii="仿宋" w:hAnsi="仿宋" w:eastAsia="仿宋" w:cs="宋体"/>
          <w:sz w:val="32"/>
          <w:szCs w:val="32"/>
        </w:rPr>
      </w:pPr>
      <w:r>
        <w:rPr>
          <w:rFonts w:hint="eastAsia" w:ascii="仿宋" w:hAnsi="仿宋" w:eastAsia="仿宋" w:cs="宋体"/>
          <w:sz w:val="32"/>
          <w:szCs w:val="32"/>
        </w:rPr>
        <w:t>　　（一）主要职能</w:t>
      </w:r>
    </w:p>
    <w:p w14:paraId="62399806">
      <w:pPr>
        <w:pStyle w:val="11"/>
        <w:rPr>
          <w:rFonts w:hint="eastAsia" w:ascii="仿宋" w:hAnsi="仿宋" w:eastAsia="仿宋" w:cs="宋体"/>
          <w:sz w:val="32"/>
          <w:szCs w:val="32"/>
        </w:rPr>
      </w:pPr>
      <w:r>
        <w:rPr>
          <w:rFonts w:hint="eastAsia" w:ascii="仿宋" w:hAnsi="仿宋" w:eastAsia="仿宋" w:cs="宋体"/>
          <w:sz w:val="32"/>
          <w:szCs w:val="32"/>
        </w:rPr>
        <w:t>　　1.协助县委、县政府和</w:t>
      </w:r>
      <w:r>
        <w:rPr>
          <w:rFonts w:hint="eastAsia" w:ascii="仿宋" w:hAnsi="仿宋" w:eastAsia="仿宋" w:cs="宋体"/>
          <w:sz w:val="32"/>
          <w:szCs w:val="32"/>
          <w:lang w:eastAsia="zh-CN"/>
        </w:rPr>
        <w:t>县委、县政府</w:t>
      </w:r>
      <w:r>
        <w:rPr>
          <w:rFonts w:hint="eastAsia" w:ascii="仿宋" w:hAnsi="仿宋" w:eastAsia="仿宋" w:cs="宋体"/>
          <w:sz w:val="32"/>
          <w:szCs w:val="32"/>
        </w:rPr>
        <w:t>领导督促检查贯彻落实党和国家方针、政策、指示、决定情况。</w:t>
      </w:r>
    </w:p>
    <w:p w14:paraId="03FCC357">
      <w:pPr>
        <w:pStyle w:val="11"/>
        <w:rPr>
          <w:rFonts w:hint="eastAsia" w:ascii="仿宋" w:hAnsi="仿宋" w:eastAsia="仿宋" w:cs="宋体"/>
          <w:sz w:val="32"/>
          <w:szCs w:val="32"/>
        </w:rPr>
      </w:pPr>
      <w:r>
        <w:rPr>
          <w:rFonts w:hint="eastAsia" w:ascii="仿宋" w:hAnsi="仿宋" w:eastAsia="仿宋" w:cs="宋体"/>
          <w:sz w:val="32"/>
          <w:szCs w:val="32"/>
        </w:rPr>
        <w:t>　　2.督查落实上级党委领导机关和领导同志批示交办事项。</w:t>
      </w:r>
    </w:p>
    <w:p w14:paraId="2FF941A1">
      <w:pPr>
        <w:pStyle w:val="11"/>
        <w:rPr>
          <w:rFonts w:hint="eastAsia" w:ascii="仿宋" w:hAnsi="仿宋" w:eastAsia="仿宋" w:cs="宋体"/>
          <w:sz w:val="32"/>
          <w:szCs w:val="32"/>
        </w:rPr>
      </w:pPr>
      <w:r>
        <w:rPr>
          <w:rFonts w:hint="eastAsia" w:ascii="仿宋" w:hAnsi="仿宋" w:eastAsia="仿宋" w:cs="宋体"/>
          <w:sz w:val="32"/>
          <w:szCs w:val="32"/>
        </w:rPr>
        <w:t>　　3.督查落实县委、县政府重要文件、重要会议决议、决定和重大决策、重要工作部署。</w:t>
      </w:r>
    </w:p>
    <w:p w14:paraId="77532858">
      <w:pPr>
        <w:pStyle w:val="11"/>
        <w:rPr>
          <w:rFonts w:hint="eastAsia" w:ascii="仿宋" w:hAnsi="仿宋" w:eastAsia="仿宋" w:cs="宋体"/>
          <w:sz w:val="32"/>
          <w:szCs w:val="32"/>
        </w:rPr>
      </w:pPr>
      <w:r>
        <w:rPr>
          <w:rFonts w:hint="eastAsia" w:ascii="仿宋" w:hAnsi="仿宋" w:eastAsia="仿宋" w:cs="宋体"/>
          <w:sz w:val="32"/>
          <w:szCs w:val="32"/>
        </w:rPr>
        <w:t>　　4.督查落实县委、县政府和领导同志重要指示、批示。</w:t>
      </w:r>
    </w:p>
    <w:p w14:paraId="38A389FC">
      <w:pPr>
        <w:pStyle w:val="11"/>
        <w:rPr>
          <w:rFonts w:hint="eastAsia" w:ascii="仿宋" w:hAnsi="仿宋" w:eastAsia="仿宋" w:cs="宋体"/>
          <w:sz w:val="32"/>
          <w:szCs w:val="32"/>
        </w:rPr>
      </w:pPr>
      <w:r>
        <w:rPr>
          <w:rFonts w:hint="eastAsia" w:ascii="仿宋" w:hAnsi="仿宋" w:eastAsia="仿宋" w:cs="宋体"/>
          <w:sz w:val="32"/>
          <w:szCs w:val="32"/>
        </w:rPr>
        <w:t>　　5.督查落实本级或上一级人大代表、政协委员提出的需要由县委、县政府答复的有关议案、提案的办理情况。</w:t>
      </w:r>
    </w:p>
    <w:p w14:paraId="6BB4627D">
      <w:pPr>
        <w:pStyle w:val="11"/>
        <w:rPr>
          <w:rFonts w:hint="eastAsia" w:ascii="仿宋" w:hAnsi="仿宋" w:eastAsia="仿宋" w:cs="宋体"/>
          <w:sz w:val="32"/>
          <w:szCs w:val="32"/>
        </w:rPr>
      </w:pPr>
      <w:r>
        <w:rPr>
          <w:rFonts w:hint="eastAsia" w:ascii="仿宋" w:hAnsi="仿宋" w:eastAsia="仿宋" w:cs="宋体"/>
          <w:sz w:val="32"/>
          <w:szCs w:val="32"/>
        </w:rPr>
        <w:t>　　6.查办新闻单位披露的本地、本部门的问题并要求反馈结果或需要核查的事项。</w:t>
      </w:r>
    </w:p>
    <w:p w14:paraId="08DF068F">
      <w:pPr>
        <w:pStyle w:val="11"/>
        <w:rPr>
          <w:rFonts w:hint="eastAsia" w:ascii="仿宋" w:hAnsi="仿宋" w:eastAsia="仿宋" w:cs="宋体"/>
          <w:sz w:val="32"/>
          <w:szCs w:val="32"/>
        </w:rPr>
      </w:pPr>
      <w:r>
        <w:rPr>
          <w:rFonts w:hint="eastAsia" w:ascii="仿宋" w:hAnsi="仿宋" w:eastAsia="仿宋" w:cs="宋体"/>
          <w:sz w:val="32"/>
          <w:szCs w:val="32"/>
        </w:rPr>
        <w:t>　　7.根据决策实施的进展情况，对关系全局的热点问题、工作落实的难点问题和执行中出现的</w:t>
      </w:r>
      <w:r>
        <w:rPr>
          <w:rFonts w:hint="eastAsia" w:ascii="仿宋" w:hAnsi="仿宋" w:eastAsia="仿宋" w:cs="宋体"/>
          <w:sz w:val="32"/>
          <w:szCs w:val="32"/>
          <w:lang w:eastAsia="zh-CN"/>
        </w:rPr>
        <w:t>苗头性、倾向性问题</w:t>
      </w:r>
      <w:r>
        <w:rPr>
          <w:rFonts w:hint="eastAsia" w:ascii="仿宋" w:hAnsi="仿宋" w:eastAsia="仿宋" w:cs="宋体"/>
          <w:sz w:val="32"/>
          <w:szCs w:val="32"/>
        </w:rPr>
        <w:t>开展调研，对重点问题进行解剖分析，向党委、政府写出专题或综合报告。</w:t>
      </w:r>
    </w:p>
    <w:p w14:paraId="15C77EE1">
      <w:pPr>
        <w:pStyle w:val="11"/>
        <w:rPr>
          <w:rFonts w:hint="eastAsia" w:ascii="仿宋" w:hAnsi="仿宋" w:eastAsia="仿宋" w:cs="宋体"/>
          <w:sz w:val="32"/>
          <w:szCs w:val="32"/>
        </w:rPr>
      </w:pPr>
      <w:r>
        <w:rPr>
          <w:rFonts w:hint="eastAsia" w:ascii="仿宋" w:hAnsi="仿宋" w:eastAsia="仿宋" w:cs="宋体"/>
          <w:sz w:val="32"/>
          <w:szCs w:val="32"/>
        </w:rPr>
        <w:t>　　8.根据党委、政府授权，协调和推动各职能部门和下级党委、政府开展督促检查。</w:t>
      </w:r>
    </w:p>
    <w:p w14:paraId="3A4523B6">
      <w:pPr>
        <w:pStyle w:val="11"/>
        <w:rPr>
          <w:rFonts w:hint="eastAsia" w:ascii="仿宋" w:hAnsi="仿宋" w:eastAsia="仿宋" w:cs="宋体"/>
          <w:sz w:val="32"/>
          <w:szCs w:val="32"/>
        </w:rPr>
      </w:pPr>
      <w:r>
        <w:rPr>
          <w:rFonts w:hint="eastAsia" w:ascii="仿宋" w:hAnsi="仿宋" w:eastAsia="仿宋" w:cs="宋体"/>
          <w:sz w:val="32"/>
          <w:szCs w:val="32"/>
        </w:rPr>
        <w:t>　　9.加强同各职能部门的联系，了解有关工作的进展情况，向党委、政府汇总报告。</w:t>
      </w:r>
    </w:p>
    <w:p w14:paraId="22193F78">
      <w:pPr>
        <w:pStyle w:val="11"/>
        <w:rPr>
          <w:rFonts w:hint="eastAsia" w:ascii="仿宋" w:hAnsi="仿宋" w:eastAsia="仿宋" w:cs="宋体"/>
          <w:sz w:val="32"/>
          <w:szCs w:val="32"/>
        </w:rPr>
      </w:pPr>
      <w:r>
        <w:rPr>
          <w:rFonts w:hint="eastAsia" w:ascii="仿宋" w:hAnsi="仿宋" w:eastAsia="仿宋" w:cs="宋体"/>
          <w:sz w:val="32"/>
          <w:szCs w:val="32"/>
        </w:rPr>
        <w:t>　　10.指导、督促党委、政府重大决策和重要工作部署的全面落实。11.负责全县的目标管理考核工作。</w:t>
      </w:r>
    </w:p>
    <w:p w14:paraId="62B48D80">
      <w:pPr>
        <w:pStyle w:val="11"/>
        <w:rPr>
          <w:rFonts w:hint="eastAsia" w:ascii="仿宋" w:hAnsi="仿宋" w:eastAsia="仿宋" w:cs="宋体"/>
          <w:sz w:val="32"/>
          <w:szCs w:val="32"/>
        </w:rPr>
      </w:pPr>
      <w:r>
        <w:rPr>
          <w:rFonts w:hint="eastAsia" w:ascii="仿宋" w:hAnsi="仿宋" w:eastAsia="仿宋" w:cs="宋体"/>
          <w:sz w:val="32"/>
          <w:szCs w:val="32"/>
        </w:rPr>
        <w:t>　　12.负责编发《督查专报》。</w:t>
      </w:r>
    </w:p>
    <w:p w14:paraId="58BD51E3">
      <w:pPr>
        <w:pStyle w:val="11"/>
        <w:rPr>
          <w:rFonts w:hint="eastAsia" w:ascii="仿宋" w:hAnsi="仿宋" w:eastAsia="仿宋" w:cs="宋体"/>
          <w:sz w:val="32"/>
          <w:szCs w:val="32"/>
        </w:rPr>
      </w:pPr>
      <w:r>
        <w:rPr>
          <w:rFonts w:hint="eastAsia" w:ascii="仿宋" w:hAnsi="仿宋" w:eastAsia="仿宋" w:cs="宋体"/>
          <w:sz w:val="32"/>
          <w:szCs w:val="32"/>
        </w:rPr>
        <w:t xml:space="preserve">   （二）2019年重点工作完成情况</w:t>
      </w:r>
    </w:p>
    <w:p w14:paraId="7A598493">
      <w:pPr>
        <w:pStyle w:val="11"/>
        <w:rPr>
          <w:rFonts w:hint="eastAsia" w:ascii="仿宋" w:hAnsi="仿宋" w:eastAsia="仿宋" w:cs="宋体"/>
          <w:sz w:val="32"/>
          <w:szCs w:val="32"/>
        </w:rPr>
      </w:pPr>
      <w:r>
        <w:rPr>
          <w:rFonts w:hint="eastAsia" w:ascii="仿宋" w:hAnsi="仿宋" w:eastAsia="仿宋" w:cs="宋体"/>
          <w:sz w:val="32"/>
          <w:szCs w:val="32"/>
        </w:rPr>
        <w:t>　　</w:t>
      </w:r>
      <w:r>
        <w:rPr>
          <w:rFonts w:hint="eastAsia" w:ascii="仿宋" w:hAnsi="仿宋" w:eastAsia="仿宋" w:cs="宋体"/>
          <w:sz w:val="32"/>
          <w:szCs w:val="32"/>
          <w:lang w:eastAsia="zh-CN"/>
        </w:rPr>
        <w:t>1.</w:t>
      </w:r>
      <w:r>
        <w:rPr>
          <w:rFonts w:hint="eastAsia" w:ascii="仿宋" w:hAnsi="仿宋" w:eastAsia="仿宋" w:cs="宋体"/>
          <w:sz w:val="32"/>
          <w:szCs w:val="32"/>
        </w:rPr>
        <w:t>目标绩效管理工作稳步推进</w:t>
      </w:r>
    </w:p>
    <w:p w14:paraId="1BC8187A">
      <w:pPr>
        <w:pStyle w:val="11"/>
        <w:rPr>
          <w:rFonts w:hint="eastAsia" w:ascii="仿宋" w:hAnsi="仿宋" w:eastAsia="仿宋" w:cs="宋体"/>
          <w:sz w:val="32"/>
          <w:szCs w:val="32"/>
        </w:rPr>
      </w:pPr>
      <w:r>
        <w:rPr>
          <w:rFonts w:hint="eastAsia" w:ascii="仿宋" w:hAnsi="仿宋" w:eastAsia="仿宋" w:cs="宋体"/>
          <w:sz w:val="32"/>
          <w:szCs w:val="32"/>
        </w:rPr>
        <w:t>　　今年，县目标督查办在总结以往目标考核工作得失的基础上，结合我县实际，制定出了一套科学合理、客观公正的目标绩效管理考核暂行办法。一是修订了考核办法。2020年，在原有考核办法的基础上新增了领导批示加分内容。调整了创先争优加分、计算公式等31条内容。二是按照共性与个性相结合、定性与定量相结合的原则，细化了考评指标。进一步完善了保证目标（乡镇共计10个大项49个子项，县直机关及省州驻松单位共计10个大项43个子项）、政务目标（乡镇共计3个大项49个子项，县直机关及省州驻松单位包含个性目标和专项目标（32个子项））、综合测评（3项）、创先争优四大考核指标体系。三是创新督查方式，运用“四组加法”（“随机抽查+暗访回访</w:t>
      </w:r>
      <w:r>
        <w:rPr>
          <w:rFonts w:hint="eastAsia" w:ascii="仿宋" w:hAnsi="仿宋" w:eastAsia="仿宋" w:cs="宋体"/>
          <w:sz w:val="32"/>
          <w:szCs w:val="32"/>
          <w:lang w:eastAsia="zh-CN"/>
        </w:rPr>
        <w:t>”“</w:t>
      </w:r>
      <w:r>
        <w:rPr>
          <w:rFonts w:hint="eastAsia" w:ascii="仿宋" w:hAnsi="仿宋" w:eastAsia="仿宋" w:cs="宋体"/>
          <w:sz w:val="32"/>
          <w:szCs w:val="32"/>
        </w:rPr>
        <w:t>平台监测+实地督查</w:t>
      </w:r>
      <w:r>
        <w:rPr>
          <w:rFonts w:hint="eastAsia" w:ascii="仿宋" w:hAnsi="仿宋" w:eastAsia="仿宋" w:cs="宋体"/>
          <w:sz w:val="32"/>
          <w:szCs w:val="32"/>
          <w:lang w:eastAsia="zh-CN"/>
        </w:rPr>
        <w:t>”“</w:t>
      </w:r>
      <w:r>
        <w:rPr>
          <w:rFonts w:hint="eastAsia" w:ascii="仿宋" w:hAnsi="仿宋" w:eastAsia="仿宋" w:cs="宋体"/>
          <w:sz w:val="32"/>
          <w:szCs w:val="32"/>
        </w:rPr>
        <w:t>阶段巡察+上半程监控</w:t>
      </w:r>
      <w:r>
        <w:rPr>
          <w:rFonts w:hint="eastAsia" w:ascii="仿宋" w:hAnsi="仿宋" w:eastAsia="仿宋" w:cs="宋体"/>
          <w:sz w:val="32"/>
          <w:szCs w:val="32"/>
          <w:lang w:eastAsia="zh-CN"/>
        </w:rPr>
        <w:t>”“</w:t>
      </w:r>
      <w:r>
        <w:rPr>
          <w:rFonts w:hint="eastAsia" w:ascii="仿宋" w:hAnsi="仿宋" w:eastAsia="仿宋" w:cs="宋体"/>
          <w:sz w:val="32"/>
          <w:szCs w:val="32"/>
        </w:rPr>
        <w:t>综合横向+专项纵深”）推动工作落实。</w:t>
      </w:r>
    </w:p>
    <w:p w14:paraId="5F2DAB6E">
      <w:pPr>
        <w:pStyle w:val="11"/>
        <w:rPr>
          <w:rFonts w:hint="eastAsia" w:ascii="仿宋" w:hAnsi="仿宋" w:eastAsia="仿宋" w:cs="宋体"/>
          <w:sz w:val="32"/>
          <w:szCs w:val="32"/>
        </w:rPr>
      </w:pPr>
      <w:r>
        <w:rPr>
          <w:rFonts w:hint="eastAsia" w:ascii="仿宋" w:hAnsi="仿宋" w:eastAsia="仿宋" w:cs="宋体"/>
          <w:sz w:val="32"/>
          <w:szCs w:val="32"/>
        </w:rPr>
        <w:t>　　</w:t>
      </w:r>
      <w:r>
        <w:rPr>
          <w:rFonts w:hint="eastAsia" w:ascii="仿宋" w:hAnsi="仿宋" w:eastAsia="仿宋" w:cs="宋体"/>
          <w:sz w:val="32"/>
          <w:szCs w:val="32"/>
          <w:lang w:eastAsia="zh-CN"/>
        </w:rPr>
        <w:t>2.</w:t>
      </w:r>
      <w:r>
        <w:rPr>
          <w:rFonts w:hint="eastAsia" w:ascii="仿宋" w:hAnsi="仿宋" w:eastAsia="仿宋" w:cs="宋体"/>
          <w:sz w:val="32"/>
          <w:szCs w:val="32"/>
        </w:rPr>
        <w:t>督促检查工作成效明显</w:t>
      </w:r>
    </w:p>
    <w:p w14:paraId="52E86890">
      <w:pPr>
        <w:pStyle w:val="11"/>
        <w:rPr>
          <w:rFonts w:hint="eastAsia" w:ascii="仿宋" w:hAnsi="仿宋" w:eastAsia="仿宋" w:cs="宋体"/>
          <w:sz w:val="32"/>
          <w:szCs w:val="32"/>
        </w:rPr>
      </w:pPr>
      <w:r>
        <w:rPr>
          <w:rFonts w:hint="eastAsia" w:ascii="仿宋" w:hAnsi="仿宋" w:eastAsia="仿宋" w:cs="宋体"/>
          <w:sz w:val="32"/>
          <w:szCs w:val="32"/>
        </w:rPr>
        <w:t>2020年，我办狠抓督促检查工作，全年开展督查工作138余次，陪同上级督查15次，开展暗访督查工作20次，综合督查40次，专项督查66次，</w:t>
      </w:r>
      <w:r>
        <w:rPr>
          <w:rFonts w:hint="eastAsia" w:ascii="仿宋" w:hAnsi="仿宋" w:eastAsia="仿宋" w:cs="宋体"/>
          <w:sz w:val="32"/>
          <w:szCs w:val="32"/>
          <w:lang w:eastAsia="zh-CN"/>
        </w:rPr>
        <w:t>截至</w:t>
      </w:r>
      <w:r>
        <w:rPr>
          <w:rFonts w:hint="eastAsia" w:ascii="仿宋" w:hAnsi="仿宋" w:eastAsia="仿宋" w:cs="宋体"/>
          <w:sz w:val="32"/>
          <w:szCs w:val="32"/>
        </w:rPr>
        <w:t>12月31日，制发《督办通知单》49份，《督查专报》24期，下发督查文件32份，上报各类材料50余份。</w:t>
      </w:r>
    </w:p>
    <w:p w14:paraId="154C1016">
      <w:pPr>
        <w:pStyle w:val="11"/>
        <w:rPr>
          <w:rFonts w:hint="eastAsia" w:ascii="仿宋" w:hAnsi="仿宋" w:eastAsia="仿宋" w:cs="宋体"/>
          <w:sz w:val="32"/>
          <w:szCs w:val="32"/>
        </w:rPr>
      </w:pPr>
      <w:r>
        <w:rPr>
          <w:rFonts w:hint="eastAsia" w:ascii="仿宋" w:hAnsi="仿宋" w:eastAsia="仿宋" w:cs="宋体"/>
          <w:sz w:val="32"/>
          <w:szCs w:val="32"/>
        </w:rPr>
        <w:t>　　（一）突出决策督查，确保政令畅通。对县委常委会、县政府常务会、</w:t>
      </w:r>
      <w:r>
        <w:rPr>
          <w:rFonts w:hint="eastAsia" w:ascii="仿宋" w:hAnsi="仿宋" w:eastAsia="仿宋" w:cs="宋体"/>
          <w:sz w:val="32"/>
          <w:szCs w:val="32"/>
          <w:lang w:eastAsia="zh-CN"/>
        </w:rPr>
        <w:t>县委、县政府</w:t>
      </w:r>
      <w:r>
        <w:rPr>
          <w:rFonts w:hint="eastAsia" w:ascii="仿宋" w:hAnsi="仿宋" w:eastAsia="仿宋" w:cs="宋体"/>
          <w:sz w:val="32"/>
          <w:szCs w:val="32"/>
        </w:rPr>
        <w:t>相关专题会等会议议定事项，分解任务、建立台账，做到“决策作出之时即为督查启动之时”，决策事项落实不到位，督查工作不放松。对进展缓慢事项，弄清情况，区分原因，及时通报，有力推动各项决策部署的贯彻落实。</w:t>
      </w:r>
    </w:p>
    <w:p w14:paraId="63A91381">
      <w:pPr>
        <w:pStyle w:val="11"/>
        <w:rPr>
          <w:rFonts w:hint="eastAsia" w:ascii="仿宋" w:hAnsi="仿宋" w:eastAsia="仿宋" w:cs="宋体"/>
          <w:sz w:val="32"/>
          <w:szCs w:val="32"/>
        </w:rPr>
      </w:pPr>
      <w:r>
        <w:rPr>
          <w:rFonts w:hint="eastAsia" w:ascii="仿宋" w:hAnsi="仿宋" w:eastAsia="仿宋" w:cs="宋体"/>
          <w:sz w:val="32"/>
          <w:szCs w:val="32"/>
        </w:rPr>
        <w:t xml:space="preserve">    （二）注重过程监控，强化动态督查。及时将县委、县政府安排的重要工作任务进行分解下达，将各项任务逐项落实到各责任单位，强化过程监管和跟踪督查，确保</w:t>
      </w:r>
      <w:r>
        <w:rPr>
          <w:rFonts w:hint="eastAsia" w:ascii="仿宋" w:hAnsi="仿宋" w:eastAsia="仿宋" w:cs="宋体"/>
          <w:sz w:val="32"/>
          <w:szCs w:val="32"/>
          <w:lang w:eastAsia="zh-CN"/>
        </w:rPr>
        <w:t>县委、县政府</w:t>
      </w:r>
      <w:r>
        <w:rPr>
          <w:rFonts w:hint="eastAsia" w:ascii="仿宋" w:hAnsi="仿宋" w:eastAsia="仿宋" w:cs="宋体"/>
          <w:sz w:val="32"/>
          <w:szCs w:val="32"/>
        </w:rPr>
        <w:t>及领导安排交办事项落实到位。按月、季度定期或不定期对完成情况进行跟踪督办和书面通报，</w:t>
      </w:r>
      <w:r>
        <w:rPr>
          <w:rFonts w:hint="eastAsia" w:ascii="仿宋" w:hAnsi="仿宋" w:eastAsia="仿宋" w:cs="宋体"/>
          <w:sz w:val="32"/>
          <w:szCs w:val="32"/>
          <w:lang w:eastAsia="zh-CN"/>
        </w:rPr>
        <w:t>对发现的问题</w:t>
      </w:r>
      <w:r>
        <w:rPr>
          <w:rFonts w:hint="eastAsia" w:ascii="仿宋" w:hAnsi="仿宋" w:eastAsia="仿宋" w:cs="宋体"/>
          <w:sz w:val="32"/>
          <w:szCs w:val="32"/>
        </w:rPr>
        <w:t>和工作不力等进行督查整改，限时办结。</w:t>
      </w:r>
    </w:p>
    <w:p w14:paraId="11D5F1A6">
      <w:pPr>
        <w:pStyle w:val="11"/>
        <w:rPr>
          <w:rFonts w:hint="eastAsia" w:ascii="仿宋" w:hAnsi="仿宋" w:eastAsia="仿宋" w:cs="宋体"/>
          <w:sz w:val="32"/>
          <w:szCs w:val="32"/>
        </w:rPr>
      </w:pPr>
      <w:r>
        <w:rPr>
          <w:rFonts w:hint="eastAsia" w:ascii="仿宋" w:hAnsi="仿宋" w:eastAsia="仿宋" w:cs="宋体"/>
          <w:sz w:val="32"/>
          <w:szCs w:val="32"/>
        </w:rPr>
        <w:t>　　（三）强化专项督查，重点工作有序推进。着力抓好领导交办、批办事项的专项督查督办工作，及时将领导交办、批办件进行分解立项，进一步明确责任单位责任，建立台账，明确时间节点，按照轻重缓急，加强跟踪督查，必要时进行现场督办。按照“督查倒逼落实”的要求，全年开展重点项目专项督查66次，其中，民生工作督查18次</w:t>
      </w:r>
      <w:r>
        <w:rPr>
          <w:rFonts w:hint="eastAsia" w:ascii="仿宋" w:hAnsi="仿宋" w:eastAsia="仿宋" w:cs="宋体"/>
          <w:sz w:val="32"/>
          <w:szCs w:val="32"/>
          <w:lang w:eastAsia="zh-CN"/>
        </w:rPr>
        <w:t>，</w:t>
      </w:r>
      <w:r>
        <w:rPr>
          <w:rFonts w:hint="eastAsia" w:ascii="仿宋" w:hAnsi="仿宋" w:eastAsia="仿宋" w:cs="宋体"/>
          <w:sz w:val="32"/>
          <w:szCs w:val="32"/>
        </w:rPr>
        <w:t>灾后重建项目督查17次，政府性投资项目督查9次，脱贫攻坚督查12次，环保</w:t>
      </w:r>
      <w:r>
        <w:rPr>
          <w:rFonts w:hint="eastAsia" w:ascii="仿宋" w:hAnsi="仿宋" w:eastAsia="仿宋" w:cs="宋体"/>
          <w:sz w:val="32"/>
          <w:szCs w:val="32"/>
          <w:lang w:val="en-US" w:eastAsia="zh-CN"/>
        </w:rPr>
        <w:t>督察</w:t>
      </w:r>
      <w:r>
        <w:rPr>
          <w:rFonts w:hint="eastAsia" w:ascii="仿宋" w:hAnsi="仿宋" w:eastAsia="仿宋" w:cs="宋体"/>
          <w:sz w:val="32"/>
          <w:szCs w:val="32"/>
        </w:rPr>
        <w:t>10次，安全生产督查7次。</w:t>
      </w:r>
    </w:p>
    <w:p w14:paraId="0D5CF5FD">
      <w:pPr>
        <w:pStyle w:val="11"/>
        <w:rPr>
          <w:rFonts w:hint="eastAsia" w:ascii="仿宋" w:hAnsi="仿宋" w:eastAsia="仿宋" w:cs="宋体"/>
          <w:sz w:val="32"/>
          <w:szCs w:val="32"/>
        </w:rPr>
      </w:pPr>
      <w:r>
        <w:rPr>
          <w:rFonts w:hint="eastAsia" w:ascii="仿宋" w:hAnsi="仿宋" w:eastAsia="仿宋" w:cs="宋体"/>
          <w:sz w:val="32"/>
          <w:szCs w:val="32"/>
        </w:rPr>
        <w:t>　　（四）抓好重要精神督查，确保落地生根。对重要文件精神、重要讲话精神、重要会议精神，做到真督实查，确保精神贯彻落实到位。一是抓好党的十九大精神贯彻落实情况的督查。二是抓好习近平来川视察讲话精神的贯彻落实情况和开展“大学习、大讨论、大调研”督查工作。三是抓好会议精神贯彻落实情况的督查。对县委、县政府主持召开的重要会议和其他专题会议确定的工作重点开展督查，促进各项重点工作的贯彻落实，并将了解的实际情况反馈给县委、县政府有关领导和相关部门。</w:t>
      </w:r>
    </w:p>
    <w:p w14:paraId="1B7B56D2">
      <w:pPr>
        <w:pStyle w:val="11"/>
        <w:rPr>
          <w:rFonts w:hint="eastAsia" w:ascii="仿宋" w:hAnsi="仿宋" w:eastAsia="仿宋" w:cs="宋体"/>
          <w:sz w:val="32"/>
          <w:szCs w:val="32"/>
        </w:rPr>
      </w:pPr>
      <w:r>
        <w:rPr>
          <w:rFonts w:hint="eastAsia" w:ascii="仿宋" w:hAnsi="仿宋" w:eastAsia="仿宋" w:cs="宋体"/>
          <w:sz w:val="32"/>
          <w:szCs w:val="32"/>
        </w:rPr>
        <w:t>　　</w:t>
      </w:r>
      <w:r>
        <w:rPr>
          <w:rFonts w:hint="eastAsia" w:ascii="仿宋" w:hAnsi="仿宋" w:eastAsia="仿宋" w:cs="宋体"/>
          <w:sz w:val="32"/>
          <w:szCs w:val="32"/>
          <w:lang w:eastAsia="zh-CN"/>
        </w:rPr>
        <w:t>3.</w:t>
      </w:r>
      <w:r>
        <w:rPr>
          <w:rFonts w:hint="eastAsia" w:ascii="仿宋" w:hAnsi="仿宋" w:eastAsia="仿宋" w:cs="宋体"/>
          <w:sz w:val="32"/>
          <w:szCs w:val="32"/>
        </w:rPr>
        <w:t>党风廉政工作有力推进</w:t>
      </w:r>
    </w:p>
    <w:p w14:paraId="73E404AD">
      <w:pPr>
        <w:pStyle w:val="11"/>
        <w:rPr>
          <w:rFonts w:hint="eastAsia" w:ascii="仿宋" w:hAnsi="仿宋" w:eastAsia="仿宋" w:cs="宋体"/>
          <w:sz w:val="32"/>
          <w:szCs w:val="32"/>
        </w:rPr>
      </w:pPr>
      <w:r>
        <w:rPr>
          <w:rFonts w:hint="eastAsia" w:ascii="仿宋" w:hAnsi="仿宋" w:eastAsia="仿宋" w:cs="宋体"/>
          <w:sz w:val="32"/>
          <w:szCs w:val="32"/>
        </w:rPr>
        <w:t>　　一是认真学习贯彻落实党的十九大和习近平来川视察重要讲话精神，深入开展“大学习、大讨论、大调研”活动。二是积极参加县委办公室党支部专题民主生活会和支部中心学习组学习，组织职工集中学习6次，集中观看反腐倡廉教育警示片4次，会前学法学纪18次，主要学习内容是</w:t>
      </w:r>
      <w:r>
        <w:rPr>
          <w:rFonts w:hint="eastAsia" w:ascii="仿宋" w:hAnsi="仿宋" w:eastAsia="仿宋" w:cs="宋体"/>
          <w:sz w:val="32"/>
          <w:szCs w:val="32"/>
          <w:lang w:eastAsia="zh-CN"/>
        </w:rPr>
        <w:t>：</w:t>
      </w:r>
      <w:r>
        <w:rPr>
          <w:rFonts w:hint="eastAsia" w:ascii="仿宋" w:hAnsi="仿宋" w:eastAsia="仿宋" w:cs="宋体"/>
          <w:sz w:val="32"/>
          <w:szCs w:val="32"/>
        </w:rPr>
        <w:t>中央、省、州、县纪委文件（特别是在脱贫攻坚、项目建设等领域</w:t>
      </w:r>
      <w:r>
        <w:rPr>
          <w:rFonts w:hint="eastAsia" w:ascii="仿宋" w:hAnsi="仿宋" w:eastAsia="仿宋" w:cs="宋体"/>
          <w:sz w:val="32"/>
          <w:szCs w:val="32"/>
          <w:lang w:eastAsia="zh-CN"/>
        </w:rPr>
        <w:t>违反中央八项规定精神的</w:t>
      </w:r>
      <w:r>
        <w:rPr>
          <w:rFonts w:hint="eastAsia" w:ascii="仿宋" w:hAnsi="仿宋" w:eastAsia="仿宋" w:cs="宋体"/>
          <w:sz w:val="32"/>
          <w:szCs w:val="32"/>
        </w:rPr>
        <w:t>典型案件）。三是加强《准则</w:t>
      </w:r>
      <w:r>
        <w:rPr>
          <w:rFonts w:hint="eastAsia" w:ascii="仿宋" w:hAnsi="仿宋" w:eastAsia="仿宋" w:cs="宋体"/>
          <w:sz w:val="32"/>
          <w:szCs w:val="32"/>
          <w:lang w:eastAsia="zh-CN"/>
        </w:rPr>
        <w:t>》《</w:t>
      </w:r>
      <w:r>
        <w:rPr>
          <w:rFonts w:hint="eastAsia" w:ascii="仿宋" w:hAnsi="仿宋" w:eastAsia="仿宋" w:cs="宋体"/>
          <w:sz w:val="32"/>
          <w:szCs w:val="32"/>
        </w:rPr>
        <w:t>条例》学习，教育引导党员干部懂规矩、守纪律，从思想上解决责任缺失问题，营造风清气正政治环境。四是继续做好领导干部个人重大事项报告等制度，做出廉洁承诺。对“三重一大”事项集体研究决策，扎紧权力笼子，确保核心权力规范运行。五是按照“三必谈”要求，提前做好谈心谈话安排，明确谈心谈话任务。实现了谈心谈话全覆盖，做到了谈话有记录、有图片。</w:t>
      </w:r>
    </w:p>
    <w:p w14:paraId="542BF6B9">
      <w:pPr>
        <w:pStyle w:val="11"/>
        <w:rPr>
          <w:rFonts w:hint="eastAsia" w:ascii="仿宋" w:hAnsi="仿宋" w:eastAsia="仿宋" w:cs="宋体"/>
          <w:sz w:val="32"/>
          <w:szCs w:val="32"/>
        </w:rPr>
      </w:pPr>
      <w:r>
        <w:rPr>
          <w:rFonts w:hint="eastAsia" w:ascii="仿宋" w:hAnsi="仿宋" w:eastAsia="仿宋" w:cs="宋体"/>
          <w:sz w:val="32"/>
          <w:szCs w:val="32"/>
        </w:rPr>
        <w:t xml:space="preserve">    </w:t>
      </w:r>
      <w:r>
        <w:rPr>
          <w:rFonts w:hint="eastAsia" w:ascii="仿宋" w:hAnsi="仿宋" w:eastAsia="仿宋" w:cs="宋体"/>
          <w:sz w:val="32"/>
          <w:szCs w:val="32"/>
          <w:lang w:eastAsia="zh-CN"/>
        </w:rPr>
        <w:t>4.</w:t>
      </w:r>
      <w:r>
        <w:rPr>
          <w:rFonts w:hint="eastAsia" w:ascii="仿宋" w:hAnsi="仿宋" w:eastAsia="仿宋" w:cs="宋体"/>
          <w:sz w:val="32"/>
          <w:szCs w:val="32"/>
        </w:rPr>
        <w:t>联乡包村工作扎实推进</w:t>
      </w:r>
    </w:p>
    <w:p w14:paraId="3026C160">
      <w:pPr>
        <w:pStyle w:val="11"/>
        <w:rPr>
          <w:rFonts w:hint="eastAsia" w:ascii="仿宋" w:hAnsi="仿宋" w:eastAsia="仿宋" w:cs="宋体"/>
          <w:sz w:val="32"/>
          <w:szCs w:val="32"/>
        </w:rPr>
      </w:pPr>
      <w:r>
        <w:rPr>
          <w:rFonts w:hint="eastAsia" w:ascii="仿宋" w:hAnsi="仿宋" w:eastAsia="仿宋" w:cs="宋体"/>
          <w:sz w:val="32"/>
          <w:szCs w:val="32"/>
        </w:rPr>
        <w:t>　　我办按照县委联乡包村工作安排，紧紧围绕“脱贫攻坚”工作目标任务，充分发挥联乡包村的桥梁和纽带作用，积极帮助安备村拟定发展规划，制定发展措施，确保联乡包村工作取得实效。一是会同相关单位深入开展了脱贫攻坚工作49次。二是到村宣讲</w:t>
      </w:r>
      <w:r>
        <w:rPr>
          <w:rFonts w:hint="eastAsia" w:ascii="仿宋" w:hAnsi="仿宋" w:eastAsia="仿宋" w:cs="宋体"/>
          <w:sz w:val="32"/>
          <w:szCs w:val="32"/>
          <w:lang w:eastAsia="zh-CN"/>
        </w:rPr>
        <w:t>党的十九大精神、习近平</w:t>
      </w:r>
      <w:r>
        <w:rPr>
          <w:rFonts w:hint="eastAsia" w:ascii="仿宋" w:hAnsi="仿宋" w:eastAsia="仿宋" w:cs="宋体"/>
          <w:sz w:val="32"/>
          <w:szCs w:val="32"/>
        </w:rPr>
        <w:t>来川视察讲话精神和省、州、县系列重要会议精神。三是扎实开展“户户访、人人忙”工作，走访群众54户，收集意见和问题23条。四是上报脱贫攻坚简报15期。</w:t>
      </w:r>
    </w:p>
    <w:p w14:paraId="5F4EEA83">
      <w:pPr>
        <w:widowControl/>
        <w:jc w:val="left"/>
        <w:rPr>
          <w:rFonts w:ascii="仿宋" w:hAnsi="仿宋" w:eastAsia="仿宋"/>
          <w:color w:val="000000"/>
          <w:kern w:val="0"/>
          <w:sz w:val="32"/>
          <w:szCs w:val="32"/>
        </w:rPr>
      </w:pPr>
    </w:p>
    <w:p w14:paraId="1EDC2BE5">
      <w:pPr>
        <w:pStyle w:val="4"/>
        <w:ind w:right="440" w:firstLine="440" w:firstLineChars="100"/>
        <w:jc w:val="both"/>
        <w:rPr>
          <w:rFonts w:hint="eastAsia" w:ascii="黑体" w:hAnsi="黑体" w:eastAsia="黑体"/>
          <w:b w:val="0"/>
          <w:color w:val="000000"/>
        </w:rPr>
      </w:pPr>
      <w:bookmarkStart w:id="20" w:name="_Toc79163859"/>
      <w:bookmarkStart w:id="21" w:name="_Toc79163609"/>
      <w:bookmarkStart w:id="22" w:name="_Toc15396602"/>
      <w:bookmarkStart w:id="23" w:name="_Toc15377204"/>
    </w:p>
    <w:p w14:paraId="069F52A7">
      <w:pPr>
        <w:pStyle w:val="4"/>
        <w:ind w:right="440"/>
        <w:jc w:val="both"/>
        <w:rPr>
          <w:rFonts w:hint="eastAsia" w:ascii="黑体" w:hAnsi="黑体" w:eastAsia="黑体"/>
          <w:b w:val="0"/>
          <w:color w:val="000000"/>
        </w:rPr>
      </w:pPr>
    </w:p>
    <w:p w14:paraId="0EC00AAA">
      <w:pPr>
        <w:rPr>
          <w:rFonts w:hint="eastAsia" w:ascii="黑体" w:hAnsi="黑体" w:eastAsia="黑体"/>
          <w:b w:val="0"/>
          <w:color w:val="000000"/>
        </w:rPr>
      </w:pPr>
    </w:p>
    <w:p w14:paraId="743DE606">
      <w:pPr>
        <w:pStyle w:val="2"/>
        <w:rPr>
          <w:rFonts w:hint="eastAsia" w:eastAsia="黑体"/>
          <w:lang w:val="en-US" w:eastAsia="zh-CN"/>
        </w:rPr>
      </w:pPr>
      <w:r>
        <w:rPr>
          <w:rFonts w:hint="eastAsia" w:ascii="黑体" w:hAnsi="黑体" w:eastAsia="黑体"/>
          <w:b w:val="0"/>
          <w:color w:val="000000"/>
          <w:lang w:val="en-US" w:eastAsia="zh-CN"/>
        </w:rPr>
        <w:t xml:space="preserve"> </w:t>
      </w:r>
    </w:p>
    <w:p w14:paraId="5C2C1BF9">
      <w:pPr>
        <w:pStyle w:val="4"/>
        <w:ind w:right="440" w:firstLine="440" w:firstLineChars="100"/>
        <w:jc w:val="both"/>
        <w:rPr>
          <w:rStyle w:val="26"/>
          <w:rFonts w:ascii="黑体" w:hAnsi="黑体" w:eastAsia="黑体"/>
          <w:b w:val="0"/>
          <w:bCs w:val="0"/>
        </w:rPr>
      </w:pPr>
      <w:r>
        <w:rPr>
          <w:rFonts w:hint="eastAsia" w:ascii="黑体" w:hAnsi="黑体" w:eastAsia="黑体"/>
          <w:b w:val="0"/>
          <w:color w:val="000000"/>
        </w:rPr>
        <w:t>第二部分</w:t>
      </w:r>
      <w:r>
        <w:rPr>
          <w:rFonts w:ascii="黑体" w:hAnsi="黑体" w:eastAsia="黑体"/>
          <w:color w:val="000000"/>
        </w:rPr>
        <w:t xml:space="preserve"> </w:t>
      </w:r>
      <w:r>
        <w:rPr>
          <w:rStyle w:val="26"/>
          <w:rFonts w:ascii="黑体" w:hAnsi="黑体" w:eastAsia="黑体"/>
          <w:b w:val="0"/>
          <w:bCs w:val="0"/>
        </w:rPr>
        <w:t>2020</w:t>
      </w:r>
      <w:r>
        <w:rPr>
          <w:rStyle w:val="26"/>
          <w:rFonts w:hint="eastAsia" w:ascii="黑体" w:hAnsi="黑体" w:eastAsia="黑体"/>
          <w:b w:val="0"/>
          <w:bCs w:val="0"/>
        </w:rPr>
        <w:t>年度部门决算情况说明</w:t>
      </w:r>
      <w:bookmarkEnd w:id="20"/>
      <w:bookmarkEnd w:id="21"/>
      <w:bookmarkEnd w:id="22"/>
      <w:bookmarkEnd w:id="23"/>
    </w:p>
    <w:p w14:paraId="04A18DFF"/>
    <w:p w14:paraId="78BD8C17">
      <w:pPr>
        <w:pStyle w:val="37"/>
        <w:numPr>
          <w:ilvl w:val="0"/>
          <w:numId w:val="2"/>
        </w:numPr>
        <w:spacing w:line="600" w:lineRule="exact"/>
        <w:ind w:firstLineChars="0"/>
        <w:outlineLvl w:val="1"/>
        <w:rPr>
          <w:rStyle w:val="27"/>
          <w:rFonts w:ascii="黑体" w:hAnsi="黑体" w:eastAsia="黑体"/>
          <w:b w:val="0"/>
        </w:rPr>
      </w:pPr>
      <w:bookmarkStart w:id="24" w:name="_Toc15396603"/>
      <w:bookmarkStart w:id="25" w:name="_Toc15377205"/>
      <w:bookmarkStart w:id="26" w:name="_Toc79163610"/>
      <w:bookmarkStart w:id="27" w:name="_Toc79163860"/>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4"/>
      <w:bookmarkEnd w:id="25"/>
      <w:bookmarkEnd w:id="26"/>
      <w:bookmarkEnd w:id="27"/>
    </w:p>
    <w:p w14:paraId="5D641607">
      <w:pPr>
        <w:pStyle w:val="11"/>
        <w:rPr>
          <w:rFonts w:hint="eastAsia" w:ascii="仿宋" w:hAnsi="仿宋" w:eastAsia="仿宋" w:cs="宋体"/>
          <w:sz w:val="32"/>
          <w:szCs w:val="32"/>
        </w:rPr>
      </w:pP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 xml:space="preserve"> </w:t>
      </w:r>
      <w:r>
        <w:rPr>
          <w:rFonts w:hint="eastAsia" w:ascii="仿宋" w:hAnsi="仿宋" w:eastAsia="仿宋" w:cs="宋体"/>
          <w:sz w:val="32"/>
          <w:szCs w:val="32"/>
        </w:rPr>
        <w:t>2020年松潘县目标绩效督查事务中心本年收入合计75.77万元，其中：财政拨款收入75.77万元，占100%。</w:t>
      </w:r>
    </w:p>
    <w:p w14:paraId="162AE1D5">
      <w:pPr>
        <w:pStyle w:val="11"/>
        <w:rPr>
          <w:rFonts w:hint="eastAsia" w:ascii="仿宋" w:hAnsi="仿宋" w:eastAsia="仿宋" w:cs="宋体"/>
          <w:sz w:val="32"/>
          <w:szCs w:val="32"/>
        </w:rPr>
      </w:pPr>
      <w:r>
        <w:rPr>
          <w:rFonts w:hint="eastAsia" w:ascii="仿宋" w:hAnsi="仿宋" w:eastAsia="仿宋" w:cs="宋体"/>
          <w:sz w:val="32"/>
          <w:szCs w:val="32"/>
        </w:rPr>
        <w:t xml:space="preserve">    2020年松潘县目标绩效督查事务中心本年支出合计75.77万元，其中：基本支出75.77万元，100%；无项目支出0</w:t>
      </w:r>
    </w:p>
    <w:p w14:paraId="783C6C81">
      <w:pPr>
        <w:spacing w:line="560" w:lineRule="exact"/>
        <w:ind w:firstLine="640" w:firstLineChars="200"/>
        <w:rPr>
          <w:rFonts w:hint="eastAsia" w:ascii="仿宋" w:hAnsi="仿宋" w:eastAsia="仿宋"/>
          <w:color w:val="000000"/>
          <w:sz w:val="32"/>
          <w:szCs w:val="32"/>
        </w:rPr>
      </w:pPr>
    </w:p>
    <w:p w14:paraId="325A8003">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14:paraId="77A1D9AE">
      <w:pPr>
        <w:spacing w:line="600" w:lineRule="exact"/>
        <w:ind w:firstLine="640" w:firstLineChars="200"/>
        <w:jc w:val="left"/>
        <w:rPr>
          <w:rFonts w:ascii="仿宋_GB2312" w:eastAsia="仿宋_GB2312"/>
          <w:color w:val="000000"/>
          <w:sz w:val="32"/>
          <w:szCs w:val="32"/>
        </w:rPr>
      </w:pPr>
      <w:r>
        <w:rPr>
          <w:rFonts w:hint="eastAsia" w:ascii="仿宋" w:hAnsi="仿宋" w:eastAsia="仿宋"/>
          <w:color w:val="000000"/>
          <w:sz w:val="32"/>
          <w:szCs w:val="32"/>
        </w:rPr>
        <w:drawing>
          <wp:anchor distT="0" distB="0" distL="114300" distR="114300" simplePos="0" relativeHeight="251659264" behindDoc="0" locked="0" layoutInCell="1" allowOverlap="1">
            <wp:simplePos x="0" y="0"/>
            <wp:positionH relativeFrom="column">
              <wp:posOffset>747395</wp:posOffset>
            </wp:positionH>
            <wp:positionV relativeFrom="paragraph">
              <wp:posOffset>38735</wp:posOffset>
            </wp:positionV>
            <wp:extent cx="3451225" cy="2333625"/>
            <wp:effectExtent l="5080" t="5080" r="10795" b="444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3425C724">
      <w:pPr>
        <w:pStyle w:val="37"/>
        <w:numPr>
          <w:ilvl w:val="0"/>
          <w:numId w:val="2"/>
        </w:numPr>
        <w:spacing w:line="600" w:lineRule="exact"/>
        <w:ind w:firstLineChars="0"/>
        <w:outlineLvl w:val="1"/>
        <w:rPr>
          <w:rStyle w:val="27"/>
          <w:rFonts w:ascii="黑体" w:hAnsi="黑体" w:eastAsia="黑体"/>
          <w:b w:val="0"/>
        </w:rPr>
      </w:pPr>
      <w:bookmarkStart w:id="28" w:name="_Toc79163611"/>
      <w:bookmarkStart w:id="29" w:name="_Toc79163861"/>
      <w:bookmarkStart w:id="30" w:name="_Toc15396604"/>
      <w:bookmarkStart w:id="31" w:name="_Toc15377206"/>
      <w:r>
        <w:rPr>
          <w:rFonts w:hint="eastAsia" w:ascii="黑体" w:hAnsi="黑体" w:eastAsia="黑体"/>
          <w:color w:val="000000"/>
          <w:sz w:val="32"/>
          <w:szCs w:val="32"/>
        </w:rPr>
        <w:t>收</w:t>
      </w:r>
      <w:r>
        <w:rPr>
          <w:rStyle w:val="27"/>
          <w:rFonts w:hint="eastAsia" w:ascii="黑体" w:hAnsi="黑体" w:eastAsia="黑体"/>
          <w:b w:val="0"/>
        </w:rPr>
        <w:t>入决算情况说明</w:t>
      </w:r>
      <w:bookmarkEnd w:id="28"/>
      <w:bookmarkEnd w:id="29"/>
      <w:bookmarkEnd w:id="30"/>
      <w:bookmarkEnd w:id="31"/>
    </w:p>
    <w:p w14:paraId="28E4EDC4">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75.77</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75.77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lang w:eastAsia="zh-CN"/>
        </w:rPr>
        <w:t>。</w:t>
      </w:r>
    </w:p>
    <w:p w14:paraId="31ADA37A">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drawing>
          <wp:anchor distT="0" distB="0" distL="114300" distR="114300" simplePos="0" relativeHeight="251661312" behindDoc="0" locked="0" layoutInCell="1" allowOverlap="1">
            <wp:simplePos x="0" y="0"/>
            <wp:positionH relativeFrom="column">
              <wp:posOffset>1010285</wp:posOffset>
            </wp:positionH>
            <wp:positionV relativeFrom="paragraph">
              <wp:posOffset>513080</wp:posOffset>
            </wp:positionV>
            <wp:extent cx="3110865" cy="1850390"/>
            <wp:effectExtent l="4445" t="4445" r="8890" b="1206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000000"/>
          <w:sz w:val="32"/>
          <w:szCs w:val="32"/>
          <w:lang w:eastAsia="zh-CN"/>
        </w:rPr>
        <w:t>（图</w:t>
      </w:r>
      <w:r>
        <w:rPr>
          <w:rFonts w:hint="eastAsia" w:ascii="仿宋" w:hAnsi="仿宋" w:eastAsia="仿宋"/>
          <w:color w:val="000000"/>
          <w:sz w:val="32"/>
          <w:szCs w:val="32"/>
          <w:lang w:val="en-US" w:eastAsia="zh-CN"/>
        </w:rPr>
        <w:t>2：收入决算结构图</w:t>
      </w:r>
      <w:r>
        <w:rPr>
          <w:rFonts w:hint="eastAsia" w:ascii="仿宋" w:hAnsi="仿宋" w:eastAsia="仿宋"/>
          <w:color w:val="000000"/>
          <w:sz w:val="32"/>
          <w:szCs w:val="32"/>
          <w:lang w:eastAsia="zh-CN"/>
        </w:rPr>
        <w:t>）</w:t>
      </w:r>
    </w:p>
    <w:p w14:paraId="2197E1BE">
      <w:pPr>
        <w:pStyle w:val="37"/>
        <w:numPr>
          <w:ilvl w:val="0"/>
          <w:numId w:val="2"/>
        </w:numPr>
        <w:spacing w:line="600" w:lineRule="exact"/>
        <w:ind w:firstLineChars="0"/>
        <w:outlineLvl w:val="1"/>
        <w:rPr>
          <w:rStyle w:val="27"/>
          <w:rFonts w:ascii="黑体" w:hAnsi="黑体" w:eastAsia="黑体"/>
          <w:b w:val="0"/>
        </w:rPr>
      </w:pPr>
      <w:bookmarkStart w:id="32" w:name="_Toc79163612"/>
      <w:bookmarkStart w:id="33" w:name="_Toc15377207"/>
      <w:bookmarkStart w:id="34" w:name="_Toc79163862"/>
      <w:bookmarkStart w:id="35" w:name="_Toc15396605"/>
      <w:r>
        <w:rPr>
          <w:rFonts w:hint="eastAsia" w:ascii="黑体" w:hAnsi="黑体" w:eastAsia="黑体"/>
          <w:color w:val="000000"/>
          <w:sz w:val="32"/>
          <w:szCs w:val="32"/>
        </w:rPr>
        <w:t>支</w:t>
      </w:r>
      <w:r>
        <w:rPr>
          <w:rStyle w:val="27"/>
          <w:rFonts w:hint="eastAsia" w:ascii="黑体" w:hAnsi="黑体" w:eastAsia="黑体"/>
          <w:b w:val="0"/>
        </w:rPr>
        <w:t>出决算情况说明</w:t>
      </w:r>
      <w:bookmarkEnd w:id="32"/>
      <w:bookmarkEnd w:id="33"/>
      <w:bookmarkEnd w:id="34"/>
      <w:bookmarkEnd w:id="35"/>
    </w:p>
    <w:p w14:paraId="348A5D46">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2020</w:t>
      </w:r>
      <w:r>
        <w:rPr>
          <w:rFonts w:hint="eastAsia" w:ascii="仿宋_GB2312" w:eastAsia="仿宋_GB2312"/>
          <w:sz w:val="32"/>
          <w:szCs w:val="32"/>
        </w:rPr>
        <w:t>年本年支出合计</w:t>
      </w:r>
      <w:r>
        <w:rPr>
          <w:rFonts w:hint="eastAsia" w:ascii="仿宋_GB2312" w:eastAsia="仿宋_GB2312"/>
          <w:sz w:val="32"/>
          <w:szCs w:val="32"/>
          <w:lang w:val="en-US" w:eastAsia="zh-CN"/>
        </w:rPr>
        <w:t>75.77</w:t>
      </w:r>
      <w:r>
        <w:rPr>
          <w:rFonts w:hint="eastAsia" w:ascii="仿宋_GB2312" w:eastAsia="仿宋_GB2312"/>
          <w:sz w:val="32"/>
          <w:szCs w:val="32"/>
        </w:rPr>
        <w:t>万元，其中：基本支出</w:t>
      </w:r>
      <w:r>
        <w:rPr>
          <w:rFonts w:hint="eastAsia" w:ascii="仿宋_GB2312" w:eastAsia="仿宋_GB2312"/>
          <w:sz w:val="32"/>
          <w:szCs w:val="32"/>
          <w:lang w:val="en-US" w:eastAsia="zh-CN"/>
        </w:rPr>
        <w:t>75.77</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lang w:eastAsia="zh-CN"/>
        </w:rPr>
        <w:t>。</w:t>
      </w:r>
    </w:p>
    <w:p w14:paraId="2715C526">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14:paraId="5DFDB7D4">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60288" behindDoc="0" locked="0" layoutInCell="1" allowOverlap="1">
            <wp:simplePos x="0" y="0"/>
            <wp:positionH relativeFrom="column">
              <wp:posOffset>553085</wp:posOffset>
            </wp:positionH>
            <wp:positionV relativeFrom="paragraph">
              <wp:posOffset>104775</wp:posOffset>
            </wp:positionV>
            <wp:extent cx="4309110" cy="2658110"/>
            <wp:effectExtent l="4445" t="4445" r="10795" b="2349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4D53EA6">
      <w:pPr>
        <w:spacing w:line="600" w:lineRule="exact"/>
        <w:ind w:firstLine="640" w:firstLineChars="200"/>
        <w:rPr>
          <w:rFonts w:ascii="仿宋_GB2312" w:eastAsia="仿宋_GB2312"/>
          <w:color w:val="FF0000"/>
          <w:sz w:val="32"/>
          <w:szCs w:val="32"/>
        </w:rPr>
      </w:pPr>
    </w:p>
    <w:p w14:paraId="1633298F">
      <w:pPr>
        <w:spacing w:line="600" w:lineRule="exact"/>
        <w:ind w:firstLine="640" w:firstLineChars="200"/>
        <w:outlineLvl w:val="1"/>
        <w:rPr>
          <w:rStyle w:val="27"/>
          <w:rFonts w:ascii="黑体" w:hAnsi="黑体" w:eastAsia="黑体"/>
          <w:b w:val="0"/>
        </w:rPr>
      </w:pPr>
      <w:bookmarkStart w:id="36" w:name="_Toc15377208"/>
      <w:bookmarkStart w:id="37" w:name="_Toc79163863"/>
      <w:bookmarkStart w:id="38" w:name="_Toc79163613"/>
      <w:bookmarkStart w:id="39" w:name="_Toc15396606"/>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36"/>
      <w:bookmarkEnd w:id="37"/>
      <w:bookmarkEnd w:id="38"/>
      <w:bookmarkEnd w:id="39"/>
    </w:p>
    <w:p w14:paraId="0C8B7A99">
      <w:pPr>
        <w:pStyle w:val="11"/>
        <w:ind w:firstLine="640" w:firstLineChars="200"/>
        <w:rPr>
          <w:rFonts w:hint="eastAsia" w:ascii="仿宋" w:hAnsi="仿宋" w:eastAsia="仿宋" w:cs="宋体"/>
          <w:sz w:val="32"/>
          <w:szCs w:val="32"/>
        </w:rPr>
      </w:pPr>
      <w:bookmarkStart w:id="40" w:name="_Toc15396607"/>
      <w:bookmarkStart w:id="41" w:name="_Toc15377209"/>
      <w:bookmarkStart w:id="42" w:name="_Toc79163614"/>
      <w:bookmarkStart w:id="43" w:name="_Toc79163864"/>
      <w:r>
        <w:rPr>
          <w:rFonts w:hint="eastAsia" w:ascii="仿宋" w:hAnsi="仿宋" w:eastAsia="仿宋" w:cs="宋体"/>
          <w:sz w:val="32"/>
          <w:szCs w:val="32"/>
        </w:rPr>
        <w:t>2020年松潘县目标绩效督查事务中心本年财政拨款收入合计75.77万元， 2020年松潘县目标绩效督查事务中心财政拨款本年支出合计75.77万元，松潘县目标绩效督查事务中心2020年度财政拨款收支总决算与2019年支出197.76万元相比，财政拨款收入减少了121.99万元，主要是机改人员调动经费减少。</w:t>
      </w:r>
    </w:p>
    <w:p w14:paraId="394F4B34">
      <w:pPr>
        <w:spacing w:line="600" w:lineRule="exact"/>
        <w:ind w:firstLine="640" w:firstLineChars="200"/>
        <w:outlineLvl w:val="1"/>
        <w:rPr>
          <w:rStyle w:val="27"/>
          <w:rFonts w:ascii="黑体" w:hAnsi="黑体" w:eastAsia="黑体"/>
          <w:b w:val="0"/>
        </w:rPr>
      </w:pPr>
      <w:r>
        <w:rPr>
          <w:rFonts w:hint="eastAsia" w:ascii="仿宋" w:hAnsi="仿宋" w:eastAsia="仿宋" w:cs="宋体"/>
          <w:sz w:val="32"/>
          <w:szCs w:val="32"/>
        </w:rPr>
        <w:t xml:space="preserve">　   </w:t>
      </w: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40"/>
      <w:bookmarkEnd w:id="41"/>
      <w:bookmarkEnd w:id="42"/>
      <w:bookmarkEnd w:id="43"/>
    </w:p>
    <w:p w14:paraId="5AE34104">
      <w:pPr>
        <w:pStyle w:val="11"/>
        <w:rPr>
          <w:rFonts w:hint="eastAsia" w:ascii="仿宋" w:hAnsi="仿宋" w:eastAsia="仿宋" w:cs="宋体"/>
          <w:sz w:val="32"/>
          <w:szCs w:val="32"/>
        </w:rPr>
      </w:pPr>
      <w:r>
        <w:rPr>
          <w:rFonts w:hint="eastAsia" w:ascii="楷体" w:hAnsi="楷体" w:eastAsia="楷体"/>
          <w:color w:val="000000"/>
          <w:sz w:val="32"/>
          <w:szCs w:val="32"/>
        </w:rPr>
        <w:t xml:space="preserve"> </w:t>
      </w:r>
      <w:r>
        <w:rPr>
          <w:rFonts w:hint="eastAsia" w:ascii="仿宋" w:hAnsi="仿宋" w:eastAsia="仿宋" w:cs="宋体"/>
          <w:sz w:val="32"/>
          <w:szCs w:val="32"/>
        </w:rPr>
        <w:t xml:space="preserve"> （一）一般公共预算财政拨款支出决算总体情况</w:t>
      </w:r>
    </w:p>
    <w:p w14:paraId="3A7B01CD">
      <w:pPr>
        <w:pStyle w:val="11"/>
        <w:rPr>
          <w:rFonts w:hint="eastAsia" w:ascii="仿宋" w:hAnsi="仿宋" w:eastAsia="仿宋" w:cs="宋体"/>
          <w:sz w:val="32"/>
          <w:szCs w:val="32"/>
        </w:rPr>
      </w:pPr>
      <w:r>
        <w:rPr>
          <w:rFonts w:hint="eastAsia" w:ascii="仿宋" w:hAnsi="仿宋" w:eastAsia="仿宋" w:cs="宋体"/>
          <w:sz w:val="32"/>
          <w:szCs w:val="32"/>
        </w:rPr>
        <w:t>　 松潘县目标绩效督查事务中心2020年度一般公共预算财政拨款支出75.77万元，与2019年相比，减少了121.99万元，一般公共预算财政拨款收入为75.77万元，同比2019年，减少了121.99万元。</w:t>
      </w:r>
    </w:p>
    <w:p w14:paraId="31660FB0">
      <w:pPr>
        <w:pStyle w:val="11"/>
        <w:rPr>
          <w:rFonts w:hint="eastAsia" w:ascii="仿宋" w:hAnsi="仿宋" w:eastAsia="仿宋" w:cs="宋体"/>
          <w:sz w:val="32"/>
          <w:szCs w:val="32"/>
        </w:rPr>
      </w:pPr>
      <w:r>
        <w:rPr>
          <w:rFonts w:hint="eastAsia" w:ascii="仿宋" w:hAnsi="仿宋" w:eastAsia="仿宋" w:cs="宋体"/>
          <w:sz w:val="32"/>
          <w:szCs w:val="32"/>
        </w:rPr>
        <w:t xml:space="preserve">   （二）一般公共预算财政拨款支出决算结构情况</w:t>
      </w:r>
    </w:p>
    <w:p w14:paraId="671686D3">
      <w:pPr>
        <w:pStyle w:val="11"/>
        <w:rPr>
          <w:rFonts w:hint="eastAsia" w:ascii="仿宋" w:hAnsi="仿宋" w:eastAsia="仿宋" w:cs="宋体"/>
          <w:sz w:val="32"/>
          <w:szCs w:val="32"/>
        </w:rPr>
      </w:pPr>
      <w:r>
        <w:rPr>
          <w:rFonts w:hint="eastAsia" w:ascii="仿宋" w:hAnsi="仿宋" w:eastAsia="仿宋" w:cs="宋体"/>
          <w:sz w:val="32"/>
          <w:szCs w:val="32"/>
        </w:rPr>
        <w:t xml:space="preserve">    松潘县目标绩效督查事务中心2020年一般公共预算财政拨款支出75.77万元，主要用于以下方面：一般公共服务支出64万元</w:t>
      </w:r>
      <w:r>
        <w:rPr>
          <w:rFonts w:hint="eastAsia" w:ascii="仿宋" w:hAnsi="仿宋" w:eastAsia="仿宋" w:cs="宋体"/>
          <w:sz w:val="32"/>
          <w:szCs w:val="32"/>
          <w:lang w:eastAsia="zh-CN"/>
        </w:rPr>
        <w:t>；</w:t>
      </w:r>
      <w:r>
        <w:rPr>
          <w:rFonts w:hint="eastAsia" w:ascii="仿宋" w:hAnsi="仿宋" w:eastAsia="仿宋" w:cs="宋体"/>
          <w:sz w:val="32"/>
          <w:szCs w:val="32"/>
        </w:rPr>
        <w:t>社会保障和就业支出3.87万元</w:t>
      </w:r>
      <w:r>
        <w:rPr>
          <w:rFonts w:hint="eastAsia" w:ascii="仿宋" w:hAnsi="仿宋" w:eastAsia="仿宋" w:cs="宋体"/>
          <w:sz w:val="32"/>
          <w:szCs w:val="32"/>
          <w:lang w:eastAsia="zh-CN"/>
        </w:rPr>
        <w:t>；</w:t>
      </w:r>
      <w:r>
        <w:rPr>
          <w:rFonts w:hint="eastAsia" w:ascii="仿宋" w:hAnsi="仿宋" w:eastAsia="仿宋" w:cs="宋体"/>
          <w:sz w:val="32"/>
          <w:szCs w:val="32"/>
        </w:rPr>
        <w:t>医疗卫生支出4.12万元；住房保障支出3.78万元。</w:t>
      </w:r>
    </w:p>
    <w:p w14:paraId="0095A996">
      <w:pPr>
        <w:pStyle w:val="11"/>
        <w:rPr>
          <w:rFonts w:hint="eastAsia" w:ascii="仿宋" w:hAnsi="仿宋" w:eastAsia="仿宋" w:cs="宋体"/>
          <w:sz w:val="32"/>
          <w:szCs w:val="32"/>
        </w:rPr>
      </w:pPr>
      <w:r>
        <w:rPr>
          <w:rFonts w:hint="eastAsia" w:ascii="仿宋" w:hAnsi="仿宋" w:eastAsia="仿宋" w:cs="宋体"/>
          <w:sz w:val="32"/>
          <w:szCs w:val="32"/>
        </w:rPr>
        <w:t xml:space="preserve">   （三）一般公共预算财政拨款支出决算具体情况</w:t>
      </w:r>
    </w:p>
    <w:p w14:paraId="09ED198C">
      <w:pPr>
        <w:pStyle w:val="11"/>
        <w:rPr>
          <w:rFonts w:hint="eastAsia" w:ascii="仿宋" w:hAnsi="仿宋" w:eastAsia="仿宋" w:cs="宋体"/>
          <w:sz w:val="32"/>
          <w:szCs w:val="32"/>
        </w:rPr>
      </w:pPr>
      <w:r>
        <w:rPr>
          <w:rFonts w:hint="eastAsia" w:ascii="仿宋" w:hAnsi="仿宋" w:eastAsia="仿宋" w:cs="宋体"/>
          <w:sz w:val="32"/>
          <w:szCs w:val="32"/>
        </w:rPr>
        <w:t xml:space="preserve">    </w:t>
      </w:r>
      <w:r>
        <w:rPr>
          <w:rFonts w:hint="eastAsia" w:ascii="仿宋" w:hAnsi="仿宋" w:eastAsia="仿宋" w:cs="宋体"/>
          <w:sz w:val="32"/>
          <w:szCs w:val="32"/>
          <w:lang w:eastAsia="zh-CN"/>
        </w:rPr>
        <w:t>1.</w:t>
      </w:r>
      <w:r>
        <w:rPr>
          <w:rFonts w:hint="eastAsia" w:ascii="仿宋" w:hAnsi="仿宋" w:eastAsia="仿宋" w:cs="宋体"/>
          <w:sz w:val="32"/>
          <w:szCs w:val="32"/>
        </w:rPr>
        <w:t>一般公共服务</w:t>
      </w:r>
    </w:p>
    <w:p w14:paraId="7B1B4E4A">
      <w:pPr>
        <w:pStyle w:val="11"/>
        <w:rPr>
          <w:rFonts w:hint="eastAsia" w:ascii="仿宋" w:hAnsi="仿宋" w:eastAsia="仿宋" w:cs="宋体"/>
          <w:sz w:val="32"/>
          <w:szCs w:val="32"/>
        </w:rPr>
      </w:pPr>
      <w:r>
        <w:rPr>
          <w:rFonts w:hint="eastAsia" w:ascii="仿宋" w:hAnsi="仿宋" w:eastAsia="仿宋" w:cs="宋体"/>
          <w:sz w:val="32"/>
          <w:szCs w:val="32"/>
        </w:rPr>
        <w:t xml:space="preserve">     2013150事业运行2020年决算数为64万元，完成100%。</w:t>
      </w:r>
    </w:p>
    <w:p w14:paraId="0A2B60AC">
      <w:pPr>
        <w:pStyle w:val="11"/>
        <w:rPr>
          <w:rFonts w:hint="eastAsia" w:ascii="仿宋" w:hAnsi="仿宋" w:eastAsia="仿宋" w:cs="宋体"/>
          <w:sz w:val="32"/>
          <w:szCs w:val="32"/>
        </w:rPr>
      </w:pPr>
      <w:r>
        <w:rPr>
          <w:rFonts w:hint="eastAsia" w:ascii="仿宋" w:hAnsi="仿宋" w:eastAsia="仿宋" w:cs="宋体"/>
          <w:sz w:val="32"/>
          <w:szCs w:val="32"/>
        </w:rPr>
        <w:t>　　</w:t>
      </w:r>
      <w:r>
        <w:rPr>
          <w:rFonts w:hint="eastAsia" w:ascii="仿宋" w:hAnsi="仿宋" w:eastAsia="仿宋" w:cs="宋体"/>
          <w:sz w:val="32"/>
          <w:szCs w:val="32"/>
          <w:lang w:eastAsia="zh-CN"/>
        </w:rPr>
        <w:t>2.</w:t>
      </w:r>
      <w:r>
        <w:rPr>
          <w:rFonts w:hint="eastAsia" w:ascii="仿宋" w:hAnsi="仿宋" w:eastAsia="仿宋" w:cs="宋体"/>
          <w:sz w:val="32"/>
          <w:szCs w:val="32"/>
        </w:rPr>
        <w:t>社会保障和就业</w:t>
      </w:r>
    </w:p>
    <w:p w14:paraId="5EBC15FB">
      <w:pPr>
        <w:pStyle w:val="11"/>
        <w:rPr>
          <w:rFonts w:hint="eastAsia" w:ascii="仿宋" w:hAnsi="仿宋" w:eastAsia="仿宋" w:cs="宋体"/>
          <w:sz w:val="32"/>
          <w:szCs w:val="32"/>
        </w:rPr>
      </w:pPr>
      <w:r>
        <w:rPr>
          <w:rFonts w:hint="eastAsia" w:ascii="仿宋" w:hAnsi="仿宋" w:eastAsia="仿宋" w:cs="宋体"/>
          <w:sz w:val="32"/>
          <w:szCs w:val="32"/>
        </w:rPr>
        <w:t>2080505机关事业单位基本养老保险缴费支出决算数为3.87万元</w:t>
      </w:r>
      <w:r>
        <w:rPr>
          <w:rFonts w:hint="eastAsia" w:ascii="仿宋" w:hAnsi="仿宋" w:eastAsia="仿宋" w:cs="宋体"/>
          <w:sz w:val="32"/>
          <w:szCs w:val="32"/>
          <w:lang w:eastAsia="zh-CN"/>
        </w:rPr>
        <w:t>，</w:t>
      </w:r>
      <w:r>
        <w:rPr>
          <w:rFonts w:hint="eastAsia" w:ascii="仿宋" w:hAnsi="仿宋" w:eastAsia="仿宋" w:cs="宋体"/>
          <w:sz w:val="32"/>
          <w:szCs w:val="32"/>
        </w:rPr>
        <w:t>完成预算100%。</w:t>
      </w:r>
    </w:p>
    <w:p w14:paraId="4E72FA01">
      <w:pPr>
        <w:pStyle w:val="11"/>
        <w:rPr>
          <w:rFonts w:hint="eastAsia" w:ascii="仿宋" w:hAnsi="仿宋" w:eastAsia="仿宋" w:cs="宋体"/>
          <w:sz w:val="32"/>
          <w:szCs w:val="32"/>
        </w:rPr>
      </w:pPr>
      <w:r>
        <w:rPr>
          <w:rFonts w:hint="eastAsia" w:ascii="仿宋" w:hAnsi="仿宋" w:eastAsia="仿宋" w:cs="宋体"/>
          <w:sz w:val="32"/>
          <w:szCs w:val="32"/>
        </w:rPr>
        <w:t xml:space="preserve">　  3.医疗卫生与计划生育 </w:t>
      </w:r>
    </w:p>
    <w:p w14:paraId="284FC4FC">
      <w:pPr>
        <w:pStyle w:val="11"/>
        <w:rPr>
          <w:rFonts w:hint="eastAsia" w:ascii="仿宋" w:hAnsi="仿宋" w:eastAsia="仿宋" w:cs="宋体"/>
          <w:sz w:val="32"/>
          <w:szCs w:val="32"/>
        </w:rPr>
      </w:pPr>
      <w:r>
        <w:rPr>
          <w:rFonts w:hint="eastAsia" w:ascii="仿宋" w:hAnsi="仿宋" w:eastAsia="仿宋" w:cs="宋体"/>
          <w:sz w:val="32"/>
          <w:szCs w:val="32"/>
        </w:rPr>
        <w:t>　2101101行政单位医疗</w:t>
      </w:r>
      <w:r>
        <w:rPr>
          <w:rFonts w:hint="eastAsia" w:ascii="仿宋" w:hAnsi="仿宋" w:eastAsia="仿宋" w:cs="宋体"/>
          <w:sz w:val="32"/>
          <w:szCs w:val="32"/>
          <w:lang w:val="en-US" w:eastAsia="zh-CN"/>
        </w:rPr>
        <w:t>2020</w:t>
      </w:r>
      <w:r>
        <w:rPr>
          <w:rFonts w:hint="eastAsia" w:ascii="仿宋" w:hAnsi="仿宋" w:eastAsia="仿宋" w:cs="宋体"/>
          <w:sz w:val="32"/>
          <w:szCs w:val="32"/>
        </w:rPr>
        <w:t xml:space="preserve">年决算数为4.12万元，完成预算100%。 </w:t>
      </w:r>
    </w:p>
    <w:p w14:paraId="5FA1A4BC">
      <w:pPr>
        <w:pStyle w:val="11"/>
        <w:rPr>
          <w:rFonts w:hint="eastAsia" w:ascii="仿宋" w:hAnsi="仿宋" w:eastAsia="仿宋" w:cs="宋体"/>
          <w:sz w:val="32"/>
          <w:szCs w:val="32"/>
        </w:rPr>
      </w:pPr>
      <w:r>
        <w:rPr>
          <w:rFonts w:hint="eastAsia" w:ascii="仿宋" w:hAnsi="仿宋" w:eastAsia="仿宋" w:cs="宋体"/>
          <w:sz w:val="32"/>
          <w:szCs w:val="32"/>
        </w:rPr>
        <w:t xml:space="preserve">   </w:t>
      </w:r>
      <w:r>
        <w:rPr>
          <w:rFonts w:hint="eastAsia" w:ascii="仿宋" w:hAnsi="仿宋" w:eastAsia="仿宋" w:cs="宋体"/>
          <w:sz w:val="32"/>
          <w:szCs w:val="32"/>
          <w:lang w:eastAsia="zh-CN"/>
        </w:rPr>
        <w:t>4.</w:t>
      </w:r>
      <w:r>
        <w:rPr>
          <w:rFonts w:hint="eastAsia" w:ascii="仿宋" w:hAnsi="仿宋" w:eastAsia="仿宋" w:cs="宋体"/>
          <w:sz w:val="32"/>
          <w:szCs w:val="32"/>
        </w:rPr>
        <w:t xml:space="preserve">住房保障支出 </w:t>
      </w:r>
    </w:p>
    <w:p w14:paraId="71A6650C">
      <w:pPr>
        <w:pStyle w:val="11"/>
        <w:rPr>
          <w:rFonts w:hint="eastAsia" w:ascii="仿宋" w:hAnsi="仿宋" w:eastAsia="仿宋" w:cs="宋体"/>
          <w:sz w:val="32"/>
          <w:szCs w:val="32"/>
        </w:rPr>
      </w:pPr>
      <w:r>
        <w:rPr>
          <w:rFonts w:hint="eastAsia" w:ascii="仿宋" w:hAnsi="仿宋" w:eastAsia="仿宋" w:cs="宋体"/>
          <w:sz w:val="32"/>
          <w:szCs w:val="32"/>
        </w:rPr>
        <w:t xml:space="preserve">  2210201住房公积金</w:t>
      </w:r>
      <w:r>
        <w:rPr>
          <w:rFonts w:hint="eastAsia" w:ascii="仿宋" w:hAnsi="仿宋" w:eastAsia="仿宋" w:cs="宋体"/>
          <w:sz w:val="32"/>
          <w:szCs w:val="32"/>
          <w:lang w:val="en-US" w:eastAsia="zh-CN"/>
        </w:rPr>
        <w:t>2020</w:t>
      </w:r>
      <w:r>
        <w:rPr>
          <w:rFonts w:hint="eastAsia" w:ascii="仿宋" w:hAnsi="仿宋" w:eastAsia="仿宋" w:cs="宋体"/>
          <w:sz w:val="32"/>
          <w:szCs w:val="32"/>
        </w:rPr>
        <w:t xml:space="preserve">年决算数为3.78万元，完成预算100%。 </w:t>
      </w:r>
    </w:p>
    <w:p w14:paraId="5D9A3C93">
      <w:pPr>
        <w:spacing w:line="600" w:lineRule="exact"/>
        <w:ind w:firstLine="640"/>
        <w:rPr>
          <w:rFonts w:ascii="仿宋" w:hAnsi="仿宋" w:eastAsia="仿宋"/>
          <w:b/>
          <w:color w:val="000000"/>
          <w:sz w:val="32"/>
          <w:szCs w:val="32"/>
        </w:rPr>
      </w:pPr>
    </w:p>
    <w:p w14:paraId="2440CF31">
      <w:pPr>
        <w:tabs>
          <w:tab w:val="right" w:pos="8306"/>
        </w:tabs>
        <w:spacing w:line="600" w:lineRule="exact"/>
        <w:ind w:firstLine="640"/>
        <w:outlineLvl w:val="1"/>
        <w:rPr>
          <w:rStyle w:val="27"/>
        </w:rPr>
      </w:pPr>
      <w:bookmarkStart w:id="44" w:name="_Toc79163618"/>
      <w:bookmarkStart w:id="45" w:name="_Toc15377214"/>
      <w:bookmarkStart w:id="46" w:name="_Toc15396608"/>
      <w:bookmarkStart w:id="47" w:name="_Toc7916386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44"/>
      <w:bookmarkEnd w:id="45"/>
      <w:bookmarkEnd w:id="46"/>
      <w:bookmarkEnd w:id="47"/>
      <w:r>
        <w:rPr>
          <w:rStyle w:val="27"/>
          <w:rFonts w:ascii="黑体" w:hAnsi="黑体" w:eastAsia="黑体"/>
          <w:b w:val="0"/>
        </w:rPr>
        <w:tab/>
      </w:r>
    </w:p>
    <w:p w14:paraId="1203241A">
      <w:pPr>
        <w:pStyle w:val="11"/>
        <w:rPr>
          <w:rFonts w:hint="eastAsia" w:ascii="仿宋" w:hAnsi="仿宋" w:eastAsia="仿宋" w:cs="宋体"/>
          <w:sz w:val="32"/>
          <w:szCs w:val="32"/>
        </w:rPr>
      </w:pPr>
      <w:bookmarkStart w:id="48" w:name="_Toc79163619"/>
      <w:bookmarkStart w:id="49" w:name="_Toc79163869"/>
      <w:bookmarkStart w:id="50" w:name="_Toc15377215"/>
      <w:bookmarkStart w:id="51" w:name="_Toc15396609"/>
      <w:r>
        <w:rPr>
          <w:rFonts w:hint="eastAsia" w:ascii="仿宋" w:hAnsi="仿宋" w:eastAsia="仿宋" w:cs="宋体"/>
          <w:sz w:val="32"/>
          <w:szCs w:val="32"/>
        </w:rPr>
        <w:t>　松潘县目标绩效督查事务中心20</w:t>
      </w:r>
      <w:r>
        <w:rPr>
          <w:rFonts w:hint="eastAsia" w:ascii="仿宋" w:hAnsi="仿宋" w:eastAsia="仿宋" w:cs="宋体"/>
          <w:sz w:val="32"/>
          <w:szCs w:val="32"/>
          <w:lang w:val="en-US" w:eastAsia="zh-CN"/>
        </w:rPr>
        <w:t>20</w:t>
      </w:r>
      <w:r>
        <w:rPr>
          <w:rFonts w:hint="eastAsia" w:ascii="仿宋" w:hAnsi="仿宋" w:eastAsia="仿宋" w:cs="宋体"/>
          <w:sz w:val="32"/>
          <w:szCs w:val="32"/>
        </w:rPr>
        <w:t>年一般公共预算财政拨款基本支出75.77万元，其中： 人员经费58.35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p>
    <w:p w14:paraId="2118B33C">
      <w:pPr>
        <w:pStyle w:val="11"/>
        <w:rPr>
          <w:rFonts w:hint="eastAsia" w:ascii="仿宋" w:hAnsi="仿宋" w:eastAsia="仿宋" w:cs="宋体"/>
          <w:sz w:val="32"/>
          <w:szCs w:val="32"/>
        </w:rPr>
      </w:pPr>
      <w:r>
        <w:rPr>
          <w:rFonts w:hint="eastAsia" w:ascii="仿宋" w:hAnsi="仿宋" w:eastAsia="仿宋" w:cs="宋体"/>
          <w:sz w:val="32"/>
          <w:szCs w:val="32"/>
        </w:rPr>
        <w:t xml:space="preserve">    公用</w:t>
      </w:r>
      <w:r>
        <w:rPr>
          <w:rFonts w:hint="eastAsia" w:ascii="仿宋" w:hAnsi="仿宋" w:eastAsia="仿宋" w:cs="宋体"/>
          <w:sz w:val="32"/>
          <w:szCs w:val="32"/>
          <w:lang w:eastAsia="zh-CN"/>
        </w:rPr>
        <w:t>经费</w:t>
      </w:r>
      <w:r>
        <w:rPr>
          <w:rFonts w:hint="eastAsia" w:ascii="仿宋" w:hAnsi="仿宋" w:eastAsia="仿宋" w:cs="宋体"/>
          <w:sz w:val="32"/>
          <w:szCs w:val="32"/>
        </w:rPr>
        <w:t xml:space="preserve">17.42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 </w:t>
      </w:r>
    </w:p>
    <w:p w14:paraId="416BEC74">
      <w:pPr>
        <w:spacing w:line="600" w:lineRule="exact"/>
        <w:ind w:firstLine="640"/>
        <w:outlineLvl w:val="1"/>
        <w:rPr>
          <w:rStyle w:val="27"/>
          <w:rFonts w:ascii="黑体" w:hAnsi="黑体" w:eastAsia="黑体"/>
          <w:b w:val="0"/>
        </w:rPr>
      </w:pPr>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8"/>
      <w:bookmarkEnd w:id="49"/>
      <w:bookmarkEnd w:id="50"/>
      <w:bookmarkEnd w:id="51"/>
    </w:p>
    <w:p w14:paraId="1D2751A0">
      <w:pPr>
        <w:pStyle w:val="11"/>
        <w:rPr>
          <w:rFonts w:hint="eastAsia" w:ascii="仿宋" w:hAnsi="仿宋" w:eastAsia="仿宋" w:cs="宋体"/>
          <w:sz w:val="32"/>
          <w:szCs w:val="32"/>
        </w:rPr>
      </w:pPr>
      <w:bookmarkStart w:id="52" w:name="_Toc15396610"/>
      <w:bookmarkStart w:id="53" w:name="_Toc79163622"/>
      <w:bookmarkStart w:id="54" w:name="_Toc15377218"/>
      <w:bookmarkStart w:id="55" w:name="_Toc79163872"/>
      <w:r>
        <w:rPr>
          <w:rFonts w:hint="eastAsia" w:ascii="仿宋" w:hAnsi="仿宋" w:eastAsia="仿宋"/>
          <w:color w:val="000000"/>
          <w:sz w:val="32"/>
          <w:szCs w:val="32"/>
        </w:rPr>
        <w:t xml:space="preserve"> </w:t>
      </w:r>
      <w:r>
        <w:rPr>
          <w:rFonts w:hint="eastAsia" w:ascii="仿宋" w:hAnsi="仿宋" w:eastAsia="仿宋" w:cs="宋体"/>
          <w:sz w:val="32"/>
          <w:szCs w:val="32"/>
        </w:rPr>
        <w:t xml:space="preserve">（一）“三公”经费财政拨款支出决算总体情况说明 </w:t>
      </w:r>
    </w:p>
    <w:p w14:paraId="496F011B">
      <w:pPr>
        <w:pStyle w:val="11"/>
        <w:rPr>
          <w:rFonts w:hint="eastAsia" w:ascii="仿宋" w:hAnsi="仿宋" w:eastAsia="仿宋" w:cs="宋体"/>
          <w:sz w:val="32"/>
          <w:szCs w:val="32"/>
        </w:rPr>
      </w:pPr>
      <w:r>
        <w:rPr>
          <w:rFonts w:hint="eastAsia" w:ascii="仿宋" w:hAnsi="仿宋" w:eastAsia="仿宋" w:cs="宋体"/>
          <w:sz w:val="32"/>
          <w:szCs w:val="32"/>
        </w:rPr>
        <w:t xml:space="preserve">   松潘县目标绩效督查事务中心2020年度“三公”经费财政拨款支出决算为5.75万元，完成预算100%，其中：因公出国（境）费支出决算为0万元，完成预算0%；公务用车购置及运行维护费支出决算为5.75万元，完成预算100%；公务接待费支出决算为0万元，完成预算0%。2020年度“三公”经费支出决算数小于预算数（或与预算数持平）的主要原因是严格按照中央八项规定和政府会计制度执行。 </w:t>
      </w:r>
    </w:p>
    <w:p w14:paraId="6CCCE389">
      <w:pPr>
        <w:pStyle w:val="11"/>
        <w:rPr>
          <w:rFonts w:hint="eastAsia" w:ascii="仿宋" w:hAnsi="仿宋" w:eastAsia="仿宋" w:cs="宋体"/>
          <w:sz w:val="32"/>
          <w:szCs w:val="32"/>
        </w:rPr>
      </w:pPr>
      <w:r>
        <w:rPr>
          <w:rFonts w:hint="eastAsia" w:ascii="仿宋" w:hAnsi="仿宋" w:eastAsia="仿宋" w:cs="宋体"/>
          <w:sz w:val="32"/>
          <w:szCs w:val="32"/>
        </w:rPr>
        <w:t xml:space="preserve">     （二）“三公”经费财政拨款支出决算具体情况说明 </w:t>
      </w:r>
    </w:p>
    <w:p w14:paraId="201FCB5E">
      <w:pPr>
        <w:pStyle w:val="11"/>
        <w:rPr>
          <w:rFonts w:hint="eastAsia" w:ascii="仿宋" w:hAnsi="仿宋" w:eastAsia="仿宋" w:cs="宋体"/>
          <w:sz w:val="32"/>
          <w:szCs w:val="32"/>
        </w:rPr>
      </w:pPr>
      <w:r>
        <w:rPr>
          <w:rFonts w:hint="eastAsia" w:ascii="仿宋" w:hAnsi="仿宋" w:eastAsia="仿宋" w:cs="宋体"/>
          <w:sz w:val="32"/>
          <w:szCs w:val="32"/>
        </w:rPr>
        <w:t xml:space="preserve">　　2020年度“三公”经费财政拨款支出决算中，因公出国（境）费支出决算0万元，占0%；公务用车购置及运行维护费支出决算5.75万元，具体情况如下： </w:t>
      </w:r>
    </w:p>
    <w:p w14:paraId="1648B2E7">
      <w:pPr>
        <w:pStyle w:val="11"/>
        <w:rPr>
          <w:rFonts w:hint="eastAsia" w:ascii="仿宋" w:hAnsi="仿宋" w:eastAsia="仿宋" w:cs="宋体"/>
          <w:sz w:val="32"/>
          <w:szCs w:val="32"/>
        </w:rPr>
      </w:pPr>
      <w:r>
        <w:rPr>
          <w:rFonts w:hint="eastAsia" w:ascii="仿宋" w:hAnsi="仿宋" w:eastAsia="仿宋" w:cs="宋体"/>
          <w:sz w:val="32"/>
          <w:szCs w:val="32"/>
        </w:rPr>
        <w:t xml:space="preserve">　　1.因公出国（境）经费 </w:t>
      </w:r>
    </w:p>
    <w:p w14:paraId="4CD3FAF0">
      <w:pPr>
        <w:pStyle w:val="11"/>
        <w:rPr>
          <w:rFonts w:hint="eastAsia" w:ascii="仿宋" w:hAnsi="仿宋" w:eastAsia="仿宋" w:cs="宋体"/>
          <w:sz w:val="32"/>
          <w:szCs w:val="32"/>
        </w:rPr>
      </w:pPr>
      <w:r>
        <w:rPr>
          <w:rFonts w:hint="eastAsia" w:ascii="仿宋" w:hAnsi="仿宋" w:eastAsia="仿宋" w:cs="宋体"/>
          <w:sz w:val="32"/>
          <w:szCs w:val="32"/>
        </w:rPr>
        <w:t xml:space="preserve">　　无开支内容。 </w:t>
      </w:r>
    </w:p>
    <w:p w14:paraId="0BE105BF">
      <w:pPr>
        <w:pStyle w:val="11"/>
        <w:rPr>
          <w:rFonts w:hint="eastAsia" w:ascii="仿宋" w:hAnsi="仿宋" w:eastAsia="仿宋" w:cs="宋体"/>
          <w:sz w:val="32"/>
          <w:szCs w:val="32"/>
        </w:rPr>
      </w:pPr>
      <w:r>
        <w:rPr>
          <w:rFonts w:hint="eastAsia" w:ascii="仿宋" w:hAnsi="仿宋" w:eastAsia="仿宋" w:cs="宋体"/>
          <w:sz w:val="32"/>
          <w:szCs w:val="32"/>
        </w:rPr>
        <w:t xml:space="preserve">　　2.公务用车购置及运行维护费 </w:t>
      </w:r>
    </w:p>
    <w:p w14:paraId="3112E96A">
      <w:pPr>
        <w:pStyle w:val="11"/>
        <w:rPr>
          <w:rFonts w:hint="eastAsia" w:ascii="仿宋" w:hAnsi="仿宋" w:eastAsia="仿宋" w:cs="宋体"/>
          <w:sz w:val="32"/>
          <w:szCs w:val="32"/>
        </w:rPr>
      </w:pPr>
      <w:r>
        <w:rPr>
          <w:rFonts w:hint="eastAsia" w:ascii="仿宋" w:hAnsi="仿宋" w:eastAsia="仿宋" w:cs="宋体"/>
          <w:sz w:val="32"/>
          <w:szCs w:val="32"/>
        </w:rPr>
        <w:t>　</w:t>
      </w:r>
      <w:r>
        <w:rPr>
          <w:rFonts w:hint="eastAsia" w:ascii="仿宋" w:hAnsi="仿宋" w:eastAsia="仿宋" w:cs="宋体"/>
          <w:sz w:val="32"/>
          <w:szCs w:val="32"/>
          <w:lang w:val="en-US" w:eastAsia="zh-CN"/>
        </w:rPr>
        <w:t>2020</w:t>
      </w:r>
      <w:r>
        <w:rPr>
          <w:rFonts w:hint="eastAsia" w:ascii="仿宋" w:hAnsi="仿宋" w:eastAsia="仿宋" w:cs="宋体"/>
          <w:sz w:val="32"/>
          <w:szCs w:val="32"/>
        </w:rPr>
        <w:t>年公务用车购置及运行维护费5.75万元</w:t>
      </w:r>
      <w:r>
        <w:rPr>
          <w:rFonts w:hint="eastAsia" w:ascii="仿宋" w:hAnsi="仿宋" w:eastAsia="仿宋" w:cs="宋体"/>
          <w:sz w:val="32"/>
          <w:szCs w:val="32"/>
          <w:lang w:eastAsia="zh-CN"/>
        </w:rPr>
        <w:t>，</w:t>
      </w:r>
      <w:r>
        <w:rPr>
          <w:rFonts w:hint="eastAsia" w:ascii="仿宋" w:hAnsi="仿宋" w:eastAsia="仿宋" w:cs="宋体"/>
          <w:sz w:val="32"/>
          <w:szCs w:val="32"/>
        </w:rPr>
        <w:t>截至2020年12月底，单位有公务用车1辆， 公务用车运行维护费支出5.75万元。主要用于下乡</w:t>
      </w:r>
      <w:r>
        <w:rPr>
          <w:rFonts w:hint="eastAsia" w:ascii="仿宋" w:hAnsi="仿宋" w:eastAsia="仿宋" w:cs="宋体"/>
          <w:sz w:val="32"/>
          <w:szCs w:val="32"/>
          <w:lang w:eastAsia="zh-CN"/>
        </w:rPr>
        <w:t>督查</w:t>
      </w:r>
      <w:r>
        <w:rPr>
          <w:rFonts w:hint="eastAsia" w:ascii="仿宋" w:hAnsi="仿宋" w:eastAsia="仿宋" w:cs="宋体"/>
          <w:sz w:val="32"/>
          <w:szCs w:val="32"/>
        </w:rPr>
        <w:t xml:space="preserve">检查，所需的公务用车燃料费、维修费、过路过桥费、保险费等支出。 </w:t>
      </w:r>
    </w:p>
    <w:p w14:paraId="0F0BC690">
      <w:pPr>
        <w:pStyle w:val="11"/>
        <w:rPr>
          <w:rFonts w:hint="eastAsia" w:ascii="仿宋" w:hAnsi="仿宋" w:eastAsia="仿宋" w:cs="宋体"/>
          <w:sz w:val="32"/>
          <w:szCs w:val="32"/>
        </w:rPr>
      </w:pPr>
      <w:r>
        <w:rPr>
          <w:rFonts w:hint="eastAsia" w:ascii="仿宋" w:hAnsi="仿宋" w:eastAsia="仿宋" w:cs="宋体"/>
          <w:sz w:val="32"/>
          <w:szCs w:val="32"/>
        </w:rPr>
        <w:t xml:space="preserve">　　3.公务接待费 </w:t>
      </w:r>
    </w:p>
    <w:p w14:paraId="5FDD7C31">
      <w:pPr>
        <w:pStyle w:val="11"/>
        <w:rPr>
          <w:rFonts w:hint="eastAsia" w:ascii="仿宋" w:hAnsi="仿宋" w:eastAsia="仿宋" w:cs="宋体"/>
          <w:sz w:val="32"/>
          <w:szCs w:val="32"/>
        </w:rPr>
      </w:pPr>
      <w:r>
        <w:rPr>
          <w:rFonts w:hint="eastAsia" w:ascii="仿宋" w:hAnsi="仿宋" w:eastAsia="仿宋" w:cs="宋体"/>
          <w:sz w:val="32"/>
          <w:szCs w:val="32"/>
        </w:rPr>
        <w:t>　　松潘县目标绩效督查事务中心2020年无公务接待费。</w:t>
      </w:r>
    </w:p>
    <w:p w14:paraId="7DC1BFC4">
      <w:pPr>
        <w:spacing w:line="560" w:lineRule="exact"/>
        <w:ind w:firstLine="640" w:firstLineChars="200"/>
        <w:rPr>
          <w:rStyle w:val="27"/>
          <w:rFonts w:ascii="黑体" w:hAnsi="黑体" w:eastAsia="黑体"/>
        </w:rPr>
      </w:pPr>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52"/>
      <w:bookmarkEnd w:id="53"/>
      <w:bookmarkEnd w:id="54"/>
      <w:bookmarkEnd w:id="55"/>
    </w:p>
    <w:p w14:paraId="1D309E89">
      <w:pPr>
        <w:spacing w:line="56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 xml:space="preserve">2020年使用政府性基金预算财政拨款0万元，无基金支出。 </w:t>
      </w:r>
    </w:p>
    <w:p w14:paraId="1DED1C57">
      <w:pPr>
        <w:numPr>
          <w:ilvl w:val="0"/>
          <w:numId w:val="3"/>
        </w:numPr>
        <w:spacing w:line="600" w:lineRule="exact"/>
        <w:ind w:firstLine="640"/>
        <w:outlineLvl w:val="1"/>
        <w:rPr>
          <w:rStyle w:val="27"/>
          <w:rFonts w:ascii="黑体" w:hAnsi="黑体" w:eastAsia="黑体"/>
          <w:b w:val="0"/>
        </w:rPr>
      </w:pPr>
      <w:bookmarkStart w:id="56" w:name="_Toc15377219"/>
      <w:bookmarkStart w:id="57" w:name="_Toc15396611"/>
      <w:bookmarkStart w:id="58" w:name="_Toc79163873"/>
      <w:bookmarkStart w:id="59" w:name="_Toc79163623"/>
      <w:r>
        <w:rPr>
          <w:rStyle w:val="27"/>
          <w:rFonts w:hint="eastAsia" w:ascii="黑体" w:hAnsi="黑体" w:eastAsia="黑体"/>
          <w:b w:val="0"/>
        </w:rPr>
        <w:t>国有资本经营预算支出决算情况说明</w:t>
      </w:r>
      <w:bookmarkEnd w:id="56"/>
      <w:bookmarkEnd w:id="57"/>
      <w:bookmarkEnd w:id="58"/>
      <w:bookmarkEnd w:id="59"/>
    </w:p>
    <w:p w14:paraId="0AA1BCA1">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国有资本经营预算拨款支出</w:t>
      </w:r>
    </w:p>
    <w:p w14:paraId="71DD49E2">
      <w:pPr>
        <w:spacing w:line="600" w:lineRule="exact"/>
        <w:ind w:firstLine="800" w:firstLineChars="250"/>
        <w:outlineLvl w:val="1"/>
        <w:rPr>
          <w:rStyle w:val="27"/>
          <w:rFonts w:ascii="黑体" w:hAnsi="黑体" w:eastAsia="黑体"/>
        </w:rPr>
      </w:pPr>
      <w:bookmarkStart w:id="60" w:name="_Toc15396612"/>
      <w:bookmarkStart w:id="61" w:name="_Toc79163874"/>
      <w:bookmarkStart w:id="62" w:name="_Toc15377221"/>
      <w:bookmarkStart w:id="63" w:name="_Toc79163624"/>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60"/>
      <w:bookmarkEnd w:id="61"/>
      <w:bookmarkEnd w:id="62"/>
      <w:bookmarkEnd w:id="63"/>
    </w:p>
    <w:p w14:paraId="1D920D95">
      <w:pPr>
        <w:spacing w:line="600" w:lineRule="exact"/>
        <w:ind w:firstLine="643" w:firstLineChars="200"/>
        <w:outlineLvl w:val="2"/>
        <w:rPr>
          <w:rFonts w:ascii="仿宋" w:hAnsi="仿宋" w:eastAsia="仿宋"/>
          <w:color w:val="000000"/>
          <w:sz w:val="32"/>
          <w:szCs w:val="32"/>
        </w:rPr>
      </w:pPr>
      <w:bookmarkStart w:id="64" w:name="_Toc79163875"/>
      <w:bookmarkStart w:id="65" w:name="_Toc15377222"/>
      <w:bookmarkStart w:id="66" w:name="_Toc79163625"/>
      <w:r>
        <w:rPr>
          <w:rFonts w:hint="eastAsia" w:ascii="仿宋" w:hAnsi="仿宋" w:eastAsia="仿宋"/>
          <w:b/>
          <w:color w:val="000000"/>
          <w:sz w:val="32"/>
          <w:szCs w:val="32"/>
        </w:rPr>
        <w:t>（一）机关运行经费支出情况</w:t>
      </w:r>
      <w:bookmarkEnd w:id="64"/>
      <w:bookmarkEnd w:id="65"/>
      <w:bookmarkEnd w:id="66"/>
    </w:p>
    <w:p w14:paraId="25618E01">
      <w:pPr>
        <w:snapToGrid w:val="0"/>
        <w:spacing w:line="578"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2020年度，机关运行经费支出</w:t>
      </w:r>
      <w:r>
        <w:rPr>
          <w:rFonts w:hint="eastAsia" w:ascii="仿宋" w:hAnsi="仿宋" w:eastAsia="仿宋"/>
          <w:color w:val="000000"/>
          <w:sz w:val="32"/>
          <w:szCs w:val="32"/>
          <w:lang w:val="en-US" w:eastAsia="zh-CN"/>
        </w:rPr>
        <w:t>17.42</w:t>
      </w:r>
      <w:r>
        <w:rPr>
          <w:rFonts w:hint="eastAsia" w:ascii="仿宋" w:hAnsi="仿宋" w:eastAsia="仿宋"/>
          <w:color w:val="000000"/>
          <w:sz w:val="32"/>
          <w:szCs w:val="32"/>
        </w:rPr>
        <w:t>万元，比2019年减少</w:t>
      </w:r>
      <w:r>
        <w:rPr>
          <w:rFonts w:hint="eastAsia" w:ascii="仿宋" w:hAnsi="仿宋" w:eastAsia="仿宋"/>
          <w:color w:val="000000"/>
          <w:sz w:val="32"/>
          <w:szCs w:val="32"/>
          <w:lang w:val="en-US" w:eastAsia="zh-CN"/>
        </w:rPr>
        <w:t>2.02</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13</w:t>
      </w:r>
      <w:r>
        <w:rPr>
          <w:rFonts w:hint="eastAsia" w:ascii="仿宋" w:hAnsi="仿宋" w:eastAsia="仿宋"/>
          <w:color w:val="000000"/>
          <w:sz w:val="32"/>
          <w:szCs w:val="32"/>
        </w:rPr>
        <w:t>%。减少的主要原因是公用经费支出压缩，优化支出结构，厉行节约。</w:t>
      </w:r>
    </w:p>
    <w:p w14:paraId="517BA925">
      <w:pPr>
        <w:spacing w:line="560" w:lineRule="exact"/>
        <w:ind w:firstLine="480" w:firstLineChars="150"/>
        <w:rPr>
          <w:rFonts w:hint="eastAsia" w:ascii="楷体" w:hAnsi="楷体" w:eastAsia="楷体"/>
          <w:color w:val="000000"/>
          <w:sz w:val="32"/>
          <w:szCs w:val="32"/>
        </w:rPr>
      </w:pPr>
      <w:r>
        <w:rPr>
          <w:rFonts w:hint="eastAsia" w:ascii="楷体" w:hAnsi="楷体" w:eastAsia="楷体"/>
          <w:color w:val="000000"/>
          <w:sz w:val="32"/>
          <w:szCs w:val="32"/>
        </w:rPr>
        <w:t xml:space="preserve">㈡政府采购支出情况 </w:t>
      </w:r>
    </w:p>
    <w:p w14:paraId="786B2432">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2020年度，</w:t>
      </w:r>
      <w:r>
        <w:rPr>
          <w:rFonts w:hint="eastAsia" w:ascii="仿宋" w:hAnsi="仿宋" w:eastAsia="仿宋" w:cs="宋体"/>
          <w:sz w:val="32"/>
          <w:szCs w:val="32"/>
        </w:rPr>
        <w:t>松潘县目标绩效督查事务中心</w:t>
      </w:r>
      <w:r>
        <w:rPr>
          <w:rFonts w:hint="eastAsia" w:ascii="仿宋" w:hAnsi="仿宋" w:eastAsia="仿宋" w:cs="宋体"/>
          <w:sz w:val="32"/>
          <w:szCs w:val="32"/>
          <w:lang w:eastAsia="zh-CN"/>
        </w:rPr>
        <w:t>无政府采购支出</w:t>
      </w:r>
      <w:r>
        <w:rPr>
          <w:rFonts w:hint="eastAsia" w:ascii="仿宋" w:hAnsi="仿宋" w:eastAsia="仿宋"/>
          <w:color w:val="000000"/>
          <w:sz w:val="32"/>
          <w:szCs w:val="32"/>
        </w:rPr>
        <w:t>。</w:t>
      </w:r>
    </w:p>
    <w:p w14:paraId="29399B0B">
      <w:pPr>
        <w:spacing w:line="560" w:lineRule="exact"/>
        <w:ind w:firstLine="480" w:firstLineChars="150"/>
        <w:rPr>
          <w:rFonts w:hint="eastAsia" w:ascii="楷体" w:hAnsi="楷体" w:eastAsia="楷体"/>
          <w:color w:val="000000"/>
          <w:sz w:val="32"/>
          <w:szCs w:val="32"/>
        </w:rPr>
      </w:pPr>
      <w:r>
        <w:rPr>
          <w:rFonts w:hint="eastAsia" w:ascii="楷体" w:hAnsi="楷体" w:eastAsia="楷体"/>
          <w:color w:val="000000"/>
          <w:sz w:val="32"/>
          <w:szCs w:val="32"/>
        </w:rPr>
        <w:t xml:space="preserve">㈢国有资产占有使用情况 </w:t>
      </w:r>
    </w:p>
    <w:p w14:paraId="5A5BAD06">
      <w:pPr>
        <w:pStyle w:val="11"/>
        <w:ind w:firstLine="320" w:firstLineChars="100"/>
        <w:rPr>
          <w:rFonts w:hint="eastAsia" w:ascii="仿宋" w:hAnsi="仿宋" w:eastAsia="仿宋" w:cs="宋体"/>
          <w:sz w:val="32"/>
          <w:szCs w:val="32"/>
        </w:rPr>
      </w:pPr>
      <w:r>
        <w:rPr>
          <w:rFonts w:hint="eastAsia" w:ascii="仿宋" w:hAnsi="仿宋" w:eastAsia="仿宋" w:cs="宋体"/>
          <w:sz w:val="32"/>
          <w:szCs w:val="32"/>
        </w:rPr>
        <w:t xml:space="preserve"> </w:t>
      </w:r>
      <w:r>
        <w:rPr>
          <w:rFonts w:hint="eastAsia" w:ascii="仿宋" w:hAnsi="仿宋" w:eastAsia="仿宋" w:cs="宋体"/>
          <w:sz w:val="32"/>
          <w:szCs w:val="32"/>
          <w:lang w:eastAsia="zh-CN"/>
        </w:rPr>
        <w:t>截至</w:t>
      </w:r>
      <w:r>
        <w:rPr>
          <w:rFonts w:hint="eastAsia" w:ascii="仿宋" w:hAnsi="仿宋" w:eastAsia="仿宋" w:cs="宋体"/>
          <w:sz w:val="32"/>
          <w:szCs w:val="32"/>
        </w:rPr>
        <w:t>2020年12月31日止目标办固定资产为16.29万元，车辆1辆，单价9.31万元，单价50万元以上通用设备0台（套），单价100万元以上专用设备0台（套）；</w:t>
      </w:r>
      <w:r>
        <w:rPr>
          <w:rFonts w:hint="eastAsia" w:ascii="仿宋" w:hAnsi="仿宋" w:eastAsia="仿宋" w:cs="宋体"/>
          <w:sz w:val="32"/>
          <w:szCs w:val="32"/>
          <w:lang w:eastAsia="zh-CN"/>
        </w:rPr>
        <w:t>其他</w:t>
      </w:r>
      <w:r>
        <w:rPr>
          <w:rFonts w:hint="eastAsia" w:ascii="仿宋" w:hAnsi="仿宋" w:eastAsia="仿宋" w:cs="宋体"/>
          <w:sz w:val="32"/>
          <w:szCs w:val="32"/>
        </w:rPr>
        <w:t xml:space="preserve">办公用品6.98万元。 </w:t>
      </w:r>
    </w:p>
    <w:p w14:paraId="67743D00">
      <w:pPr>
        <w:spacing w:line="560" w:lineRule="exact"/>
        <w:ind w:firstLine="640"/>
        <w:rPr>
          <w:rFonts w:hint="eastAsia" w:ascii="楷体" w:hAnsi="楷体" w:eastAsia="楷体"/>
          <w:color w:val="000000"/>
          <w:sz w:val="32"/>
          <w:szCs w:val="32"/>
          <w:lang w:eastAsia="zh-CN"/>
        </w:rPr>
      </w:pPr>
      <w:r>
        <w:rPr>
          <w:rFonts w:hint="eastAsia" w:ascii="仿宋" w:hAnsi="仿宋" w:eastAsia="仿宋"/>
          <w:color w:val="000000"/>
          <w:sz w:val="32"/>
          <w:szCs w:val="32"/>
        </w:rPr>
        <w:t xml:space="preserve"> </w:t>
      </w:r>
      <w:r>
        <w:rPr>
          <w:rFonts w:hint="eastAsia" w:ascii="楷体" w:hAnsi="楷体" w:eastAsia="楷体"/>
          <w:color w:val="000000"/>
          <w:sz w:val="32"/>
          <w:szCs w:val="32"/>
        </w:rPr>
        <w:t>㈣预算绩效</w:t>
      </w:r>
      <w:r>
        <w:rPr>
          <w:rFonts w:hint="eastAsia" w:ascii="楷体" w:hAnsi="楷体" w:eastAsia="楷体"/>
          <w:color w:val="000000"/>
          <w:sz w:val="32"/>
          <w:szCs w:val="32"/>
          <w:lang w:eastAsia="zh-CN"/>
        </w:rPr>
        <w:t>管理</w:t>
      </w:r>
      <w:r>
        <w:rPr>
          <w:rFonts w:hint="eastAsia" w:ascii="楷体" w:hAnsi="楷体" w:eastAsia="楷体"/>
          <w:color w:val="000000"/>
          <w:sz w:val="32"/>
          <w:szCs w:val="32"/>
        </w:rPr>
        <w:t>情况</w:t>
      </w:r>
      <w:r>
        <w:rPr>
          <w:rFonts w:hint="eastAsia" w:ascii="楷体" w:hAnsi="楷体" w:eastAsia="楷体"/>
          <w:color w:val="000000"/>
          <w:sz w:val="32"/>
          <w:szCs w:val="32"/>
          <w:lang w:eastAsia="zh-CN"/>
        </w:rPr>
        <w:t>。</w:t>
      </w:r>
    </w:p>
    <w:p w14:paraId="4A8429EC">
      <w:pPr>
        <w:pStyle w:val="11"/>
        <w:rPr>
          <w:rFonts w:hint="eastAsia" w:ascii="仿宋" w:hAnsi="仿宋" w:eastAsia="仿宋"/>
          <w:color w:val="000000"/>
          <w:sz w:val="32"/>
          <w:szCs w:val="32"/>
        </w:rPr>
      </w:pPr>
      <w:r>
        <w:rPr>
          <w:rFonts w:hint="eastAsia" w:ascii="仿宋" w:hAnsi="仿宋" w:eastAsia="仿宋" w:cs="宋体"/>
          <w:sz w:val="32"/>
          <w:szCs w:val="32"/>
        </w:rPr>
        <w:t xml:space="preserve">按照预算绩效管理要求，本部门对2020年一般公共预算项目支出开展了绩效目标管理，共编制绩效目标0个，涉及财政资金0万元。 </w:t>
      </w:r>
    </w:p>
    <w:p w14:paraId="57622C57">
      <w:pPr>
        <w:numPr>
          <w:ilvl w:val="0"/>
          <w:numId w:val="4"/>
        </w:numPr>
        <w:spacing w:line="600" w:lineRule="exact"/>
        <w:ind w:firstLine="660" w:firstLineChars="150"/>
        <w:jc w:val="center"/>
        <w:outlineLvl w:val="0"/>
        <w:rPr>
          <w:rStyle w:val="26"/>
          <w:rFonts w:ascii="黑体" w:hAnsi="黑体" w:eastAsia="黑体"/>
          <w:b w:val="0"/>
        </w:rPr>
      </w:pPr>
      <w:bookmarkStart w:id="67" w:name="_Toc79163879"/>
      <w:bookmarkStart w:id="68" w:name="_Toc79163629"/>
      <w:bookmarkStart w:id="69" w:name="_Toc15396613"/>
      <w:bookmarkStart w:id="70" w:name="_Toc15377225"/>
      <w:r>
        <w:rPr>
          <w:rFonts w:hint="eastAsia" w:ascii="黑体" w:hAnsi="黑体" w:eastAsia="黑体"/>
          <w:color w:val="000000"/>
          <w:sz w:val="44"/>
          <w:szCs w:val="44"/>
        </w:rPr>
        <w:t>名</w:t>
      </w:r>
      <w:r>
        <w:rPr>
          <w:rStyle w:val="26"/>
          <w:rFonts w:hint="eastAsia" w:ascii="黑体" w:hAnsi="黑体" w:eastAsia="黑体"/>
          <w:b w:val="0"/>
        </w:rPr>
        <w:t>词解释</w:t>
      </w:r>
      <w:bookmarkEnd w:id="67"/>
      <w:bookmarkEnd w:id="68"/>
      <w:bookmarkEnd w:id="69"/>
      <w:bookmarkEnd w:id="70"/>
    </w:p>
    <w:p w14:paraId="6E6A2AF3">
      <w:pPr>
        <w:spacing w:line="600" w:lineRule="exact"/>
        <w:jc w:val="left"/>
        <w:rPr>
          <w:rFonts w:ascii="宋体"/>
          <w:b/>
          <w:color w:val="000000"/>
          <w:sz w:val="44"/>
          <w:szCs w:val="44"/>
        </w:rPr>
      </w:pPr>
    </w:p>
    <w:p w14:paraId="28E9EB80">
      <w:pPr>
        <w:pStyle w:val="11"/>
        <w:rPr>
          <w:rFonts w:hint="eastAsia" w:ascii="仿宋" w:hAnsi="仿宋" w:eastAsia="仿宋" w:cs="宋体"/>
          <w:sz w:val="32"/>
          <w:szCs w:val="32"/>
        </w:rPr>
      </w:pPr>
      <w:bookmarkStart w:id="71" w:name="_Toc79163630"/>
      <w:bookmarkStart w:id="72" w:name="_Toc15396614"/>
      <w:bookmarkStart w:id="73" w:name="_Toc79163880"/>
      <w:bookmarkStart w:id="74" w:name="_Toc15377226"/>
      <w:r>
        <w:rPr>
          <w:rFonts w:hint="eastAsia" w:ascii="仿宋" w:hAnsi="仿宋" w:eastAsia="仿宋" w:cs="宋体"/>
          <w:sz w:val="32"/>
          <w:szCs w:val="32"/>
        </w:rPr>
        <w:t xml:space="preserve">1.财政拨款收入：指县级财政当年拨付的资金。 </w:t>
      </w:r>
    </w:p>
    <w:p w14:paraId="16F1A465">
      <w:pPr>
        <w:pStyle w:val="11"/>
        <w:rPr>
          <w:rFonts w:hint="eastAsia" w:ascii="仿宋" w:hAnsi="仿宋" w:eastAsia="仿宋" w:cs="宋体"/>
          <w:sz w:val="32"/>
          <w:szCs w:val="32"/>
        </w:rPr>
      </w:pPr>
      <w:r>
        <w:rPr>
          <w:rFonts w:hint="eastAsia" w:ascii="仿宋" w:hAnsi="仿宋" w:eastAsia="仿宋" w:cs="宋体"/>
          <w:sz w:val="32"/>
          <w:szCs w:val="32"/>
        </w:rPr>
        <w:t xml:space="preserve">    2.年初结转和结余：指以前年度尚未完成、结转到本年按有关规定继续使用的资金。 </w:t>
      </w:r>
    </w:p>
    <w:p w14:paraId="6BA63673">
      <w:pPr>
        <w:pStyle w:val="11"/>
        <w:rPr>
          <w:rFonts w:hint="eastAsia" w:ascii="仿宋" w:hAnsi="仿宋" w:eastAsia="仿宋" w:cs="宋体"/>
          <w:sz w:val="32"/>
          <w:szCs w:val="32"/>
        </w:rPr>
      </w:pPr>
      <w:r>
        <w:rPr>
          <w:rFonts w:hint="eastAsia" w:ascii="仿宋" w:hAnsi="仿宋" w:eastAsia="仿宋" w:cs="宋体"/>
          <w:sz w:val="32"/>
          <w:szCs w:val="32"/>
        </w:rPr>
        <w:t>　  3.一般公共服务（类）204（款）06（项）01：指行政运行。（类）204（款）06（项）02：指一般</w:t>
      </w:r>
      <w:bookmarkStart w:id="119" w:name="_GoBack"/>
      <w:r>
        <w:rPr>
          <w:rFonts w:hint="eastAsia" w:ascii="仿宋" w:hAnsi="仿宋" w:eastAsia="仿宋" w:cs="宋体"/>
          <w:sz w:val="32"/>
          <w:szCs w:val="32"/>
        </w:rPr>
        <w:t>行政</w:t>
      </w:r>
      <w:bookmarkEnd w:id="119"/>
      <w:r>
        <w:rPr>
          <w:rFonts w:hint="eastAsia" w:ascii="仿宋" w:hAnsi="仿宋" w:eastAsia="仿宋" w:cs="宋体"/>
          <w:sz w:val="32"/>
          <w:szCs w:val="32"/>
        </w:rPr>
        <w:t>管理</w:t>
      </w:r>
      <w:r>
        <w:rPr>
          <w:rFonts w:hint="eastAsia" w:ascii="仿宋" w:hAnsi="仿宋" w:eastAsia="仿宋" w:cs="宋体"/>
          <w:sz w:val="32"/>
          <w:szCs w:val="32"/>
          <w:lang w:eastAsia="zh-CN"/>
        </w:rPr>
        <w:t>事务</w:t>
      </w:r>
      <w:r>
        <w:rPr>
          <w:rFonts w:hint="eastAsia" w:ascii="仿宋" w:hAnsi="仿宋" w:eastAsia="仿宋" w:cs="宋体"/>
          <w:sz w:val="32"/>
          <w:szCs w:val="32"/>
        </w:rPr>
        <w:t xml:space="preserve">。（类）204（款）06（项）04：指基层司法业务。（类）204（款）06（项）05：指普法宣传。（类）204（款）06（项）07：指法律援助。（类）204（款）06（项）99：指其他司法支出。 </w:t>
      </w:r>
    </w:p>
    <w:p w14:paraId="30F2C6FE">
      <w:pPr>
        <w:pStyle w:val="11"/>
        <w:rPr>
          <w:rFonts w:hint="eastAsia" w:ascii="仿宋" w:hAnsi="仿宋" w:eastAsia="仿宋" w:cs="宋体"/>
          <w:sz w:val="32"/>
          <w:szCs w:val="32"/>
        </w:rPr>
      </w:pPr>
      <w:r>
        <w:rPr>
          <w:rFonts w:hint="eastAsia" w:ascii="仿宋" w:hAnsi="仿宋" w:eastAsia="仿宋" w:cs="宋体"/>
          <w:sz w:val="32"/>
          <w:szCs w:val="32"/>
        </w:rPr>
        <w:t xml:space="preserve">    4.社会保障和就业（类）208（款）05（项）05：指机关事业单位基本养老保险。（类）208（款）08（项）01：指死亡抚恤。 </w:t>
      </w:r>
    </w:p>
    <w:p w14:paraId="2AA9E76D">
      <w:pPr>
        <w:pStyle w:val="11"/>
        <w:rPr>
          <w:rFonts w:hint="eastAsia" w:ascii="仿宋" w:hAnsi="仿宋" w:eastAsia="仿宋" w:cs="宋体"/>
          <w:sz w:val="32"/>
          <w:szCs w:val="32"/>
        </w:rPr>
      </w:pPr>
      <w:r>
        <w:rPr>
          <w:rFonts w:hint="eastAsia" w:ascii="仿宋" w:hAnsi="仿宋" w:eastAsia="仿宋" w:cs="宋体"/>
          <w:sz w:val="32"/>
          <w:szCs w:val="32"/>
        </w:rPr>
        <w:t xml:space="preserve">    5.医疗卫生与计划生育（类）210（款）05（项）01：指行政单位医疗。 </w:t>
      </w:r>
    </w:p>
    <w:p w14:paraId="16F918EA">
      <w:pPr>
        <w:pStyle w:val="11"/>
        <w:rPr>
          <w:rFonts w:hint="eastAsia" w:ascii="仿宋" w:hAnsi="仿宋" w:eastAsia="仿宋" w:cs="宋体"/>
          <w:sz w:val="32"/>
          <w:szCs w:val="32"/>
        </w:rPr>
      </w:pPr>
      <w:r>
        <w:rPr>
          <w:rFonts w:hint="eastAsia" w:ascii="仿宋" w:hAnsi="仿宋" w:eastAsia="仿宋" w:cs="宋体"/>
          <w:sz w:val="32"/>
          <w:szCs w:val="32"/>
        </w:rPr>
        <w:t xml:space="preserve">    6.商业服务（类）216（款）05（项）99：指其他旅游业管理与服务支出。 </w:t>
      </w:r>
    </w:p>
    <w:p w14:paraId="0271D2E0">
      <w:pPr>
        <w:pStyle w:val="11"/>
        <w:rPr>
          <w:rFonts w:hint="eastAsia" w:ascii="仿宋" w:hAnsi="仿宋" w:eastAsia="仿宋" w:cs="宋体"/>
          <w:sz w:val="32"/>
          <w:szCs w:val="32"/>
        </w:rPr>
      </w:pPr>
      <w:r>
        <w:rPr>
          <w:rFonts w:hint="eastAsia" w:ascii="仿宋" w:hAnsi="仿宋" w:eastAsia="仿宋" w:cs="宋体"/>
          <w:sz w:val="32"/>
          <w:szCs w:val="32"/>
        </w:rPr>
        <w:t xml:space="preserve">　  7.住房保障（类）221（款）02（项）01：指住房公积金。 </w:t>
      </w:r>
    </w:p>
    <w:p w14:paraId="61B3290D">
      <w:pPr>
        <w:pStyle w:val="11"/>
        <w:rPr>
          <w:rFonts w:hint="eastAsia" w:ascii="仿宋" w:hAnsi="仿宋" w:eastAsia="仿宋" w:cs="宋体"/>
          <w:sz w:val="32"/>
          <w:szCs w:val="32"/>
        </w:rPr>
      </w:pPr>
      <w:r>
        <w:rPr>
          <w:rFonts w:hint="eastAsia" w:ascii="仿宋" w:hAnsi="仿宋" w:eastAsia="仿宋" w:cs="宋体"/>
          <w:sz w:val="32"/>
          <w:szCs w:val="32"/>
        </w:rPr>
        <w:t xml:space="preserve">　　8.年末结转和结余：指本年度或以前年度预算安排、因客观条件发生变化无法按原计划实施，需延迟到以后年度按有关规定继续使用的资金。 </w:t>
      </w:r>
    </w:p>
    <w:p w14:paraId="69DA93A0">
      <w:pPr>
        <w:pStyle w:val="11"/>
        <w:rPr>
          <w:rFonts w:hint="eastAsia" w:ascii="仿宋" w:hAnsi="仿宋" w:eastAsia="仿宋" w:cs="宋体"/>
          <w:sz w:val="32"/>
          <w:szCs w:val="32"/>
        </w:rPr>
      </w:pPr>
      <w:r>
        <w:rPr>
          <w:rFonts w:hint="eastAsia" w:ascii="仿宋" w:hAnsi="仿宋" w:eastAsia="仿宋" w:cs="宋体"/>
          <w:sz w:val="32"/>
          <w:szCs w:val="32"/>
        </w:rPr>
        <w:t xml:space="preserve">　　9.基本支出：指为保障机构正常运转、完成日常工作任务而发生的人员支出和公用支出。 </w:t>
      </w:r>
    </w:p>
    <w:p w14:paraId="14095E32">
      <w:pPr>
        <w:pStyle w:val="11"/>
        <w:rPr>
          <w:rFonts w:hint="eastAsia" w:ascii="仿宋" w:hAnsi="仿宋" w:eastAsia="仿宋" w:cs="宋体"/>
          <w:sz w:val="32"/>
          <w:szCs w:val="32"/>
        </w:rPr>
      </w:pPr>
      <w:r>
        <w:rPr>
          <w:rFonts w:hint="eastAsia" w:ascii="仿宋" w:hAnsi="仿宋" w:eastAsia="仿宋" w:cs="宋体"/>
          <w:sz w:val="32"/>
          <w:szCs w:val="32"/>
        </w:rPr>
        <w:t xml:space="preserve">　　10.项目支出：指在基本支出之外为完成特定行政任务和事业发展目标所发生的支出。 </w:t>
      </w:r>
    </w:p>
    <w:p w14:paraId="389C2770">
      <w:pPr>
        <w:pStyle w:val="11"/>
        <w:rPr>
          <w:rFonts w:hint="eastAsia" w:ascii="仿宋" w:hAnsi="仿宋" w:eastAsia="仿宋" w:cs="宋体"/>
          <w:sz w:val="32"/>
          <w:szCs w:val="32"/>
        </w:rPr>
      </w:pPr>
      <w:r>
        <w:rPr>
          <w:rFonts w:hint="eastAsia" w:ascii="仿宋" w:hAnsi="仿宋" w:eastAsia="仿宋" w:cs="宋体"/>
          <w:sz w:val="32"/>
          <w:szCs w:val="32"/>
        </w:rPr>
        <w:t xml:space="preserve">　　11.“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74319DEF">
      <w:pPr>
        <w:pStyle w:val="11"/>
        <w:rPr>
          <w:rFonts w:hint="eastAsia" w:ascii="仿宋" w:hAnsi="仿宋" w:eastAsia="仿宋" w:cs="宋体"/>
          <w:sz w:val="32"/>
          <w:szCs w:val="32"/>
        </w:rPr>
      </w:pPr>
      <w:r>
        <w:rPr>
          <w:rFonts w:hint="eastAsia" w:ascii="仿宋" w:hAnsi="仿宋" w:eastAsia="仿宋" w:cs="宋体"/>
          <w:sz w:val="32"/>
          <w:szCs w:val="32"/>
        </w:rPr>
        <w:t>　　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205AA0A">
      <w:pPr>
        <w:pStyle w:val="11"/>
        <w:rPr>
          <w:rFonts w:ascii="仿宋" w:hAnsi="仿宋" w:eastAsia="仿宋" w:cs="宋体"/>
          <w:sz w:val="32"/>
          <w:szCs w:val="32"/>
        </w:rPr>
      </w:pPr>
    </w:p>
    <w:bookmarkEnd w:id="71"/>
    <w:bookmarkEnd w:id="72"/>
    <w:bookmarkEnd w:id="73"/>
    <w:p w14:paraId="3984A6CF">
      <w:pPr>
        <w:keepNext w:val="0"/>
        <w:keepLines w:val="0"/>
        <w:pageBreakBefore w:val="0"/>
        <w:widowControl/>
        <w:kinsoku/>
        <w:wordWrap/>
        <w:overflowPunct/>
        <w:topLinePunct w:val="0"/>
        <w:autoSpaceDE/>
        <w:autoSpaceDN/>
        <w:bidi w:val="0"/>
        <w:adjustRightInd w:val="0"/>
        <w:snapToGrid w:val="0"/>
        <w:spacing w:line="570" w:lineRule="exact"/>
        <w:ind w:firstLine="720"/>
        <w:jc w:val="left"/>
        <w:rPr>
          <w:rFonts w:hint="eastAsia" w:ascii="仿宋_GB2312" w:hAnsi="仿宋" w:eastAsia="仿宋_GB2312" w:cs="仿宋"/>
          <w:color w:val="000000"/>
          <w:kern w:val="0"/>
          <w:sz w:val="32"/>
          <w:szCs w:val="32"/>
          <w:lang w:val="en-US" w:eastAsia="zh-CN" w:bidi="ar-SA"/>
        </w:rPr>
      </w:pPr>
      <w:bookmarkStart w:id="75" w:name="_Toc79163635"/>
      <w:bookmarkStart w:id="76" w:name="_Toc79163885"/>
      <w:bookmarkStart w:id="77" w:name="_Toc15396618"/>
      <w:r>
        <w:rPr>
          <w:rFonts w:hint="eastAsia" w:ascii="仿宋_GB2312" w:hAnsi="仿宋" w:eastAsia="仿宋_GB2312" w:cs="仿宋"/>
          <w:color w:val="000000"/>
          <w:kern w:val="0"/>
          <w:sz w:val="32"/>
          <w:szCs w:val="32"/>
          <w:lang w:val="zh-CN" w:eastAsia="zh-CN" w:bidi="ar-SA"/>
        </w:rPr>
        <w:t xml:space="preserve">                                                         </w:t>
      </w:r>
    </w:p>
    <w:p w14:paraId="0B51605B">
      <w:pPr>
        <w:spacing w:line="600" w:lineRule="exact"/>
        <w:jc w:val="center"/>
        <w:outlineLvl w:val="0"/>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b w:val="0"/>
        </w:rPr>
        <w:t>五部分</w:t>
      </w:r>
      <w:r>
        <w:rPr>
          <w:rStyle w:val="26"/>
          <w:rFonts w:ascii="黑体" w:hAnsi="黑体" w:eastAsia="黑体"/>
          <w:b w:val="0"/>
        </w:rPr>
        <w:t xml:space="preserve"> </w:t>
      </w:r>
      <w:r>
        <w:rPr>
          <w:rStyle w:val="26"/>
          <w:rFonts w:hint="eastAsia" w:ascii="黑体" w:hAnsi="黑体" w:eastAsia="黑体"/>
          <w:b w:val="0"/>
        </w:rPr>
        <w:t>附表</w:t>
      </w:r>
      <w:bookmarkEnd w:id="74"/>
      <w:bookmarkEnd w:id="75"/>
      <w:bookmarkEnd w:id="76"/>
      <w:bookmarkEnd w:id="77"/>
    </w:p>
    <w:p w14:paraId="66D8F4A5">
      <w:pPr>
        <w:pStyle w:val="5"/>
        <w:rPr>
          <w:rFonts w:ascii="仿宋" w:hAnsi="仿宋" w:eastAsia="仿宋"/>
          <w:color w:val="000000"/>
        </w:rPr>
      </w:pPr>
      <w:bookmarkStart w:id="78" w:name="_Toc79163636"/>
      <w:bookmarkStart w:id="79" w:name="_Toc15396619"/>
      <w:bookmarkStart w:id="80" w:name="_Toc79163886"/>
      <w:r>
        <w:rPr>
          <w:rFonts w:hint="eastAsia" w:ascii="仿宋" w:hAnsi="仿宋" w:eastAsia="仿宋"/>
          <w:b w:val="0"/>
          <w:color w:val="000000"/>
        </w:rPr>
        <w:t>一、收</w:t>
      </w:r>
      <w:r>
        <w:rPr>
          <w:rStyle w:val="27"/>
          <w:rFonts w:hint="eastAsia" w:ascii="仿宋" w:hAnsi="仿宋" w:eastAsia="仿宋"/>
          <w:b w:val="0"/>
          <w:bCs w:val="0"/>
        </w:rPr>
        <w:t>入支出决算总表</w:t>
      </w:r>
      <w:bookmarkEnd w:id="78"/>
      <w:bookmarkEnd w:id="79"/>
      <w:bookmarkEnd w:id="80"/>
    </w:p>
    <w:p w14:paraId="0438B39D">
      <w:pPr>
        <w:pStyle w:val="5"/>
        <w:rPr>
          <w:rFonts w:ascii="仿宋" w:hAnsi="仿宋" w:eastAsia="仿宋"/>
          <w:color w:val="000000"/>
        </w:rPr>
      </w:pPr>
      <w:bookmarkStart w:id="81" w:name="_Toc79163887"/>
      <w:bookmarkStart w:id="82" w:name="_Toc79163637"/>
      <w:bookmarkStart w:id="83"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81"/>
      <w:bookmarkEnd w:id="82"/>
      <w:bookmarkEnd w:id="83"/>
    </w:p>
    <w:p w14:paraId="2FA2D215">
      <w:pPr>
        <w:pStyle w:val="5"/>
        <w:rPr>
          <w:rFonts w:ascii="仿宋" w:hAnsi="仿宋" w:eastAsia="仿宋"/>
          <w:color w:val="000000"/>
        </w:rPr>
      </w:pPr>
      <w:bookmarkStart w:id="84" w:name="_Toc79163888"/>
      <w:bookmarkStart w:id="85" w:name="_Toc79163638"/>
      <w:bookmarkStart w:id="86"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84"/>
      <w:bookmarkEnd w:id="85"/>
      <w:bookmarkEnd w:id="86"/>
    </w:p>
    <w:p w14:paraId="5BF1F1E7">
      <w:pPr>
        <w:pStyle w:val="5"/>
        <w:rPr>
          <w:rFonts w:ascii="仿宋" w:hAnsi="仿宋" w:eastAsia="仿宋"/>
          <w:b w:val="0"/>
          <w:color w:val="000000"/>
        </w:rPr>
      </w:pPr>
      <w:bookmarkStart w:id="87" w:name="_Toc79163639"/>
      <w:bookmarkStart w:id="88" w:name="_Toc15396622"/>
      <w:bookmarkStart w:id="89" w:name="_Toc79163889"/>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87"/>
      <w:bookmarkEnd w:id="88"/>
      <w:bookmarkEnd w:id="89"/>
    </w:p>
    <w:p w14:paraId="7A8A0D77">
      <w:pPr>
        <w:pStyle w:val="5"/>
        <w:rPr>
          <w:rStyle w:val="27"/>
          <w:rFonts w:ascii="仿宋" w:hAnsi="仿宋" w:eastAsia="仿宋"/>
          <w:b w:val="0"/>
          <w:bCs w:val="0"/>
        </w:rPr>
      </w:pPr>
      <w:bookmarkStart w:id="90" w:name="_Toc79163640"/>
      <w:bookmarkStart w:id="91" w:name="_Toc15396623"/>
      <w:bookmarkStart w:id="92" w:name="_Toc79163890"/>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90"/>
      <w:bookmarkEnd w:id="91"/>
      <w:bookmarkEnd w:id="92"/>
      <w:bookmarkStart w:id="93" w:name="_Toc15396624"/>
    </w:p>
    <w:p w14:paraId="357772C3">
      <w:pPr>
        <w:pStyle w:val="5"/>
        <w:rPr>
          <w:rFonts w:ascii="仿宋" w:hAnsi="仿宋" w:eastAsia="仿宋"/>
          <w:color w:val="000000"/>
        </w:rPr>
      </w:pPr>
      <w:bookmarkStart w:id="94" w:name="_Toc79163641"/>
      <w:bookmarkStart w:id="95" w:name="_Toc79163891"/>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93"/>
      <w:bookmarkEnd w:id="94"/>
      <w:bookmarkEnd w:id="95"/>
    </w:p>
    <w:p w14:paraId="54067D92">
      <w:pPr>
        <w:pStyle w:val="5"/>
        <w:rPr>
          <w:rFonts w:ascii="仿宋" w:hAnsi="仿宋" w:eastAsia="仿宋"/>
          <w:color w:val="000000"/>
        </w:rPr>
      </w:pPr>
      <w:bookmarkStart w:id="96" w:name="_Toc79163642"/>
      <w:bookmarkStart w:id="97" w:name="_Toc15396625"/>
      <w:bookmarkStart w:id="98" w:name="_Toc79163892"/>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96"/>
      <w:bookmarkEnd w:id="97"/>
      <w:bookmarkEnd w:id="98"/>
    </w:p>
    <w:p w14:paraId="2F2319A9">
      <w:pPr>
        <w:pStyle w:val="5"/>
        <w:rPr>
          <w:rFonts w:ascii="仿宋" w:hAnsi="仿宋" w:eastAsia="仿宋"/>
          <w:color w:val="000000"/>
        </w:rPr>
      </w:pPr>
      <w:bookmarkStart w:id="99" w:name="_Toc15396626"/>
      <w:bookmarkStart w:id="100" w:name="_Toc79163643"/>
      <w:bookmarkStart w:id="101" w:name="_Toc79163893"/>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99"/>
      <w:bookmarkEnd w:id="100"/>
      <w:bookmarkEnd w:id="101"/>
    </w:p>
    <w:p w14:paraId="5E9571F8">
      <w:pPr>
        <w:pStyle w:val="5"/>
        <w:rPr>
          <w:rFonts w:ascii="仿宋" w:hAnsi="仿宋" w:eastAsia="仿宋"/>
          <w:color w:val="000000"/>
        </w:rPr>
      </w:pPr>
      <w:bookmarkStart w:id="102" w:name="_Toc15396627"/>
      <w:bookmarkStart w:id="103" w:name="_Toc79163894"/>
      <w:bookmarkStart w:id="104" w:name="_Toc79163644"/>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02"/>
      <w:bookmarkEnd w:id="103"/>
      <w:bookmarkEnd w:id="104"/>
    </w:p>
    <w:p w14:paraId="62A7F62F">
      <w:pPr>
        <w:pStyle w:val="5"/>
        <w:rPr>
          <w:rFonts w:ascii="仿宋" w:hAnsi="仿宋" w:eastAsia="仿宋"/>
          <w:color w:val="000000"/>
        </w:rPr>
      </w:pPr>
      <w:bookmarkStart w:id="105" w:name="_Toc79163895"/>
      <w:bookmarkStart w:id="106" w:name="_Toc79163645"/>
      <w:bookmarkStart w:id="107"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105"/>
      <w:bookmarkEnd w:id="106"/>
      <w:bookmarkEnd w:id="107"/>
    </w:p>
    <w:p w14:paraId="7850F52B">
      <w:pPr>
        <w:pStyle w:val="5"/>
        <w:rPr>
          <w:rFonts w:ascii="仿宋" w:hAnsi="仿宋" w:eastAsia="仿宋"/>
          <w:color w:val="000000"/>
        </w:rPr>
      </w:pPr>
      <w:bookmarkStart w:id="108" w:name="_Toc15396629"/>
      <w:bookmarkStart w:id="109" w:name="_Toc79163896"/>
      <w:bookmarkStart w:id="110" w:name="_Toc79163646"/>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08"/>
      <w:bookmarkEnd w:id="109"/>
      <w:bookmarkEnd w:id="110"/>
    </w:p>
    <w:p w14:paraId="4AA56191">
      <w:pPr>
        <w:pStyle w:val="5"/>
        <w:rPr>
          <w:rFonts w:ascii="仿宋" w:hAnsi="仿宋" w:eastAsia="仿宋"/>
          <w:color w:val="000000"/>
        </w:rPr>
      </w:pPr>
      <w:bookmarkStart w:id="111" w:name="_Toc79163647"/>
      <w:bookmarkStart w:id="112" w:name="_Toc79163897"/>
      <w:bookmarkStart w:id="113"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111"/>
      <w:bookmarkEnd w:id="112"/>
      <w:bookmarkEnd w:id="113"/>
    </w:p>
    <w:p w14:paraId="3BC2A48C">
      <w:pPr>
        <w:pStyle w:val="5"/>
        <w:rPr>
          <w:rStyle w:val="27"/>
          <w:rFonts w:ascii="仿宋" w:hAnsi="仿宋" w:eastAsia="仿宋"/>
          <w:b w:val="0"/>
          <w:bCs w:val="0"/>
        </w:rPr>
      </w:pPr>
      <w:bookmarkStart w:id="114" w:name="_Toc15396631"/>
      <w:bookmarkStart w:id="115" w:name="_Toc79163898"/>
      <w:bookmarkStart w:id="116" w:name="_Toc79163648"/>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有资本经营预算财政拨款</w:t>
      </w:r>
      <w:r>
        <w:rPr>
          <w:rStyle w:val="27"/>
          <w:rFonts w:hint="eastAsia" w:ascii="仿宋" w:hAnsi="仿宋" w:eastAsia="仿宋"/>
          <w:b w:val="0"/>
          <w:bCs w:val="0"/>
          <w:lang w:eastAsia="zh-CN"/>
        </w:rPr>
        <w:t>收入</w:t>
      </w:r>
      <w:r>
        <w:rPr>
          <w:rStyle w:val="27"/>
          <w:rFonts w:hint="eastAsia" w:ascii="仿宋" w:hAnsi="仿宋" w:eastAsia="仿宋"/>
          <w:b w:val="0"/>
          <w:bCs w:val="0"/>
        </w:rPr>
        <w:t>支出决算表</w:t>
      </w:r>
      <w:bookmarkEnd w:id="114"/>
      <w:bookmarkEnd w:id="115"/>
      <w:bookmarkEnd w:id="116"/>
    </w:p>
    <w:p w14:paraId="64F77C5B">
      <w:pPr>
        <w:pStyle w:val="5"/>
        <w:rPr>
          <w:rStyle w:val="27"/>
          <w:rFonts w:ascii="仿宋" w:hAnsi="仿宋" w:eastAsia="仿宋"/>
          <w:b w:val="0"/>
          <w:bCs w:val="0"/>
        </w:rPr>
      </w:pPr>
      <w:bookmarkStart w:id="117" w:name="_Toc79163649"/>
      <w:bookmarkStart w:id="118" w:name="_Toc79163899"/>
      <w:r>
        <w:rPr>
          <w:rStyle w:val="27"/>
          <w:rFonts w:hint="eastAsia" w:ascii="仿宋" w:hAnsi="仿宋" w:eastAsia="仿宋"/>
          <w:b w:val="0"/>
          <w:bCs w:val="0"/>
        </w:rPr>
        <w:t>十四、国有资本经营预算财政拨款支出决算表</w:t>
      </w:r>
      <w:bookmarkEnd w:id="117"/>
      <w:bookmarkEnd w:id="11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B7C912-AF42-47F2-8195-6E6989ADDE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5EA9FE71-2530-4F18-8905-EB179641976E}"/>
  </w:font>
  <w:font w:name="仿宋_GB2312">
    <w:panose1 w:val="02010609030101010101"/>
    <w:charset w:val="86"/>
    <w:family w:val="modern"/>
    <w:pitch w:val="default"/>
    <w:sig w:usb0="00000001" w:usb1="080E0000" w:usb2="00000000" w:usb3="00000000" w:csb0="00040000" w:csb1="00000000"/>
    <w:embedRegular r:id="rId3" w:fontKey="{D5433BEA-00B8-48D7-BD4F-EF1200779308}"/>
  </w:font>
  <w:font w:name="等线">
    <w:panose1 w:val="02010600030101010101"/>
    <w:charset w:val="86"/>
    <w:family w:val="auto"/>
    <w:pitch w:val="default"/>
    <w:sig w:usb0="A00002BF" w:usb1="38CF7CFA" w:usb2="00000016" w:usb3="00000000" w:csb0="0004000F" w:csb1="00000000"/>
    <w:embedRegular r:id="rId4" w:fontKey="{4C1BE3BA-ABD6-4622-A7B3-27DC0B9B7DAB}"/>
  </w:font>
  <w:font w:name="仿宋">
    <w:panose1 w:val="02010609060101010101"/>
    <w:charset w:val="86"/>
    <w:family w:val="modern"/>
    <w:pitch w:val="default"/>
    <w:sig w:usb0="800002BF" w:usb1="38CF7CFA" w:usb2="00000016" w:usb3="00000000" w:csb0="00040001" w:csb1="00000000"/>
    <w:embedRegular r:id="rId5" w:fontKey="{DDCC15C1-0A31-49F5-825B-86D41223F3DA}"/>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embedRegular r:id="rId6" w:fontKey="{33063C45-AEAC-45D8-B965-ECA41CE9C2F5}"/>
  </w:font>
  <w:font w:name="楷体">
    <w:panose1 w:val="02010609060101010101"/>
    <w:charset w:val="86"/>
    <w:family w:val="auto"/>
    <w:pitch w:val="default"/>
    <w:sig w:usb0="800002BF" w:usb1="38CF7CFA" w:usb2="00000016" w:usb3="00000000" w:csb0="00040001" w:csb1="00000000"/>
    <w:embedRegular r:id="rId7" w:fontKey="{90FDF6ED-F845-4795-88E1-DE2D15149C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EB4EE">
    <w:pPr>
      <w:pStyle w:val="14"/>
      <w:jc w:val="center"/>
    </w:pPr>
    <w:r>
      <w:fldChar w:fldCharType="begin"/>
    </w:r>
    <w:r>
      <w:instrText xml:space="preserve">PAGE   \* MERGEFORMAT</w:instrText>
    </w:r>
    <w:r>
      <w:fldChar w:fldCharType="separate"/>
    </w:r>
    <w:r>
      <w:rPr>
        <w:lang w:val="zh-CN"/>
      </w:rPr>
      <w:t>6</w:t>
    </w:r>
    <w:r>
      <w:fldChar w:fldCharType="end"/>
    </w:r>
  </w:p>
  <w:p w14:paraId="5543E6A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375D5">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59F6A3C2"/>
    <w:multiLevelType w:val="singleLevel"/>
    <w:tmpl w:val="59F6A3C2"/>
    <w:lvl w:ilvl="0" w:tentative="0">
      <w:start w:val="2"/>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A2032A3"/>
    <w:rsid w:val="10C055FF"/>
    <w:rsid w:val="118107EC"/>
    <w:rsid w:val="16BB723D"/>
    <w:rsid w:val="19781116"/>
    <w:rsid w:val="1D155CEE"/>
    <w:rsid w:val="240371BF"/>
    <w:rsid w:val="271C5DA3"/>
    <w:rsid w:val="29FD04D3"/>
    <w:rsid w:val="2BCD30C3"/>
    <w:rsid w:val="2F545611"/>
    <w:rsid w:val="319F7F4E"/>
    <w:rsid w:val="3A1B6BBB"/>
    <w:rsid w:val="3BAC0097"/>
    <w:rsid w:val="3D1A2A60"/>
    <w:rsid w:val="3DD205B0"/>
    <w:rsid w:val="4ECE2238"/>
    <w:rsid w:val="61A51DD8"/>
    <w:rsid w:val="64C0283D"/>
    <w:rsid w:val="6C4A05C8"/>
    <w:rsid w:val="7273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3">
    <w:name w:val="Default Paragraph Font"/>
    <w:unhideWhenUsed/>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line="240" w:lineRule="auto"/>
      <w:ind w:left="0" w:right="-334" w:rightChars="-159" w:firstLine="640" w:firstLineChars="200"/>
      <w:jc w:val="left"/>
      <w:textAlignment w:val="auto"/>
    </w:pPr>
    <w:rPr>
      <w:rFonts w:ascii="仿宋_GB2312" w:hAnsi="仿宋_GB2312" w:eastAsia="仿宋_GB2312"/>
      <w:kern w:val="2"/>
      <w:sz w:val="32"/>
      <w:szCs w:val="32"/>
    </w:rPr>
  </w:style>
  <w:style w:type="paragraph" w:styleId="7">
    <w:name w:val="toc 7"/>
    <w:basedOn w:val="1"/>
    <w:next w:val="1"/>
    <w:unhideWhenUsed/>
    <w:uiPriority w:val="39"/>
    <w:pPr>
      <w:ind w:left="1260"/>
      <w:jc w:val="left"/>
    </w:pPr>
    <w:rPr>
      <w:rFonts w:asciiTheme="minorHAnsi" w:eastAsiaTheme="minorHAnsi"/>
      <w:sz w:val="18"/>
      <w:szCs w:val="18"/>
    </w:rPr>
  </w:style>
  <w:style w:type="paragraph" w:styleId="8">
    <w:name w:val="Body Text"/>
    <w:basedOn w:val="1"/>
    <w:link w:val="35"/>
    <w:qFormat/>
    <w:uiPriority w:val="99"/>
    <w:pPr>
      <w:spacing w:beforeLines="30"/>
    </w:pPr>
    <w:rPr>
      <w:rFonts w:ascii="仿宋_GB2312" w:eastAsia="仿宋_GB2312"/>
      <w:kern w:val="0"/>
      <w:sz w:val="24"/>
      <w:szCs w:val="20"/>
    </w:rPr>
  </w:style>
  <w:style w:type="paragraph" w:styleId="9">
    <w:name w:val="toc 5"/>
    <w:basedOn w:val="1"/>
    <w:next w:val="1"/>
    <w:unhideWhenUsed/>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Plain Text"/>
    <w:basedOn w:val="1"/>
    <w:uiPriority w:val="0"/>
    <w:rPr>
      <w:rFonts w:ascii="宋体" w:hAnsi="Courier New" w:cs="Courier New"/>
      <w:szCs w:val="21"/>
    </w:rPr>
  </w:style>
  <w:style w:type="paragraph" w:styleId="12">
    <w:name w:val="toc 8"/>
    <w:basedOn w:val="1"/>
    <w:next w:val="1"/>
    <w:unhideWhenUsed/>
    <w:qFormat/>
    <w:uiPriority w:val="39"/>
    <w:pPr>
      <w:ind w:left="1470"/>
      <w:jc w:val="left"/>
    </w:pPr>
    <w:rPr>
      <w:rFonts w:asciiTheme="minorHAnsi" w:eastAsiaTheme="minorHAnsi"/>
      <w:sz w:val="18"/>
      <w:szCs w:val="18"/>
    </w:rPr>
  </w:style>
  <w:style w:type="paragraph" w:styleId="13">
    <w:name w:val="Balloon Text"/>
    <w:basedOn w:val="1"/>
    <w:link w:val="30"/>
    <w:unhideWhenUsed/>
    <w:qFormat/>
    <w:uiPriority w:val="99"/>
    <w:rPr>
      <w:sz w:val="18"/>
      <w:szCs w:val="18"/>
    </w:rPr>
  </w:style>
  <w:style w:type="paragraph" w:styleId="14">
    <w:name w:val="footer"/>
    <w:basedOn w:val="1"/>
    <w:link w:val="34"/>
    <w:qFormat/>
    <w:uiPriority w:val="99"/>
    <w:pPr>
      <w:tabs>
        <w:tab w:val="center" w:pos="4153"/>
        <w:tab w:val="right" w:pos="8306"/>
      </w:tabs>
      <w:snapToGrid w:val="0"/>
      <w:jc w:val="left"/>
    </w:pPr>
    <w:rPr>
      <w:rFonts w:ascii="Calibri" w:hAnsi="Calibri"/>
      <w:kern w:val="0"/>
      <w:sz w:val="18"/>
      <w:szCs w:val="20"/>
    </w:rPr>
  </w:style>
  <w:style w:type="paragraph" w:styleId="15">
    <w:name w:val="header"/>
    <w:basedOn w:val="1"/>
    <w:link w:val="3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6">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7">
    <w:name w:val="toc 4"/>
    <w:basedOn w:val="1"/>
    <w:next w:val="1"/>
    <w:unhideWhenUsed/>
    <w:qFormat/>
    <w:uiPriority w:val="39"/>
    <w:pPr>
      <w:ind w:left="630"/>
      <w:jc w:val="left"/>
    </w:pPr>
    <w:rPr>
      <w:rFonts w:asciiTheme="minorHAnsi" w:eastAsiaTheme="minorHAnsi"/>
      <w:sz w:val="18"/>
      <w:szCs w:val="18"/>
    </w:rPr>
  </w:style>
  <w:style w:type="paragraph" w:styleId="18">
    <w:name w:val="toc 6"/>
    <w:basedOn w:val="1"/>
    <w:next w:val="1"/>
    <w:unhideWhenUsed/>
    <w:qFormat/>
    <w:uiPriority w:val="39"/>
    <w:pPr>
      <w:ind w:left="1050"/>
      <w:jc w:val="left"/>
    </w:pPr>
    <w:rPr>
      <w:rFonts w:asciiTheme="minorHAnsi" w:eastAsiaTheme="minorHAnsi"/>
      <w:sz w:val="18"/>
      <w:szCs w:val="18"/>
    </w:rPr>
  </w:style>
  <w:style w:type="paragraph" w:styleId="19">
    <w:name w:val="toc 2"/>
    <w:basedOn w:val="1"/>
    <w:next w:val="1"/>
    <w:unhideWhenUsed/>
    <w:qFormat/>
    <w:uiPriority w:val="39"/>
    <w:pPr>
      <w:ind w:left="210"/>
      <w:jc w:val="left"/>
    </w:pPr>
    <w:rPr>
      <w:rFonts w:asciiTheme="minorHAnsi" w:eastAsiaTheme="minorHAnsi"/>
      <w:smallCaps/>
      <w:sz w:val="20"/>
      <w:szCs w:val="20"/>
    </w:rPr>
  </w:style>
  <w:style w:type="paragraph" w:styleId="20">
    <w:name w:val="toc 9"/>
    <w:basedOn w:val="1"/>
    <w:next w:val="1"/>
    <w:unhideWhenUsed/>
    <w:qFormat/>
    <w:uiPriority w:val="39"/>
    <w:pPr>
      <w:ind w:left="1680"/>
      <w:jc w:val="left"/>
    </w:pPr>
    <w:rPr>
      <w:rFonts w:asciiTheme="minorHAnsi" w:eastAsiaTheme="minorHAnsi"/>
      <w:sz w:val="18"/>
      <w:szCs w:val="18"/>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24">
    <w:name w:val="Strong"/>
    <w:basedOn w:val="23"/>
    <w:qFormat/>
    <w:uiPriority w:val="99"/>
    <w:rPr>
      <w:rFonts w:cs="Times New Roman"/>
      <w:b/>
    </w:rPr>
  </w:style>
  <w:style w:type="character" w:styleId="25">
    <w:name w:val="Hyperlink"/>
    <w:basedOn w:val="23"/>
    <w:unhideWhenUsed/>
    <w:qFormat/>
    <w:uiPriority w:val="99"/>
    <w:rPr>
      <w:rFonts w:cs="Times New Roman"/>
      <w:color w:val="0000FF"/>
      <w:u w:val="single"/>
    </w:rPr>
  </w:style>
  <w:style w:type="character" w:customStyle="1" w:styleId="26">
    <w:name w:val="标题 1 Char"/>
    <w:basedOn w:val="23"/>
    <w:link w:val="4"/>
    <w:qFormat/>
    <w:locked/>
    <w:uiPriority w:val="9"/>
    <w:rPr>
      <w:rFonts w:ascii="Times New Roman" w:hAnsi="Times New Roman" w:cs="Times New Roman"/>
      <w:b/>
      <w:bCs/>
      <w:kern w:val="44"/>
      <w:sz w:val="44"/>
      <w:szCs w:val="44"/>
    </w:rPr>
  </w:style>
  <w:style w:type="character" w:customStyle="1" w:styleId="27">
    <w:name w:val="标题 2 Char"/>
    <w:basedOn w:val="23"/>
    <w:link w:val="5"/>
    <w:qFormat/>
    <w:locked/>
    <w:uiPriority w:val="9"/>
    <w:rPr>
      <w:rFonts w:ascii="Cambria" w:hAnsi="Cambria" w:eastAsia="宋体" w:cs="Times New Roman"/>
      <w:b/>
      <w:bCs/>
      <w:kern w:val="2"/>
      <w:sz w:val="32"/>
      <w:szCs w:val="32"/>
    </w:rPr>
  </w:style>
  <w:style w:type="character" w:customStyle="1" w:styleId="28">
    <w:name w:val="标题 3 Char"/>
    <w:basedOn w:val="23"/>
    <w:link w:val="6"/>
    <w:qFormat/>
    <w:locked/>
    <w:uiPriority w:val="9"/>
    <w:rPr>
      <w:rFonts w:ascii="Times New Roman" w:hAnsi="Times New Roman" w:cs="Times New Roman"/>
      <w:b/>
      <w:bCs/>
      <w:kern w:val="2"/>
      <w:sz w:val="32"/>
      <w:szCs w:val="32"/>
    </w:rPr>
  </w:style>
  <w:style w:type="character" w:customStyle="1" w:styleId="29">
    <w:name w:val="Body Text Char"/>
    <w:basedOn w:val="23"/>
    <w:semiHidden/>
    <w:qFormat/>
    <w:uiPriority w:val="99"/>
    <w:rPr>
      <w:rFonts w:ascii="Times New Roman" w:hAnsi="Times New Roman" w:cs="Times New Roman"/>
      <w:sz w:val="24"/>
      <w:szCs w:val="24"/>
    </w:rPr>
  </w:style>
  <w:style w:type="character" w:customStyle="1" w:styleId="30">
    <w:name w:val="批注框文本 Char"/>
    <w:basedOn w:val="23"/>
    <w:link w:val="13"/>
    <w:semiHidden/>
    <w:qFormat/>
    <w:locked/>
    <w:uiPriority w:val="99"/>
    <w:rPr>
      <w:rFonts w:ascii="Times New Roman" w:hAnsi="Times New Roman" w:cs="Times New Roman"/>
      <w:kern w:val="2"/>
      <w:sz w:val="18"/>
      <w:szCs w:val="18"/>
    </w:rPr>
  </w:style>
  <w:style w:type="character" w:customStyle="1" w:styleId="31">
    <w:name w:val="Footer Char"/>
    <w:basedOn w:val="23"/>
    <w:semiHidden/>
    <w:qFormat/>
    <w:uiPriority w:val="99"/>
    <w:rPr>
      <w:rFonts w:ascii="Times New Roman" w:hAnsi="Times New Roman" w:cs="Times New Roman"/>
      <w:sz w:val="18"/>
      <w:szCs w:val="18"/>
    </w:rPr>
  </w:style>
  <w:style w:type="character" w:customStyle="1" w:styleId="32">
    <w:name w:val="Header Char"/>
    <w:basedOn w:val="23"/>
    <w:semiHidden/>
    <w:qFormat/>
    <w:uiPriority w:val="99"/>
    <w:rPr>
      <w:rFonts w:ascii="Times New Roman" w:hAnsi="Times New Roman" w:cs="Times New Roman"/>
      <w:sz w:val="18"/>
      <w:szCs w:val="18"/>
    </w:rPr>
  </w:style>
  <w:style w:type="character" w:customStyle="1" w:styleId="33">
    <w:name w:val="页眉 Char"/>
    <w:link w:val="15"/>
    <w:semiHidden/>
    <w:qFormat/>
    <w:locked/>
    <w:uiPriority w:val="99"/>
    <w:rPr>
      <w:sz w:val="18"/>
    </w:rPr>
  </w:style>
  <w:style w:type="character" w:customStyle="1" w:styleId="34">
    <w:name w:val="页脚 Char"/>
    <w:link w:val="14"/>
    <w:qFormat/>
    <w:locked/>
    <w:uiPriority w:val="99"/>
    <w:rPr>
      <w:sz w:val="18"/>
    </w:rPr>
  </w:style>
  <w:style w:type="character" w:customStyle="1" w:styleId="35">
    <w:name w:val="正文文本 Char"/>
    <w:link w:val="8"/>
    <w:qFormat/>
    <w:locked/>
    <w:uiPriority w:val="99"/>
    <w:rPr>
      <w:rFonts w:ascii="仿宋_GB2312" w:hAnsi="Times New Roman" w:eastAsia="仿宋_GB2312"/>
      <w:sz w:val="24"/>
    </w:rPr>
  </w:style>
  <w:style w:type="paragraph" w:customStyle="1" w:styleId="3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7">
    <w:name w:val="列表段落1"/>
    <w:basedOn w:val="1"/>
    <w:qFormat/>
    <w:uiPriority w:val="34"/>
    <w:pPr>
      <w:ind w:firstLine="420" w:firstLineChars="200"/>
    </w:pPr>
  </w:style>
  <w:style w:type="paragraph" w:customStyle="1" w:styleId="38">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62505976535698"/>
          <c:y val="0.345578231292517"/>
          <c:w val="0.898229623137599"/>
          <c:h val="0.538340136054422"/>
        </c:manualLayout>
      </c:layout>
      <c:barChart>
        <c:barDir val="col"/>
        <c:grouping val="clustered"/>
        <c:varyColors val="0"/>
        <c:ser>
          <c:idx val="0"/>
          <c:order val="0"/>
          <c:tx>
            <c:strRef>
              <c:f>Sheet1!$B$1</c:f>
              <c:strCache>
                <c:ptCount val="1"/>
                <c:pt idx="0">
                  <c:v>收入</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2020年收入</c:v>
                </c:pt>
                <c:pt idx="1">
                  <c:v>2020年度支出</c:v>
                </c:pt>
              </c:strCache>
            </c:strRef>
          </c:cat>
          <c:val>
            <c:numRef>
              <c:f>Sheet1!$B$2:$B$3</c:f>
              <c:numCache>
                <c:formatCode>General</c:formatCode>
                <c:ptCount val="2"/>
                <c:pt idx="0">
                  <c:v>75.77</c:v>
                </c:pt>
              </c:numCache>
            </c:numRef>
          </c:val>
        </c:ser>
        <c:ser>
          <c:idx val="1"/>
          <c:order val="1"/>
          <c:tx>
            <c:strRef>
              <c:f>Sheet1!$C$1</c:f>
              <c:strCache>
                <c:ptCount val="1"/>
                <c:pt idx="0">
                  <c:v>支出</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2020年收入</c:v>
                </c:pt>
                <c:pt idx="1">
                  <c:v>2020年度支出</c:v>
                </c:pt>
              </c:strCache>
            </c:strRef>
          </c:cat>
          <c:val>
            <c:numRef>
              <c:f>Sheet1!$C$2:$C$3</c:f>
              <c:numCache>
                <c:formatCode>General</c:formatCode>
                <c:ptCount val="2"/>
                <c:pt idx="1">
                  <c:v>75.77</c:v>
                </c:pt>
              </c:numCache>
            </c:numRef>
          </c:val>
        </c:ser>
        <c:ser>
          <c:idx val="2"/>
          <c:order val="2"/>
          <c:tx>
            <c:strRef>
              <c:f>Sheet1!#REF!</c:f>
              <c:strCache>
                <c:ptCount val="1"/>
                <c:pt idx="0">
                  <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2020年收入</c:v>
                </c:pt>
                <c:pt idx="1">
                  <c:v>2020年度支出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65"/>
        <c:overlap val="0"/>
        <c:axId val="382911225"/>
        <c:axId val="691332297"/>
      </c:barChart>
      <c:catAx>
        <c:axId val="382911225"/>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691332297"/>
        <c:crosses val="autoZero"/>
        <c:auto val="1"/>
        <c:lblAlgn val="ctr"/>
        <c:lblOffset val="100"/>
        <c:noMultiLvlLbl val="0"/>
      </c:catAx>
      <c:valAx>
        <c:axId val="691332297"/>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382911225"/>
        <c:crosses val="autoZero"/>
        <c:crossBetween val="between"/>
      </c:valAx>
      <c:spPr>
        <a:noFill/>
        <a:ln>
          <a:noFill/>
        </a:ln>
        <a:effectLst/>
      </c:spPr>
    </c:plotArea>
    <c:legend>
      <c:legendPos val="b"/>
      <c:layout>
        <c:manualLayout>
          <c:xMode val="edge"/>
          <c:yMode val="edge"/>
          <c:x val="0.321619135234591"/>
          <c:y val="0.880816326530612"/>
          <c:w val="0.31573137074517"/>
          <c:h val="0.0906122448979592"/>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ee11980b-e21d-4c2e-a3f5-9a20248f3b4a}"/>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30305403288958"/>
          <c:y val="0.00925069380203515"/>
        </c:manualLayout>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manualLayout>
          <c:layoutTarget val="inner"/>
          <c:xMode val="edge"/>
          <c:yMode val="edge"/>
          <c:x val="0.285826155050901"/>
          <c:y val="0.382978723404255"/>
          <c:w val="0.353954581049334"/>
          <c:h val="0.557508479802652"/>
        </c:manualLayout>
      </c:layout>
      <c:pieChart>
        <c:varyColors val="1"/>
        <c:ser>
          <c:idx val="0"/>
          <c:order val="0"/>
          <c:tx>
            <c:strRef>
              <c:f>Sheet1!$B$1</c:f>
              <c:strCache>
                <c:ptCount val="1"/>
                <c:pt idx="0">
                  <c:v>收入</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一般公共预算财政拨款收入</c:v>
                </c:pt>
                <c:pt idx="1">
                  <c:v>政府性基金预算财政拨款收入</c:v>
                </c:pt>
                <c:pt idx="2">
                  <c:v>上级补助收入</c:v>
                </c:pt>
                <c:pt idx="3">
                  <c:v>事业收入</c:v>
                </c:pt>
              </c:strCache>
            </c:strRef>
          </c:cat>
          <c:val>
            <c:numRef>
              <c:f>Sheet1!$B$2:$B$5</c:f>
              <c:numCache>
                <c:formatCode>General</c:formatCode>
                <c:ptCount val="4"/>
                <c:pt idx="0">
                  <c:v>75.77</c:v>
                </c:pt>
                <c:pt idx="1">
                  <c:v>0</c:v>
                </c:pt>
                <c:pt idx="2">
                  <c:v>0</c:v>
                </c:pt>
                <c:pt idx="3">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0348c6e4-5d23-4fbf-910e-52946d4bd1f8}"/>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cap="none" spc="20" baseline="0">
              <a:solidFill>
                <a:schemeClr val="tx1">
                  <a:lumMod val="50000"/>
                  <a:lumOff val="50000"/>
                </a:schemeClr>
              </a:solidFill>
              <a:latin typeface="+mn-lt"/>
              <a:ea typeface="+mn-ea"/>
              <a:cs typeface="+mn-cs"/>
            </a:defRPr>
          </a:pPr>
        </a:p>
      </c:txPr>
    </c:title>
    <c:autoTitleDeleted val="0"/>
    <c:plotArea>
      <c:layout/>
      <c:pieChart>
        <c:varyColors val="1"/>
        <c:ser>
          <c:idx val="0"/>
          <c:order val="0"/>
          <c:tx>
            <c:strRef>
              <c:f>Sheet1!$B$1</c:f>
              <c:strCache>
                <c:ptCount val="1"/>
                <c:pt idx="0">
                  <c:v>2020年本年支出</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dPt>
          <c:dPt>
            <c:idx val="5"/>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dPt>
          <c:dPt>
            <c:idx val="6"/>
            <c:bubble3D val="0"/>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dPt>
          <c:dPt>
            <c:idx val="7"/>
            <c:bubble3D val="0"/>
            <c:spPr>
              <a:gradFill rotWithShape="1">
                <a:gsLst>
                  <a:gs pos="0">
                    <a:schemeClr val="accent2">
                      <a:lumMod val="60000"/>
                      <a:lumMod val="110000"/>
                      <a:satMod val="105000"/>
                      <a:tint val="67000"/>
                    </a:schemeClr>
                  </a:gs>
                  <a:gs pos="50000">
                    <a:schemeClr val="accent2">
                      <a:lumMod val="60000"/>
                      <a:lumMod val="105000"/>
                      <a:satMod val="103000"/>
                      <a:tint val="73000"/>
                    </a:schemeClr>
                  </a:gs>
                  <a:gs pos="100000">
                    <a:schemeClr val="accent2">
                      <a:lumMod val="60000"/>
                      <a:lumMod val="105000"/>
                      <a:satMod val="109000"/>
                      <a:tint val="81000"/>
                    </a:schemeClr>
                  </a:gs>
                </a:gsLst>
                <a:lin ang="5400000" scaled="0"/>
              </a:gradFill>
              <a:ln w="9525" cap="flat" cmpd="sng" algn="ctr">
                <a:solidFill>
                  <a:schemeClr val="accent2">
                    <a:lumMod val="60000"/>
                    <a:shade val="95000"/>
                  </a:schemeClr>
                </a:solidFill>
                <a:round/>
              </a:ln>
              <a:effectLst/>
            </c:spPr>
          </c:dPt>
          <c:dPt>
            <c:idx val="8"/>
            <c:bubble3D val="0"/>
            <c:spPr>
              <a:gradFill rotWithShape="1">
                <a:gsLst>
                  <a:gs pos="0">
                    <a:schemeClr val="accent3">
                      <a:lumMod val="60000"/>
                      <a:lumMod val="110000"/>
                      <a:satMod val="105000"/>
                      <a:tint val="67000"/>
                    </a:schemeClr>
                  </a:gs>
                  <a:gs pos="50000">
                    <a:schemeClr val="accent3">
                      <a:lumMod val="60000"/>
                      <a:lumMod val="105000"/>
                      <a:satMod val="103000"/>
                      <a:tint val="73000"/>
                    </a:schemeClr>
                  </a:gs>
                  <a:gs pos="100000">
                    <a:schemeClr val="accent3">
                      <a:lumMod val="60000"/>
                      <a:lumMod val="105000"/>
                      <a:satMod val="109000"/>
                      <a:tint val="81000"/>
                    </a:schemeClr>
                  </a:gs>
                </a:gsLst>
                <a:lin ang="5400000" scaled="0"/>
              </a:gradFill>
              <a:ln w="9525" cap="flat" cmpd="sng" algn="ctr">
                <a:solidFill>
                  <a:schemeClr val="accent3">
                    <a:lumMod val="60000"/>
                    <a:shade val="95000"/>
                  </a:schemeClr>
                </a:solidFill>
                <a:round/>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Sheet1!$A$2:$A$10</c:f>
              <c:strCache>
                <c:ptCount val="9"/>
                <c:pt idx="0">
                  <c:v>基本支出</c:v>
                </c:pt>
                <c:pt idx="1">
                  <c:v>项目支出</c:v>
                </c:pt>
                <c:pt idx="2">
                  <c:v>上缴上级支出</c:v>
                </c:pt>
                <c:pt idx="3">
                  <c:v>经营支出</c:v>
                </c:pt>
                <c:pt idx="4">
                  <c:v>对附属单位补助支出</c:v>
                </c:pt>
                <c:pt idx="5">
                  <c:v>财政结转结余支出</c:v>
                </c:pt>
              </c:strCache>
            </c:strRef>
          </c:cat>
          <c:val>
            <c:numRef>
              <c:f>Sheet1!$B$2:$B$10</c:f>
              <c:numCache>
                <c:formatCode>General</c:formatCode>
                <c:ptCount val="9"/>
                <c:pt idx="0">
                  <c:v>75.77</c:v>
                </c:pt>
                <c:pt idx="1">
                  <c:v>0</c:v>
                </c:pt>
                <c:pt idx="2">
                  <c:v>0</c:v>
                </c:pt>
                <c:pt idx="3">
                  <c:v>0</c:v>
                </c:pt>
                <c:pt idx="4">
                  <c:v>0</c:v>
                </c:pt>
                <c:pt idx="5">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ffd28d02-8dce-40dc-bb15-cc9b070c30e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c74a90e5-f7f5-4d28-867a-7c1d9b7ed429</errorID>
      <errorWord>协调和</errorWord>
      <group>L1_Word</group>
      <groupName>字词问题</groupName>
      <ability>L2_Typo</ability>
      <abilityName>字词错误</abilityName>
      <candidateList>
        <item>协调</item>
      </candidateList>
      <explain>❶〈形〉配合得适当：色彩～｜动作～。❷〈动〉使配合得适当：～产销关系。</explain>
      <paraID>2FB59BE9</paraID>
      <start>41</start>
      <end>43</end>
      <status>modified</status>
      <modifiedWord>协调</modifiedWord>
      <trackRevisions>false</trackRevisions>
    </reviewItem>
    <reviewItem>
      <errorID>3f753d83-d0bb-4229-bd34-154149d9d9a1</errorID>
      <errorWord>脱贫成果</errorWord>
      <group>L1_Political</group>
      <groupName>政治性问题</groupName>
      <ability>L2_Unpolitical</ability>
      <abilityName>政治敏感错误</abilityName>
      <candidateList>
        <item>脱贫攻坚成果</item>
      </candidateList>
      <explain/>
      <paraID> 8CB06F0</paraID>
      <start>49</start>
      <end>55</end>
      <status>modified</status>
      <modifiedWord>脱贫攻坚成果</modifiedWord>
      <trackRevisions>false</trackRevisions>
    </reviewItem>
    <reviewItem>
      <errorID>25e5724b-943c-41c1-8870-599b37326d8f</errorID>
      <errorWord>围</errorWord>
      <group>L1_Word</group>
      <groupName>字词问题</groupName>
      <ability>L2_Typo</ability>
      <abilityName>字词错误</abilityName>
      <candidateList>
        <item>围内</item>
      </candidateList>
      <explain/>
      <paraID>3237E200</paraID>
      <start>71</start>
      <end>73</end>
      <status>modified</status>
      <modifiedWord>围内</modifiedWord>
      <trackRevisions>false</trackRevisions>
    </reviewItem>
    <reviewItem>
      <errorID>e5e86395-ff24-4356-baf0-98aa29eb90ea</errorID>
      <errorWord>增强</errorWord>
      <group>L1_Grammar</group>
      <groupName>语法问题</groupName>
      <ability>L2_Grammar</ability>
      <abilityName>语法错误</abilityName>
      <candidateList>
        <item>提高</item>
      </candidateList>
      <explain>“增强～效率”搭配不当，建议修改为“提高～效率”。</explain>
      <paraID>1E44C603</paraID>
      <start>3</start>
      <end>5</end>
      <status>modified</status>
      <modifiedWord>提高</modifiedWord>
      <trackRevisions>false</trackRevisions>
    </reviewItem>
    <reviewItem>
      <errorID>30f940c9-f049-45d2-a6bc-3c9bdfac9edd</errorID>
      <errorWord>批次经</errorWord>
      <group>L1_Word</group>
      <groupName>字词问题</groupName>
      <ability>L2_Typo</ability>
      <abilityName>字词错误</abilityName>
      <candidateList>
        <item>批次</item>
      </candidateList>
      <explain/>
      <paraID>1E44C603</paraID>
      <start>125</start>
      <end>127</end>
      <status>modified</status>
      <modifiedWord>批次</modifiedWord>
      <trackRevisions>false</trackRevisions>
    </reviewItem>
    <reviewItem>
      <errorID>db95fcb1-1c2e-4a8e-b3ec-0115d9683a52</errorID>
      <errorWord>脱分</errorWord>
      <group>L1_Word</group>
      <groupName>字词问题</groupName>
      <ability>L2_Typo</ability>
      <abilityName>字词错误</abilityName>
      <candidateList>
        <item>脱贫</item>
      </candidateList>
      <explain/>
      <paraID>1E44C603</paraID>
      <start>167</start>
      <end>169</end>
      <status>modified</status>
      <modifiedWord>脱贫</modifiedWord>
      <trackRevisions>false</trackRevisions>
    </reviewItem>
    <reviewItem>
      <errorID>12109017-fe57-43be-b79a-34b60f79358d</errorID>
      <errorWord>严格</errorWord>
      <group>L1_Word</group>
      <groupName>字词问题</groupName>
      <ability>L2_Typo</ability>
      <abilityName>字词错误</abilityName>
      <candidateList>
        <item>严</item>
      </candidateList>
      <explain/>
      <paraID>54F25E3D</paraID>
      <start>15</start>
      <end>16</end>
      <status>modified</status>
      <modifiedWord>严</modifiedWord>
      <trackRevisions>false</trackRevisions>
    </reviewItem>
    <reviewItem>
      <errorID>fa14d1bd-c39a-48a1-b850-cb4fd8430cbd</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62399806</paraID>
      <start>13</start>
      <end>19</end>
      <status>modified</status>
      <modifiedWord>县委、县政府</modifiedWord>
      <trackRevisions>false</trackRevisions>
    </reviewItem>
    <reviewItem>
      <errorID>f4935c19-aa02-47a8-808c-4286f7f108c6</errorID>
      <errorWord>倾向性、苗头性问题</errorWord>
      <group>L1_Political</group>
      <groupName>政治性问题</groupName>
      <ability>L2_Keyword</ability>
      <abilityName>固定表述</abilityName>
      <candidateList>
        <item>苗头性、倾向性问题</item>
      </candidateList>
      <explain>词汇“苗头性、倾向性问题”在特定场景下为固定表述形式，请确认此处的“倾向性、苗头性问题”是否存在不当。</explain>
      <paraID> 8DF068F</paraID>
      <start>43</start>
      <end>52</end>
      <status>modified</status>
      <modifiedWord>苗头性、倾向性问题</modifiedWord>
      <trackRevisions>false</trackRevisions>
    </reviewItem>
    <reviewItem>
      <errorID>7da6e062-3398-4cdf-929b-c1b34d6989aa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7A598493</paraID>
      <start>2</start>
      <end>4</end>
      <status>modified</status>
      <modifiedWord>1.</modifiedWord>
      <trackRevisions>false</trackRevisions>
    </reviewItem>
    <reviewItem>
      <errorID>e61601b8-b2a5-4e4e-a288-e76074ba3b86</errorID>
      <errorWord>（</errorWord>
      <group>L1_Punc</group>
      <groupName>标点问题</groupName>
      <ability>L2_Punc_CN</ability>
      <abilityName>标点符号问题</abilityName>
      <candidateList/>
      <explain>同一形式括号套用。</explain>
      <paraID>1BC8187A</paraID>
      <start>250</start>
      <end>251</end>
      <status>ignored</status>
      <modifiedWord/>
      <trackRevisions>false</trackRevisions>
    </reviewItem>
    <reviewItem>
      <errorID>08832fc4-57ce-431e-97bf-aa80210ed323</errorID>
      <errorWord>）</errorWord>
      <group>L1_Punc</group>
      <groupName>标点问题</groupName>
      <ability>L2_Punc_CN</ability>
      <abilityName>标点符号问题</abilityName>
      <candidateList/>
      <explain>同一形式括号套用。</explain>
      <paraID>1BC8187A</paraID>
      <start>256</start>
      <end>257</end>
      <status>ignored</status>
      <modifiedWord/>
      <trackRevisions>false</trackRevisions>
    </reviewItem>
    <reviewItem>
      <errorID>aad4b231-2e51-419a-80ee-39aedb46594b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1BC8187A</paraID>
      <start>309</start>
      <end>311</end>
      <status>modified</status>
      <modifiedWord>”“</modifiedWord>
      <trackRevisions>false</trackRevisions>
    </reviewItem>
    <reviewItem>
      <errorID>0e071b43-1a18-450d-a5b5-8308edde9ab3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1BC8187A</paraID>
      <start>320</start>
      <end>322</end>
      <status>modified</status>
      <modifiedWord>”“</modifiedWord>
      <trackRevisions>false</trackRevisions>
    </reviewItem>
    <reviewItem>
      <errorID>5175c5f5-04c5-440d-bb0e-ca9ecc218375</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1BC8187A</paraID>
      <start>332</start>
      <end>334</end>
      <status>modified</status>
      <modifiedWord>”“</modifiedWord>
      <trackRevisions>false</trackRevisions>
    </reviewItem>
    <reviewItem>
      <errorID>f9f8df4a-dd7b-4251-ab9c-7bceaa794618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5F2DAB6E</paraID>
      <start>2</start>
      <end>4</end>
      <status>modified</status>
      <modifiedWord>2.</modifiedWord>
      <trackRevisions>false</trackRevisions>
    </reviewItem>
    <reviewItem>
      <errorID>8e8f2b7b-18f3-4970-9c0c-3ad8259f3594</errorID>
      <errorWord>截止</errorWord>
      <group>L1_Word</group>
      <groupName>字词问题</groupName>
      <ability>L2_Typo</ability>
      <abilityName>字词错误</abilityName>
      <candidateList>
        <item>截至</item>
      </candidateList>
      <explain>存在发音相同字词的误用。</explain>
      <paraID>52E86890</paraID>
      <start>69</start>
      <end>71</end>
      <status>modified</status>
      <modifiedWord>截至</modifiedWord>
      <trackRevisions>false</trackRevisions>
    </reviewItem>
    <reviewItem>
      <errorID>24a33f8f-a631-481d-8e2d-2bbc2200e1b8</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154C1016</paraID>
      <start>33</start>
      <end>39</end>
      <status>modified</status>
      <modifiedWord>县委、县政府</modifiedWord>
      <trackRevisions>false</trackRevisions>
    </reviewItem>
    <reviewItem>
      <errorID>49980be5-1b0d-4099-943e-6f3c3db47856</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63A91381</paraID>
      <start>76</start>
      <end>82</end>
      <status>modified</status>
      <modifiedWord>县委、县政府</modifiedWord>
      <trackRevisions>false</trackRevisions>
    </reviewItem>
    <reviewItem>
      <errorID>03348b86-bb4f-471b-8c1d-3eac89306323</errorID>
      <errorWord>对发现问题</errorWord>
      <group>L1_Word</group>
      <groupName>字词问题</groupName>
      <ability>L2_Typo</ability>
      <abilityName>字词错误</abilityName>
      <candidateList>
        <item>对发现的问题</item>
      </candidateList>
      <explain/>
      <paraID>63A91381</paraID>
      <start>124</start>
      <end>130</end>
      <status>modified</status>
      <modifiedWord>对发现的问题</modifiedWord>
      <trackRevisions>false</trackRevisions>
    </reviewItem>
    <reviewItem>
      <errorID>02daef0c-3650-4205-9b14-d9e36d1982e9</errorID>
      <errorWord>,</errorWord>
      <group>L1_Format</group>
      <groupName>格式问题</groupName>
      <ability>L2_HalfPunc_CN</ability>
      <abilityName>全半角问题</abilityName>
      <candidateList>
        <item>，</item>
      </candidateList>
      <explain>文本全半角错误。</explain>
      <paraID>11D5F1A6</paraID>
      <start>152</start>
      <end>153</end>
      <status>modified</status>
      <modifiedWord>，</modifiedWord>
      <trackRevisions>false</trackRevisions>
    </reviewItem>
    <reviewItem>
      <errorID>b2bb2b84-4cbd-4fd5-b041-0900596c1667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1B7B56D2</paraID>
      <start>2</start>
      <end>4</end>
      <status>modified</status>
      <modifiedWord>3.</modifiedWord>
      <trackRevisions>false</trackRevisions>
    </reviewItem>
    <reviewItem>
      <errorID>1c0a6579-ca27-43a2-9678-406555384ad6</errorID>
      <errorWord>:</errorWord>
      <group>L1_Format</group>
      <groupName>格式问题</groupName>
      <ability>L2_HalfPunc_CN</ability>
      <abilityName>全半角问题</abilityName>
      <candidateList>
        <item>：</item>
      </candidateList>
      <explain>文本全半角错误。</explain>
      <paraID>73E404AD</paraID>
      <start>128</start>
      <end>129</end>
      <status>modified</status>
      <modifiedWord>：</modifiedWord>
      <trackRevisions>false</trackRevisions>
    </reviewItem>
    <reviewItem>
      <errorID>655761ea-3dcf-4a2b-bfe3-f002b2c7a3fd</errorID>
      <errorWord>违反中央八项规定的</errorWord>
      <group>L1_Word</group>
      <groupName>字词问题</groupName>
      <ability>L2_Typo</ability>
      <abilityName>字词错误</abilityName>
      <candidateList>
        <item>违反中央八项规定精神的</item>
      </candidateList>
      <explain/>
      <paraID>73E404AD</paraID>
      <start>158</start>
      <end>169</end>
      <status>modified</status>
      <modifiedWord>违反中央八项规定精神的</modifiedWord>
      <trackRevisions>false</trackRevisions>
    </reviewItem>
    <reviewItem>
      <errorID>29561d16-3508-4a6f-8e33-cad7c055c86d</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73E404AD</paraID>
      <start>182</start>
      <end>184</end>
      <status>modified</status>
      <modifiedWord>》《</modifiedWord>
      <trackRevisions>false</trackRevisions>
    </reviewItem>
    <reviewItem>
      <errorID>1556ed26-51f9-4415-b923-ed9ebadaae52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542BF6B9</paraID>
      <start>4</start>
      <end>6</end>
      <status>modified</status>
      <modifiedWord>4.</modifiedWord>
      <trackRevisions>false</trackRevisions>
    </reviewItem>
    <reviewItem>
      <errorID>e26d596d-e338-406c-b587-1bd384d17a45</errorID>
      <errorWord>十九大精神、习近平</errorWord>
      <group>L1_Word</group>
      <groupName>字词问题</groupName>
      <ability>L2_Typo</ability>
      <abilityName>字词错误</abilityName>
      <candidateList>
        <item>党的十九大精神、习近平</item>
      </candidateList>
      <explain/>
      <paraID>3026C160</paraID>
      <start>114</start>
      <end>125</end>
      <status>modified</status>
      <modifiedWord>党的十九大精神、习近平</modifiedWord>
      <trackRevisions>false</trackRevisions>
    </reviewItem>
    <reviewItem>
      <errorID>a8ea5ada-8791-4345-82d0-3a36bbae5b20</errorID>
      <errorWord>;</errorWord>
      <group>L1_Format</group>
      <groupName>格式问题</groupName>
      <ability>L2_HalfPunc_CN</ability>
      <abilityName>全半角问题</abilityName>
      <candidateList>
        <item>；</item>
      </candidateList>
      <explain>文本全半角错误。</explain>
      <paraID>671686D3</paraID>
      <start>63</start>
      <end>64</end>
      <status>modified</status>
      <modifiedWord>；</modifiedWord>
      <trackRevisions>false</trackRevisions>
    </reviewItem>
    <reviewItem>
      <errorID>35eb8580-d3ab-4fd1-b46f-e388851cb667</errorID>
      <errorWord>;</errorWord>
      <group>L1_Format</group>
      <groupName>格式问题</groupName>
      <ability>L2_HalfPunc_CN</ability>
      <abilityName>全半角问题</abilityName>
      <candidateList>
        <item>；</item>
      </candidateList>
      <explain>文本全半角错误。</explain>
      <paraID>671686D3</paraID>
      <start>79</start>
      <end>80</end>
      <status>modified</status>
      <modifiedWord>；</modifiedWord>
      <trackRevisions>false</trackRevisions>
    </reviewItem>
    <reviewItem>
      <errorID>760c3a0c-2b6f-4edc-a119-0840c3a41876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9ED198C</paraID>
      <start>4</start>
      <end>6</end>
      <status>modified</status>
      <modifiedWord>1.</modifiedWord>
      <trackRevisions>false</trackRevisions>
    </reviewItem>
    <reviewItem>
      <errorID>5295d149-5c6b-4587-8ca1-b4b5655c24ab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A2B60AC</paraID>
      <start>2</start>
      <end>4</end>
      <status>modified</status>
      <modifiedWord>2.</modifiedWord>
      <trackRevisions>false</trackRevisions>
    </reviewItem>
    <reviewItem>
      <errorID>8f3baf54-148f-436e-b66f-5ba581778c22</errorID>
      <errorWord>,</errorWord>
      <group>L1_Format</group>
      <groupName>格式问题</groupName>
      <ability>L2_HalfPunc_CN</ability>
      <abilityName>全半角问题</abilityName>
      <candidateList>
        <item>，</item>
      </candidateList>
      <explain>文本全半角错误。</explain>
      <paraID>5EBC15FB</paraID>
      <start>33</start>
      <end>34</end>
      <status>modified</status>
      <modifiedWord>，</modifiedWord>
      <trackRevisions>false</trackRevisions>
    </reviewItem>
    <reviewItem>
      <errorID>cd891985-f172-4537-a74c-c424ebb1375f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5FA1A4BC</paraID>
      <start>3</start>
      <end>5</end>
      <status>modified</status>
      <modifiedWord>4.</modifiedWord>
      <trackRevisions>false</trackRevisions>
    </reviewItem>
    <reviewItem>
      <errorID>fb484b5f-e79c-4a6d-8c7b-b9d8fe28a147</errorID>
      <errorWord>经</errorWord>
      <group>L1_Word</group>
      <groupName>字词问题</groupName>
      <ability>L2_Typo</ability>
      <abilityName>字词错误</abilityName>
      <candidateList>
        <item>经费</item>
      </candidateList>
      <explain/>
      <paraID>2118B33C</paraID>
      <start>6</start>
      <end>8</end>
      <status>modified</status>
      <modifiedWord>经费</modifiedWord>
      <trackRevisions>false</trackRevisions>
    </reviewItem>
    <reviewItem>
      <errorID>f91b1a1d-f518-4cc3-aed1-ad244a0fb407</errorID>
      <errorWord>,</errorWord>
      <group>L1_Format</group>
      <groupName>格式问题</groupName>
      <ability>L2_HalfPunc_CN</ability>
      <abilityName>全半角问题</abilityName>
      <candidateList>
        <item>，</item>
      </candidateList>
      <explain>文本全半角错误。</explain>
      <paraID>3112E96A</paraID>
      <start>24</start>
      <end>25</end>
      <status>modified</status>
      <modifiedWord>，</modifiedWord>
      <trackRevisions>false</trackRevisions>
    </reviewItem>
    <reviewItem>
      <errorID>240cf518-4321-4d74-b7ba-4f22ead6ad71</errorID>
      <errorWord>督杳</errorWord>
      <group>L1_Word</group>
      <groupName>字词问题</groupName>
      <ability>L2_Typo</ability>
      <abilityName>字词错误</abilityName>
      <candidateList>
        <item>督查</item>
      </candidateList>
      <explain>存在字形相近字词的误用。</explain>
      <paraID>3112E96A</paraID>
      <start>72</start>
      <end>74</end>
      <status>modified</status>
      <modifiedWord>督查</modifiedWord>
      <trackRevisions>false</trackRevisions>
    </reviewItem>
    <reviewItem>
      <errorID>04d91362-2db1-4d84-9e92-d9bcfec53215</errorID>
      <errorWord>截止</errorWord>
      <group>L1_Word</group>
      <groupName>字词问题</groupName>
      <ability>L2_Typo</ability>
      <abilityName>字词错误</abilityName>
      <candidateList>
        <item>截至</item>
      </candidateList>
      <explain>存在发音相同字词的误用。</explain>
      <paraID>5A5BAD06</paraID>
      <start>1</start>
      <end>3</end>
      <status>modified</status>
      <modifiedWord>截至</modifiedWord>
      <trackRevisions>false</trackRevisions>
    </reviewItem>
    <reviewItem>
      <errorID>770b526f-de31-46d1-8af8-73d686ecfd8d</errorID>
      <errorWord>其它</errorWord>
      <group>L1_Word</group>
      <groupName>字词问题</groupName>
      <ability>L2_Alias</ability>
      <abilityName>也作/曾用词</abilityName>
      <candidateList>
        <item>其他</item>
      </candidateList>
      <explain>词汇[其它]为不规范表述或旧称，其规范书面表述为[其他]。</explain>
      <paraID>5A5BAD06</paraID>
      <start>82</start>
      <end>84</end>
      <status>modified</status>
      <modifiedWord>其他</modifiedWord>
      <trackRevisions>false</trackRevisions>
    </reviewItem>
    <reviewItem>
      <errorID>b0f0de12-1aed-4810-aa80-8d372a06ebe9</errorID>
      <errorWord>事物</errorWord>
      <group>L1_Word</group>
      <groupName>字词问题</groupName>
      <ability>L2_Typo</ability>
      <abilityName>字词错误</abilityName>
      <candidateList>
        <item>事务</item>
      </candidateList>
      <explain>存在发音相同字词的误用。</explain>
      <paraID>6BA63673</paraID>
      <start>58</start>
      <end>60</end>
      <status>modified</status>
      <modifiedWord>事务</modifiedWord>
      <trackRevisions>false</trackRevisions>
    </reviewItem>
  </reviewItems>
  <config/>
</contractReview>
</file>

<file path=customXml/itemProps1.xml><?xml version="1.0" encoding="utf-8"?>
<ds:datastoreItem xmlns:ds="http://schemas.openxmlformats.org/officeDocument/2006/customXml" ds:itemID="{19F89F9B-A1F1-412E-877B-8DD2A8A6A8C6}">
  <ds:schemaRefs/>
</ds:datastoreItem>
</file>

<file path=customXml/itemProps2.xml><?xml version="1.0" encoding="utf-8"?>
<ds:datastoreItem xmlns:ds="http://schemas.openxmlformats.org/officeDocument/2006/customXml" ds:itemID="{c3ad2d78-e8f6-47b2-b714-f64645d0cdce}">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8781</Words>
  <Characters>9301</Characters>
  <Lines>74</Lines>
  <Paragraphs>21</Paragraphs>
  <TotalTime>1</TotalTime>
  <ScaleCrop>false</ScaleCrop>
  <LinksUpToDate>false</LinksUpToDate>
  <CharactersWithSpaces>9627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奕夕^_^</cp:lastModifiedBy>
  <cp:lastPrinted>2021-07-29T03:56:00Z</cp:lastPrinted>
  <dcterms:modified xsi:type="dcterms:W3CDTF">2026-06-30T03:55:48Z</dcterms:modified>
  <dc:title>阿坝州部门决算说明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DC09222D71EA4FFE857929B1997621FB_12</vt:lpwstr>
  </property>
</Properties>
</file>