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A3F5">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3474BB33">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23BD14D1">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0" w:name="_Toc15377426"/>
      <w:bookmarkStart w:id="1" w:name="_Toc15396476"/>
      <w:bookmarkStart w:id="2" w:name="_Toc15396598"/>
      <w:bookmarkStart w:id="3" w:name="_Toc15377194"/>
      <w:bookmarkStart w:id="4" w:name="_Toc15378442"/>
    </w:p>
    <w:p w14:paraId="3C022525">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四川省阿坝州松潘县</w:t>
      </w:r>
      <w:bookmarkStart w:id="5" w:name="_Toc15306268"/>
    </w:p>
    <w:p w14:paraId="2948DD18">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中共松潘县委统战部本级部门决算</w:t>
      </w:r>
      <w:bookmarkEnd w:id="0"/>
      <w:bookmarkEnd w:id="1"/>
      <w:bookmarkEnd w:id="2"/>
      <w:bookmarkEnd w:id="3"/>
      <w:bookmarkEnd w:id="4"/>
      <w:bookmarkEnd w:id="5"/>
    </w:p>
    <w:p w14:paraId="14DA5F50">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（部门公开）</w:t>
      </w:r>
    </w:p>
    <w:p w14:paraId="10EC5CE0">
      <w:pPr>
        <w:widowControl/>
        <w:jc w:val="center"/>
        <w:rPr>
          <w:rFonts w:hint="eastAsia" w:ascii="黑体" w:hAnsi="黑体" w:eastAsia="黑体"/>
          <w:color w:val="auto"/>
          <w:sz w:val="48"/>
          <w:szCs w:val="48"/>
          <w:highlight w:val="none"/>
        </w:rPr>
        <w:sectPr>
          <w:pgSz w:w="11906" w:h="16838"/>
          <w:pgMar w:top="1440" w:right="1800" w:bottom="1440" w:left="1800" w:header="720" w:footer="720" w:gutter="0"/>
          <w:cols w:space="720" w:num="1"/>
          <w:docGrid w:type="lines" w:linePitch="312" w:charSpace="0"/>
        </w:sectPr>
      </w:pPr>
    </w:p>
    <w:p w14:paraId="0E4D7A32">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B4FB77F">
      <w:pPr>
        <w:widowControl/>
        <w:jc w:val="center"/>
        <w:rPr>
          <w:rFonts w:ascii="黑体" w:hAnsi="黑体" w:eastAsia="黑体" w:cs="Times New Roman"/>
          <w:color w:val="auto"/>
          <w:sz w:val="28"/>
          <w:szCs w:val="28"/>
          <w:highlight w:val="none"/>
        </w:rPr>
      </w:pPr>
    </w:p>
    <w:p w14:paraId="0DF4E653">
      <w:pPr>
        <w:pStyle w:val="9"/>
        <w:rPr>
          <w:color w:val="auto"/>
          <w:highlight w:val="none"/>
        </w:rPr>
      </w:pPr>
      <w:r>
        <w:rPr>
          <w:rFonts w:hint="eastAsia"/>
          <w:color w:val="auto"/>
          <w:highlight w:val="none"/>
        </w:rPr>
        <w:t>公开时间：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1D830D4D">
      <w:pPr>
        <w:rPr>
          <w:color w:val="auto"/>
          <w:highlight w:val="none"/>
        </w:rPr>
      </w:pPr>
    </w:p>
    <w:p w14:paraId="10CB1857">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3C26A851">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p>
    <w:p w14:paraId="0EECE7C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二、机构设置</w:t>
      </w:r>
    </w:p>
    <w:p w14:paraId="2EB9FA88">
      <w:pPr>
        <w:pStyle w:val="9"/>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14:paraId="006A1044">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7FBBE64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203C18AD">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34A2621D">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64AF36FA">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6DE84232">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250A728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617FB24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1B6D6F67">
      <w:pPr>
        <w:pStyle w:val="13"/>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3B7005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18"/>
          <w:rFonts w:hint="eastAsia" w:ascii="宋体" w:hAnsi="宋体" w:eastAsia="宋体" w:cs="宋体"/>
          <w:color w:val="auto"/>
          <w:sz w:val="24"/>
          <w:highlight w:val="none"/>
          <w:u w:val="none"/>
          <w:lang w:eastAsia="zh-CN"/>
        </w:rPr>
        <w:t>十</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p>
    <w:p w14:paraId="2ABD0DBB">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65E3825C">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430D1E0F">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4D319692">
      <w:pPr>
        <w:pStyle w:val="13"/>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D029878">
      <w:pPr>
        <w:pStyle w:val="13"/>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1C6285BD">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7DAD1C0">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C038C1F">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632BB6CF">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7813B60">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29E85667">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3C1DEA66">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9D745D8">
      <w:pPr>
        <w:pStyle w:val="13"/>
        <w:adjustRightInd w:val="0"/>
        <w:snapToGrid w:val="0"/>
        <w:spacing w:line="440" w:lineRule="exact"/>
        <w:jc w:val="left"/>
        <w:rPr>
          <w:rFonts w:hint="eastAsia"/>
          <w:color w:val="auto"/>
          <w:sz w:val="24"/>
          <w:highlight w:val="none"/>
        </w:rPr>
        <w:sectPr>
          <w:footerReference r:id="rId3" w:type="default"/>
          <w:pgSz w:w="11906" w:h="16838"/>
          <w:pgMar w:top="1440" w:right="1800" w:bottom="1440" w:left="1800" w:header="720" w:footer="720" w:gutter="0"/>
          <w:pgNumType w:start="1"/>
          <w:cols w:space="720" w:num="1"/>
          <w:docGrid w:type="lines" w:linePitch="312" w:charSpace="0"/>
        </w:sectPr>
      </w:pPr>
    </w:p>
    <w:p w14:paraId="60196E3C">
      <w:pPr>
        <w:pStyle w:val="13"/>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30085046">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7D92315">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1F55EDBE">
      <w:pPr>
        <w:pStyle w:val="13"/>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284804A5">
      <w:pPr>
        <w:widowControl/>
        <w:adjustRightInd w:val="0"/>
        <w:snapToGrid w:val="0"/>
        <w:spacing w:line="440" w:lineRule="exact"/>
        <w:ind w:firstLine="1320" w:firstLineChars="550"/>
        <w:jc w:val="left"/>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hint="eastAsia" w:ascii="仿宋" w:hAnsi="仿宋" w:eastAsia="仿宋"/>
          <w:color w:val="auto"/>
          <w:sz w:val="24"/>
          <w:highlight w:val="none"/>
          <w:lang w:eastAsia="zh-CN"/>
        </w:rPr>
        <w:t>）</w:t>
      </w:r>
    </w:p>
    <w:p w14:paraId="517E08F7">
      <w:pPr>
        <w:pStyle w:val="2"/>
        <w:jc w:val="center"/>
        <w:rPr>
          <w:rFonts w:hint="eastAsia" w:ascii="黑体" w:hAnsi="黑体" w:eastAsia="黑体"/>
          <w:b w:val="0"/>
          <w:color w:val="auto"/>
          <w:highlight w:val="none"/>
        </w:rPr>
        <w:sectPr>
          <w:footerReference r:id="rId4" w:type="default"/>
          <w:pgSz w:w="11906" w:h="16838"/>
          <w:pgMar w:top="1440" w:right="1800" w:bottom="1440" w:left="1800" w:header="720" w:footer="720" w:gutter="0"/>
          <w:pgNumType w:start="1"/>
          <w:cols w:space="720" w:num="1"/>
          <w:docGrid w:type="lines" w:linePitch="312" w:charSpace="0"/>
        </w:sectPr>
      </w:pPr>
      <w:bookmarkStart w:id="6" w:name="_Toc15396599"/>
      <w:bookmarkStart w:id="7" w:name="_Toc15377196"/>
    </w:p>
    <w:p w14:paraId="0F828DCB">
      <w:pPr>
        <w:pStyle w:val="2"/>
        <w:jc w:val="center"/>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6"/>
      <w:bookmarkEnd w:id="7"/>
    </w:p>
    <w:p w14:paraId="05F87D26">
      <w:pPr>
        <w:widowControl/>
        <w:jc w:val="left"/>
        <w:rPr>
          <w:rFonts w:ascii="黑体" w:eastAsia="黑体"/>
          <w:color w:val="auto"/>
          <w:sz w:val="32"/>
          <w:szCs w:val="32"/>
          <w:highlight w:val="none"/>
        </w:rPr>
      </w:pPr>
    </w:p>
    <w:p w14:paraId="52F02336">
      <w:pPr>
        <w:pStyle w:val="3"/>
        <w:rPr>
          <w:rStyle w:val="20"/>
          <w:rFonts w:hint="eastAsia" w:ascii="仿宋" w:hAnsi="仿宋" w:eastAsia="黑体"/>
          <w:b w:val="0"/>
          <w:bCs w:val="0"/>
          <w:color w:val="auto"/>
          <w:highlight w:val="none"/>
          <w:lang w:eastAsia="zh-CN"/>
        </w:rPr>
      </w:pPr>
      <w:bookmarkStart w:id="8" w:name="_Toc15377197"/>
      <w:bookmarkStart w:id="9" w:name="_Toc15396600"/>
      <w:r>
        <w:rPr>
          <w:rFonts w:hint="eastAsia" w:ascii="黑体" w:hAnsi="黑体" w:eastAsia="黑体"/>
          <w:b w:val="0"/>
          <w:color w:val="auto"/>
          <w:highlight w:val="none"/>
        </w:rPr>
        <w:t>一、</w:t>
      </w:r>
      <w:bookmarkEnd w:id="8"/>
      <w:bookmarkEnd w:id="9"/>
      <w:r>
        <w:rPr>
          <w:rFonts w:hint="eastAsia" w:ascii="黑体" w:hAnsi="黑体" w:eastAsia="黑体"/>
          <w:b w:val="0"/>
          <w:color w:val="auto"/>
          <w:highlight w:val="none"/>
          <w:lang w:eastAsia="zh-CN"/>
        </w:rPr>
        <w:t>部门职责</w:t>
      </w:r>
    </w:p>
    <w:p w14:paraId="42C6BF31">
      <w:pPr>
        <w:pStyle w:val="3"/>
        <w:ind w:firstLine="643" w:firstLineChars="200"/>
        <w:rPr>
          <w:rFonts w:ascii="仿宋" w:eastAsia="仿宋"/>
          <w:bCs/>
          <w:color w:val="000000"/>
          <w:sz w:val="32"/>
          <w:szCs w:val="32"/>
        </w:rPr>
      </w:pPr>
      <w:bookmarkStart w:id="10" w:name="_Toc10122"/>
      <w:bookmarkStart w:id="11" w:name="_Toc2852"/>
      <w:bookmarkStart w:id="12" w:name="_Toc24759"/>
      <w:bookmarkStart w:id="13" w:name="_Toc15377200"/>
      <w:bookmarkStart w:id="14" w:name="_Toc15396601"/>
      <w:r>
        <w:rPr>
          <w:rFonts w:hint="eastAsia" w:ascii="仿宋" w:eastAsia="仿宋"/>
          <w:bCs/>
          <w:color w:val="000000"/>
          <w:sz w:val="32"/>
          <w:szCs w:val="32"/>
        </w:rPr>
        <w:t>（一）主要职能。</w:t>
      </w:r>
      <w:bookmarkEnd w:id="10"/>
      <w:bookmarkEnd w:id="11"/>
      <w:bookmarkEnd w:id="12"/>
    </w:p>
    <w:p w14:paraId="4603402B">
      <w:pPr>
        <w:ind w:firstLine="640" w:firstLineChars="200"/>
        <w:rPr>
          <w:rFonts w:hint="eastAsia" w:ascii="仿宋" w:eastAsia="仿宋"/>
          <w:sz w:val="32"/>
          <w:szCs w:val="32"/>
          <w:lang w:eastAsia="zh-CN"/>
        </w:rPr>
      </w:pPr>
      <w:r>
        <w:rPr>
          <w:rFonts w:hint="eastAsia" w:ascii="仿宋" w:eastAsia="仿宋"/>
          <w:sz w:val="32"/>
          <w:szCs w:val="32"/>
          <w:lang w:eastAsia="zh-CN"/>
        </w:rPr>
        <w:t>涉密</w:t>
      </w:r>
    </w:p>
    <w:p w14:paraId="67A059C9">
      <w:pPr>
        <w:pStyle w:val="5"/>
        <w:adjustRightInd w:val="0"/>
        <w:snapToGrid w:val="0"/>
        <w:spacing w:before="93" w:beforeLines="0" w:line="600" w:lineRule="exact"/>
        <w:ind w:firstLine="643" w:firstLineChars="200"/>
        <w:outlineLvl w:val="2"/>
        <w:rPr>
          <w:rFonts w:hint="eastAsia" w:ascii="仿宋" w:eastAsia="仿宋"/>
          <w:b/>
          <w:bCs w:val="0"/>
          <w:color w:val="000000"/>
          <w:sz w:val="32"/>
          <w:szCs w:val="32"/>
        </w:rPr>
      </w:pPr>
      <w:bookmarkStart w:id="15" w:name="_Toc15377199"/>
      <w:bookmarkStart w:id="16" w:name="_Toc79163854"/>
      <w:bookmarkStart w:id="17" w:name="_Toc79163604"/>
      <w:bookmarkStart w:id="18" w:name="_Toc15378446"/>
      <w:bookmarkStart w:id="19" w:name="_Toc11615"/>
      <w:bookmarkStart w:id="20" w:name="_Toc21223"/>
      <w:bookmarkStart w:id="21" w:name="_Toc27179"/>
      <w:r>
        <w:rPr>
          <w:rFonts w:hint="eastAsia" w:ascii="仿宋" w:eastAsia="仿宋"/>
          <w:b/>
          <w:bCs w:val="0"/>
          <w:color w:val="000000"/>
          <w:sz w:val="32"/>
          <w:szCs w:val="32"/>
        </w:rPr>
        <w:t>（二）</w:t>
      </w:r>
      <w:r>
        <w:rPr>
          <w:rFonts w:hint="eastAsia" w:ascii="仿宋" w:eastAsia="仿宋"/>
          <w:b/>
          <w:bCs w:val="0"/>
          <w:color w:val="000000"/>
          <w:sz w:val="32"/>
          <w:szCs w:val="32"/>
          <w:lang w:eastAsia="zh-CN"/>
        </w:rPr>
        <w:t>2024</w:t>
      </w:r>
      <w:r>
        <w:rPr>
          <w:rFonts w:hint="eastAsia" w:ascii="仿宋" w:eastAsia="仿宋"/>
          <w:b/>
          <w:bCs w:val="0"/>
          <w:color w:val="000000"/>
          <w:sz w:val="32"/>
          <w:szCs w:val="32"/>
        </w:rPr>
        <w:t>年重点工作完成情况。</w:t>
      </w:r>
      <w:bookmarkEnd w:id="15"/>
      <w:bookmarkEnd w:id="16"/>
      <w:bookmarkEnd w:id="17"/>
      <w:bookmarkEnd w:id="18"/>
      <w:bookmarkEnd w:id="19"/>
      <w:bookmarkEnd w:id="20"/>
      <w:bookmarkEnd w:id="21"/>
    </w:p>
    <w:p w14:paraId="3A1A8B03">
      <w:pPr>
        <w:pStyle w:val="5"/>
        <w:adjustRightInd w:val="0"/>
        <w:snapToGrid w:val="0"/>
        <w:spacing w:before="93" w:beforeLines="0" w:line="600" w:lineRule="exact"/>
        <w:ind w:firstLine="640" w:firstLineChars="200"/>
        <w:outlineLvl w:val="2"/>
        <w:rPr>
          <w:rFonts w:hint="eastAsia" w:ascii="黑体" w:eastAsia="黑体"/>
          <w:b w:val="0"/>
          <w:color w:val="auto"/>
          <w:highlight w:val="none"/>
        </w:rPr>
      </w:pPr>
      <w:bookmarkStart w:id="22" w:name="_Toc4330"/>
      <w:bookmarkStart w:id="23" w:name="_Toc648"/>
      <w:bookmarkStart w:id="24" w:name="_Toc5678"/>
      <w:r>
        <w:rPr>
          <w:rFonts w:hint="eastAsia" w:ascii="仿宋" w:eastAsia="仿宋"/>
          <w:bCs/>
          <w:color w:val="000000"/>
          <w:sz w:val="32"/>
          <w:szCs w:val="32"/>
          <w:lang w:val="en-US" w:eastAsia="zh-CN"/>
        </w:rPr>
        <w:t>涉密</w:t>
      </w:r>
      <w:bookmarkEnd w:id="22"/>
      <w:bookmarkEnd w:id="23"/>
      <w:bookmarkEnd w:id="24"/>
    </w:p>
    <w:p w14:paraId="6080556D">
      <w:pPr>
        <w:pStyle w:val="3"/>
        <w:rPr>
          <w:rStyle w:val="2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3"/>
      <w:bookmarkEnd w:id="14"/>
    </w:p>
    <w:p w14:paraId="6C4E8293">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中共松潘县委统战部本级</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14:paraId="02C8AEC7">
      <w:pPr>
        <w:pStyle w:val="5"/>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中共松潘县委统战部本级2024</w:t>
      </w:r>
      <w:r>
        <w:rPr>
          <w:rFonts w:hint="eastAsia" w:ascii="仿宋" w:hAnsi="仿宋" w:eastAsia="仿宋"/>
          <w:color w:val="auto"/>
          <w:sz w:val="32"/>
          <w:szCs w:val="32"/>
          <w:highlight w:val="none"/>
        </w:rPr>
        <w:t>年度部门决算编制范围的二级预算单位包括：</w:t>
      </w:r>
    </w:p>
    <w:p w14:paraId="706BFE2D">
      <w:pPr>
        <w:pStyle w:val="5"/>
        <w:numPr>
          <w:ilvl w:val="0"/>
          <w:numId w:val="1"/>
        </w:numP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中共松潘县委统战部</w:t>
      </w:r>
    </w:p>
    <w:p w14:paraId="068652D7">
      <w:pPr>
        <w:pStyle w:val="5"/>
        <w:numPr>
          <w:ilvl w:val="0"/>
          <w:numId w:val="1"/>
        </w:numPr>
        <w:adjustRightInd w:val="0"/>
        <w:snapToGrid w:val="0"/>
        <w:spacing w:before="93" w:line="600" w:lineRule="exact"/>
        <w:outlineLvl w:val="2"/>
        <w:rPr>
          <w:rFonts w:ascii="仿宋" w:hAnsi="仿宋" w:eastAsia="仿宋"/>
          <w:color w:val="auto"/>
          <w:sz w:val="32"/>
          <w:szCs w:val="32"/>
          <w:highlight w:val="none"/>
        </w:rPr>
      </w:pPr>
      <w:bookmarkStart w:id="25" w:name="_Toc15377434"/>
      <w:bookmarkStart w:id="26" w:name="_Toc15377203"/>
      <w:bookmarkStart w:id="27" w:name="_Toc15378450"/>
      <w:bookmarkStart w:id="28" w:name="_Toc15306277"/>
      <w:r>
        <w:rPr>
          <w:rFonts w:hint="eastAsia" w:ascii="仿宋" w:hAnsi="仿宋" w:eastAsia="仿宋"/>
          <w:color w:val="auto"/>
          <w:sz w:val="32"/>
          <w:szCs w:val="32"/>
          <w:highlight w:val="none"/>
          <w:lang w:eastAsia="zh-CN"/>
        </w:rPr>
        <w:t>松潘县伊斯兰教协会</w:t>
      </w:r>
      <w:bookmarkEnd w:id="25"/>
      <w:bookmarkEnd w:id="26"/>
      <w:bookmarkEnd w:id="27"/>
      <w:bookmarkEnd w:id="28"/>
    </w:p>
    <w:p w14:paraId="79A7DED6">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7673D5E">
      <w:pPr>
        <w:pStyle w:val="2"/>
        <w:ind w:right="440"/>
        <w:jc w:val="center"/>
        <w:rPr>
          <w:rStyle w:val="19"/>
          <w:rFonts w:ascii="黑体" w:hAnsi="黑体" w:eastAsia="黑体"/>
          <w:b w:val="0"/>
          <w:bCs/>
          <w:color w:val="auto"/>
          <w:highlight w:val="none"/>
        </w:rPr>
      </w:pPr>
      <w:bookmarkStart w:id="29" w:name="_Toc15377204"/>
      <w:bookmarkStart w:id="30"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9"/>
          <w:rFonts w:hint="eastAsia" w:ascii="黑体" w:hAnsi="黑体" w:eastAsia="黑体"/>
          <w:b w:val="0"/>
          <w:bCs/>
          <w:color w:val="auto"/>
          <w:highlight w:val="none"/>
        </w:rPr>
        <w:t>部门决算情况说明</w:t>
      </w:r>
      <w:bookmarkEnd w:id="29"/>
      <w:bookmarkEnd w:id="30"/>
    </w:p>
    <w:p w14:paraId="30B5281C">
      <w:pPr>
        <w:rPr>
          <w:color w:val="auto"/>
          <w:highlight w:val="none"/>
        </w:rPr>
      </w:pPr>
    </w:p>
    <w:p w14:paraId="523A0C8C">
      <w:pPr>
        <w:pStyle w:val="26"/>
        <w:numPr>
          <w:ilvl w:val="0"/>
          <w:numId w:val="2"/>
        </w:numPr>
        <w:spacing w:line="600" w:lineRule="exact"/>
        <w:ind w:firstLineChars="0"/>
        <w:outlineLvl w:val="1"/>
        <w:rPr>
          <w:rStyle w:val="20"/>
          <w:rFonts w:ascii="黑体" w:hAnsi="黑体" w:eastAsia="黑体"/>
          <w:b w:val="0"/>
          <w:color w:val="auto"/>
          <w:highlight w:val="none"/>
        </w:rPr>
      </w:pPr>
      <w:bookmarkStart w:id="31" w:name="_Toc15396603"/>
      <w:bookmarkStart w:id="32" w:name="_Toc15377205"/>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1"/>
      <w:bookmarkEnd w:id="32"/>
    </w:p>
    <w:p w14:paraId="4F82418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收入减少</w:t>
      </w:r>
      <w:r>
        <w:rPr>
          <w:rFonts w:hint="eastAsia" w:ascii="仿宋" w:hAnsi="仿宋" w:eastAsia="仿宋"/>
          <w:color w:val="auto"/>
          <w:sz w:val="32"/>
          <w:szCs w:val="32"/>
          <w:highlight w:val="none"/>
          <w:lang w:eastAsia="zh-CN"/>
        </w:rPr>
        <w:t>总计</w:t>
      </w:r>
      <w:r>
        <w:rPr>
          <w:rFonts w:hint="eastAsia" w:ascii="仿宋" w:hAnsi="仿宋" w:eastAsia="仿宋"/>
          <w:color w:val="auto"/>
          <w:sz w:val="32"/>
          <w:szCs w:val="32"/>
          <w:highlight w:val="none"/>
          <w:lang w:val="en-US" w:eastAsia="zh-CN"/>
        </w:rPr>
        <w:t>31.78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31.78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均降低</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节能办公合理运用资源，缩减各项开支。</w:t>
      </w:r>
    </w:p>
    <w:p w14:paraId="692CCA24">
      <w:pPr>
        <w:spacing w:line="60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165100</wp:posOffset>
            </wp:positionH>
            <wp:positionV relativeFrom="paragraph">
              <wp:posOffset>458470</wp:posOffset>
            </wp:positionV>
            <wp:extent cx="4947285" cy="2876550"/>
            <wp:effectExtent l="4445" t="4445" r="20320" b="14605"/>
            <wp:wrapSquare wrapText="bothSides"/>
            <wp:docPr id="3" name="图表 3"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bookmarkStart w:id="33" w:name="_Toc15377206"/>
      <w:bookmarkStart w:id="34" w:name="_Toc15396604"/>
    </w:p>
    <w:p w14:paraId="325B5920">
      <w:pPr>
        <w:pStyle w:val="26"/>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3"/>
      <w:bookmarkEnd w:id="34"/>
    </w:p>
    <w:p w14:paraId="7CEC745D">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F303547">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14:paraId="253D84BE">
      <w:pPr>
        <w:spacing w:line="600" w:lineRule="exact"/>
        <w:ind w:firstLine="640" w:firstLineChars="200"/>
        <w:rPr>
          <w:rFonts w:hint="eastAsia" w:ascii="黑体" w:hAnsi="黑体" w:eastAsia="黑体"/>
          <w:color w:val="auto"/>
          <w:sz w:val="32"/>
          <w:szCs w:val="32"/>
          <w:highlight w:val="none"/>
          <w:lang w:eastAsia="zh-CN"/>
        </w:rPr>
      </w:pPr>
      <w:r>
        <w:rPr>
          <w:rFonts w:hint="eastAsia" w:ascii="仿宋" w:hAnsi="仿宋" w:eastAsia="仿宋"/>
          <w:color w:val="auto"/>
          <w:sz w:val="32"/>
          <w:szCs w:val="32"/>
          <w:highlight w:val="none"/>
        </w:rPr>
        <w:t>（图2：收入决算结构图）（饼状图）</w:t>
      </w:r>
      <w:bookmarkStart w:id="35" w:name="_Toc15396605"/>
      <w:bookmarkStart w:id="36" w:name="_Toc15377207"/>
      <w:r>
        <w:rPr>
          <w:rFonts w:hint="eastAsia" w:ascii="黑体" w:hAnsi="黑体" w:eastAsia="黑体"/>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125730</wp:posOffset>
            </wp:positionH>
            <wp:positionV relativeFrom="paragraph">
              <wp:posOffset>113665</wp:posOffset>
            </wp:positionV>
            <wp:extent cx="5256530" cy="3432810"/>
            <wp:effectExtent l="4445" t="4445" r="15875" b="10795"/>
            <wp:wrapSquare wrapText="bothSides"/>
            <wp:docPr id="4" name="图表 4"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926B873">
      <w:pPr>
        <w:pStyle w:val="26"/>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5"/>
      <w:bookmarkEnd w:id="36"/>
    </w:p>
    <w:p w14:paraId="35643E82">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489.11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130.95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14:paraId="7AAFFB78">
      <w:pPr>
        <w:spacing w:line="600" w:lineRule="exact"/>
        <w:ind w:firstLine="643" w:firstLineChars="200"/>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14:paraId="3C0EBEB9">
      <w:pPr>
        <w:spacing w:line="60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93980</wp:posOffset>
            </wp:positionH>
            <wp:positionV relativeFrom="paragraph">
              <wp:posOffset>400050</wp:posOffset>
            </wp:positionV>
            <wp:extent cx="5256530" cy="2988310"/>
            <wp:effectExtent l="5080" t="4445" r="15240" b="17145"/>
            <wp:wrapSquare wrapText="bothSides"/>
            <wp:docPr id="5" name="图表 5"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（图3：支出决算结构图）（饼状图）</w:t>
      </w:r>
      <w:bookmarkStart w:id="37" w:name="_Toc15396606"/>
      <w:bookmarkStart w:id="38" w:name="_Toc15377208"/>
    </w:p>
    <w:p w14:paraId="644461C3">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7"/>
      <w:bookmarkEnd w:id="38"/>
    </w:p>
    <w:p w14:paraId="5A95D82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相比，财政拨款收入</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31.78</w:t>
      </w:r>
      <w:r>
        <w:rPr>
          <w:rFonts w:hint="eastAsia" w:ascii="仿宋" w:hAnsi="仿宋" w:eastAsia="仿宋"/>
          <w:color w:val="auto"/>
          <w:sz w:val="32"/>
          <w:szCs w:val="32"/>
          <w:highlight w:val="none"/>
        </w:rPr>
        <w:t>万元、支出总计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31.78</w:t>
      </w:r>
      <w:r>
        <w:rPr>
          <w:rFonts w:hint="eastAsia" w:ascii="仿宋" w:hAnsi="仿宋" w:eastAsia="仿宋"/>
          <w:color w:val="auto"/>
          <w:sz w:val="32"/>
          <w:szCs w:val="32"/>
          <w:highlight w:val="none"/>
        </w:rPr>
        <w:t>万元，均</w:t>
      </w:r>
      <w:r>
        <w:rPr>
          <w:rFonts w:hint="eastAsia" w:ascii="仿宋" w:hAnsi="仿宋" w:eastAsia="仿宋"/>
          <w:color w:val="auto"/>
          <w:sz w:val="32"/>
          <w:szCs w:val="32"/>
          <w:highlight w:val="none"/>
          <w:lang w:eastAsia="zh-CN"/>
        </w:rPr>
        <w:t>降低</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缩减开支，合理运用资源减少不必要消耗</w:t>
      </w:r>
      <w:r>
        <w:rPr>
          <w:rFonts w:hint="eastAsia" w:ascii="仿宋" w:hAnsi="仿宋" w:eastAsia="仿宋"/>
          <w:color w:val="auto"/>
          <w:sz w:val="32"/>
          <w:szCs w:val="32"/>
          <w:highlight w:val="none"/>
        </w:rPr>
        <w:t>。</w:t>
      </w:r>
    </w:p>
    <w:p w14:paraId="00007895">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3E30DD93">
      <w:pPr>
        <w:spacing w:line="600" w:lineRule="exact"/>
        <w:ind w:firstLine="640" w:firstLineChars="20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212090</wp:posOffset>
            </wp:positionH>
            <wp:positionV relativeFrom="paragraph">
              <wp:posOffset>491490</wp:posOffset>
            </wp:positionV>
            <wp:extent cx="5081905" cy="2647315"/>
            <wp:effectExtent l="4445" t="4445" r="19050" b="15240"/>
            <wp:wrapSquare wrapText="bothSides"/>
            <wp:docPr id="6" name="图表 6"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（图4：财政拨款收、支决算总计变动情况）（柱状图）</w:t>
      </w:r>
      <w:bookmarkStart w:id="39" w:name="_Toc15377209"/>
      <w:bookmarkStart w:id="40" w:name="_Toc15396607"/>
    </w:p>
    <w:p w14:paraId="370AC7CD">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9"/>
      <w:bookmarkEnd w:id="40"/>
    </w:p>
    <w:p w14:paraId="7B1EFD63">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14:paraId="1D52E6A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620.06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31.78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降低</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%。主要变动原因是缩减开支，合理运用资源减少不必要消耗。</w:t>
      </w:r>
    </w:p>
    <w:p w14:paraId="618130FF">
      <w:pPr>
        <w:spacing w:line="600" w:lineRule="exact"/>
        <w:ind w:firstLine="643" w:firstLineChars="20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245110</wp:posOffset>
            </wp:positionH>
            <wp:positionV relativeFrom="paragraph">
              <wp:posOffset>879475</wp:posOffset>
            </wp:positionV>
            <wp:extent cx="5256530" cy="2988310"/>
            <wp:effectExtent l="5080" t="4445" r="15240" b="17145"/>
            <wp:wrapSquare wrapText="bothSides"/>
            <wp:docPr id="7" name="图表 7"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（图5：一般公共预算财政拨款支出决算变动情况）（柱状图）</w:t>
      </w:r>
      <w:bookmarkStart w:id="42" w:name="_Toc15377211"/>
    </w:p>
    <w:p w14:paraId="485520C7">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2"/>
    </w:p>
    <w:p w14:paraId="521F242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b w:val="0"/>
          <w:bCs w:val="0"/>
          <w:color w:val="auto"/>
          <w:sz w:val="32"/>
          <w:szCs w:val="32"/>
          <w:highlight w:val="none"/>
          <w:lang w:val="en-US" w:eastAsia="zh-CN"/>
        </w:rPr>
        <w:t>620.06万</w:t>
      </w:r>
      <w:r>
        <w:rPr>
          <w:rFonts w:hint="eastAsia" w:ascii="仿宋" w:hAnsi="仿宋" w:eastAsia="仿宋"/>
          <w:color w:val="auto"/>
          <w:sz w:val="32"/>
          <w:szCs w:val="32"/>
          <w:highlight w:val="none"/>
        </w:rPr>
        <w:t>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499.17</w:t>
      </w:r>
      <w:r>
        <w:rPr>
          <w:rFonts w:hint="eastAsia" w:ascii="仿宋" w:hAnsi="仿宋" w:eastAsia="仿宋"/>
          <w:color w:val="auto"/>
          <w:sz w:val="32"/>
          <w:szCs w:val="32"/>
          <w:highlight w:val="none"/>
        </w:rPr>
        <w:t>万元，占</w:t>
      </w:r>
      <w:r>
        <w:rPr>
          <w:rFonts w:hint="eastAsia" w:ascii="仿宋" w:hAnsi="仿宋" w:eastAsia="仿宋"/>
          <w:b w:val="0"/>
          <w:bCs w:val="0"/>
          <w:color w:val="auto"/>
          <w:sz w:val="32"/>
          <w:szCs w:val="32"/>
          <w:highlight w:val="none"/>
          <w:lang w:val="en-US" w:eastAsia="zh-CN"/>
        </w:rPr>
        <w:t>81%；</w:t>
      </w:r>
      <w:r>
        <w:rPr>
          <w:rFonts w:hint="eastAsia" w:ascii="仿宋" w:hAnsi="仿宋" w:eastAsia="仿宋"/>
          <w:b/>
          <w:color w:val="auto"/>
          <w:sz w:val="32"/>
          <w:szCs w:val="32"/>
          <w:highlight w:val="none"/>
        </w:rPr>
        <w:t>教育支出</w:t>
      </w:r>
      <w:r>
        <w:rPr>
          <w:rFonts w:hint="eastAsia" w:ascii="仿宋" w:hAnsi="仿宋" w:eastAsia="仿宋"/>
          <w:b w:val="0"/>
          <w:bCs w:val="0"/>
          <w:color w:val="auto"/>
          <w:sz w:val="32"/>
          <w:szCs w:val="32"/>
          <w:highlight w:val="none"/>
          <w:lang w:val="en-US" w:eastAsia="zh-CN"/>
        </w:rPr>
        <w:t>0万</w:t>
      </w:r>
      <w:r>
        <w:rPr>
          <w:rFonts w:hint="eastAsia" w:ascii="仿宋" w:hAnsi="仿宋" w:eastAsia="仿宋"/>
          <w:color w:val="auto"/>
          <w:sz w:val="32"/>
          <w:szCs w:val="32"/>
          <w:highlight w:val="none"/>
        </w:rPr>
        <w:t>元，</w:t>
      </w:r>
      <w:r>
        <w:rPr>
          <w:rFonts w:hint="eastAsia" w:ascii="仿宋" w:hAnsi="仿宋" w:eastAsia="仿宋"/>
          <w:b w:val="0"/>
          <w:bCs w:val="0"/>
          <w:color w:val="auto"/>
          <w:sz w:val="32"/>
          <w:szCs w:val="32"/>
          <w:highlight w:val="none"/>
          <w:lang w:val="en-US" w:eastAsia="zh-CN"/>
        </w:rPr>
        <w:t>占0%；</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val="0"/>
          <w:bCs w:val="0"/>
          <w:color w:val="auto"/>
          <w:sz w:val="32"/>
          <w:szCs w:val="32"/>
          <w:highlight w:val="none"/>
          <w:lang w:val="en-US" w:eastAsia="zh-CN"/>
        </w:rPr>
        <w:t>0万元，占0%；</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64.52万元，占10%；</w:t>
      </w:r>
      <w:r>
        <w:rPr>
          <w:rFonts w:hint="eastAsia" w:ascii="仿宋" w:hAnsi="仿宋" w:eastAsia="仿宋"/>
          <w:b/>
          <w:bCs/>
          <w:color w:val="auto"/>
          <w:sz w:val="32"/>
          <w:szCs w:val="32"/>
          <w:highlight w:val="none"/>
          <w:lang w:val="en-US" w:eastAsia="zh-CN"/>
        </w:rPr>
        <w:t>卫生健康支出</w:t>
      </w:r>
      <w:r>
        <w:rPr>
          <w:rFonts w:hint="eastAsia" w:ascii="仿宋" w:hAnsi="仿宋" w:eastAsia="仿宋"/>
          <w:b w:val="0"/>
          <w:bCs w:val="0"/>
          <w:color w:val="auto"/>
          <w:sz w:val="32"/>
          <w:szCs w:val="32"/>
          <w:highlight w:val="none"/>
          <w:lang w:val="en-US" w:eastAsia="zh-CN"/>
        </w:rPr>
        <w:t>24.29万元，占4%；</w:t>
      </w:r>
      <w:r>
        <w:rPr>
          <w:rFonts w:hint="eastAsia" w:ascii="仿宋" w:hAnsi="仿宋" w:eastAsia="仿宋"/>
          <w:b/>
          <w:bCs/>
          <w:color w:val="auto"/>
          <w:sz w:val="32"/>
          <w:szCs w:val="32"/>
          <w:highlight w:val="none"/>
          <w:lang w:val="en-US" w:eastAsia="zh-CN"/>
        </w:rPr>
        <w:t>住房保障支出</w:t>
      </w:r>
      <w:r>
        <w:rPr>
          <w:rFonts w:hint="eastAsia" w:ascii="仿宋" w:hAnsi="仿宋" w:eastAsia="仿宋"/>
          <w:b w:val="0"/>
          <w:bCs w:val="0"/>
          <w:color w:val="auto"/>
          <w:sz w:val="32"/>
          <w:szCs w:val="32"/>
          <w:highlight w:val="none"/>
          <w:lang w:val="en-US" w:eastAsia="zh-CN"/>
        </w:rPr>
        <w:t>32.08万元，占5%</w:t>
      </w:r>
      <w:r>
        <w:rPr>
          <w:rFonts w:hint="eastAsia" w:ascii="仿宋" w:hAnsi="仿宋" w:eastAsia="仿宋"/>
          <w:color w:val="auto"/>
          <w:sz w:val="32"/>
          <w:szCs w:val="32"/>
          <w:highlight w:val="none"/>
        </w:rPr>
        <w:t>。</w:t>
      </w:r>
    </w:p>
    <w:p w14:paraId="36C915CB">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14:paraId="0239F7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62230</wp:posOffset>
            </wp:positionH>
            <wp:positionV relativeFrom="paragraph">
              <wp:posOffset>459105</wp:posOffset>
            </wp:positionV>
            <wp:extent cx="5256530" cy="2988310"/>
            <wp:effectExtent l="5080" t="4445" r="15240" b="1714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（图6：一般公共预算财政拨款支出决算结构）（饼状图）</w:t>
      </w:r>
    </w:p>
    <w:p w14:paraId="6F01C8FB">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14:paraId="5E18CB0D">
      <w:pPr>
        <w:spacing w:line="600" w:lineRule="exact"/>
        <w:ind w:firstLine="643" w:firstLineChars="200"/>
        <w:outlineLvl w:val="2"/>
        <w:rPr>
          <w:rFonts w:ascii="仿宋" w:hAnsi="仿宋" w:eastAsia="仿宋"/>
          <w:color w:val="auto"/>
          <w:sz w:val="32"/>
          <w:szCs w:val="32"/>
          <w:highlight w:val="none"/>
        </w:rPr>
      </w:pPr>
      <w:bookmarkStart w:id="44" w:name="_Toc15377444"/>
      <w:bookmarkStart w:id="45" w:name="_Toc15378460"/>
      <w:bookmarkStart w:id="46" w:name="_Toc15377213"/>
      <w:r>
        <w:rPr>
          <w:rFonts w:hint="eastAsia" w:ascii="仿宋" w:hAnsi="仿宋" w:eastAsia="仿宋"/>
          <w:b/>
          <w:color w:val="auto"/>
          <w:sz w:val="32"/>
          <w:szCs w:val="32"/>
          <w:highlight w:val="none"/>
          <w:lang w:eastAsia="zh-CN"/>
        </w:rPr>
        <w:t>2024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620.06万元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p>
    <w:p w14:paraId="7F4069AE">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201（类）34（款）01（项）；201（类）34（款）50（项）：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499.17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7C88F8C">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rPr>
        <w:t>教育</w:t>
      </w:r>
      <w:r>
        <w:rPr>
          <w:rStyle w:val="17"/>
          <w:rFonts w:hint="eastAsia" w:ascii="仿宋" w:hAnsi="仿宋" w:eastAsia="仿宋"/>
          <w:bCs/>
          <w:color w:val="auto"/>
          <w:sz w:val="32"/>
          <w:szCs w:val="32"/>
          <w:highlight w:val="none"/>
          <w:lang w:val="en-US" w:eastAsia="zh-CN"/>
        </w:rPr>
        <w:t>205</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533BD19">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rPr>
        <w:t>科学技术</w:t>
      </w:r>
      <w:r>
        <w:rPr>
          <w:rStyle w:val="17"/>
          <w:rFonts w:hint="eastAsia" w:ascii="仿宋" w:hAnsi="仿宋" w:eastAsia="仿宋"/>
          <w:bCs/>
          <w:color w:val="auto"/>
          <w:sz w:val="32"/>
          <w:szCs w:val="32"/>
          <w:highlight w:val="none"/>
          <w:lang w:val="en-US" w:eastAsia="zh-CN"/>
        </w:rPr>
        <w:t>206</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3A02D4F6">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4.</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665BEF99">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5.</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64.52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28A70A5B">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；210（类）11（款）0</w:t>
      </w: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lang w:eastAsia="zh-CN"/>
        </w:rPr>
        <w:t>（项）；210（类）11（款）0</w:t>
      </w: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lang w:eastAsia="zh-CN"/>
        </w:rPr>
        <w:t>（项）；210（类）11（款）</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lang w:eastAsia="zh-CN"/>
        </w:rPr>
        <w:t>（项）；210（类）11（款）01（项）：</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24.29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36C649C2">
      <w:pPr>
        <w:spacing w:line="600" w:lineRule="exact"/>
        <w:ind w:firstLine="643" w:firstLineChars="200"/>
        <w:rPr>
          <w:rFonts w:hint="eastAsia"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住房保障支出</w:t>
      </w:r>
      <w:r>
        <w:rPr>
          <w:rFonts w:hint="eastAsia" w:ascii="仿宋" w:hAnsi="仿宋" w:eastAsia="仿宋"/>
          <w:b/>
          <w:bCs/>
          <w:color w:val="auto"/>
          <w:sz w:val="32"/>
          <w:szCs w:val="32"/>
          <w:highlight w:val="none"/>
          <w:lang w:val="en-US" w:eastAsia="zh-CN"/>
        </w:rPr>
        <w:t>221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32.08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1A178D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比较，与预算数持平可以不写原因。）</w:t>
      </w:r>
    </w:p>
    <w:p w14:paraId="7F833CAE">
      <w:pPr>
        <w:tabs>
          <w:tab w:val="right" w:pos="8306"/>
        </w:tabs>
        <w:spacing w:line="600" w:lineRule="exact"/>
        <w:ind w:firstLine="640"/>
        <w:outlineLvl w:val="1"/>
        <w:rPr>
          <w:rStyle w:val="20"/>
          <w:color w:val="auto"/>
          <w:highlight w:val="none"/>
        </w:rPr>
      </w:pPr>
      <w:bookmarkStart w:id="47" w:name="_Toc15377214"/>
      <w:bookmarkStart w:id="48"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7"/>
      <w:bookmarkEnd w:id="48"/>
      <w:r>
        <w:rPr>
          <w:rStyle w:val="20"/>
          <w:rFonts w:ascii="黑体" w:hAnsi="黑体" w:eastAsia="黑体"/>
          <w:b w:val="0"/>
          <w:color w:val="auto"/>
          <w:highlight w:val="none"/>
        </w:rPr>
        <w:tab/>
      </w:r>
    </w:p>
    <w:p w14:paraId="785DBC3C">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489.11</w:t>
      </w:r>
      <w:r>
        <w:rPr>
          <w:rFonts w:hint="eastAsia" w:ascii="仿宋" w:hAnsi="仿宋" w:eastAsia="仿宋"/>
          <w:color w:val="auto"/>
          <w:sz w:val="32"/>
          <w:szCs w:val="32"/>
          <w:highlight w:val="none"/>
        </w:rPr>
        <w:t>万元，其中：</w:t>
      </w:r>
    </w:p>
    <w:p w14:paraId="7BB66C4B">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427.13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61.98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5B4E523">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45939AE">
      <w:pPr>
        <w:spacing w:line="600" w:lineRule="exact"/>
        <w:ind w:firstLine="640"/>
        <w:outlineLvl w:val="1"/>
        <w:rPr>
          <w:rStyle w:val="20"/>
          <w:rFonts w:ascii="黑体" w:hAnsi="黑体" w:eastAsia="黑体"/>
          <w:b w:val="0"/>
          <w:color w:val="auto"/>
          <w:highlight w:val="none"/>
        </w:rPr>
      </w:pPr>
      <w:bookmarkStart w:id="49" w:name="_Toc15396609"/>
      <w:bookmarkStart w:id="50"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49"/>
      <w:bookmarkEnd w:id="50"/>
    </w:p>
    <w:p w14:paraId="1C28D81D">
      <w:pPr>
        <w:spacing w:line="600"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14:paraId="330E2FC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13.57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减少0.74万元，下降5%</w:t>
      </w:r>
      <w:r>
        <w:rPr>
          <w:rFonts w:hint="eastAsia" w:ascii="仿宋" w:hAnsi="仿宋" w:eastAsia="仿宋"/>
          <w:color w:val="auto"/>
          <w:sz w:val="32"/>
          <w:szCs w:val="32"/>
          <w:highlight w:val="none"/>
        </w:rPr>
        <w:t>。</w:t>
      </w:r>
    </w:p>
    <w:p w14:paraId="0179CE2A">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20B15981">
      <w:pPr>
        <w:spacing w:line="600"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14:paraId="056C50FC">
      <w:pPr>
        <w:spacing w:line="600" w:lineRule="exact"/>
        <w:ind w:firstLine="640"/>
        <w:rPr>
          <w:rFonts w:ascii="仿宋" w:hAnsi="仿宋" w:eastAsia="仿宋"/>
          <w:color w:val="auto"/>
          <w:sz w:val="32"/>
          <w:szCs w:val="32"/>
          <w:highlight w:val="none"/>
        </w:rPr>
      </w:pPr>
      <w:r>
        <w:rPr>
          <w:rFonts w:hint="eastAsia" w:ascii="仿宋_GB2312" w:eastAsia="仿宋_GB2312"/>
          <w:b/>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162560</wp:posOffset>
            </wp:positionH>
            <wp:positionV relativeFrom="paragraph">
              <wp:posOffset>1951990</wp:posOffset>
            </wp:positionV>
            <wp:extent cx="4795520" cy="2346325"/>
            <wp:effectExtent l="4445" t="4445" r="19685" b="1143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13.33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C982E31">
      <w:pPr>
        <w:spacing w:line="600" w:lineRule="exact"/>
        <w:ind w:firstLine="640"/>
        <w:rPr>
          <w:rFonts w:hint="eastAsia" w:ascii="仿宋_GB2312" w:eastAsia="仿宋_GB2312"/>
          <w:b/>
          <w:color w:val="auto"/>
          <w:sz w:val="32"/>
          <w:szCs w:val="32"/>
          <w:highlight w:val="none"/>
          <w:lang w:eastAsia="zh-CN"/>
        </w:rPr>
      </w:pPr>
      <w:r>
        <w:rPr>
          <w:rFonts w:hint="eastAsia" w:ascii="仿宋" w:hAnsi="仿宋" w:eastAsia="仿宋"/>
          <w:color w:val="auto"/>
          <w:sz w:val="32"/>
          <w:szCs w:val="32"/>
          <w:highlight w:val="none"/>
        </w:rPr>
        <w:t>（图7：“三公”经费财政拨款支出结构）（饼状图）</w:t>
      </w:r>
    </w:p>
    <w:p w14:paraId="1F5A3F42">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暂无相关工作安排</w:t>
      </w:r>
      <w:r>
        <w:rPr>
          <w:rFonts w:hint="eastAsia" w:ascii="仿宋_GB2312" w:eastAsia="仿宋_GB2312"/>
          <w:color w:val="auto"/>
          <w:sz w:val="32"/>
          <w:szCs w:val="32"/>
          <w:highlight w:val="none"/>
        </w:rPr>
        <w:t>。</w:t>
      </w:r>
    </w:p>
    <w:p w14:paraId="096822D7">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（团组名称、出访地点、取得成效）等。</w:t>
      </w:r>
    </w:p>
    <w:p w14:paraId="46A2E5BF">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13.33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98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0.65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节能减排工作方案的实施</w:t>
      </w:r>
      <w:r>
        <w:rPr>
          <w:rFonts w:hint="eastAsia" w:ascii="仿宋_GB2312" w:eastAsia="仿宋_GB2312"/>
          <w:color w:val="auto"/>
          <w:sz w:val="32"/>
          <w:szCs w:val="32"/>
          <w:highlight w:val="none"/>
        </w:rPr>
        <w:t>。</w:t>
      </w:r>
    </w:p>
    <w:p w14:paraId="5F781C5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日常工作开展</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AEC585B">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13.33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日常统一战线、民族宗教、非公经济、两联一进等工作开展</w:t>
      </w:r>
      <w:r>
        <w:rPr>
          <w:rFonts w:hint="eastAsia" w:ascii="仿宋_GB2312" w:eastAsia="仿宋_GB2312"/>
          <w:color w:val="auto"/>
          <w:sz w:val="32"/>
          <w:szCs w:val="32"/>
          <w:highlight w:val="none"/>
        </w:rPr>
        <w:t>（具体工作）等所需的公务用车燃料费、维修费、过路过桥费、保险费等支出。</w:t>
      </w:r>
    </w:p>
    <w:p w14:paraId="45F2A0F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0.09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严格执行党规党纪、严格遵守中央八项规定</w:t>
      </w:r>
      <w:r>
        <w:rPr>
          <w:rFonts w:hint="eastAsia" w:ascii="仿宋_GB2312" w:eastAsia="仿宋_GB2312"/>
          <w:color w:val="auto"/>
          <w:sz w:val="32"/>
          <w:szCs w:val="32"/>
          <w:highlight w:val="none"/>
        </w:rPr>
        <w:t>。其中：</w:t>
      </w:r>
    </w:p>
    <w:p w14:paraId="331E5479">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0.24</w:t>
      </w:r>
      <w:r>
        <w:rPr>
          <w:rFonts w:hint="eastAsia" w:ascii="仿宋_GB2312" w:eastAsia="仿宋_GB2312"/>
          <w:color w:val="auto"/>
          <w:sz w:val="32"/>
          <w:szCs w:val="32"/>
          <w:highlight w:val="none"/>
        </w:rPr>
        <w:t>万元，主要用于执行公务、开展业务活动开支的住宿费、用餐费等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攀枝花市伊斯兰教协会公务接待用餐和住宿合计0.24万元。</w:t>
      </w:r>
    </w:p>
    <w:p w14:paraId="11CE5C34">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3" w:name="_Toc15377218"/>
      <w:bookmarkStart w:id="54" w:name="_Toc15396610"/>
    </w:p>
    <w:p w14:paraId="7E5B0DDE">
      <w:pPr>
        <w:spacing w:line="600" w:lineRule="exact"/>
        <w:ind w:firstLine="640"/>
        <w:outlineLvl w:val="1"/>
        <w:rPr>
          <w:rStyle w:val="20"/>
          <w:rFonts w:ascii="黑体" w:hAnsi="黑体" w:eastAsia="黑体"/>
          <w:color w:val="auto"/>
          <w:highlight w:val="none"/>
        </w:rPr>
      </w:pPr>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3"/>
      <w:bookmarkEnd w:id="54"/>
    </w:p>
    <w:p w14:paraId="7718A57E">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79087E6">
      <w:pPr>
        <w:numPr>
          <w:ilvl w:val="0"/>
          <w:numId w:val="3"/>
        </w:numPr>
        <w:spacing w:line="600" w:lineRule="exact"/>
        <w:ind w:firstLine="640"/>
        <w:outlineLvl w:val="1"/>
        <w:rPr>
          <w:rStyle w:val="20"/>
          <w:rFonts w:ascii="黑体" w:hAnsi="黑体" w:eastAsia="黑体"/>
          <w:b w:val="0"/>
          <w:color w:val="auto"/>
          <w:highlight w:val="none"/>
        </w:rPr>
      </w:pPr>
      <w:bookmarkStart w:id="55" w:name="_Toc15396611"/>
      <w:bookmarkStart w:id="56" w:name="_Toc15377219"/>
      <w:r>
        <w:rPr>
          <w:rStyle w:val="20"/>
          <w:rFonts w:hint="eastAsia" w:ascii="黑体" w:hAnsi="黑体" w:eastAsia="黑体"/>
          <w:b w:val="0"/>
          <w:color w:val="auto"/>
          <w:highlight w:val="none"/>
        </w:rPr>
        <w:t>国有资本经营预算支出决算情况说明</w:t>
      </w:r>
      <w:bookmarkEnd w:id="55"/>
      <w:bookmarkEnd w:id="56"/>
    </w:p>
    <w:p w14:paraId="29C2C770">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D120AC3">
      <w:pPr>
        <w:numPr>
          <w:ilvl w:val="0"/>
          <w:numId w:val="3"/>
        </w:numPr>
        <w:spacing w:line="600" w:lineRule="exact"/>
        <w:ind w:firstLine="640"/>
        <w:outlineLvl w:val="1"/>
        <w:rPr>
          <w:rStyle w:val="20"/>
          <w:rFonts w:hint="eastAsia" w:ascii="黑体" w:hAnsi="黑体" w:eastAsia="黑体"/>
          <w:b w:val="0"/>
          <w:color w:val="auto"/>
          <w:highlight w:val="none"/>
        </w:rPr>
      </w:pPr>
      <w:bookmarkStart w:id="57" w:name="_Toc15377221"/>
      <w:bookmarkStart w:id="58" w:name="_Toc15396612"/>
      <w:r>
        <w:rPr>
          <w:rStyle w:val="20"/>
          <w:rFonts w:hint="eastAsia" w:ascii="黑体" w:hAnsi="黑体" w:eastAsia="黑体"/>
          <w:b w:val="0"/>
          <w:color w:val="auto"/>
          <w:highlight w:val="none"/>
        </w:rPr>
        <w:t>其他重要事项的情况说明</w:t>
      </w:r>
      <w:bookmarkEnd w:id="57"/>
      <w:bookmarkEnd w:id="58"/>
    </w:p>
    <w:p w14:paraId="2A243168">
      <w:pPr>
        <w:spacing w:line="600" w:lineRule="exact"/>
        <w:ind w:firstLine="643" w:firstLineChars="200"/>
        <w:outlineLvl w:val="2"/>
        <w:rPr>
          <w:rFonts w:ascii="仿宋" w:hAnsi="仿宋" w:eastAsia="仿宋"/>
          <w:color w:val="auto"/>
          <w:sz w:val="32"/>
          <w:szCs w:val="32"/>
          <w:highlight w:val="none"/>
        </w:rPr>
      </w:pPr>
      <w:bookmarkStart w:id="59" w:name="_Toc15377222"/>
      <w:r>
        <w:rPr>
          <w:rFonts w:hint="eastAsia" w:ascii="仿宋" w:hAnsi="仿宋" w:eastAsia="仿宋"/>
          <w:b/>
          <w:color w:val="auto"/>
          <w:sz w:val="32"/>
          <w:szCs w:val="32"/>
          <w:highlight w:val="none"/>
        </w:rPr>
        <w:t>（一）机关运行经费支出情况</w:t>
      </w:r>
      <w:bookmarkEnd w:id="59"/>
    </w:p>
    <w:p w14:paraId="0EC1C118">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61.98</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20.44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，降低</w:t>
      </w: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w:t>
      </w:r>
      <w:r>
        <w:rPr>
          <w:rFonts w:hint="eastAsia" w:ascii="仿宋_GB2312" w:eastAsia="仿宋_GB2312"/>
          <w:color w:val="auto"/>
          <w:sz w:val="32"/>
          <w:szCs w:val="32"/>
          <w:highlight w:val="none"/>
          <w:lang w:eastAsia="zh-CN"/>
        </w:rPr>
        <w:t>节能减排，合理运用办公资源，减少开支。</w:t>
      </w:r>
    </w:p>
    <w:p w14:paraId="61E7455D">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47748D8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3"/>
      <w:r>
        <w:rPr>
          <w:rFonts w:hint="eastAsia" w:ascii="仿宋" w:hAnsi="仿宋" w:eastAsia="仿宋"/>
          <w:b/>
          <w:color w:val="auto"/>
          <w:sz w:val="32"/>
          <w:szCs w:val="32"/>
          <w:highlight w:val="none"/>
        </w:rPr>
        <w:t>（二）政府采购支出情况</w:t>
      </w:r>
      <w:bookmarkEnd w:id="60"/>
    </w:p>
    <w:p w14:paraId="3E72176B">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6340D6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648B83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1" w:name="_Toc15377224"/>
      <w:r>
        <w:rPr>
          <w:rFonts w:hint="eastAsia" w:ascii="仿宋" w:hAnsi="仿宋" w:eastAsia="仿宋"/>
          <w:b/>
          <w:color w:val="auto"/>
          <w:sz w:val="32"/>
          <w:szCs w:val="32"/>
          <w:highlight w:val="none"/>
        </w:rPr>
        <w:t>（三）国有资产占有使用情况</w:t>
      </w:r>
      <w:bookmarkEnd w:id="61"/>
    </w:p>
    <w:p w14:paraId="7429C9B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E55C1E3">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64D7254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7CEFFDA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2024年藏传佛教寺庙维修补助资金、特殊情报信息经费、常委工作经费、毛儿盖桑木旦大师学术研讨会工作经费等4个项目开展了预算事前绩效评估，对4个项目编制了绩效目标，预算执行过程中，选取4个项目开展绩效监控</w:t>
      </w:r>
      <w:r>
        <w:rPr>
          <w:rFonts w:hint="eastAsia" w:ascii="仿宋_GB2312" w:hAnsi="仿宋_GB2312" w:eastAsia="仿宋_GB2312" w:cs="仿宋_GB2312"/>
          <w:color w:val="auto"/>
          <w:sz w:val="32"/>
          <w:szCs w:val="32"/>
          <w:highlight w:val="none"/>
          <w:lang w:eastAsia="zh-CN"/>
        </w:rPr>
        <w:t>。</w:t>
      </w:r>
    </w:p>
    <w:p w14:paraId="56138D75">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全面开展绩效自评，形成中共松潘县委统战部本级</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2024年藏传佛教寺庙维修补助资金、特殊情报信息经费、常委工作经费、毛儿盖桑木旦大师学术研讨会工作经费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绩效自评报告，其中，中共松潘县委统战部本级部门整体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根据部门预算绩效评价指标体系“总体绩效”涉及二、三级指标进行逐项绩效分析并评分，依次包括履职效能、预算管理、财务管理、资产管理、采购管理等情况。中共松潘县委统战部本级</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绩效自评综述：按照绩效评价指标体系，对资金支出使用全过程及其实施效果进行综合评价和判断。绩效目标和绩效指标可量化可考核，契合政策，与部门的长期规划目标、年度工作目标相一致，产出和效果相关联，满意度指标达100%。绩效自评报告详见附件。</w:t>
      </w:r>
    </w:p>
    <w:p w14:paraId="7E472DBB">
      <w:pPr>
        <w:widowControl/>
        <w:ind w:firstLine="643" w:firstLineChars="200"/>
        <w:jc w:val="left"/>
        <w:rPr>
          <w:rFonts w:ascii="仿宋_GB2312" w:eastAsia="仿宋_GB2312"/>
          <w:b/>
          <w:color w:val="auto"/>
          <w:sz w:val="32"/>
          <w:szCs w:val="32"/>
          <w:highlight w:val="none"/>
        </w:rPr>
      </w:pPr>
    </w:p>
    <w:p w14:paraId="4D72BAD6"/>
    <w:p w14:paraId="212A2D15"/>
    <w:p w14:paraId="7E5FC1EB"/>
    <w:p w14:paraId="6E7A5113"/>
    <w:p w14:paraId="308834C3"/>
    <w:p w14:paraId="72C327A2"/>
    <w:p w14:paraId="6C86A375"/>
    <w:p w14:paraId="0370C9F1"/>
    <w:p w14:paraId="1EC7B47D"/>
    <w:p w14:paraId="5D6EC918"/>
    <w:p w14:paraId="235951C0"/>
    <w:p w14:paraId="0A83203B"/>
    <w:p w14:paraId="249E638E"/>
    <w:p w14:paraId="72EC3211"/>
    <w:p w14:paraId="6B52DBCD"/>
    <w:p w14:paraId="1227EB24"/>
    <w:p w14:paraId="19D064E2"/>
    <w:p w14:paraId="7A1B4949"/>
    <w:p w14:paraId="179CE975"/>
    <w:p w14:paraId="51B76AF1"/>
    <w:p w14:paraId="2EECFB4A"/>
    <w:p w14:paraId="1EF7A811"/>
    <w:p w14:paraId="6E0EE6D6"/>
    <w:p w14:paraId="4181E9C9"/>
    <w:p w14:paraId="25FE215A"/>
    <w:p w14:paraId="432606D2"/>
    <w:p w14:paraId="55E664B2">
      <w:pPr>
        <w:numPr>
          <w:ilvl w:val="0"/>
          <w:numId w:val="4"/>
        </w:numPr>
        <w:spacing w:line="600" w:lineRule="exact"/>
        <w:ind w:firstLine="660" w:firstLineChars="150"/>
        <w:jc w:val="center"/>
        <w:outlineLvl w:val="0"/>
        <w:rPr>
          <w:rStyle w:val="19"/>
          <w:rFonts w:ascii="黑体" w:hAnsi="黑体" w:eastAsia="黑体"/>
          <w:b w:val="0"/>
          <w:color w:val="auto"/>
          <w:highlight w:val="none"/>
        </w:rPr>
      </w:pPr>
      <w:bookmarkStart w:id="62" w:name="_Toc15396613"/>
      <w:bookmarkStart w:id="63" w:name="_Toc15377225"/>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2"/>
      <w:bookmarkEnd w:id="63"/>
    </w:p>
    <w:p w14:paraId="33C94620">
      <w:pPr>
        <w:spacing w:line="600" w:lineRule="exact"/>
        <w:jc w:val="left"/>
        <w:rPr>
          <w:rFonts w:ascii="宋体"/>
          <w:b/>
          <w:color w:val="auto"/>
          <w:sz w:val="44"/>
          <w:szCs w:val="44"/>
          <w:highlight w:val="none"/>
        </w:rPr>
      </w:pPr>
    </w:p>
    <w:p w14:paraId="4B73E2B8">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39D3C3A">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722A9086">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71D300F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5250612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83F98D8">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0F0FDE9">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CAAF3B1">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C90616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14:paraId="6BCA3FF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14:paraId="223162B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14:paraId="7EDFD41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14:paraId="17670D5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14:paraId="7A2A42E0">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体育与传媒（类）…（款）…（项）：指……。</w:t>
      </w:r>
    </w:p>
    <w:p w14:paraId="56E39B3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14:paraId="73F93A8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（类）…（款）…（项）：指……。</w:t>
      </w:r>
    </w:p>
    <w:p w14:paraId="1DF5D61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14:paraId="2709C7D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14:paraId="6652096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14:paraId="27F96C8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14:paraId="6801350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w:t>
      </w:r>
      <w:r>
        <w:rPr>
          <w:rFonts w:hint="eastAsia" w:ascii="仿宋_GB2312" w:eastAsia="仿宋_GB2312"/>
          <w:color w:val="auto"/>
          <w:sz w:val="32"/>
          <w:szCs w:val="32"/>
          <w:highlight w:val="none"/>
          <w:lang w:eastAsia="zh-CN"/>
        </w:rPr>
        <w:t>工业</w:t>
      </w:r>
      <w:r>
        <w:rPr>
          <w:rFonts w:hint="eastAsia" w:ascii="仿宋_GB2312" w:eastAsia="仿宋_GB2312"/>
          <w:color w:val="auto"/>
          <w:sz w:val="32"/>
          <w:szCs w:val="32"/>
          <w:highlight w:val="none"/>
        </w:rPr>
        <w:t>信息等（类）…（款）…（项）：指……。</w:t>
      </w:r>
    </w:p>
    <w:p w14:paraId="685607D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14:paraId="5B3658F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14:paraId="0A37AAD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lang w:eastAsia="zh-CN"/>
        </w:rPr>
        <w:t>自然资源</w:t>
      </w:r>
      <w:r>
        <w:rPr>
          <w:rFonts w:hint="eastAsia" w:ascii="仿宋_GB2312" w:eastAsia="仿宋_GB2312"/>
          <w:color w:val="auto"/>
          <w:sz w:val="32"/>
          <w:szCs w:val="32"/>
          <w:highlight w:val="none"/>
        </w:rPr>
        <w:t>海洋气象等（类）…（款）…（项）：指……。</w:t>
      </w:r>
    </w:p>
    <w:p w14:paraId="3C389A8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14:paraId="61108EA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14:paraId="1C7A3E00">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2024</w:t>
      </w:r>
      <w:r>
        <w:rPr>
          <w:rFonts w:hint="eastAsia" w:ascii="仿宋" w:hAnsi="仿宋" w:eastAsia="仿宋"/>
          <w:b/>
          <w:color w:val="auto"/>
          <w:sz w:val="32"/>
          <w:szCs w:val="32"/>
          <w:highlight w:val="none"/>
        </w:rPr>
        <w:t>年政府收支分类科目》增减内容。）</w:t>
      </w:r>
    </w:p>
    <w:p w14:paraId="3703318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154E2A8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CAD87D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B6F8311">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811049">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D8F8C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755A2791">
      <w:pPr>
        <w:pStyle w:val="23"/>
        <w:spacing w:line="560" w:lineRule="exact"/>
        <w:ind w:firstLine="640" w:firstLineChars="200"/>
        <w:rPr>
          <w:rFonts w:ascii="仿宋_GB2312" w:eastAsia="仿宋_GB2312" w:cs="黑体"/>
          <w:color w:val="auto"/>
          <w:sz w:val="32"/>
          <w:szCs w:val="32"/>
          <w:highlight w:val="none"/>
        </w:rPr>
      </w:pPr>
    </w:p>
    <w:p w14:paraId="7E945B96">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14:paraId="1A286C35">
      <w:pPr>
        <w:spacing w:line="600" w:lineRule="exact"/>
        <w:jc w:val="center"/>
        <w:outlineLvl w:val="0"/>
        <w:rPr>
          <w:rStyle w:val="19"/>
          <w:rFonts w:hint="eastAsia" w:ascii="黑体" w:hAnsi="黑体" w:eastAsia="黑体"/>
          <w:b w:val="0"/>
          <w:color w:val="auto"/>
          <w:highlight w:val="none"/>
          <w:lang w:eastAsia="zh-CN"/>
        </w:rPr>
      </w:pPr>
      <w:bookmarkStart w:id="64" w:name="_Toc15377226"/>
      <w:r>
        <w:rPr>
          <w:rFonts w:ascii="宋体"/>
          <w:b/>
          <w:color w:val="auto"/>
          <w:sz w:val="44"/>
          <w:szCs w:val="44"/>
          <w:highlight w:val="none"/>
        </w:rPr>
        <w:br w:type="page"/>
      </w:r>
      <w:bookmarkStart w:id="65"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65"/>
    </w:p>
    <w:p w14:paraId="10533DB1">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14:paraId="7413A292">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7C9E2BE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方正小标宋简体" w:cs="Times New Roman"/>
          <w:b w:val="0"/>
          <w:bCs/>
          <w:sz w:val="44"/>
          <w:szCs w:val="44"/>
          <w:highlight w:val="none"/>
          <w:shd w:val="clear" w:color="auto" w:fill="FFFFFF"/>
          <w:lang w:eastAsia="zh-CN"/>
        </w:rPr>
        <w:t>四川省阿坝州松潘县中共松潘县委统战部本级</w:t>
      </w:r>
      <w:r>
        <w:rPr>
          <w:rFonts w:hint="eastAsia" w:ascii="Times New Roman" w:hAnsi="Times New Roman" w:eastAsia="方正小标宋简体" w:cs="Times New Roman"/>
          <w:b w:val="0"/>
          <w:bCs/>
          <w:sz w:val="44"/>
          <w:szCs w:val="44"/>
          <w:highlight w:val="none"/>
          <w:shd w:val="clear" w:color="auto" w:fill="FFFFFF"/>
          <w:lang w:val="en-US" w:eastAsia="zh-CN"/>
        </w:rPr>
        <w:t>2024年度</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9D94D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2A8B3F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61307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p>
    <w:p w14:paraId="5BD8CC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319" w:leftChars="152" w:firstLine="321" w:firstLineChars="1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14:paraId="6260B7B3">
      <w:pPr>
        <w:ind w:firstLine="640"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 w:eastAsia="仿宋"/>
          <w:sz w:val="32"/>
          <w:szCs w:val="32"/>
          <w:lang w:eastAsia="zh-CN"/>
        </w:rPr>
        <w:t>涉密</w:t>
      </w:r>
    </w:p>
    <w:p w14:paraId="1BC1CF5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F99BD01">
      <w:pPr>
        <w:ind w:firstLine="640" w:firstLineChars="200"/>
        <w:rPr>
          <w:rFonts w:hint="eastAsia" w:ascii="黑体" w:hAnsi="黑体" w:eastAsia="黑体"/>
          <w:b w:val="0"/>
          <w:color w:val="auto"/>
          <w:highlight w:val="none"/>
        </w:rPr>
      </w:pPr>
      <w:r>
        <w:rPr>
          <w:rFonts w:hint="eastAsia" w:ascii="仿宋" w:eastAsia="仿宋"/>
          <w:sz w:val="32"/>
          <w:szCs w:val="32"/>
          <w:lang w:eastAsia="zh-CN"/>
        </w:rPr>
        <w:t>涉密</w:t>
      </w:r>
    </w:p>
    <w:p w14:paraId="7D52A2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年末，县委统战部行政编制</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年末实有在职人数12人。</w:t>
      </w:r>
    </w:p>
    <w:p w14:paraId="587B9C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机关工勤人员</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eastAsia="zh-CN"/>
        </w:rPr>
        <w:t>编制1名，年末实有在职人数1人。</w:t>
      </w:r>
    </w:p>
    <w:p w14:paraId="4B3D81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事业编制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人，年末实有在职人数</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w:t>
      </w:r>
    </w:p>
    <w:p w14:paraId="17D674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14:paraId="101C8E8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sz w:val="32"/>
          <w:szCs w:val="32"/>
          <w:lang w:val="en-US" w:eastAsia="zh-CN"/>
        </w:rPr>
        <w:t>中共松潘县委统战部2024年年初预算收入620.06万元、全年预算收入为620.06万元、年初结转和结余0万元，收入决算数总和为620.06万元。</w:t>
      </w:r>
    </w:p>
    <w:p w14:paraId="6BCE353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sz w:val="32"/>
          <w:szCs w:val="32"/>
          <w:lang w:val="en-US" w:eastAsia="zh-CN"/>
        </w:rPr>
        <w:t>中共松潘县委统战部2024年年初预算支出620.06万元、全年预算支出为620.06万元，年底决算支出为620.06万元。</w:t>
      </w:r>
    </w:p>
    <w:p w14:paraId="6A80616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sz w:val="32"/>
          <w:szCs w:val="32"/>
        </w:rPr>
        <w:t>结余分配和结转结余情况</w:t>
      </w:r>
      <w:r>
        <w:rPr>
          <w:rFonts w:hint="eastAsia" w:ascii="仿宋_GB2312" w:hAnsi="仿宋_GB2312" w:eastAsia="仿宋_GB2312" w:cs="仿宋_GB2312"/>
          <w:b/>
          <w:sz w:val="32"/>
          <w:szCs w:val="32"/>
          <w:lang w:eastAsia="zh-CN"/>
        </w:rPr>
        <w:t>。</w:t>
      </w:r>
    </w:p>
    <w:p w14:paraId="2902A80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中共松潘县委统战部2024年决算报表</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结转结余0元。</w:t>
      </w:r>
    </w:p>
    <w:p w14:paraId="1CEB79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4BE373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r>
        <w:rPr>
          <w:rFonts w:hint="eastAsia" w:ascii="仿宋_GB2312" w:hAnsi="仿宋_GB2312" w:eastAsia="仿宋_GB2312" w:cs="仿宋_GB2312"/>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根据部门预算绩效评价指标体系“总体绩效”涉及二、三级指标进行逐项绩效分析并评分，依次包括履职效能、预算管理、财务管理、资产管理、采购管理等情况。</w:t>
      </w:r>
    </w:p>
    <w:p w14:paraId="6645F4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w:t>
      </w:r>
      <w:r>
        <w:rPr>
          <w:rFonts w:hint="eastAsia" w:ascii="仿宋_GB2312" w:hAnsi="仿宋_GB2312" w:eastAsia="仿宋_GB2312" w:cs="仿宋_GB2312"/>
          <w:b/>
          <w:bCs/>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kern w:val="0"/>
          <w:sz w:val="32"/>
          <w:szCs w:val="32"/>
          <w:highlight w:val="none"/>
          <w:shd w:val="clear" w:color="auto" w:fill="FFFFFF"/>
          <w:lang w:val="zh-CN"/>
        </w:rPr>
        <w:t>部门整体绩效目标中选定3～5个核心职能目标，对职能目标完成效果情况进行分析。</w:t>
      </w:r>
    </w:p>
    <w:p w14:paraId="64A176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（1）经济性履职效能分析：县委统战部严格按照控制预算，每季度进行厉行节约上报，分析本年度“三公”经费、会议费、培训费等支出，并与上一年度进行比较分析，发现问题并着力解决问题。此项得分4分。</w:t>
      </w:r>
    </w:p>
    <w:p w14:paraId="0B0568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（2）效率性履职效能分析：每年分两次对各项工作的开展进度及质量进行检查，做到实时掌握，保证完成任务。此项得分4分。</w:t>
      </w:r>
    </w:p>
    <w:p w14:paraId="6923D6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（3）有效性履职效能分析：不定时地走访调研，对项目的进展情况进行实地摸查，确保资金用在刀刃上。此项得分3分。</w:t>
      </w:r>
    </w:p>
    <w:p w14:paraId="2211C2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（4）可持续性履职效能分析：项目支出完成后，安排专人不定期进行走访项目完工后的使用情况，并对后续政策进行宣传。此项得分4分。</w:t>
      </w:r>
    </w:p>
    <w:p w14:paraId="206A6B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w:t>
      </w:r>
      <w:r>
        <w:rPr>
          <w:rFonts w:hint="eastAsia" w:ascii="仿宋_GB2312" w:hAnsi="仿宋_GB2312" w:eastAsia="仿宋_GB2312" w:cs="仿宋_GB2312"/>
          <w:b/>
          <w:bCs/>
          <w:color w:val="000000"/>
          <w:kern w:val="0"/>
          <w:sz w:val="32"/>
          <w:szCs w:val="32"/>
          <w:highlight w:val="none"/>
          <w:shd w:val="clear" w:color="auto" w:fill="FFFFFF"/>
          <w:lang w:val="zh-CN"/>
        </w:rPr>
        <w:t>预算管理。</w:t>
      </w:r>
      <w:r>
        <w:rPr>
          <w:rFonts w:hint="eastAsia" w:ascii="仿宋_GB2312" w:hAnsi="仿宋_GB2312" w:eastAsia="仿宋_GB2312" w:cs="仿宋_GB2312"/>
          <w:color w:val="000000"/>
          <w:kern w:val="0"/>
          <w:sz w:val="32"/>
          <w:szCs w:val="32"/>
          <w:highlight w:val="none"/>
          <w:shd w:val="clear" w:color="auto" w:fill="FFFFFF"/>
          <w:lang w:val="zh-CN"/>
        </w:rPr>
        <w:t>围绕预算编制质量、单位收入统筹、支出执行进度、预算年终结余、严控一般性支出进行绩效分析。</w:t>
      </w:r>
    </w:p>
    <w:p w14:paraId="57BFB77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（1）预算编制质量分析：</w:t>
      </w:r>
      <w:r>
        <w:rPr>
          <w:rFonts w:hint="eastAsia" w:ascii="仿宋_GB2312" w:hAnsi="仿宋_GB2312" w:eastAsia="仿宋_GB2312" w:cs="仿宋_GB2312"/>
          <w:color w:val="000000"/>
          <w:kern w:val="0"/>
          <w:sz w:val="32"/>
          <w:szCs w:val="32"/>
          <w:highlight w:val="none"/>
          <w:shd w:val="clear" w:color="auto" w:fill="FFFFFF"/>
          <w:lang w:val="zh-CN"/>
        </w:rPr>
        <w:t>坚决贯彻落实党中央、国务院“过紧日子”要求，紧紧围绕财政中心工作，坚持“严”字当头、“细”字为要、“效”字为重，全面提升2024年度部门预算编制审核工作质效。年初我部严格按要求编制年初部门预算，年初预算编制的科学性和准确性，此项得分</w:t>
      </w:r>
      <w:r>
        <w:rPr>
          <w:rFonts w:hint="eastAsia" w:ascii="仿宋_GB2312" w:hAnsi="仿宋_GB2312" w:eastAsia="仿宋_GB2312" w:cs="仿宋_GB2312"/>
          <w:color w:val="000000"/>
          <w:kern w:val="0"/>
          <w:sz w:val="32"/>
          <w:szCs w:val="32"/>
          <w:highlight w:val="none"/>
          <w:shd w:val="clear" w:color="auto" w:fill="FFFFFF"/>
          <w:lang w:val="en-US" w:eastAsia="zh-CN"/>
        </w:rPr>
        <w:t>8分。</w:t>
      </w:r>
    </w:p>
    <w:p w14:paraId="6F130F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单位收入统筹分析：年初将单位收入统筹全面纳入预算管理包括非财政拨款资金、工会会费收入、基本户批量结息等，都被纳入预算管理，确保所有收入都经过预算的规划和监督。通过加强部门和单位收入纳入预算的统筹管理，实现预算管理的一体化，即“横向到边，纵向到底”，提高预算管理的完整性和规范性。通过规范预算支出管理，动态掌握单位账户资金余额和收付信息，确保预算执行的规范性和效率。通过这些措施，单位能够更有效地管理和使用其收入，优化资源配置，提高资金使用效率，同时确保财务的透明度和责任性。此项得分4分。</w:t>
      </w:r>
    </w:p>
    <w:p w14:paraId="3744C1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）支出执行进度分析：</w:t>
      </w:r>
      <w:r>
        <w:rPr>
          <w:rFonts w:hint="eastAsia" w:ascii="仿宋_GB2312" w:hAnsi="仿宋_GB2312" w:eastAsia="仿宋_GB2312" w:cs="仿宋_GB2312"/>
          <w:color w:val="000000"/>
          <w:kern w:val="0"/>
          <w:sz w:val="32"/>
          <w:szCs w:val="32"/>
          <w:highlight w:val="none"/>
          <w:shd w:val="clear" w:color="auto" w:fill="FFFFFF"/>
          <w:lang w:val="en-US" w:eastAsia="zh-CN"/>
        </w:rPr>
        <w:t>2024年1月至6月、1月至10月，我单位加强预算支出执行管理，切实加快财政资金支出进度，提高财政资金的使用效益。</w:t>
      </w:r>
      <w:r>
        <w:rPr>
          <w:rFonts w:hint="eastAsia" w:ascii="仿宋_GB2312" w:hAnsi="仿宋_GB2312" w:eastAsia="仿宋_GB2312" w:cs="仿宋_GB2312"/>
          <w:b/>
          <w:bCs/>
          <w:color w:val="000000"/>
          <w:kern w:val="0"/>
          <w:sz w:val="32"/>
          <w:szCs w:val="32"/>
          <w:highlight w:val="none"/>
          <w:shd w:val="clear" w:color="auto" w:fill="FFFFFF"/>
          <w:lang w:val="zh-CN"/>
        </w:rPr>
        <w:t>一是</w:t>
      </w:r>
      <w:r>
        <w:rPr>
          <w:rFonts w:hint="eastAsia" w:ascii="仿宋_GB2312" w:hAnsi="仿宋_GB2312" w:eastAsia="仿宋_GB2312" w:cs="仿宋_GB2312"/>
          <w:color w:val="000000"/>
          <w:kern w:val="0"/>
          <w:sz w:val="32"/>
          <w:szCs w:val="32"/>
          <w:highlight w:val="none"/>
          <w:shd w:val="clear" w:color="auto" w:fill="FFFFFF"/>
          <w:lang w:val="zh-CN"/>
        </w:rPr>
        <w:t>严格执行预算，加强资金调度。确保基本支出预算按序时进度及时拨付，项目支出预算按建设计划以及项目进度及时拨付。</w:t>
      </w:r>
      <w:r>
        <w:rPr>
          <w:rFonts w:hint="eastAsia" w:ascii="仿宋_GB2312" w:hAnsi="仿宋_GB2312" w:eastAsia="仿宋_GB2312" w:cs="仿宋_GB2312"/>
          <w:b/>
          <w:bCs/>
          <w:color w:val="000000"/>
          <w:kern w:val="0"/>
          <w:sz w:val="32"/>
          <w:szCs w:val="32"/>
          <w:highlight w:val="none"/>
          <w:shd w:val="clear" w:color="auto" w:fill="FFFFFF"/>
          <w:lang w:val="zh-CN"/>
        </w:rPr>
        <w:t>二是</w:t>
      </w:r>
      <w:r>
        <w:rPr>
          <w:rFonts w:hint="eastAsia" w:ascii="仿宋_GB2312" w:hAnsi="仿宋_GB2312" w:eastAsia="仿宋_GB2312" w:cs="仿宋_GB2312"/>
          <w:color w:val="000000"/>
          <w:kern w:val="0"/>
          <w:sz w:val="32"/>
          <w:szCs w:val="32"/>
          <w:highlight w:val="none"/>
          <w:shd w:val="clear" w:color="auto" w:fill="FFFFFF"/>
          <w:lang w:val="zh-CN"/>
        </w:rPr>
        <w:t>加强支出进度分析，完善考核通报制度。加强月度支出进度分析，及时反映预算执行动态，完善预算支出执行分析制度，确保及时掌握部门预算执行进度，并做好督促检查工作。</w:t>
      </w:r>
      <w:r>
        <w:rPr>
          <w:rFonts w:hint="eastAsia" w:ascii="仿宋_GB2312" w:hAnsi="仿宋_GB2312" w:eastAsia="仿宋_GB2312" w:cs="仿宋_GB2312"/>
          <w:b/>
          <w:bCs/>
          <w:color w:val="000000"/>
          <w:kern w:val="0"/>
          <w:sz w:val="32"/>
          <w:szCs w:val="32"/>
          <w:highlight w:val="none"/>
          <w:shd w:val="clear" w:color="auto" w:fill="FFFFFF"/>
          <w:lang w:val="zh-CN"/>
        </w:rPr>
        <w:t>三是</w:t>
      </w:r>
      <w:r>
        <w:rPr>
          <w:rFonts w:hint="eastAsia" w:ascii="仿宋_GB2312" w:hAnsi="仿宋_GB2312" w:eastAsia="仿宋_GB2312" w:cs="仿宋_GB2312"/>
          <w:color w:val="000000"/>
          <w:kern w:val="0"/>
          <w:sz w:val="32"/>
          <w:szCs w:val="32"/>
          <w:highlight w:val="none"/>
          <w:shd w:val="clear" w:color="auto" w:fill="FFFFFF"/>
          <w:lang w:val="zh-CN"/>
        </w:rPr>
        <w:t>建立健全加强预算支出执行管理的长效机制。增强预算单位加强预算执行的责任意识，强化财政资金使用的追踪问效，提高财政资金的效益性和安全性，此项得分</w:t>
      </w:r>
      <w:r>
        <w:rPr>
          <w:rFonts w:hint="eastAsia" w:ascii="仿宋_GB2312" w:hAnsi="仿宋_GB2312" w:eastAsia="仿宋_GB2312" w:cs="仿宋_GB2312"/>
          <w:color w:val="000000"/>
          <w:kern w:val="0"/>
          <w:sz w:val="32"/>
          <w:szCs w:val="32"/>
          <w:highlight w:val="none"/>
          <w:shd w:val="clear" w:color="auto" w:fill="FFFFFF"/>
          <w:lang w:val="en-US" w:eastAsia="zh-CN"/>
        </w:rPr>
        <w:t>6分。</w:t>
      </w:r>
    </w:p>
    <w:p w14:paraId="670460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）预算年终结余分析：</w:t>
      </w:r>
      <w:r>
        <w:rPr>
          <w:rFonts w:hint="eastAsia" w:ascii="仿宋_GB2312" w:hAnsi="仿宋_GB2312" w:eastAsia="仿宋_GB2312" w:cs="仿宋_GB2312"/>
          <w:color w:val="000000"/>
          <w:kern w:val="0"/>
          <w:sz w:val="32"/>
          <w:szCs w:val="32"/>
          <w:highlight w:val="none"/>
          <w:shd w:val="clear" w:color="auto" w:fill="FFFFFF"/>
          <w:lang w:val="en-US" w:eastAsia="zh-CN"/>
        </w:rPr>
        <w:t>2024年底我单位</w:t>
      </w:r>
      <w:r>
        <w:rPr>
          <w:rFonts w:hint="eastAsia" w:ascii="仿宋_GB2312" w:hAnsi="仿宋_GB2312" w:eastAsia="仿宋_GB2312" w:cs="仿宋_GB2312"/>
          <w:color w:val="000000"/>
          <w:kern w:val="0"/>
          <w:sz w:val="32"/>
          <w:szCs w:val="32"/>
          <w:highlight w:val="none"/>
          <w:shd w:val="clear" w:color="auto" w:fill="FFFFFF"/>
          <w:lang w:val="zh-CN"/>
        </w:rPr>
        <w:t>统一思想，‌提高认识，‌充分认识加强结余资金管理在新形势下的重大意义，‌包括提高预算执行率、‌消化结余资金等方面。年初预算与年终决算数据无结余，此项得分</w:t>
      </w:r>
      <w:r>
        <w:rPr>
          <w:rFonts w:hint="eastAsia" w:ascii="仿宋_GB2312" w:hAnsi="仿宋_GB2312" w:eastAsia="仿宋_GB2312" w:cs="仿宋_GB2312"/>
          <w:color w:val="000000"/>
          <w:kern w:val="0"/>
          <w:sz w:val="32"/>
          <w:szCs w:val="32"/>
          <w:highlight w:val="none"/>
          <w:shd w:val="clear" w:color="auto" w:fill="FFFFFF"/>
          <w:lang w:val="en-US" w:eastAsia="zh-CN"/>
        </w:rPr>
        <w:t>2分。</w:t>
      </w:r>
      <w:r>
        <w:rPr>
          <w:rFonts w:hint="eastAsia" w:ascii="仿宋_GB2312" w:hAnsi="仿宋_GB2312" w:eastAsia="仿宋_GB2312" w:cs="仿宋_GB2312"/>
          <w:color w:val="000000"/>
          <w:kern w:val="0"/>
          <w:sz w:val="32"/>
          <w:szCs w:val="32"/>
          <w:highlight w:val="none"/>
          <w:shd w:val="clear" w:color="auto" w:fill="FFFFFF"/>
          <w:lang w:val="zh-CN"/>
        </w:rPr>
        <w:t>‌</w:t>
      </w:r>
    </w:p>
    <w:p w14:paraId="256B4B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严控一般性支出分析：《政府工作报告》提出，习惯过紧日子，真正精打细算，切实把财政资金用在刀刃上、用出实效来。强化预算约束和执行监督，严格控制一般性支出，提升政府采购效率。细化一般性支出管理“大钱大方、小钱小气”，“大钱大方”是指强化大事要事保障能力，“小钱小气”则是要大力压减一般性支出，将过紧日子作为预算管理的主题，厉行节约办一切事业。一般性支出在办公和公务活动中有其必要性和重要性。细化一般性支出管理，既防止滥用浪费，也确保相关资金得到有效使用，保障国家利益和社会公众利益。目前看，针对公务用车、公务接待、会议费等费用的特点，完善支出标准，全年有创新实践。此项得分</w:t>
      </w:r>
      <w:r>
        <w:rPr>
          <w:rFonts w:hint="eastAsia" w:ascii="仿宋_GB2312" w:hAnsi="仿宋_GB2312" w:eastAsia="仿宋_GB2312" w:cs="仿宋_GB2312"/>
          <w:color w:val="000000"/>
          <w:kern w:val="0"/>
          <w:sz w:val="32"/>
          <w:szCs w:val="32"/>
          <w:highlight w:val="none"/>
          <w:shd w:val="clear" w:color="auto" w:fill="FFFFFF"/>
          <w:lang w:val="en-US" w:eastAsia="zh-CN"/>
        </w:rPr>
        <w:t>5分。</w:t>
      </w:r>
    </w:p>
    <w:p w14:paraId="7C7A6B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w:t>
      </w:r>
      <w:r>
        <w:rPr>
          <w:rFonts w:hint="eastAsia" w:ascii="仿宋_GB2312" w:hAnsi="仿宋_GB2312" w:eastAsia="仿宋_GB2312" w:cs="仿宋_GB2312"/>
          <w:b/>
          <w:bCs/>
          <w:color w:val="000000"/>
          <w:kern w:val="0"/>
          <w:sz w:val="32"/>
          <w:szCs w:val="32"/>
          <w:highlight w:val="none"/>
          <w:shd w:val="clear" w:color="auto" w:fill="FFFFFF"/>
          <w:lang w:val="zh-CN"/>
        </w:rPr>
        <w:t>财务管理。</w:t>
      </w:r>
      <w:r>
        <w:rPr>
          <w:rFonts w:hint="eastAsia" w:ascii="仿宋_GB2312" w:hAnsi="仿宋_GB2312" w:eastAsia="仿宋_GB2312" w:cs="仿宋_GB2312"/>
          <w:color w:val="000000"/>
          <w:kern w:val="0"/>
          <w:sz w:val="32"/>
          <w:szCs w:val="32"/>
          <w:highlight w:val="none"/>
          <w:shd w:val="clear" w:color="auto" w:fill="FFFFFF"/>
          <w:lang w:val="zh-CN"/>
        </w:rPr>
        <w:t>围绕财务管理制度、财务岗位设置、资金使用规范进行绩效分析。</w:t>
      </w:r>
    </w:p>
    <w:p w14:paraId="5D52A4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（1）财务制度分析：为规范统战部的财务工作，加强财务管理，提高经费使用效益，促进统战工作的开展，正确处理统战工作发展的需要和经费的关系，2024年我部明确以下财务管理制度：</w:t>
      </w:r>
      <w:r>
        <w:rPr>
          <w:rFonts w:hint="eastAsia" w:ascii="仿宋_GB2312" w:hAnsi="仿宋_GB2312" w:eastAsia="仿宋_GB2312" w:cs="仿宋_GB2312"/>
          <w:b/>
          <w:bCs/>
          <w:color w:val="000000"/>
          <w:kern w:val="0"/>
          <w:sz w:val="32"/>
          <w:szCs w:val="32"/>
          <w:highlight w:val="none"/>
          <w:shd w:val="clear" w:color="auto" w:fill="FFFFFF"/>
          <w:lang w:val="en-US" w:eastAsia="zh-CN"/>
        </w:rPr>
        <w:t>一是</w:t>
      </w:r>
      <w:r>
        <w:rPr>
          <w:rFonts w:hint="eastAsia" w:ascii="仿宋_GB2312" w:hAnsi="仿宋_GB2312" w:eastAsia="仿宋_GB2312" w:cs="仿宋_GB2312"/>
          <w:color w:val="000000"/>
          <w:kern w:val="0"/>
          <w:sz w:val="32"/>
          <w:szCs w:val="32"/>
          <w:highlight w:val="none"/>
          <w:shd w:val="clear" w:color="auto" w:fill="FFFFFF"/>
          <w:lang w:val="en-US" w:eastAsia="zh-CN"/>
        </w:rPr>
        <w:t>部门的财务工作实行常务副部长负责，分管副部长审核，财务人员经办，部门同事监督的机制。每年合理编制预算，坚持“量入为出、科学使用”的总原则。所支出预算坚持“统筹兼顾、保证重点、勤俭节约”等原则，并对预算执行过程进行控制和管理。</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切实规范部门的各项财务报销制度。严格遵守财经纪律和财务管理制度，对统战活动的合理性、有效性进行监督，杜绝浪费和不必要的开支，确保财务工作促进统战工作的有效开展。</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合理有效统筹统战经费。各项工作经费应有明细，有记录；财务报销凭证经相关负责人签字后方可予以报销；加强职工对财务规范的培训，做到财务工作规范，账目清晰，手续清楚。</w:t>
      </w:r>
      <w:r>
        <w:rPr>
          <w:rFonts w:hint="eastAsia" w:ascii="仿宋_GB2312" w:hAnsi="仿宋_GB2312" w:eastAsia="仿宋_GB2312" w:cs="仿宋_GB2312"/>
          <w:color w:val="000000"/>
          <w:kern w:val="0"/>
          <w:sz w:val="32"/>
          <w:szCs w:val="32"/>
          <w:highlight w:val="none"/>
          <w:shd w:val="clear" w:color="auto" w:fill="FFFFFF"/>
          <w:lang w:val="zh-CN" w:eastAsia="zh-CN"/>
        </w:rPr>
        <w:t>此项得分</w:t>
      </w:r>
      <w:r>
        <w:rPr>
          <w:rFonts w:hint="eastAsia" w:ascii="仿宋_GB2312" w:hAnsi="仿宋_GB2312" w:eastAsia="仿宋_GB2312" w:cs="仿宋_GB2312"/>
          <w:color w:val="000000"/>
          <w:kern w:val="0"/>
          <w:sz w:val="32"/>
          <w:szCs w:val="32"/>
          <w:highlight w:val="none"/>
          <w:shd w:val="clear" w:color="auto" w:fill="FFFFFF"/>
          <w:lang w:val="en-US" w:eastAsia="zh-CN"/>
        </w:rPr>
        <w:t>4分。</w:t>
      </w:r>
    </w:p>
    <w:p w14:paraId="4C9A230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）财务岗位设置</w:t>
      </w:r>
      <w:r>
        <w:rPr>
          <w:rFonts w:hint="eastAsia" w:ascii="仿宋_GB2312" w:hAnsi="仿宋_GB2312" w:eastAsia="仿宋_GB2312" w:cs="仿宋_GB2312"/>
          <w:sz w:val="32"/>
          <w:szCs w:val="32"/>
          <w:lang w:val="zh-CN"/>
        </w:rPr>
        <w:t>分析：</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"http://www.so.com/s?q=%E5%87%BA%E7%BA%B3&amp;ie=utf-8&amp;src=internal_wenda_recommend_textn"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"http://www.so.com/s?q=%E4%B8%8D%E7%9B%B8%E5%AE%B9%E8%81%8C%E5%8A%A1&amp;ie=utf-8&amp;src=internal_wenda_recommend_textn"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不相容职务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，必须分离。这是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"http://www.so.com/s?q=%E4%BC%9A%E8%AE%A1%E5%9F%BA%E7%A1%80%E5%B7%A5%E4%BD%9C&amp;ie=utf-8&amp;src=internal_wenda_recommend_textn"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会计基础工作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规范的规定，也是单位内部控制规范的要求。</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不相容职务分离控制要求全面系统地分析、梳理</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"http://www.so.com/s?q=%E4%B8%9A%E5%8A%A1%E6%B5%81%E7%A8%8B&amp;ie=utf-8&amp;src=internal_wenda_recommend_textn"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业务流程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中所涉及的不相容职务，实施相应的分离措施，形成各司其职、各负其责、相互制约的工作机制。</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会计与出纳分开的必要性。可以降低舞弊风险和差错风险。是保证提高经营效率，保护财产安全以及增强会计数据可靠性的重要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"http://www.so.com/s?q=%E6%9D%A1%E4%BB%B6&amp;ie=utf-8&amp;src=internal_wenda_recommend_textn"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"http://www.so.com/s?q=%E8%B5%84%E9%87%91%E4%B8%9A%E5%8A%A1&amp;ie=utf-8&amp;src=internal_wenda_recommend_textn"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资金业务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的不相容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"http://www.so.com/s?q=%E5%B2%97%E4%BD%8D&amp;ie=utf-8&amp;src=internal_wenda_recommend_textn"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包括：（1）资金支付的审批与执行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（2）资金的保管、记录与盘点清查；（3）资金的会计记录与审计监督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（4）出纳人员不得兼任稽核、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"http://www.so.com/s?q=%E4%BC%9A%E8%AE%A1%E6%A1%A3%E6%A1%88&amp;ie=utf-8&amp;src=internal_wenda_recommend_textn"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会计档案</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保管和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"http://www.so.com/s?q=%E6%94%B6%E5%85%A5&amp;ie=utf-8&amp;src=internal_wenda_recommend_textn"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"http://www.so.com/s?q=%E6%94%AF%E5%87%BA&amp;ie=utf-8&amp;src=internal_wenda_recommend_textn"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"http://www.so.com/s?q=%E8%B4%B9%E7%94%A8&amp;ie=utf-8&amp;src=internal_wenda_recommend_textn"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"http://www.so.com/s?q=%E5%80%BA%E6%9D%83%E5%80%BA%E5%8A%A1&amp;ie=utf-8&amp;src=internal_wenda_recommend_textn"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债权债务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"http://www.so.com/s?q=%E8%B4%A6%E7%9B%AE&amp;ie=utf-8&amp;src=internal_wenda_recommend_textn"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账目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的登记工作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（5）对办理货币资金业务的人员定期进行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"http://www.so.com/s?q=%E8%81%8C%E5%8A%A1&amp;ie=utf-8&amp;src=internal_wenda_recommend_textn"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轮换。关键的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"http://www.so.com/s?q=%E8%B4%A2%E4%BC%9A&amp;ie=utf-8&amp;src=internal_wenda_recommend_textn"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职务实行强制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"http://www.so.com/s?q=%E4%BC%91%E5%81%87%E5%88%B6%E5%BA%A6&amp;ie=utf-8&amp;src=internal_wenda_recommend_textn"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休假制度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，并在最长不超过5年的时间内轮换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会计与出纳分离，明确各自的职责范围，即所谓“管钱的不管账，管账的不管钱”。</w:t>
      </w:r>
      <w:r>
        <w:rPr>
          <w:rFonts w:hint="eastAsia" w:ascii="仿宋_GB2312" w:hAnsi="仿宋_GB2312" w:eastAsia="仿宋_GB2312" w:cs="仿宋_GB2312"/>
          <w:sz w:val="32"/>
          <w:szCs w:val="32"/>
          <w:lang w:eastAsia="zh-CN"/>
        </w:rPr>
        <w:t>此项得分</w:t>
      </w:r>
      <w:r>
        <w:rPr>
          <w:rFonts w:hint="eastAsia" w:ascii="仿宋_GB2312" w:hAnsi="仿宋_GB2312" w:eastAsia="仿宋_GB2312" w:cs="仿宋_GB2312"/>
          <w:sz w:val="32"/>
          <w:szCs w:val="32"/>
          <w:lang w:val="en-US" w:eastAsia="zh-CN"/>
        </w:rPr>
        <w:t>1分。</w:t>
      </w:r>
    </w:p>
    <w:p w14:paraId="1783F2B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）资金使用规范分析：</w:t>
      </w:r>
      <w:r>
        <w:rPr>
          <w:rFonts w:hint="eastAsia" w:ascii="仿宋_GB2312" w:hAnsi="仿宋_GB2312" w:eastAsia="仿宋_GB2312" w:cs="仿宋_GB2312"/>
          <w:b/>
          <w:bCs/>
          <w:sz w:val="32"/>
          <w:szCs w:val="32"/>
          <w:lang w:val="zh-CN"/>
        </w:rPr>
        <w:t>一是</w:t>
      </w:r>
      <w:r>
        <w:rPr>
          <w:rFonts w:hint="eastAsia" w:ascii="仿宋_GB2312" w:hAnsi="仿宋_GB2312" w:eastAsia="仿宋_GB2312" w:cs="仿宋_GB2312"/>
          <w:sz w:val="32"/>
          <w:szCs w:val="32"/>
          <w:lang w:val="zh-CN"/>
        </w:rPr>
        <w:t>办公费。购买办公用品原则上由部办公室统一购买，各科室登记、领用。购买物品、设备必须有正规商家发票，注明数量、单价、金额和验收登记后才能报销。</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lang w:val="zh-CN"/>
        </w:rPr>
        <w:t>公务接待费。部机关公务接待实行归口管理、定点接待，接待标准严格按照中央八项规定执行。</w:t>
      </w:r>
      <w:r>
        <w:rPr>
          <w:rFonts w:hint="eastAsia" w:ascii="仿宋_GB2312" w:hAnsi="仿宋_GB2312" w:eastAsia="仿宋_GB2312" w:cs="仿宋_GB2312"/>
          <w:b/>
          <w:bCs/>
          <w:sz w:val="32"/>
          <w:szCs w:val="32"/>
          <w:lang w:val="zh-CN"/>
        </w:rPr>
        <w:t>三是</w:t>
      </w:r>
      <w:r>
        <w:rPr>
          <w:rFonts w:hint="eastAsia" w:ascii="仿宋_GB2312" w:hAnsi="仿宋_GB2312" w:eastAsia="仿宋_GB2312" w:cs="仿宋_GB2312"/>
          <w:sz w:val="32"/>
          <w:szCs w:val="32"/>
          <w:lang w:val="zh-CN"/>
        </w:rPr>
        <w:t>打印复印费。部机关一般性文件材料打印及复印由办公室负责，大宗打印业务或确需在外打印的资料，须到定点单位进行打印。</w:t>
      </w:r>
      <w:r>
        <w:rPr>
          <w:rFonts w:hint="eastAsia" w:ascii="仿宋_GB2312" w:hAnsi="仿宋_GB2312" w:eastAsia="仿宋_GB2312" w:cs="仿宋_GB2312"/>
          <w:b/>
          <w:bCs/>
          <w:sz w:val="32"/>
          <w:szCs w:val="32"/>
          <w:lang w:val="zh-CN"/>
        </w:rPr>
        <w:t>四是</w:t>
      </w:r>
      <w:r>
        <w:rPr>
          <w:rFonts w:hint="eastAsia" w:ascii="仿宋_GB2312" w:hAnsi="仿宋_GB2312" w:eastAsia="仿宋_GB2312" w:cs="仿宋_GB2312"/>
          <w:sz w:val="32"/>
          <w:szCs w:val="32"/>
          <w:lang w:val="zh-CN"/>
        </w:rPr>
        <w:t>差旅费。差旅费指工作人员临时到常驻地以外地区公务出差所发生的城市间交通费、住宿费、伙食补助费和市内交通费。填好差旅费报销单后找办公室登记人员、财务分管领导审核签字。经会计审核，对未经批准出差以及超范围超标准开支的费用不予报销。</w:t>
      </w:r>
      <w:r>
        <w:rPr>
          <w:rFonts w:hint="eastAsia" w:ascii="仿宋_GB2312" w:hAnsi="仿宋_GB2312" w:eastAsia="仿宋_GB2312" w:cs="仿宋_GB2312"/>
          <w:b/>
          <w:bCs/>
          <w:sz w:val="32"/>
          <w:szCs w:val="32"/>
          <w:lang w:val="zh-CN"/>
        </w:rPr>
        <w:t>五是</w:t>
      </w:r>
      <w:r>
        <w:rPr>
          <w:rFonts w:hint="eastAsia" w:ascii="仿宋_GB2312" w:hAnsi="仿宋_GB2312" w:eastAsia="仿宋_GB2312" w:cs="仿宋_GB2312"/>
          <w:sz w:val="32"/>
          <w:szCs w:val="32"/>
          <w:lang w:val="zh-CN"/>
        </w:rPr>
        <w:t>会议费。部机关各科室召开的会议须报分管部领导同意。按有关规定编制会议预算，须常务副部长同意，不得超支。</w:t>
      </w:r>
      <w:r>
        <w:rPr>
          <w:rFonts w:hint="eastAsia" w:ascii="仿宋_GB2312" w:hAnsi="仿宋_GB2312" w:eastAsia="仿宋_GB2312" w:cs="仿宋_GB2312"/>
          <w:b/>
          <w:bCs/>
          <w:sz w:val="32"/>
          <w:szCs w:val="32"/>
          <w:lang w:val="zh-CN"/>
        </w:rPr>
        <w:t>六是</w:t>
      </w:r>
      <w:r>
        <w:rPr>
          <w:rFonts w:hint="eastAsia" w:ascii="仿宋_GB2312" w:hAnsi="仿宋_GB2312" w:eastAsia="仿宋_GB2312" w:cs="仿宋_GB2312"/>
          <w:sz w:val="32"/>
          <w:szCs w:val="32"/>
          <w:lang w:val="zh-CN"/>
        </w:rPr>
        <w:t>公务用车运行维护费。公务用车派车由办公室统一管理，出差前由部办公室负责出具公务用车派车单。账务报销严格按照先出单再办事后报销的程序执行。此项得分</w:t>
      </w:r>
      <w:r>
        <w:rPr>
          <w:rFonts w:hint="eastAsia" w:ascii="仿宋_GB2312" w:hAnsi="仿宋_GB2312" w:eastAsia="仿宋_GB2312" w:cs="仿宋_GB2312"/>
          <w:sz w:val="32"/>
          <w:szCs w:val="32"/>
          <w:lang w:val="en-US" w:eastAsia="zh-CN"/>
        </w:rPr>
        <w:t>4分。</w:t>
      </w:r>
    </w:p>
    <w:p w14:paraId="27A3D7E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4.资产</w:t>
      </w:r>
      <w:r>
        <w:rPr>
          <w:rFonts w:hint="eastAsia" w:ascii="仿宋_GB2312" w:hAnsi="仿宋_GB2312" w:eastAsia="仿宋_GB2312" w:cs="仿宋_GB2312"/>
          <w:b/>
          <w:bCs/>
          <w:color w:val="000000"/>
          <w:kern w:val="0"/>
          <w:sz w:val="32"/>
          <w:szCs w:val="32"/>
          <w:highlight w:val="none"/>
          <w:shd w:val="clear" w:color="auto" w:fill="FFFFFF"/>
          <w:lang w:val="zh-CN"/>
        </w:rPr>
        <w:t>管理。</w:t>
      </w:r>
      <w:r>
        <w:rPr>
          <w:rFonts w:hint="eastAsia" w:ascii="仿宋_GB2312" w:hAnsi="仿宋_GB2312" w:eastAsia="仿宋_GB2312" w:cs="仿宋_GB2312"/>
          <w:color w:val="000000"/>
          <w:kern w:val="0"/>
          <w:sz w:val="32"/>
          <w:szCs w:val="32"/>
          <w:highlight w:val="none"/>
          <w:shd w:val="clear" w:color="auto" w:fill="FFFFFF"/>
          <w:lang w:val="zh-CN"/>
        </w:rPr>
        <w:t>围绕人均资产变化率、资产利用率、资产盘活率进行绩效分析。</w:t>
      </w:r>
    </w:p>
    <w:p w14:paraId="229A21A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人均资产变化率分析：2024年我部资产管理人均变化率为正，资产管理效率较以前年度有所提高，主要措施是资产管理流程的优化、工作效率进步或者管理人员的专业能力提升等。2024年资产管理的效果好，‌能够更好地服务于单位的运营和发展。此项得分3分。‌</w:t>
      </w:r>
    </w:p>
    <w:p w14:paraId="1C4914D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）资产利用率分析：我部资产超最低使用年限的较多，此项得分</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6FABDE3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）资产盘活率分析：我部无闲置资产每月准时上报资产月报，此项得分</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419A8C9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5.采购管理</w:t>
      </w:r>
      <w:r>
        <w:rPr>
          <w:rFonts w:hint="eastAsia" w:ascii="仿宋_GB2312" w:hAnsi="仿宋_GB2312" w:eastAsia="仿宋_GB2312" w:cs="仿宋_GB2312"/>
          <w:b/>
          <w:bCs/>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zh-CN"/>
        </w:rPr>
        <w:t>围绕支持中小企业发展、采购执行率进行绩效分析。</w:t>
      </w:r>
    </w:p>
    <w:p w14:paraId="52451A0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我部</w:t>
      </w:r>
      <w:r>
        <w:rPr>
          <w:rFonts w:hint="eastAsia" w:ascii="仿宋_GB2312" w:hAnsi="仿宋_GB2312" w:eastAsia="仿宋_GB2312" w:cs="仿宋_GB2312"/>
          <w:color w:val="000000"/>
          <w:kern w:val="0"/>
          <w:sz w:val="32"/>
          <w:szCs w:val="32"/>
          <w:highlight w:val="none"/>
          <w:shd w:val="clear" w:color="auto" w:fill="FFFFFF"/>
          <w:lang w:val="en-US" w:eastAsia="zh-CN"/>
        </w:rPr>
        <w:t>2024年暂无采购项目，并已建立完善采购制度，采购中未围绕支持中小企业发展开展工作，此项得分3分。</w:t>
      </w:r>
    </w:p>
    <w:p w14:paraId="6E4E431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填报以下数据，</w:t>
      </w:r>
      <w:r>
        <w:rPr>
          <w:rFonts w:hint="eastAsia" w:ascii="仿宋_GB2312" w:hAnsi="仿宋_GB2312" w:eastAsia="仿宋_GB2312" w:cs="仿宋_GB2312"/>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eastAsia" w:ascii="仿宋_GB2312" w:hAnsi="仿宋_GB2312" w:eastAsia="仿宋_GB2312" w:cs="仿宋_GB2312"/>
          <w:color w:val="000000"/>
          <w:kern w:val="0"/>
          <w:sz w:val="32"/>
          <w:szCs w:val="32"/>
          <w:highlight w:val="none"/>
          <w:shd w:val="clear" w:color="auto" w:fill="FFFFFF"/>
          <w:lang w:val="en-US" w:eastAsia="zh-CN"/>
        </w:rPr>
        <w:t>决策、项目执行、目标实现等情况。</w:t>
      </w:r>
    </w:p>
    <w:p w14:paraId="79E03AE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（1）一般公共预算分析：2024年初一般公共全年预算收入为620.06万元，决算数为620.06万元。收入决算数总和为620.06万元。一般公共预算全年支出为620.06万元，年底决算支出为620.06万元。</w:t>
      </w:r>
    </w:p>
    <w:p w14:paraId="57E44C9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常年项目绩效分析：该类项目总数2个（特殊情报信息经费、常委工作经费），涉及预算总金额15.32万元，1—12月预算执行总体进度为100%，其中：预算结余率大于10%的项目共计0个。</w:t>
      </w:r>
    </w:p>
    <w:p w14:paraId="096AA6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阶段（一次性）项目绩效分析：该类项目总数3个（2024年藏传佛教寺庙维修补助资金、毛儿盖桑木旦大师学术研讨会工作经费），涉及预算总金额115.63万元，1—12月预算执行总体进度为100%，其中：预算结余率大于10%的项目共计0个。</w:t>
      </w:r>
    </w:p>
    <w:p w14:paraId="6ADB95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w:t>
      </w:r>
      <w:r>
        <w:rPr>
          <w:rFonts w:hint="eastAsia" w:ascii="仿宋_GB2312" w:hAnsi="仿宋_GB2312" w:eastAsia="仿宋_GB2312" w:cs="仿宋_GB2312"/>
          <w:b/>
          <w:bCs/>
          <w:color w:val="000000"/>
          <w:kern w:val="0"/>
          <w:sz w:val="32"/>
          <w:szCs w:val="32"/>
          <w:highlight w:val="none"/>
          <w:shd w:val="clear" w:color="auto" w:fill="FFFFFF"/>
          <w:lang w:val="zh-CN"/>
        </w:rPr>
        <w:t>项目决策。</w:t>
      </w:r>
      <w:r>
        <w:rPr>
          <w:rFonts w:hint="eastAsia" w:ascii="仿宋_GB2312" w:hAnsi="仿宋_GB2312" w:eastAsia="仿宋_GB2312" w:cs="仿宋_GB2312"/>
          <w:color w:val="000000"/>
          <w:kern w:val="0"/>
          <w:sz w:val="32"/>
          <w:szCs w:val="32"/>
          <w:highlight w:val="none"/>
          <w:shd w:val="clear" w:color="auto" w:fill="FFFFFF"/>
          <w:lang w:val="zh-CN"/>
        </w:rPr>
        <w:t>围绕决策程序、目标设置、项目入库进行绩效分析。</w:t>
      </w:r>
    </w:p>
    <w:p w14:paraId="463D28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项目决策程序如下：一是研究论证‌对各方面提出的决策事项建议进行研究论证，‌这是决策过程的基础步骤，‌确保决策事项的合理性和可行性。</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启动决策程序：‌在研究论证的基础上，‌需要报请决策机关决定是否启动决策程序。‌如果决定启动，‌需要明确决策事项的承办单位。</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决策草案的拟订：‌决策承办单位应当拟订决策草案，‌并进行公开征求意见和听证等程序，‌以确保决策的科学性和公正性。</w:t>
      </w:r>
      <w:r>
        <w:rPr>
          <w:rFonts w:hint="eastAsia" w:ascii="仿宋_GB2312" w:hAnsi="仿宋_GB2312" w:eastAsia="仿宋_GB2312" w:cs="仿宋_GB2312"/>
          <w:b/>
          <w:bCs/>
          <w:color w:val="000000"/>
          <w:kern w:val="0"/>
          <w:sz w:val="32"/>
          <w:szCs w:val="32"/>
          <w:highlight w:val="none"/>
          <w:shd w:val="clear" w:color="auto" w:fill="FFFFFF"/>
          <w:lang w:val="en-US" w:eastAsia="zh-CN"/>
        </w:rPr>
        <w:t>‌四是</w:t>
      </w:r>
      <w:r>
        <w:rPr>
          <w:rFonts w:hint="eastAsia" w:ascii="仿宋_GB2312" w:hAnsi="仿宋_GB2312" w:eastAsia="仿宋_GB2312" w:cs="仿宋_GB2312"/>
          <w:color w:val="000000"/>
          <w:kern w:val="0"/>
          <w:sz w:val="32"/>
          <w:szCs w:val="32"/>
          <w:highlight w:val="none"/>
          <w:shd w:val="clear" w:color="auto" w:fill="FFFFFF"/>
          <w:lang w:val="en-US" w:eastAsia="zh-CN"/>
        </w:rPr>
        <w:t>公众参与：‌重大行政决策应当充分听取各方面意见，‌保障人民群众通过多种途径和形式参与决策。‌公众参与意见报告要及时公开，‌合理化建议原则上应当被采纳。</w:t>
      </w:r>
      <w:r>
        <w:rPr>
          <w:rFonts w:hint="eastAsia" w:ascii="仿宋_GB2312" w:hAnsi="仿宋_GB2312" w:eastAsia="仿宋_GB2312" w:cs="仿宋_GB2312"/>
          <w:b/>
          <w:bCs/>
          <w:color w:val="000000"/>
          <w:kern w:val="0"/>
          <w:sz w:val="32"/>
          <w:szCs w:val="32"/>
          <w:highlight w:val="none"/>
          <w:shd w:val="clear" w:color="auto" w:fill="FFFFFF"/>
          <w:lang w:val="en-US" w:eastAsia="zh-CN"/>
        </w:rPr>
        <w:t>‌五是</w:t>
      </w:r>
      <w:r>
        <w:rPr>
          <w:rFonts w:hint="eastAsia" w:ascii="仿宋_GB2312" w:hAnsi="仿宋_GB2312" w:eastAsia="仿宋_GB2312" w:cs="仿宋_GB2312"/>
          <w:color w:val="000000"/>
          <w:kern w:val="0"/>
          <w:sz w:val="32"/>
          <w:szCs w:val="32"/>
          <w:highlight w:val="none"/>
          <w:shd w:val="clear" w:color="auto" w:fill="FFFFFF"/>
          <w:lang w:val="en-US" w:eastAsia="zh-CN"/>
        </w:rPr>
        <w:t>专家咨询论证：‌实行重大行政决策专家咨询论证制度，‌涉及工业和信息化发展全局以及专业性、‌技术性较强的重大行政决策事项，‌应当组织专家、‌专业机构进行必要性、‌可行性和科学性论证。</w:t>
      </w:r>
      <w:r>
        <w:rPr>
          <w:rFonts w:hint="eastAsia" w:ascii="仿宋_GB2312" w:hAnsi="仿宋_GB2312" w:eastAsia="仿宋_GB2312" w:cs="仿宋_GB2312"/>
          <w:b/>
          <w:bCs/>
          <w:color w:val="000000"/>
          <w:kern w:val="0"/>
          <w:sz w:val="32"/>
          <w:szCs w:val="32"/>
          <w:highlight w:val="none"/>
          <w:shd w:val="clear" w:color="auto" w:fill="FFFFFF"/>
          <w:lang w:val="en-US" w:eastAsia="zh-CN"/>
        </w:rPr>
        <w:t>‌六是</w:t>
      </w:r>
      <w:r>
        <w:rPr>
          <w:rFonts w:hint="eastAsia" w:ascii="仿宋_GB2312" w:hAnsi="仿宋_GB2312" w:eastAsia="仿宋_GB2312" w:cs="仿宋_GB2312"/>
          <w:color w:val="000000"/>
          <w:kern w:val="0"/>
          <w:sz w:val="32"/>
          <w:szCs w:val="32"/>
          <w:highlight w:val="none"/>
          <w:shd w:val="clear" w:color="auto" w:fill="FFFFFF"/>
          <w:lang w:val="en-US" w:eastAsia="zh-CN"/>
        </w:rPr>
        <w:t>风险评估和合法性审查：‌决策过程中需要进行风险评估，‌并提交风险评估报告。‌同时，‌决策草案需经过合法性审查，‌确保决策内容符合法律法规。</w:t>
      </w:r>
      <w:r>
        <w:rPr>
          <w:rFonts w:hint="eastAsia" w:ascii="仿宋_GB2312" w:hAnsi="仿宋_GB2312" w:eastAsia="仿宋_GB2312" w:cs="仿宋_GB2312"/>
          <w:b/>
          <w:bCs/>
          <w:color w:val="000000"/>
          <w:kern w:val="0"/>
          <w:sz w:val="32"/>
          <w:szCs w:val="32"/>
          <w:highlight w:val="none"/>
          <w:shd w:val="clear" w:color="auto" w:fill="FFFFFF"/>
          <w:lang w:val="en-US" w:eastAsia="zh-CN"/>
        </w:rPr>
        <w:t>‌七是</w:t>
      </w:r>
      <w:r>
        <w:rPr>
          <w:rFonts w:hint="eastAsia" w:ascii="仿宋_GB2312" w:hAnsi="仿宋_GB2312" w:eastAsia="仿宋_GB2312" w:cs="仿宋_GB2312"/>
          <w:color w:val="000000"/>
          <w:kern w:val="0"/>
          <w:sz w:val="32"/>
          <w:szCs w:val="32"/>
          <w:highlight w:val="none"/>
          <w:shd w:val="clear" w:color="auto" w:fill="FFFFFF"/>
          <w:lang w:val="en-US" w:eastAsia="zh-CN"/>
        </w:rPr>
        <w:t>集体讨论决定：‌决策机关进行集体讨论决定，‌确保决策的民主性和合法性。</w:t>
      </w:r>
      <w:r>
        <w:rPr>
          <w:rFonts w:hint="eastAsia" w:ascii="仿宋_GB2312" w:hAnsi="仿宋_GB2312" w:eastAsia="仿宋_GB2312" w:cs="仿宋_GB2312"/>
          <w:b/>
          <w:bCs/>
          <w:color w:val="000000"/>
          <w:kern w:val="0"/>
          <w:sz w:val="32"/>
          <w:szCs w:val="32"/>
          <w:highlight w:val="none"/>
          <w:shd w:val="clear" w:color="auto" w:fill="FFFFFF"/>
          <w:lang w:val="en-US" w:eastAsia="zh-CN"/>
        </w:rPr>
        <w:t>‌八是</w:t>
      </w:r>
      <w:r>
        <w:rPr>
          <w:rFonts w:hint="eastAsia" w:ascii="仿宋_GB2312" w:hAnsi="仿宋_GB2312" w:eastAsia="仿宋_GB2312" w:cs="仿宋_GB2312"/>
          <w:color w:val="000000"/>
          <w:kern w:val="0"/>
          <w:sz w:val="32"/>
          <w:szCs w:val="32"/>
          <w:highlight w:val="none"/>
          <w:shd w:val="clear" w:color="auto" w:fill="FFFFFF"/>
          <w:lang w:val="en-US" w:eastAsia="zh-CN"/>
        </w:rPr>
        <w:t>执行和监督：‌决策执行过程中，‌决策承办单位应密切跟踪舆情，‌及时回应社会关切，‌并根据需要组织专家或第三方机构进行评估，‌确保决策的有效实施。</w:t>
      </w:r>
      <w:r>
        <w:rPr>
          <w:rFonts w:hint="eastAsia" w:ascii="仿宋_GB2312" w:hAnsi="仿宋_GB2312" w:eastAsia="仿宋_GB2312" w:cs="仿宋_GB2312"/>
          <w:b/>
          <w:bCs/>
          <w:color w:val="000000"/>
          <w:kern w:val="0"/>
          <w:sz w:val="32"/>
          <w:szCs w:val="32"/>
          <w:highlight w:val="none"/>
          <w:shd w:val="clear" w:color="auto" w:fill="FFFFFF"/>
          <w:lang w:val="en-US" w:eastAsia="zh-CN"/>
        </w:rPr>
        <w:t>‌九是</w:t>
      </w:r>
      <w:r>
        <w:rPr>
          <w:rFonts w:hint="eastAsia" w:ascii="仿宋_GB2312" w:hAnsi="仿宋_GB2312" w:eastAsia="仿宋_GB2312" w:cs="仿宋_GB2312"/>
          <w:color w:val="000000"/>
          <w:kern w:val="0"/>
          <w:sz w:val="32"/>
          <w:szCs w:val="32"/>
          <w:highlight w:val="none"/>
          <w:shd w:val="clear" w:color="auto" w:fill="FFFFFF"/>
          <w:lang w:val="en-US" w:eastAsia="zh-CN"/>
        </w:rPr>
        <w:t>档案管理和责任追究：‌建立健全档案管理制度，‌对重大行政决策过程形成的文件材料进行归档保存。‌对未经法定程序变更或停止执行的决策，‌要追究相关责任。‌通过上述步骤和原则的实施，‌行政项目决策程序能够更好地实现科学决策、民主决策、依法决策的目标。此项得分12分。</w:t>
      </w:r>
    </w:p>
    <w:p w14:paraId="510193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2.项目执行</w:t>
      </w:r>
      <w:r>
        <w:rPr>
          <w:rFonts w:hint="eastAsia" w:ascii="仿宋_GB2312" w:hAnsi="仿宋_GB2312" w:eastAsia="仿宋_GB2312" w:cs="仿宋_GB2312"/>
          <w:b/>
          <w:bCs/>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zh-CN"/>
        </w:rPr>
        <w:t>围绕资金执行导向、项目调整、执行结果进行绩效分析。</w:t>
      </w:r>
    </w:p>
    <w:p w14:paraId="355B16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项目财政补贴资金实行报账制，</w:t>
      </w:r>
      <w:r>
        <w:rPr>
          <w:rFonts w:hint="eastAsia" w:ascii="仿宋_GB2312" w:hAnsi="仿宋_GB2312" w:eastAsia="仿宋_GB2312" w:cs="仿宋_GB2312"/>
          <w:b/>
          <w:bCs/>
          <w:color w:val="000000"/>
          <w:kern w:val="0"/>
          <w:sz w:val="32"/>
          <w:szCs w:val="32"/>
          <w:highlight w:val="none"/>
          <w:shd w:val="clear" w:color="auto" w:fill="FFFFFF"/>
          <w:lang w:val="en-US" w:eastAsia="zh-CN"/>
        </w:rPr>
        <w:t>一是</w:t>
      </w:r>
      <w:r>
        <w:rPr>
          <w:rFonts w:hint="eastAsia" w:ascii="仿宋_GB2312" w:hAnsi="仿宋_GB2312" w:eastAsia="仿宋_GB2312" w:cs="仿宋_GB2312"/>
          <w:color w:val="000000"/>
          <w:kern w:val="0"/>
          <w:sz w:val="32"/>
          <w:szCs w:val="32"/>
          <w:highlight w:val="none"/>
          <w:shd w:val="clear" w:color="auto" w:fill="FFFFFF"/>
          <w:lang w:val="en-US" w:eastAsia="zh-CN"/>
        </w:rPr>
        <w:t>资金管理情况。项目资金严格按照专款专用、单独核算的办法进行管理，项目完成后，由项目实施单位直接到县委统战部进行报账。</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项目资金管理，实行报账制，严格项目资金的“专账、专人、专用”三专管理，对项目资金的使用公开透明，严禁挪用，健全完善项目资金档案管理制度，自觉接受社会监督，充分发挥资金的使用效益。成立项目管理小组，对该项目进行全程监督管控，制定了项目实施方案，严格按照方案流程进行施工，确保项目安全顺利完成。项目完工后达到项目完成的可持续性。项目完成后小组将继续对完工后的反映以及工程影响等情况进行检查登记，做到监管到位并具有可持续性。项目实施初期，制定了各类管理办法以及实施方案、应急预案，在项目完工后，各类制度也将继续发挥作用，按照管理办法进行后期管理，遇到突发事件也有应急预案，做到了制度在先，有据可依。</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为保证该项目能保质保量地完成任务，该项目通过了需求论证，并进行了需求论证结果公示，论证结果采购方式为竞争性磋商方式。</w:t>
      </w:r>
      <w:r>
        <w:rPr>
          <w:rFonts w:hint="eastAsia" w:ascii="仿宋_GB2312" w:hAnsi="仿宋_GB2312" w:eastAsia="仿宋_GB2312" w:cs="仿宋_GB2312"/>
          <w:b/>
          <w:bCs/>
          <w:color w:val="000000"/>
          <w:kern w:val="0"/>
          <w:sz w:val="32"/>
          <w:szCs w:val="32"/>
          <w:highlight w:val="none"/>
          <w:shd w:val="clear" w:color="auto" w:fill="FFFFFF"/>
          <w:lang w:val="en-US" w:eastAsia="zh-CN"/>
        </w:rPr>
        <w:t>四是</w:t>
      </w:r>
      <w:r>
        <w:rPr>
          <w:rFonts w:hint="eastAsia" w:ascii="仿宋_GB2312" w:hAnsi="仿宋_GB2312" w:eastAsia="仿宋_GB2312" w:cs="仿宋_GB2312"/>
          <w:color w:val="000000"/>
          <w:kern w:val="0"/>
          <w:sz w:val="32"/>
          <w:szCs w:val="32"/>
          <w:highlight w:val="none"/>
          <w:shd w:val="clear" w:color="auto" w:fill="FFFFFF"/>
          <w:lang w:val="en-US" w:eastAsia="zh-CN"/>
        </w:rPr>
        <w:t>我单位根据专项绩效评定指标对各项目进行量化评价。</w:t>
      </w:r>
      <w:r>
        <w:rPr>
          <w:rFonts w:hint="eastAsia" w:ascii="仿宋_GB2312" w:hAnsi="仿宋_GB2312" w:eastAsia="仿宋_GB2312" w:cs="仿宋_GB2312"/>
          <w:b/>
          <w:bCs/>
          <w:color w:val="000000"/>
          <w:kern w:val="0"/>
          <w:sz w:val="32"/>
          <w:szCs w:val="32"/>
          <w:highlight w:val="none"/>
          <w:shd w:val="clear" w:color="auto" w:fill="FFFFFF"/>
          <w:lang w:val="en-US" w:eastAsia="zh-CN"/>
        </w:rPr>
        <w:t>五是</w:t>
      </w:r>
      <w:r>
        <w:rPr>
          <w:rFonts w:hint="eastAsia" w:ascii="仿宋_GB2312" w:hAnsi="仿宋_GB2312" w:eastAsia="仿宋_GB2312" w:cs="仿宋_GB2312"/>
          <w:color w:val="000000"/>
          <w:kern w:val="0"/>
          <w:sz w:val="32"/>
          <w:szCs w:val="32"/>
          <w:highlight w:val="none"/>
          <w:shd w:val="clear" w:color="auto" w:fill="FFFFFF"/>
          <w:lang w:val="en-US" w:eastAsia="zh-CN"/>
        </w:rPr>
        <w:t>将项目支出后的实际状况与项目申报的绩效目标进行对比分析，所有项目均与批复下达相符。综上分析此项得分12分。</w:t>
      </w:r>
    </w:p>
    <w:p w14:paraId="663E4BA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w:t>
      </w:r>
      <w:r>
        <w:rPr>
          <w:rFonts w:hint="eastAsia" w:ascii="仿宋_GB2312" w:hAnsi="仿宋_GB2312" w:eastAsia="仿宋_GB2312" w:cs="仿宋_GB2312"/>
          <w:b/>
          <w:bCs/>
          <w:color w:val="000000"/>
          <w:kern w:val="0"/>
          <w:sz w:val="32"/>
          <w:szCs w:val="32"/>
          <w:highlight w:val="none"/>
          <w:shd w:val="clear" w:color="auto" w:fill="FFFFFF"/>
          <w:lang w:val="zh-CN"/>
        </w:rPr>
        <w:t>目标实现。</w:t>
      </w:r>
      <w:r>
        <w:rPr>
          <w:rFonts w:hint="eastAsia" w:ascii="仿宋_GB2312" w:hAnsi="仿宋_GB2312" w:eastAsia="仿宋_GB2312" w:cs="仿宋_GB2312"/>
          <w:color w:val="000000"/>
          <w:kern w:val="0"/>
          <w:sz w:val="32"/>
          <w:szCs w:val="32"/>
          <w:highlight w:val="none"/>
          <w:shd w:val="clear" w:color="auto" w:fill="FFFFFF"/>
          <w:lang w:val="zh-CN"/>
        </w:rPr>
        <w:t>围绕目标完成、目标偏离、实现效果进行绩效分析。</w:t>
      </w:r>
    </w:p>
    <w:p w14:paraId="05AFF316">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楷体_GB2312" w:cs="Times New Roman"/>
          <w:color w:val="333333"/>
          <w:sz w:val="32"/>
          <w:szCs w:val="32"/>
          <w:highlight w:val="none"/>
          <w:u w:val="none"/>
          <w:shd w:val="clear" w:color="auto" w:fill="auto"/>
          <w:lang w:bidi="ar"/>
        </w:rPr>
      </w:pPr>
      <w:r>
        <w:rPr>
          <w:rFonts w:hint="eastAsia" w:ascii="仿宋_GB2312" w:hAnsi="仿宋_GB2312" w:eastAsia="仿宋_GB2312" w:cs="仿宋_GB2312"/>
          <w:sz w:val="32"/>
          <w:szCs w:val="32"/>
          <w:u w:val="none"/>
          <w:lang w:val="en-US" w:eastAsia="zh-CN"/>
        </w:rPr>
        <w:t>统战部项目符合中央统战工作决策部署，符合省委、省政府的相关重点任务要求、发展规划、优先发展重点。该项目具有现实需求，具有明显的经济、社会、环境或可持续性效益等必要性。2024年12个项目的实施极大程度上提高寺庙建筑物的安全性对寺庙建筑进行维修加固，确保活动场所的安全性。评估内容包括绩效目标和绩效指标量化考核，契合政策，与部门的长期规划目标、年度工作目标相一致，能使寺庙僧尼、信教群众满意。宣传培训类项目内容</w:t>
      </w:r>
      <w:r>
        <w:rPr>
          <w:rFonts w:hint="eastAsia" w:ascii="仿宋_GB2312" w:hAnsi="仿宋_GB2312" w:eastAsia="仿宋_GB2312" w:cs="仿宋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以 “爱国爱教”为主题，在全县范围内开展爱国教育活动，有效增强了法治意识、国家意识和公民意识；</w:t>
      </w:r>
      <w:r>
        <w:rPr>
          <w:rFonts w:hint="eastAsia" w:ascii="仿宋_GB2312" w:hAnsi="仿宋_GB2312" w:eastAsia="仿宋_GB2312" w:cs="仿宋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结合我县实际，进行感恩教育活动；三是在全县范围内进行全面小康和美好生活教育，激发群众的爱国情怀，为松潘县的持续发展提供良好的环境。此项得分11分。</w:t>
      </w:r>
    </w:p>
    <w:p w14:paraId="2C68F30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u w:val="none"/>
        </w:rPr>
        <w:t>省级部门</w:t>
      </w:r>
      <w:r>
        <w:rPr>
          <w:rFonts w:hint="eastAsia" w:ascii="Times New Roman" w:hAnsi="Times New Roman" w:eastAsia="仿宋_GB2312" w:cs="Times New Roman"/>
          <w:sz w:val="32"/>
          <w:szCs w:val="32"/>
          <w:u w:val="none"/>
          <w:lang w:val="en-US" w:eastAsia="zh-CN"/>
        </w:rPr>
        <w:t>2024年度</w:t>
      </w:r>
      <w:r>
        <w:rPr>
          <w:rFonts w:hint="default" w:ascii="Times New Roman" w:hAnsi="Times New Roman" w:eastAsia="仿宋_GB2312" w:cs="Times New Roman"/>
          <w:sz w:val="32"/>
          <w:szCs w:val="32"/>
          <w:highlight w:val="none"/>
          <w:u w:val="none"/>
        </w:rPr>
        <w:t>若涉及国有资本、行政事业性国有资产、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bidi="ar"/>
        </w:rPr>
        <w:t>应在部门</w:t>
      </w:r>
      <w:r>
        <w:rPr>
          <w:rFonts w:hint="default" w:ascii="Times New Roman" w:hAnsi="Times New Roman" w:eastAsia="仿宋_GB2312" w:cs="Times New Roman"/>
          <w:sz w:val="32"/>
          <w:szCs w:val="32"/>
          <w:u w:val="none"/>
          <w:lang w:eastAsia="zh-CN" w:bidi="ar"/>
        </w:rPr>
        <w:t>预算</w:t>
      </w:r>
      <w:r>
        <w:rPr>
          <w:rFonts w:hint="default" w:ascii="Times New Roman" w:hAnsi="Times New Roman" w:eastAsia="仿宋_GB2312" w:cs="Times New Roman"/>
          <w:sz w:val="32"/>
          <w:szCs w:val="32"/>
          <w:highlight w:val="none"/>
          <w:u w:val="none"/>
          <w:lang w:bidi="ar"/>
        </w:rPr>
        <w:t>绩效自评报告中</w:t>
      </w:r>
      <w:r>
        <w:rPr>
          <w:rFonts w:hint="default" w:ascii="Times New Roman" w:hAnsi="Times New Roman" w:eastAsia="仿宋_GB2312" w:cs="Times New Roman"/>
          <w:sz w:val="32"/>
          <w:szCs w:val="32"/>
          <w:highlight w:val="none"/>
          <w:u w:val="none"/>
          <w:lang w:eastAsia="zh-CN" w:bidi="ar"/>
        </w:rPr>
        <w:t>对完成情况进行梳理阐述</w:t>
      </w:r>
      <w:r>
        <w:rPr>
          <w:rFonts w:hint="eastAsia" w:ascii="Times New Roman" w:hAnsi="Times New Roman" w:cs="Times New Roman"/>
          <w:sz w:val="32"/>
          <w:szCs w:val="32"/>
          <w:highlight w:val="none"/>
          <w:u w:val="none"/>
          <w:lang w:eastAsia="zh-CN" w:bidi="ar"/>
        </w:rPr>
        <w:t>。</w:t>
      </w:r>
    </w:p>
    <w:p w14:paraId="27B31CA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无</w:t>
      </w:r>
    </w:p>
    <w:p w14:paraId="607FE2F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3A0568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14:paraId="58EA2B6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rPr>
      </w:pPr>
      <w:bookmarkStart w:id="66" w:name="_Hlk110546638"/>
      <w:r>
        <w:rPr>
          <w:rFonts w:hint="eastAsia" w:ascii="仿宋_GB2312" w:hAnsi="仿宋_GB2312" w:eastAsia="仿宋_GB2312" w:cs="仿宋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sz w:val="32"/>
          <w:szCs w:val="32"/>
          <w:u w:val="none"/>
          <w:lang w:val="en-US" w:eastAsia="zh-CN"/>
        </w:rPr>
        <w:t>简要阐述部门预算绩效自评总体结论，其中必须包含自评得分。</w:t>
      </w:r>
    </w:p>
    <w:p w14:paraId="3F16895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sz w:val="32"/>
          <w:szCs w:val="32"/>
          <w:u w:val="none"/>
          <w:lang w:val="en-US" w:eastAsia="zh-CN"/>
        </w:rPr>
        <w:t>2024年我部预算绩效自评总分为100分。</w:t>
      </w:r>
    </w:p>
    <w:p w14:paraId="4A702CD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sz w:val="32"/>
          <w:szCs w:val="32"/>
          <w:u w:val="none"/>
          <w:lang w:val="en-US" w:eastAsia="zh-CN"/>
        </w:rPr>
        <w:t>简要阐述部门预算绩效自评发现的主要问题。明确职责分工：对财务人员的职责进行重新梳理和明确，确保每个人的职责清晰、无重叠，提高工作效率。长期以来单位人手不足等原因，单位财务人员开展工作进度缓慢。</w:t>
      </w:r>
    </w:p>
    <w:p w14:paraId="46CD722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hAnsi="Times New Roman" w:cs="Times New Roman"/>
          <w:color w:val="auto"/>
          <w:sz w:val="32"/>
          <w:szCs w:val="32"/>
          <w:highlight w:val="none"/>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sz w:val="32"/>
          <w:szCs w:val="32"/>
          <w:u w:val="none"/>
          <w:lang w:val="zh-CN" w:eastAsia="zh-CN"/>
        </w:rPr>
        <w:t>建议在组织会计人员培训的同时也要求出纳等工作人员到场。强化责任意识，提高业务能力水平，优化单位内控建设，进一步落实好行政事业单位财经法规，强化单位财务人员对工作的责任。</w:t>
      </w:r>
      <w:bookmarkEnd w:id="66"/>
    </w:p>
    <w:p w14:paraId="67652F0C">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部门预算项目支出绩效自评表（2024年度）</w:t>
      </w:r>
    </w:p>
    <w:p w14:paraId="5C743B02">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（备注：按照绩效自评工作安排，各部门已在预算管理一体化系统绩效自评模块上传“部门预算项目支出绩效自评表</w:t>
      </w:r>
      <w:bookmarkStart w:id="81" w:name="_GoBack"/>
      <w:r>
        <w:rPr>
          <w:rFonts w:hint="eastAsia" w:ascii="仿宋_GB2312" w:hAnsi="仿宋_GB2312" w:eastAsia="仿宋_GB2312" w:cs="仿宋_GB2312"/>
          <w:b w:val="0"/>
          <w:bCs w:val="0"/>
          <w:kern w:val="0"/>
          <w:position w:val="0"/>
          <w:sz w:val="32"/>
          <w:szCs w:val="32"/>
          <w:highlight w:val="none"/>
          <w:lang w:val="en-US" w:eastAsia="zh-CN" w:bidi="ar-SA"/>
        </w:rPr>
        <w:t>（</w:t>
      </w:r>
      <w:bookmarkEnd w:id="81"/>
      <w:r>
        <w:rPr>
          <w:rFonts w:hint="eastAsia" w:hAnsi="仿宋_GB2312" w:eastAsia="仿宋_GB2312" w:cs="仿宋_GB2312"/>
          <w:b w:val="0"/>
          <w:bCs w:val="0"/>
          <w:kern w:val="0"/>
          <w:position w:val="0"/>
          <w:sz w:val="32"/>
          <w:szCs w:val="32"/>
          <w:highlight w:val="none"/>
          <w:lang w:val="en-US" w:eastAsia="zh-CN" w:bidi="ar-SA"/>
        </w:rPr>
        <w:t>2024</w:t>
      </w:r>
      <w:r>
        <w:rPr>
          <w:rFonts w:hint="eastAsia" w:ascii="仿宋_GB2312" w:hAnsi="仿宋_GB2312" w:eastAsia="仿宋_GB2312" w:cs="仿宋_GB2312"/>
          <w:b w:val="0"/>
          <w:bCs w:val="0"/>
          <w:kern w:val="0"/>
          <w:position w:val="0"/>
          <w:sz w:val="32"/>
          <w:szCs w:val="32"/>
          <w:highlight w:val="none"/>
          <w:lang w:val="en-US" w:eastAsia="zh-CN" w:bidi="ar-SA"/>
        </w:rPr>
        <w:t>年度）”，该表格应作为附表予以公开。）</w:t>
      </w:r>
    </w:p>
    <w:p w14:paraId="2627824D">
      <w:pPr>
        <w:keepNext w:val="0"/>
        <w:keepLines w:val="0"/>
        <w:pageBreakBefore w:val="0"/>
        <w:kinsoku/>
        <w:wordWrap/>
        <w:overflowPunct/>
        <w:topLinePunct w:val="0"/>
        <w:autoSpaceDE/>
        <w:autoSpaceDN/>
        <w:bidi w:val="0"/>
        <w:adjustRightInd/>
        <w:snapToGrid w:val="0"/>
        <w:spacing w:line="216" w:lineRule="auto"/>
        <w:ind w:firstLine="640" w:firstLineChars="200"/>
        <w:textAlignment w:val="auto"/>
        <w:rPr>
          <w:rFonts w:hint="eastAsia" w:ascii="黑体" w:hAnsi="黑体" w:eastAsia="黑体" w:cs="黑体"/>
          <w:kern w:val="2"/>
          <w:sz w:val="32"/>
          <w:szCs w:val="24"/>
          <w:highlight w:val="none"/>
          <w:lang w:val="en-US" w:eastAsia="zh-CN" w:bidi="ar-SA"/>
        </w:rPr>
      </w:pPr>
    </w:p>
    <w:p w14:paraId="4234344D">
      <w:pPr>
        <w:keepNext w:val="0"/>
        <w:keepLines w:val="0"/>
        <w:pageBreakBefore w:val="0"/>
        <w:kinsoku/>
        <w:wordWrap/>
        <w:overflowPunct/>
        <w:topLinePunct w:val="0"/>
        <w:autoSpaceDE/>
        <w:autoSpaceDN/>
        <w:bidi w:val="0"/>
        <w:adjustRightInd/>
        <w:snapToGrid w:val="0"/>
        <w:spacing w:line="216" w:lineRule="auto"/>
        <w:ind w:firstLine="640" w:firstLineChars="200"/>
        <w:textAlignment w:val="auto"/>
        <w:rPr>
          <w:rFonts w:hint="eastAsia" w:ascii="黑体" w:hAnsi="黑体" w:eastAsia="黑体" w:cs="黑体"/>
          <w:kern w:val="2"/>
          <w:sz w:val="32"/>
          <w:szCs w:val="24"/>
          <w:highlight w:val="none"/>
          <w:lang w:val="en-US" w:eastAsia="zh-CN" w:bidi="ar-SA"/>
        </w:rPr>
      </w:pPr>
    </w:p>
    <w:p w14:paraId="7F8A76BC">
      <w:pPr>
        <w:keepNext w:val="0"/>
        <w:keepLines w:val="0"/>
        <w:pageBreakBefore w:val="0"/>
        <w:kinsoku/>
        <w:wordWrap/>
        <w:overflowPunct/>
        <w:topLinePunct w:val="0"/>
        <w:autoSpaceDE/>
        <w:autoSpaceDN/>
        <w:bidi w:val="0"/>
        <w:adjustRightInd/>
        <w:snapToGrid w:val="0"/>
        <w:spacing w:line="216" w:lineRule="auto"/>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黑体" w:hAnsi="黑体" w:eastAsia="黑体" w:cs="黑体"/>
          <w:kern w:val="2"/>
          <w:sz w:val="32"/>
          <w:szCs w:val="24"/>
          <w:highlight w:val="none"/>
          <w:lang w:val="en-US" w:eastAsia="zh-CN" w:bidi="ar-SA"/>
        </w:rPr>
        <w:t>附表</w:t>
      </w:r>
    </w:p>
    <w:tbl>
      <w:tblPr>
        <w:tblStyle w:val="14"/>
        <w:tblpPr w:leftFromText="180" w:rightFromText="180" w:vertAnchor="text" w:horzAnchor="page" w:tblpX="660" w:tblpY="127"/>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250"/>
        <w:gridCol w:w="1061"/>
        <w:gridCol w:w="2622"/>
        <w:gridCol w:w="1000"/>
        <w:gridCol w:w="902"/>
        <w:gridCol w:w="830"/>
        <w:gridCol w:w="585"/>
        <w:gridCol w:w="1001"/>
      </w:tblGrid>
      <w:tr w14:paraId="7FAD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trPr>
        <w:tc>
          <w:tcPr>
            <w:tcW w:w="10560" w:type="dxa"/>
            <w:gridSpan w:val="9"/>
            <w:noWrap w:val="0"/>
            <w:vAlign w:val="center"/>
          </w:tcPr>
          <w:p w14:paraId="3C0D1E6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3D21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60" w:type="dxa"/>
            <w:gridSpan w:val="9"/>
            <w:noWrap w:val="0"/>
            <w:vAlign w:val="center"/>
          </w:tcPr>
          <w:p w14:paraId="6D81F49F">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r>
              <w:rPr>
                <w:rFonts w:hint="eastAsia" w:ascii="Times New Roman" w:hAnsi="Times New Roman" w:cs="Times New Roman"/>
                <w:i w:val="0"/>
                <w:color w:val="000000"/>
                <w:kern w:val="0"/>
                <w:sz w:val="28"/>
                <w:szCs w:val="28"/>
                <w:u w:val="none"/>
                <w:lang w:val="en-US" w:eastAsia="zh-CN" w:bidi="ar"/>
              </w:rPr>
              <w:t>2024</w:t>
            </w:r>
            <w:r>
              <w:rPr>
                <w:rFonts w:hint="default" w:ascii="Times New Roman" w:hAnsi="Times New Roman" w:eastAsia="宋体" w:cs="Times New Roman"/>
                <w:i w:val="0"/>
                <w:color w:val="000000"/>
                <w:kern w:val="0"/>
                <w:sz w:val="28"/>
                <w:szCs w:val="28"/>
                <w:u w:val="none"/>
                <w:lang w:val="en-US" w:eastAsia="zh-CN" w:bidi="ar"/>
              </w:rPr>
              <w:t>年度）</w:t>
            </w:r>
          </w:p>
        </w:tc>
      </w:tr>
      <w:tr w14:paraId="3A18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60" w:type="dxa"/>
            <w:gridSpan w:val="9"/>
            <w:tcBorders>
              <w:bottom w:val="single" w:color="000000" w:sz="4" w:space="0"/>
            </w:tcBorders>
            <w:noWrap w:val="0"/>
            <w:vAlign w:val="center"/>
          </w:tcPr>
          <w:p w14:paraId="34C91427">
            <w:pPr>
              <w:keepNext w:val="0"/>
              <w:keepLines w:val="0"/>
              <w:pageBreakBefore w:val="0"/>
              <w:widowControl/>
              <w:suppressLineNumbers w:val="0"/>
              <w:kinsoku/>
              <w:wordWrap/>
              <w:overflowPunct/>
              <w:topLinePunct w:val="0"/>
              <w:autoSpaceDE/>
              <w:autoSpaceDN/>
              <w:bidi w:val="0"/>
              <w:adjustRightInd/>
              <w:snapToGrid w:val="0"/>
              <w:spacing w:line="216" w:lineRule="auto"/>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4EB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620" w:type="dxa"/>
            <w:gridSpan w:val="3"/>
            <w:tcBorders>
              <w:top w:val="single" w:color="000000" w:sz="4" w:space="0"/>
              <w:left w:val="single" w:color="000000" w:sz="4" w:space="0"/>
              <w:bottom w:val="single" w:color="000000" w:sz="4" w:space="0"/>
              <w:right w:val="single" w:color="000000" w:sz="4" w:space="0"/>
            </w:tcBorders>
            <w:noWrap w:val="0"/>
            <w:vAlign w:val="center"/>
          </w:tcPr>
          <w:p w14:paraId="7D89AD44">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61CAD93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中共松潘县委统战部</w:t>
            </w:r>
          </w:p>
        </w:tc>
      </w:tr>
      <w:tr w14:paraId="3654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2718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50E75598">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622" w:type="dxa"/>
            <w:gridSpan w:val="2"/>
            <w:tcBorders>
              <w:top w:val="single" w:color="000000" w:sz="4" w:space="0"/>
              <w:left w:val="single" w:color="000000" w:sz="4" w:space="0"/>
              <w:bottom w:val="single" w:color="000000" w:sz="4" w:space="0"/>
              <w:right w:val="single" w:color="000000" w:sz="4" w:space="0"/>
            </w:tcBorders>
            <w:noWrap w:val="0"/>
            <w:vAlign w:val="center"/>
          </w:tcPr>
          <w:p w14:paraId="491C43C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318" w:type="dxa"/>
            <w:gridSpan w:val="4"/>
            <w:tcBorders>
              <w:top w:val="single" w:color="000000" w:sz="4" w:space="0"/>
              <w:left w:val="single" w:color="000000" w:sz="4" w:space="0"/>
              <w:bottom w:val="single" w:color="000000" w:sz="4" w:space="0"/>
              <w:right w:val="single" w:color="000000" w:sz="4" w:space="0"/>
            </w:tcBorders>
            <w:noWrap w:val="0"/>
            <w:vAlign w:val="center"/>
          </w:tcPr>
          <w:p w14:paraId="3B49BB4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4777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898A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1CC14295">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620.06</w:t>
            </w:r>
          </w:p>
        </w:tc>
        <w:tc>
          <w:tcPr>
            <w:tcW w:w="3622" w:type="dxa"/>
            <w:gridSpan w:val="2"/>
            <w:tcBorders>
              <w:top w:val="single" w:color="000000" w:sz="4" w:space="0"/>
              <w:left w:val="single" w:color="000000" w:sz="4" w:space="0"/>
              <w:bottom w:val="single" w:color="000000" w:sz="4" w:space="0"/>
              <w:right w:val="single" w:color="000000" w:sz="4" w:space="0"/>
            </w:tcBorders>
            <w:noWrap w:val="0"/>
            <w:vAlign w:val="center"/>
          </w:tcPr>
          <w:p w14:paraId="10A86CFD">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620.06</w:t>
            </w:r>
          </w:p>
        </w:tc>
        <w:tc>
          <w:tcPr>
            <w:tcW w:w="3318" w:type="dxa"/>
            <w:gridSpan w:val="4"/>
            <w:tcBorders>
              <w:top w:val="single" w:color="000000" w:sz="4" w:space="0"/>
              <w:left w:val="single" w:color="000000" w:sz="4" w:space="0"/>
              <w:bottom w:val="single" w:color="000000" w:sz="4" w:space="0"/>
              <w:right w:val="single" w:color="000000" w:sz="4" w:space="0"/>
            </w:tcBorders>
            <w:noWrap w:val="0"/>
            <w:vAlign w:val="center"/>
          </w:tcPr>
          <w:p w14:paraId="0174912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7808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CD18F3">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741399B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noWrap w:val="0"/>
            <w:vAlign w:val="center"/>
          </w:tcPr>
          <w:p w14:paraId="586524D4">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2024</w:t>
            </w:r>
            <w:r>
              <w:rPr>
                <w:rFonts w:hint="default" w:ascii="Times New Roman" w:hAnsi="Times New Roman" w:eastAsia="宋体" w:cs="Times New Roman"/>
                <w:i w:val="0"/>
                <w:color w:val="000000"/>
                <w:kern w:val="0"/>
                <w:sz w:val="18"/>
                <w:szCs w:val="18"/>
                <w:u w:val="none"/>
                <w:lang w:val="en-US" w:eastAsia="zh-CN" w:bidi="ar"/>
              </w:rPr>
              <w:t>年，县委统战部深入学习贯彻党的二十大精神，坚持以习近平新时代中国特色社会主义思想为指导，认真落实</w:t>
            </w:r>
            <w:r>
              <w:rPr>
                <w:rFonts w:hint="eastAsia" w:ascii="Times New Roman" w:hAnsi="Times New Roman" w:cs="Times New Roman"/>
                <w:i w:val="0"/>
                <w:color w:val="000000"/>
                <w:kern w:val="0"/>
                <w:sz w:val="18"/>
                <w:szCs w:val="18"/>
                <w:u w:val="none"/>
                <w:lang w:val="en-US" w:eastAsia="zh-CN" w:bidi="ar"/>
              </w:rPr>
              <w:t>县委、县政府</w:t>
            </w:r>
            <w:r>
              <w:rPr>
                <w:rFonts w:hint="default" w:ascii="Times New Roman" w:hAnsi="Times New Roman" w:eastAsia="宋体" w:cs="Times New Roman"/>
                <w:i w:val="0"/>
                <w:color w:val="000000"/>
                <w:kern w:val="0"/>
                <w:sz w:val="18"/>
                <w:szCs w:val="18"/>
                <w:u w:val="none"/>
                <w:lang w:val="en-US" w:eastAsia="zh-CN" w:bidi="ar"/>
              </w:rPr>
              <w:t>重大决策部署，自觉服从和服务全县经济社会发展大局，积极应对挑战，落实积极财政政策，充分发挥职能作用，顺利完成了年度各项工作任务。</w:t>
            </w:r>
          </w:p>
        </w:tc>
      </w:tr>
      <w:tr w14:paraId="5849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DCD6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4273429F">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03FD07C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30CD379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23C3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15DD8">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4B5F4752">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统一战线工作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906E815">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维护民族团结</w:t>
            </w:r>
            <w:r>
              <w:rPr>
                <w:rFonts w:hint="eastAsia" w:ascii="Times New Roman" w:hAnsi="Times New Roman" w:cs="Times New Roman"/>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促进我县地区经济社会发展</w:t>
            </w:r>
            <w:r>
              <w:rPr>
                <w:rFonts w:hint="eastAsia" w:ascii="Times New Roman" w:hAnsi="Times New Roman" w:cs="Times New Roman"/>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广泛持久地开展民族团结稳定工作、增进共识，加强团结</w:t>
            </w:r>
            <w:r>
              <w:rPr>
                <w:rFonts w:hint="eastAsia" w:ascii="Times New Roman" w:hAnsi="Times New Roman" w:eastAsia="宋体" w:cs="Times New Roman"/>
                <w:i w:val="0"/>
                <w:color w:val="000000"/>
                <w:kern w:val="0"/>
                <w:sz w:val="16"/>
                <w:szCs w:val="16"/>
                <w:u w:val="none"/>
                <w:lang w:val="en-US" w:eastAsia="zh-CN" w:bidi="ar"/>
              </w:rPr>
              <w:t>。</w:t>
            </w:r>
          </w:p>
        </w:tc>
      </w:tr>
      <w:tr w14:paraId="2263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1A01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75C98936">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民族宗教工作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00AFD595">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贯彻落实党和国家民族政策。</w:t>
            </w:r>
          </w:p>
        </w:tc>
      </w:tr>
      <w:tr w14:paraId="2980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28AC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21F94207">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藏传佛教工作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CBBDAE0">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贯彻落实党和国家民族政策。</w:t>
            </w:r>
          </w:p>
        </w:tc>
      </w:tr>
      <w:tr w14:paraId="4280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975E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2DB9E65E">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爱国主义教育工作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B85B961">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结合我县实际，</w:t>
            </w:r>
            <w:r>
              <w:rPr>
                <w:rFonts w:hint="eastAsia" w:ascii="Times New Roman" w:hAnsi="Times New Roman" w:cs="Times New Roman"/>
                <w:i w:val="0"/>
                <w:color w:val="000000"/>
                <w:kern w:val="0"/>
                <w:sz w:val="16"/>
                <w:szCs w:val="16"/>
                <w:u w:val="none"/>
                <w:lang w:val="en-US" w:eastAsia="zh-CN" w:bidi="ar"/>
              </w:rPr>
              <w:t>强化爱国主义教育</w:t>
            </w:r>
            <w:r>
              <w:rPr>
                <w:rFonts w:hint="default" w:ascii="Times New Roman" w:hAnsi="Times New Roman" w:eastAsia="宋体" w:cs="Times New Roman"/>
                <w:i w:val="0"/>
                <w:color w:val="000000"/>
                <w:kern w:val="0"/>
                <w:sz w:val="16"/>
                <w:szCs w:val="16"/>
                <w:u w:val="none"/>
                <w:lang w:val="en-US" w:eastAsia="zh-CN" w:bidi="ar"/>
              </w:rPr>
              <w:t>。</w:t>
            </w:r>
          </w:p>
        </w:tc>
      </w:tr>
      <w:tr w14:paraId="404B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9AE4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5E80FEAC">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非公经济工作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7D03A50F">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协助有关部门做好非公有制经济组织建设；团结、帮助、教育、引导非公有制经济代表人士，积极开展工作，为促进我县</w:t>
            </w:r>
            <w:r>
              <w:rPr>
                <w:rFonts w:hint="eastAsia" w:ascii="Times New Roman" w:hAnsi="Times New Roman" w:cs="Times New Roman"/>
                <w:i w:val="0"/>
                <w:color w:val="000000"/>
                <w:kern w:val="0"/>
                <w:sz w:val="16"/>
                <w:szCs w:val="16"/>
                <w:u w:val="none"/>
                <w:lang w:val="en-US" w:eastAsia="zh-CN" w:bidi="ar"/>
              </w:rPr>
              <w:t>非公有制经济健康发展</w:t>
            </w:r>
            <w:r>
              <w:rPr>
                <w:rFonts w:hint="default" w:ascii="Times New Roman" w:hAnsi="Times New Roman" w:eastAsia="宋体" w:cs="Times New Roman"/>
                <w:i w:val="0"/>
                <w:color w:val="000000"/>
                <w:kern w:val="0"/>
                <w:sz w:val="16"/>
                <w:szCs w:val="16"/>
                <w:u w:val="none"/>
                <w:lang w:val="en-US" w:eastAsia="zh-CN" w:bidi="ar"/>
              </w:rPr>
              <w:t>提供服务。</w:t>
            </w:r>
          </w:p>
        </w:tc>
      </w:tr>
      <w:tr w14:paraId="6C16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right w:val="single" w:color="000000" w:sz="4" w:space="0"/>
            </w:tcBorders>
            <w:noWrap w:val="0"/>
            <w:vAlign w:val="center"/>
          </w:tcPr>
          <w:p w14:paraId="28D078E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041DE7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9A871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2190E2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3ED7E72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28F6F4B">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03E27798">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E8BF1E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A7A697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585" w:type="dxa"/>
            <w:tcBorders>
              <w:top w:val="single" w:color="000000" w:sz="4" w:space="0"/>
              <w:left w:val="single" w:color="000000" w:sz="4" w:space="0"/>
              <w:bottom w:val="single" w:color="000000" w:sz="4" w:space="0"/>
            </w:tcBorders>
            <w:noWrap w:val="0"/>
            <w:vAlign w:val="center"/>
          </w:tcPr>
          <w:p w14:paraId="4C8215F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7780DF6">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DDA3934">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024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09" w:type="dxa"/>
            <w:vMerge w:val="continue"/>
            <w:tcBorders>
              <w:left w:val="single" w:color="000000" w:sz="4" w:space="0"/>
              <w:right w:val="single" w:color="000000" w:sz="4" w:space="0"/>
            </w:tcBorders>
            <w:noWrap w:val="0"/>
            <w:vAlign w:val="center"/>
          </w:tcPr>
          <w:p w14:paraId="0112FA1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E894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7C1B41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质量指标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1119E12B">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cs="Times New Roman"/>
                <w:i w:val="0"/>
                <w:color w:val="000000"/>
                <w:kern w:val="0"/>
                <w:sz w:val="16"/>
                <w:szCs w:val="16"/>
                <w:u w:val="none"/>
                <w:lang w:val="en-US" w:eastAsia="zh-CN" w:bidi="ar"/>
              </w:rPr>
              <w:t>高</w:t>
            </w:r>
            <w:r>
              <w:rPr>
                <w:rFonts w:hint="default" w:ascii="Times New Roman" w:hAnsi="Times New Roman" w:eastAsia="宋体" w:cs="Times New Roman"/>
                <w:i w:val="0"/>
                <w:color w:val="000000"/>
                <w:kern w:val="0"/>
                <w:sz w:val="16"/>
                <w:szCs w:val="16"/>
                <w:u w:val="none"/>
                <w:lang w:val="en-US" w:eastAsia="zh-CN" w:bidi="ar"/>
              </w:rPr>
              <w:t>质量完成工作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7D719D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D357FE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保质量</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A9757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770B5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w:t>
            </w:r>
            <w:r>
              <w:rPr>
                <w:rFonts w:hint="eastAsia" w:eastAsia="宋体" w:cs="Times New Roman"/>
                <w:i w:val="0"/>
                <w:color w:val="000000"/>
                <w:kern w:val="0"/>
                <w:sz w:val="16"/>
                <w:szCs w:val="16"/>
                <w:u w:val="none"/>
                <w:lang w:val="en-US" w:eastAsia="zh-CN" w:bidi="ar"/>
              </w:rPr>
              <w:t>%</w:t>
            </w:r>
          </w:p>
        </w:tc>
        <w:tc>
          <w:tcPr>
            <w:tcW w:w="1001" w:type="dxa"/>
            <w:tcBorders>
              <w:left w:val="single" w:color="000000" w:sz="4" w:space="0"/>
              <w:bottom w:val="single" w:color="000000" w:sz="4" w:space="0"/>
              <w:right w:val="single" w:color="000000" w:sz="4" w:space="0"/>
            </w:tcBorders>
            <w:noWrap w:val="0"/>
            <w:vAlign w:val="center"/>
          </w:tcPr>
          <w:p w14:paraId="24FD1EF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7DE4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089ADCB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06B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8F4627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数量指标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736A353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完成全县</w:t>
            </w:r>
            <w:r>
              <w:rPr>
                <w:rFonts w:hint="eastAsia" w:ascii="Times New Roman" w:hAnsi="Times New Roman" w:cs="Times New Roman"/>
                <w:i w:val="0"/>
                <w:color w:val="000000"/>
                <w:kern w:val="0"/>
                <w:sz w:val="16"/>
                <w:szCs w:val="16"/>
                <w:u w:val="none"/>
                <w:lang w:val="en-US" w:eastAsia="zh-CN" w:bidi="ar"/>
              </w:rPr>
              <w:t>各点位</w:t>
            </w:r>
            <w:r>
              <w:rPr>
                <w:rFonts w:hint="default" w:ascii="Times New Roman" w:hAnsi="Times New Roman" w:eastAsia="宋体" w:cs="Times New Roman"/>
                <w:i w:val="0"/>
                <w:color w:val="000000"/>
                <w:kern w:val="0"/>
                <w:sz w:val="16"/>
                <w:szCs w:val="16"/>
                <w:u w:val="none"/>
                <w:lang w:val="en-US" w:eastAsia="zh-CN" w:bidi="ar"/>
              </w:rPr>
              <w:t>一战线工作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BE708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CB0D4B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cs="Times New Roman"/>
                <w:i w:val="0"/>
                <w:color w:val="000000"/>
                <w:kern w:val="0"/>
                <w:sz w:val="16"/>
                <w:szCs w:val="16"/>
                <w:u w:val="none"/>
                <w:lang w:val="en-US" w:eastAsia="zh-CN" w:bidi="ar"/>
              </w:rPr>
              <w:t>涉密</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52E4E2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座</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3930F1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8C31F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cs="Times New Roman"/>
                <w:i w:val="0"/>
                <w:color w:val="000000"/>
                <w:kern w:val="0"/>
                <w:sz w:val="16"/>
                <w:szCs w:val="16"/>
                <w:u w:val="none"/>
                <w:lang w:val="en-US" w:eastAsia="zh-CN" w:bidi="ar"/>
              </w:rPr>
              <w:t>涉密</w:t>
            </w:r>
          </w:p>
        </w:tc>
      </w:tr>
      <w:tr w14:paraId="4A0A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1FDEFAE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19F2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9CF8DB">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时效指标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6F64B09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按年初计划在</w:t>
            </w:r>
            <w:r>
              <w:rPr>
                <w:rFonts w:hint="eastAsia" w:ascii="Times New Roman" w:hAnsi="Times New Roman" w:cs="Times New Roman"/>
                <w:i w:val="0"/>
                <w:color w:val="000000"/>
                <w:kern w:val="0"/>
                <w:sz w:val="16"/>
                <w:szCs w:val="16"/>
                <w:u w:val="none"/>
                <w:lang w:val="en-US" w:eastAsia="zh-CN" w:bidi="ar"/>
              </w:rPr>
              <w:t>2024</w:t>
            </w:r>
            <w:r>
              <w:rPr>
                <w:rFonts w:hint="default" w:ascii="Times New Roman" w:hAnsi="Times New Roman" w:eastAsia="宋体" w:cs="Times New Roman"/>
                <w:i w:val="0"/>
                <w:color w:val="000000"/>
                <w:kern w:val="0"/>
                <w:sz w:val="16"/>
                <w:szCs w:val="16"/>
                <w:u w:val="none"/>
                <w:lang w:val="en-US" w:eastAsia="zh-CN" w:bidi="ar"/>
              </w:rPr>
              <w:t>年度内完成统战的相关工作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2E2C7F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A9D46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及时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79B69D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03340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C062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307D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309" w:type="dxa"/>
            <w:vMerge w:val="continue"/>
            <w:tcBorders>
              <w:left w:val="single" w:color="000000" w:sz="4" w:space="0"/>
              <w:right w:val="single" w:color="000000" w:sz="4" w:space="0"/>
            </w:tcBorders>
            <w:noWrap w:val="0"/>
            <w:vAlign w:val="center"/>
          </w:tcPr>
          <w:p w14:paraId="60DB8E6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04D6">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061" w:type="dxa"/>
            <w:tcBorders>
              <w:top w:val="single" w:color="000000" w:sz="4" w:space="0"/>
              <w:left w:val="single" w:color="000000" w:sz="4" w:space="0"/>
              <w:right w:val="single" w:color="000000" w:sz="4" w:space="0"/>
            </w:tcBorders>
            <w:noWrap w:val="0"/>
            <w:vAlign w:val="center"/>
          </w:tcPr>
          <w:p w14:paraId="64CCF27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社会效益指标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62C333E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群众统战意识进一步提升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88A2DC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1EC2A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EDC3AE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08B74A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1FEBB1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53F1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18061E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655A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right w:val="single" w:color="000000" w:sz="4" w:space="0"/>
            </w:tcBorders>
            <w:noWrap w:val="0"/>
            <w:vAlign w:val="center"/>
          </w:tcPr>
          <w:p w14:paraId="1B0D953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可持续影响指标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76E55070">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长效提高民族工作效率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61068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BB41789">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D6B2C4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4C1EA3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59DFD8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长效</w:t>
            </w:r>
          </w:p>
        </w:tc>
      </w:tr>
      <w:tr w14:paraId="2B58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3A3E898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A599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0B03AB6">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可持续发展指标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0905E77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长效推进统战工作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AF42F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FA9BF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CD61A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55E7F8">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45D41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长效</w:t>
            </w:r>
          </w:p>
        </w:tc>
      </w:tr>
      <w:tr w14:paraId="26C7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309" w:type="dxa"/>
            <w:vMerge w:val="continue"/>
            <w:tcBorders>
              <w:left w:val="single" w:color="000000" w:sz="4" w:space="0"/>
              <w:right w:val="single" w:color="000000" w:sz="4" w:space="0"/>
            </w:tcBorders>
            <w:noWrap w:val="0"/>
            <w:vAlign w:val="center"/>
          </w:tcPr>
          <w:p w14:paraId="1EB1030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908F33">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8AB5D1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满意度指标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2C2A19B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社会公众对统一战线工作的满意度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EF21AE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1BC1C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AD7D6E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61FA8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E7AA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100%</w:t>
            </w:r>
          </w:p>
        </w:tc>
      </w:tr>
      <w:tr w14:paraId="328A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1309" w:type="dxa"/>
            <w:vMerge w:val="continue"/>
            <w:tcBorders>
              <w:left w:val="single" w:color="000000" w:sz="4" w:space="0"/>
              <w:bottom w:val="single" w:color="000000" w:sz="4" w:space="0"/>
              <w:right w:val="single" w:color="000000" w:sz="4" w:space="0"/>
            </w:tcBorders>
            <w:noWrap w:val="0"/>
            <w:vAlign w:val="center"/>
          </w:tcPr>
          <w:p w14:paraId="7E426339">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4EA7E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27BA92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经济成本指标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5C56A2D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经济成本控制率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9C26CA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B0D07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3D3981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AF5958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759BB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100%</w:t>
            </w:r>
          </w:p>
        </w:tc>
      </w:tr>
    </w:tbl>
    <w:p w14:paraId="0FE19044">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14:paraId="013ADCE6">
      <w:pPr>
        <w:pStyle w:val="5"/>
        <w:rPr>
          <w:rFonts w:hint="eastAsia" w:hAnsi="宋体" w:cs="宋体"/>
          <w:color w:val="FF0000"/>
          <w:kern w:val="0"/>
          <w:sz w:val="32"/>
          <w:szCs w:val="32"/>
          <w:highlight w:val="yellow"/>
          <w:shd w:val="clear" w:color="auto" w:fill="FFFFFF"/>
          <w:lang w:val="zh-CN"/>
        </w:rPr>
      </w:pPr>
    </w:p>
    <w:p w14:paraId="627BC9EF">
      <w:pPr>
        <w:rPr>
          <w:rFonts w:hint="eastAsia" w:ascii="黑体" w:hAnsi="黑体" w:eastAsia="黑体"/>
          <w:color w:val="auto"/>
          <w:sz w:val="44"/>
          <w:szCs w:val="44"/>
          <w:highlight w:val="none"/>
        </w:rPr>
      </w:pPr>
      <w:r>
        <w:rPr>
          <w:rFonts w:hint="eastAsia" w:ascii="Times New Roman" w:hAnsi="Times New Roman" w:eastAsia="仿宋_GB2312" w:cs="Times New Roman"/>
          <w:kern w:val="2"/>
          <w:sz w:val="32"/>
          <w:szCs w:val="24"/>
          <w:highlight w:val="none"/>
          <w:lang w:val="en-US" w:eastAsia="zh-CN" w:bidi="ar-SA"/>
        </w:rPr>
        <w:br w:type="page"/>
      </w:r>
      <w:bookmarkStart w:id="67" w:name="_Toc15396618"/>
    </w:p>
    <w:p w14:paraId="2D1FDC71">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64"/>
      <w:bookmarkEnd w:id="67"/>
      <w:bookmarkStart w:id="68" w:name="_Toc15396619"/>
    </w:p>
    <w:p w14:paraId="004EAEFA">
      <w:pPr>
        <w:pStyle w:val="3"/>
        <w:rPr>
          <w:rFonts w:ascii="仿宋" w:hAnsi="仿宋" w:eastAsia="仿宋"/>
          <w:color w:val="auto"/>
          <w:highlight w:val="none"/>
        </w:rPr>
      </w:pPr>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68"/>
    </w:p>
    <w:p w14:paraId="7BC991F5">
      <w:pPr>
        <w:pStyle w:val="3"/>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69"/>
    </w:p>
    <w:p w14:paraId="4F2FDCCE">
      <w:pPr>
        <w:pStyle w:val="3"/>
        <w:rPr>
          <w:rFonts w:ascii="仿宋" w:hAnsi="仿宋" w:eastAsia="仿宋"/>
          <w:color w:val="auto"/>
          <w:highlight w:val="none"/>
        </w:rPr>
      </w:pPr>
      <w:bookmarkStart w:id="70"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70"/>
    </w:p>
    <w:p w14:paraId="00662362">
      <w:pPr>
        <w:pStyle w:val="3"/>
        <w:rPr>
          <w:rFonts w:ascii="仿宋" w:hAnsi="仿宋" w:eastAsia="仿宋"/>
          <w:b w:val="0"/>
          <w:color w:val="auto"/>
          <w:highlight w:val="none"/>
        </w:rPr>
      </w:pPr>
      <w:bookmarkStart w:id="71"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71"/>
    </w:p>
    <w:p w14:paraId="0F7B1CC5">
      <w:pPr>
        <w:pStyle w:val="3"/>
        <w:rPr>
          <w:rStyle w:val="20"/>
          <w:rFonts w:ascii="仿宋" w:hAnsi="仿宋" w:eastAsia="仿宋"/>
          <w:b w:val="0"/>
          <w:bCs w:val="0"/>
          <w:color w:val="auto"/>
          <w:highlight w:val="none"/>
        </w:rPr>
      </w:pPr>
      <w:bookmarkStart w:id="72" w:name="_Toc15396623"/>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72"/>
      <w:bookmarkStart w:id="73" w:name="_Toc15396624"/>
    </w:p>
    <w:p w14:paraId="6539A7FF">
      <w:pPr>
        <w:pStyle w:val="3"/>
        <w:rPr>
          <w:rFonts w:ascii="仿宋" w:hAnsi="仿宋" w:eastAsia="仿宋"/>
          <w:color w:val="auto"/>
          <w:highlight w:val="none"/>
        </w:rPr>
      </w:pPr>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73"/>
    </w:p>
    <w:p w14:paraId="1551E484">
      <w:pPr>
        <w:pStyle w:val="3"/>
        <w:rPr>
          <w:rFonts w:ascii="仿宋" w:hAnsi="仿宋" w:eastAsia="仿宋"/>
          <w:color w:val="auto"/>
          <w:highlight w:val="none"/>
        </w:rPr>
      </w:pPr>
      <w:bookmarkStart w:id="74"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74"/>
    </w:p>
    <w:p w14:paraId="4B199DD7">
      <w:pPr>
        <w:pStyle w:val="3"/>
        <w:rPr>
          <w:rFonts w:ascii="仿宋" w:hAnsi="仿宋" w:eastAsia="仿宋"/>
          <w:color w:val="auto"/>
          <w:highlight w:val="none"/>
        </w:rPr>
      </w:pPr>
      <w:bookmarkStart w:id="75"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75"/>
    </w:p>
    <w:p w14:paraId="57186589">
      <w:pPr>
        <w:pStyle w:val="3"/>
        <w:rPr>
          <w:rFonts w:ascii="仿宋" w:hAnsi="仿宋" w:eastAsia="仿宋"/>
          <w:color w:val="auto"/>
          <w:highlight w:val="none"/>
        </w:rPr>
      </w:pPr>
      <w:bookmarkStart w:id="76"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76"/>
    </w:p>
    <w:p w14:paraId="6C9C6820">
      <w:pPr>
        <w:pStyle w:val="3"/>
        <w:rPr>
          <w:rFonts w:ascii="仿宋" w:hAnsi="仿宋" w:eastAsia="仿宋"/>
          <w:color w:val="auto"/>
          <w:highlight w:val="none"/>
        </w:rPr>
      </w:pPr>
      <w:bookmarkStart w:id="77" w:name="_Toc15396628"/>
      <w:r>
        <w:rPr>
          <w:rStyle w:val="20"/>
          <w:rFonts w:hint="eastAsia" w:ascii="仿宋" w:hAnsi="仿宋" w:eastAsia="仿宋"/>
          <w:b w:val="0"/>
          <w:bCs w:val="0"/>
          <w:color w:val="auto"/>
          <w:highlight w:val="none"/>
        </w:rPr>
        <w:t>十、</w:t>
      </w:r>
      <w:bookmarkEnd w:id="77"/>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p>
    <w:p w14:paraId="33EB78C4">
      <w:pPr>
        <w:pStyle w:val="3"/>
        <w:rPr>
          <w:rFonts w:ascii="仿宋" w:hAnsi="仿宋" w:eastAsia="仿宋"/>
          <w:color w:val="auto"/>
          <w:highlight w:val="none"/>
        </w:rPr>
      </w:pPr>
      <w:bookmarkStart w:id="78" w:name="_Toc15396629"/>
      <w:r>
        <w:rPr>
          <w:rStyle w:val="20"/>
          <w:rFonts w:hint="eastAsia" w:ascii="仿宋" w:hAnsi="仿宋" w:eastAsia="仿宋"/>
          <w:b w:val="0"/>
          <w:bCs w:val="0"/>
          <w:color w:val="auto"/>
          <w:highlight w:val="none"/>
        </w:rPr>
        <w:t>十一、</w:t>
      </w:r>
      <w:bookmarkEnd w:id="78"/>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p>
    <w:p w14:paraId="0782AF8A">
      <w:pPr>
        <w:pStyle w:val="3"/>
        <w:rPr>
          <w:rFonts w:ascii="仿宋" w:hAnsi="仿宋" w:eastAsia="仿宋"/>
          <w:color w:val="auto"/>
          <w:highlight w:val="none"/>
        </w:rPr>
      </w:pPr>
      <w:bookmarkStart w:id="79" w:name="_Toc15396630"/>
      <w:r>
        <w:rPr>
          <w:rStyle w:val="20"/>
          <w:rFonts w:hint="eastAsia" w:ascii="仿宋" w:hAnsi="仿宋" w:eastAsia="仿宋"/>
          <w:b w:val="0"/>
          <w:bCs w:val="0"/>
          <w:color w:val="auto"/>
          <w:highlight w:val="none"/>
        </w:rPr>
        <w:t>十二、</w:t>
      </w:r>
      <w:bookmarkEnd w:id="79"/>
      <w:r>
        <w:rPr>
          <w:rStyle w:val="20"/>
          <w:rFonts w:hint="eastAsia" w:ascii="仿宋" w:hAnsi="仿宋" w:eastAsia="仿宋"/>
          <w:b w:val="0"/>
          <w:bCs w:val="0"/>
          <w:color w:val="auto"/>
          <w:highlight w:val="none"/>
          <w:lang w:eastAsia="zh-CN"/>
        </w:rPr>
        <w:t>国有资本经营预算财政拨款支出决算表</w:t>
      </w:r>
    </w:p>
    <w:p w14:paraId="6DE7C09A">
      <w:pPr>
        <w:pStyle w:val="3"/>
        <w:rPr>
          <w:rStyle w:val="20"/>
          <w:rFonts w:hint="eastAsia" w:ascii="仿宋" w:hAnsi="仿宋" w:eastAsia="仿宋"/>
          <w:b w:val="0"/>
          <w:bCs w:val="0"/>
          <w:color w:val="auto"/>
          <w:highlight w:val="none"/>
          <w:lang w:eastAsia="zh-CN"/>
        </w:rPr>
      </w:pPr>
      <w:bookmarkStart w:id="80" w:name="_Toc15396631"/>
      <w:r>
        <w:rPr>
          <w:rStyle w:val="20"/>
          <w:rFonts w:hint="eastAsia" w:ascii="仿宋" w:hAnsi="仿宋" w:eastAsia="仿宋"/>
          <w:b w:val="0"/>
          <w:bCs w:val="0"/>
          <w:color w:val="auto"/>
          <w:highlight w:val="none"/>
        </w:rPr>
        <w:t>十三、</w:t>
      </w:r>
      <w:bookmarkEnd w:id="80"/>
      <w:r>
        <w:rPr>
          <w:rStyle w:val="20"/>
          <w:rFonts w:hint="eastAsia" w:ascii="仿宋" w:hAnsi="仿宋" w:eastAsia="仿宋"/>
          <w:b w:val="0"/>
          <w:bCs w:val="0"/>
          <w:color w:val="auto"/>
          <w:highlight w:val="none"/>
          <w:lang w:eastAsia="zh-CN"/>
        </w:rPr>
        <w:t>财政拨款“三公”经费支出决算表</w:t>
      </w:r>
    </w:p>
    <w:p w14:paraId="7161A151"/>
    <w:sectPr>
      <w:footerReference r:id="rId5"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0BFCDE-CB5B-4291-8CB3-C1E667CE7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8968D6CF-7BD2-464F-A434-4344EB28D07C}"/>
  </w:font>
  <w:font w:name="仿宋_GB2312">
    <w:panose1 w:val="02010609030101010101"/>
    <w:charset w:val="86"/>
    <w:family w:val="modern"/>
    <w:pitch w:val="default"/>
    <w:sig w:usb0="00000001" w:usb1="080E0000" w:usb2="00000000" w:usb3="00000000" w:csb0="00040000" w:csb1="00000000"/>
    <w:embedRegular r:id="rId3" w:fontKey="{96241DEB-F82D-46C7-AA56-B3C9121A2BAD}"/>
  </w:font>
  <w:font w:name="仿宋">
    <w:panose1 w:val="02010609060101010101"/>
    <w:charset w:val="86"/>
    <w:family w:val="modern"/>
    <w:pitch w:val="default"/>
    <w:sig w:usb0="800002BF" w:usb1="38CF7CFA" w:usb2="00000016" w:usb3="00000000" w:csb0="00040001" w:csb1="00000000"/>
    <w:embedRegular r:id="rId4" w:fontKey="{1BFD4593-2CFF-4576-B9A4-972859A10555}"/>
  </w:font>
  <w:font w:name="??">
    <w:altName w:val="Times New Roman"/>
    <w:panose1 w:val="00000000000000000000"/>
    <w:charset w:val="00"/>
    <w:family w:val="roman"/>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0010101010101"/>
    <w:charset w:val="86"/>
    <w:family w:val="script"/>
    <w:pitch w:val="default"/>
    <w:sig w:usb0="00000001" w:usb1="080E0000" w:usb2="00000000" w:usb3="00000000" w:csb0="00040000" w:csb1="00000000"/>
    <w:embedRegular r:id="rId5" w:fontKey="{71503BF0-0D83-4486-8358-2ECDC6023046}"/>
  </w:font>
  <w:font w:name="华文中宋">
    <w:altName w:val="宋体"/>
    <w:panose1 w:val="02010600040101010101"/>
    <w:charset w:val="86"/>
    <w:family w:val="auto"/>
    <w:pitch w:val="default"/>
    <w:sig w:usb0="00000000" w:usb1="00000000" w:usb2="00000000" w:usb3="00000000" w:csb0="0004009F" w:csb1="DFD70000"/>
    <w:embedRegular r:id="rId6" w:fontKey="{16DB6364-75B9-41BF-9BDF-650F2871C6E7}"/>
  </w:font>
  <w:font w:name="楷体_GB2312">
    <w:panose1 w:val="02010609030101010101"/>
    <w:charset w:val="86"/>
    <w:family w:val="auto"/>
    <w:pitch w:val="default"/>
    <w:sig w:usb0="00000001" w:usb1="080E0000" w:usb2="00000000" w:usb3="00000000" w:csb0="00040000" w:csb1="00000000"/>
    <w:embedRegular r:id="rId7" w:fontKey="{831BC5F5-E607-4E9F-98B5-0CBF4BFBB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11A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07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73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C214">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34C214">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NTUwMGM4MjA3OTY5NGU5YWQ3OWJmNTYyYTVmYzEifQ=="/>
  </w:docVars>
  <w:rsids>
    <w:rsidRoot w:val="00000000"/>
    <w:rsid w:val="0636392C"/>
    <w:rsid w:val="0A03621B"/>
    <w:rsid w:val="0AE70F49"/>
    <w:rsid w:val="0DED089B"/>
    <w:rsid w:val="0FAB4043"/>
    <w:rsid w:val="154335D1"/>
    <w:rsid w:val="16E24FBD"/>
    <w:rsid w:val="1F7A63A0"/>
    <w:rsid w:val="20F25A40"/>
    <w:rsid w:val="282C66F4"/>
    <w:rsid w:val="2C940BB2"/>
    <w:rsid w:val="2EAC0FE5"/>
    <w:rsid w:val="2F3169AB"/>
    <w:rsid w:val="2FCE5C85"/>
    <w:rsid w:val="311C7A3E"/>
    <w:rsid w:val="32BD2BA4"/>
    <w:rsid w:val="34C63970"/>
    <w:rsid w:val="35D040D7"/>
    <w:rsid w:val="36E856B3"/>
    <w:rsid w:val="3D917DD1"/>
    <w:rsid w:val="41662610"/>
    <w:rsid w:val="46AE0CE1"/>
    <w:rsid w:val="498F5D52"/>
    <w:rsid w:val="4FAB2A57"/>
    <w:rsid w:val="50612B13"/>
    <w:rsid w:val="50C47D0B"/>
    <w:rsid w:val="51713037"/>
    <w:rsid w:val="55346502"/>
    <w:rsid w:val="56A14B05"/>
    <w:rsid w:val="57E9269E"/>
    <w:rsid w:val="58E971B2"/>
    <w:rsid w:val="5EED70A3"/>
    <w:rsid w:val="67817174"/>
    <w:rsid w:val="6CC874C5"/>
    <w:rsid w:val="AFEF8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autoRedefine/>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autoRedefine/>
    <w:unhideWhenUsed/>
    <w:qFormat/>
    <w:uiPriority w:val="99"/>
    <w:pPr>
      <w:tabs>
        <w:tab w:val="center" w:pos="4153"/>
        <w:tab w:val="right" w:pos="8306"/>
      </w:tabs>
      <w:snapToGrid w:val="0"/>
      <w:jc w:val="left"/>
    </w:pPr>
    <w:rPr>
      <w:sz w:val="18"/>
      <w:szCs w:val="18"/>
      <w:lang w:val="zh-CN" w:eastAsia="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0">
    <w:name w:val="List"/>
    <w:basedOn w:val="5"/>
    <w:autoRedefine/>
    <w:qFormat/>
    <w:uiPriority w:val="0"/>
  </w:style>
  <w:style w:type="paragraph" w:styleId="11">
    <w:name w:val="footnote text"/>
    <w:basedOn w:val="1"/>
    <w:next w:val="12"/>
    <w:autoRedefine/>
    <w:semiHidden/>
    <w:qFormat/>
    <w:uiPriority w:val="0"/>
    <w:pPr>
      <w:snapToGrid w:val="0"/>
      <w:jc w:val="left"/>
    </w:pPr>
    <w:rPr>
      <w:sz w:val="18"/>
      <w:szCs w:val="18"/>
    </w:rPr>
  </w:style>
  <w:style w:type="paragraph" w:styleId="12">
    <w:name w:val="Body Text First Indent 2"/>
    <w:basedOn w:val="6"/>
    <w:autoRedefine/>
    <w:unhideWhenUsed/>
    <w:qFormat/>
    <w:uiPriority w:val="99"/>
    <w:pPr>
      <w:ind w:firstLine="420" w:firstLineChars="200"/>
    </w:pPr>
  </w:style>
  <w:style w:type="paragraph" w:styleId="13">
    <w:name w:val="toc 2"/>
    <w:basedOn w:val="1"/>
    <w:next w:val="1"/>
    <w:autoRedefine/>
    <w:unhideWhenUsed/>
    <w:qFormat/>
    <w:uiPriority w:val="39"/>
    <w:pPr>
      <w:tabs>
        <w:tab w:val="right" w:leader="dot" w:pos="8296"/>
      </w:tabs>
      <w:ind w:left="420" w:left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u w:val="single"/>
    </w:rPr>
  </w:style>
  <w:style w:type="character" w:customStyle="1" w:styleId="19">
    <w:name w:val="标题 1 Char"/>
    <w:basedOn w:val="16"/>
    <w:link w:val="2"/>
    <w:autoRedefine/>
    <w:qFormat/>
    <w:uiPriority w:val="9"/>
    <w:rPr>
      <w:b/>
      <w:bCs/>
      <w:kern w:val="44"/>
      <w:sz w:val="44"/>
      <w:szCs w:val="44"/>
    </w:rPr>
  </w:style>
  <w:style w:type="character" w:customStyle="1" w:styleId="20">
    <w:name w:val="标题 2 Char"/>
    <w:basedOn w:val="16"/>
    <w:link w:val="3"/>
    <w:autoRedefine/>
    <w:qFormat/>
    <w:uiPriority w:val="9"/>
    <w:rPr>
      <w:rFonts w:ascii="Cambria" w:hAnsi="Cambria" w:eastAsia="宋体" w:cs="Times New Roman"/>
      <w:b/>
      <w:bCs/>
      <w:sz w:val="32"/>
      <w:szCs w:val="32"/>
    </w:rPr>
  </w:style>
  <w:style w:type="character" w:customStyle="1" w:styleId="21">
    <w:name w:val="默认段落字体1"/>
    <w:autoRedefine/>
    <w:qFormat/>
    <w:uiPriority w:val="0"/>
  </w:style>
  <w:style w:type="paragraph" w:customStyle="1" w:styleId="22">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2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5">
    <w:name w:val="Index"/>
    <w:basedOn w:val="1"/>
    <w:autoRedefine/>
    <w:qFormat/>
    <w:uiPriority w:val="0"/>
    <w:pPr>
      <w:widowControl w:val="0"/>
      <w:suppressLineNumbers/>
      <w:suppressAutoHyphens/>
    </w:pPr>
  </w:style>
  <w:style w:type="paragraph" w:styleId="26">
    <w:name w:val="List Paragraph"/>
    <w:basedOn w:val="1"/>
    <w:autoRedefine/>
    <w:qFormat/>
    <w:uiPriority w:val="34"/>
    <w:pPr>
      <w:ind w:firstLine="420" w:firstLineChars="200"/>
    </w:pPr>
  </w:style>
  <w:style w:type="paragraph" w:customStyle="1" w:styleId="27">
    <w:name w:val="称呼1"/>
    <w:basedOn w:val="1"/>
    <w:next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image" Target="../media/image1.png"/><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图1：收支决算总计变动情况图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收入</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innerShdw blurRad="63500" dist="50800" dir="8100000">
                <a:prstClr val="black">
                  <a:alpha val="50000"/>
                </a:prstClr>
              </a:inn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2024年度决算数</c:v>
                </c:pt>
                <c:pt idx="1">
                  <c:v>2023年度决算数</c:v>
                </c:pt>
              </c:strCache>
            </c:strRef>
          </c:cat>
          <c:val>
            <c:numRef>
              <c:f>Sheet1!$B$2:$C$2</c:f>
              <c:numCache>
                <c:formatCode>General</c:formatCode>
                <c:ptCount val="2"/>
                <c:pt idx="0">
                  <c:v>620.06</c:v>
                </c:pt>
                <c:pt idx="1">
                  <c:v>651.84</c:v>
                </c:pt>
              </c:numCache>
            </c:numRef>
          </c:val>
        </c:ser>
        <c:ser>
          <c:idx val="1"/>
          <c:order val="1"/>
          <c:tx>
            <c:strRef>
              <c:f>Sheet1!$A$3</c:f>
              <c:strCache>
                <c:ptCount val="1"/>
                <c:pt idx="0">
                  <c:v>支出</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innerShdw blurRad="63500" dist="50800" dir="8100000">
                <a:prstClr val="black">
                  <a:alpha val="50000"/>
                </a:prstClr>
              </a:inn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2024年度决算数</c:v>
                </c:pt>
                <c:pt idx="1">
                  <c:v>2023年度决算数</c:v>
                </c:pt>
              </c:strCache>
            </c:strRef>
          </c:cat>
          <c:val>
            <c:numRef>
              <c:f>Sheet1!$B$3:$C$3</c:f>
              <c:numCache>
                <c:formatCode>General</c:formatCode>
                <c:ptCount val="2"/>
                <c:pt idx="0">
                  <c:v>620.06</c:v>
                </c:pt>
                <c:pt idx="1">
                  <c:v>651.84</c:v>
                </c:pt>
              </c:numCache>
            </c:numRef>
          </c:val>
        </c:ser>
        <c:dLbls>
          <c:showLegendKey val="0"/>
          <c:showVal val="1"/>
          <c:showCatName val="0"/>
          <c:showSerName val="0"/>
          <c:showPercent val="0"/>
          <c:showBubbleSize val="0"/>
        </c:dLbls>
        <c:gapWidth val="246"/>
        <c:overlap val="-28"/>
        <c:axId val="512425939"/>
        <c:axId val="459410571"/>
      </c:barChart>
      <c:catAx>
        <c:axId val="51242593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59410571"/>
        <c:crosses val="autoZero"/>
        <c:auto val="1"/>
        <c:lblAlgn val="ctr"/>
        <c:lblOffset val="100"/>
        <c:noMultiLvlLbl val="0"/>
      </c:catAx>
      <c:valAx>
        <c:axId val="459410571"/>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24259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478590d-7f76-40df-89a7-e21541f20d79}"/>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cap="flat" cmpd="sng" algn="ctr">
      <a:solidFill>
        <a:schemeClr val="tx1">
          <a:lumMod val="50000"/>
          <a:lumOff val="50000"/>
          <a:alpha val="25000"/>
        </a:schemeClr>
      </a:solidFill>
      <a:round/>
    </a:ln>
    <a:effectLst>
      <a:innerShdw blurRad="63500" dist="50800" dir="8100000">
        <a:prstClr val="black">
          <a:alpha val="50000"/>
        </a:prstClr>
      </a:inn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图2：收入决算结构图</a:t>
            </a:r>
          </a:p>
        </c:rich>
      </c:tx>
      <c:layout/>
      <c:overlay val="0"/>
      <c:spPr>
        <a:noFill/>
        <a:ln>
          <a:noFill/>
        </a:ln>
        <a:effectLst/>
      </c:spPr>
    </c:title>
    <c:autoTitleDeleted val="0"/>
    <c:view3D>
      <c:rotX val="50"/>
      <c:rotY val="0"/>
      <c:depthPercent val="170"/>
      <c:rAngAx val="0"/>
    </c:view3D>
    <c:floor>
      <c:thickness val="0"/>
    </c:floor>
    <c:sideWall>
      <c:thickness val="0"/>
    </c:sideWall>
    <c:backWall>
      <c:thickness val="0"/>
    </c:backWall>
    <c:plotArea>
      <c:layout>
        <c:manualLayout>
          <c:layoutTarget val="inner"/>
          <c:xMode val="edge"/>
          <c:yMode val="edge"/>
          <c:x val="0.020906833921338"/>
          <c:y val="0.145534729878721"/>
          <c:w val="0.955180974781132"/>
          <c:h val="0.727673649393605"/>
        </c:manualLayout>
      </c:layout>
      <c:pie3DChart>
        <c:varyColors val="1"/>
        <c:ser>
          <c:idx val="0"/>
          <c:order val="0"/>
          <c:tx>
            <c:strRef>
              <c:f>Sheet1!$B$1</c:f>
              <c:strCache>
                <c:ptCount val="1"/>
                <c:pt idx="0">
                  <c:v>2024年度收入</c:v>
                </c:pt>
              </c:strCache>
            </c:strRef>
          </c:tx>
          <c:spPr>
            <a:ln w="12700">
              <a:solidFill>
                <a:schemeClr val="bg1">
                  <a:lumMod val="95000"/>
                </a:schemeClr>
              </a:solidFill>
            </a:ln>
            <a:scene3d>
              <a:camera prst="orthographicFront"/>
              <a:lightRig rig="threePt" dir="t"/>
            </a:scene3d>
            <a:sp3d contourW="12700"/>
          </c:spPr>
          <c:explosion val="0"/>
          <c:dPt>
            <c:idx val="0"/>
            <c:bubble3D val="0"/>
            <c:spPr>
              <a:gradFill>
                <a:gsLst>
                  <a:gs pos="0">
                    <a:schemeClr val="accent1">
                      <a:lumMod val="88000"/>
                      <a:lumOff val="12000"/>
                    </a:schemeClr>
                  </a:gs>
                  <a:gs pos="57000">
                    <a:schemeClr val="accent1">
                      <a:lumMod val="45000"/>
                      <a:lumOff val="55000"/>
                    </a:schemeClr>
                  </a:gs>
                  <a:gs pos="67000">
                    <a:schemeClr val="accent1">
                      <a:lumMod val="45000"/>
                      <a:lumOff val="55000"/>
                    </a:schemeClr>
                  </a:gs>
                  <a:gs pos="100000">
                    <a:schemeClr val="accent1">
                      <a:lumMod val="30000"/>
                      <a:lumOff val="70000"/>
                    </a:schemeClr>
                  </a:gs>
                </a:gsLst>
                <a:path path="rect">
                  <a:fillToRect l="50000" t="50000" r="50000" b="50000"/>
                </a:path>
                <a:tileRect/>
              </a:gradFill>
              <a:ln w="12700">
                <a:solidFill>
                  <a:schemeClr val="bg1">
                    <a:lumMod val="95000"/>
                  </a:schemeClr>
                </a:solidFill>
              </a:ln>
              <a:effectLst>
                <a:innerShdw blurRad="63500" dist="50800" dir="10800000">
                  <a:prstClr val="black">
                    <a:alpha val="50000"/>
                  </a:prstClr>
                </a:innerShdw>
              </a:effectLst>
              <a:scene3d>
                <a:camera prst="orthographicFront"/>
                <a:lightRig rig="threePt" dir="t"/>
              </a:scene3d>
              <a:sp3d contourW="12700"/>
            </c:spPr>
          </c:dPt>
          <c:dPt>
            <c:idx val="1"/>
            <c:bubble3D val="0"/>
            <c:spPr>
              <a:solidFill>
                <a:schemeClr val="accent2"/>
              </a:solidFill>
              <a:ln w="12700">
                <a:solidFill>
                  <a:schemeClr val="bg1">
                    <a:lumMod val="95000"/>
                  </a:schemeClr>
                </a:solidFill>
              </a:ln>
              <a:effectLst/>
              <a:scene3d>
                <a:camera prst="orthographicFront"/>
                <a:lightRig rig="threePt" dir="t"/>
              </a:scene3d>
              <a:sp3d contourW="12700"/>
            </c:spPr>
          </c:dPt>
          <c:dPt>
            <c:idx val="2"/>
            <c:bubble3D val="0"/>
            <c:spPr>
              <a:solidFill>
                <a:schemeClr val="accent3"/>
              </a:solidFill>
              <a:ln w="12700">
                <a:solidFill>
                  <a:schemeClr val="bg1">
                    <a:lumMod val="95000"/>
                  </a:schemeClr>
                </a:solidFill>
              </a:ln>
              <a:effectLst/>
              <a:scene3d>
                <a:camera prst="orthographicFront"/>
                <a:lightRig rig="threePt" dir="t"/>
              </a:scene3d>
              <a:sp3d contourW="12700"/>
            </c:spPr>
          </c:dPt>
          <c:dPt>
            <c:idx val="3"/>
            <c:bubble3D val="0"/>
            <c:spPr>
              <a:solidFill>
                <a:schemeClr val="accent4"/>
              </a:solidFill>
              <a:ln w="12700">
                <a:solidFill>
                  <a:schemeClr val="bg1">
                    <a:lumMod val="95000"/>
                  </a:schemeClr>
                </a:solidFill>
              </a:ln>
              <a:effectLst/>
              <a:scene3d>
                <a:camera prst="orthographicFront"/>
                <a:lightRig rig="threePt" dir="t"/>
              </a:scene3d>
              <a:sp3d contourW="12700"/>
            </c:spPr>
          </c:dPt>
          <c:dPt>
            <c:idx val="4"/>
            <c:bubble3D val="0"/>
            <c:spPr>
              <a:solidFill>
                <a:schemeClr val="accent5">
                  <a:shade val="76667"/>
                </a:schemeClr>
              </a:solidFill>
              <a:ln w="12700">
                <a:solidFill>
                  <a:schemeClr val="bg1">
                    <a:lumMod val="95000"/>
                  </a:schemeClr>
                </a:solidFill>
              </a:ln>
              <a:effectLst/>
              <a:scene3d>
                <a:camera prst="orthographicFront"/>
                <a:lightRig rig="threePt" dir="t"/>
              </a:scene3d>
              <a:sp3d contourW="12700"/>
            </c:spPr>
          </c:dPt>
          <c:dPt>
            <c:idx val="5"/>
            <c:bubble3D val="0"/>
            <c:spPr>
              <a:solidFill>
                <a:schemeClr val="accent6"/>
              </a:solidFill>
              <a:ln w="12700">
                <a:solidFill>
                  <a:schemeClr val="bg1">
                    <a:lumMod val="95000"/>
                  </a:schemeClr>
                </a:solidFill>
              </a:ln>
              <a:effectLst/>
              <a:scene3d>
                <a:camera prst="orthographicFront"/>
                <a:lightRig rig="threePt" dir="t"/>
              </a:scene3d>
              <a:sp3d contourW="12700"/>
            </c:spPr>
          </c:dPt>
          <c:dPt>
            <c:idx val="6"/>
            <c:bubble3D val="0"/>
            <c:spPr>
              <a:ln w="12700">
                <a:solidFill>
                  <a:schemeClr val="bg1">
                    <a:lumMod val="95000"/>
                  </a:schemeClr>
                </a:solidFill>
              </a:ln>
              <a:scene3d>
                <a:camera prst="orthographicFront"/>
                <a:lightRig rig="threePt" dir="t"/>
              </a:scene3d>
              <a:sp3d contourW="127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strCache>
            </c:strRef>
          </c:cat>
          <c:val>
            <c:numRef>
              <c:f>Sheet1!$B$2:$B$8</c:f>
              <c:numCache>
                <c:formatCode>General</c:formatCode>
                <c:ptCount val="7"/>
                <c:pt idx="0">
                  <c:v>620.06</c:v>
                </c:pt>
                <c:pt idx="1">
                  <c:v>0</c:v>
                </c:pt>
                <c:pt idx="2">
                  <c:v>0</c:v>
                </c:pt>
                <c:pt idx="3">
                  <c:v>0</c:v>
                </c:pt>
                <c:pt idx="4">
                  <c:v>0</c:v>
                </c:pt>
                <c:pt idx="5">
                  <c:v>0</c:v>
                </c:pt>
                <c:pt idx="6">
                  <c:v>0</c:v>
                </c:pt>
              </c:numCache>
            </c:numRef>
          </c:val>
        </c:ser>
        <c:dLbls>
          <c:showLegendKey val="0"/>
          <c:showVal val="0"/>
          <c:showCatName val="0"/>
          <c:showSerName val="0"/>
          <c:showPercent val="1"/>
          <c:showBubbleSize val="0"/>
        </c:dLbls>
      </c:pie3DChart>
      <c:spPr>
        <a:noFill/>
        <a:ln>
          <a:noFill/>
        </a:ln>
        <a:effectLst/>
      </c:spPr>
    </c:plotArea>
    <c:legend>
      <c:legendPos val="b"/>
      <c:layout>
        <c:manualLayout>
          <c:xMode val="edge"/>
          <c:yMode val="edge"/>
          <c:x val="0.00362406378352259"/>
          <c:y val="0.878468368479467"/>
          <c:w val="0.992751872432955"/>
          <c:h val="0.11598224195338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2210cf3-a5fe-418c-b025-90e8d919306d}"/>
      </c:ext>
    </c:extLst>
  </c:chart>
  <c:spPr>
    <a:gradFill>
      <a:gsLst>
        <a:gs pos="0">
          <a:schemeClr val="accent1">
            <a:lumMod val="13000"/>
            <a:lumOff val="87000"/>
          </a:schemeClr>
        </a:gs>
        <a:gs pos="57000">
          <a:schemeClr val="accent1">
            <a:lumMod val="45000"/>
            <a:lumOff val="55000"/>
          </a:schemeClr>
        </a:gs>
        <a:gs pos="67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prstDash val="solid"/>
      <a:round/>
    </a:ln>
    <a:effectLst>
      <a:innerShdw blurRad="63500" dist="50800" dir="10800000">
        <a:prstClr val="black">
          <a:alpha val="50000"/>
        </a:prstClr>
      </a:inn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a:t>
            </a:r>
            <a:r>
              <a:rPr lang="en-US" altLang="zh-CN"/>
              <a:t>3</a:t>
            </a:r>
            <a:r>
              <a:rPr altLang="en-US"/>
              <a:t>：</a:t>
            </a:r>
            <a:r>
              <a:t>2023年支出决算结构图</a:t>
            </a:r>
          </a:p>
        </c:rich>
      </c:tx>
      <c:layout>
        <c:manualLayout>
          <c:xMode val="edge"/>
          <c:yMode val="edge"/>
          <c:x val="0.268543126359024"/>
          <c:y val="0.0388865278368041"/>
        </c:manualLayout>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tx>
            <c:strRef>
              <c:f>Sheet1!$B$1</c:f>
              <c:strCache>
                <c:ptCount val="1"/>
                <c:pt idx="0">
                  <c:v>2024年支出决算结构图</c:v>
                </c:pt>
              </c:strCache>
            </c:strRef>
          </c:tx>
          <c:spPr>
            <a:scene3d>
              <a:camera prst="orthographicFront"/>
              <a:lightRig rig="threePt" dir="t"/>
            </a:scene3d>
            <a:sp3d contourW="9525"/>
          </c:spPr>
          <c:explosion val="0"/>
          <c:dPt>
            <c:idx val="0"/>
            <c:bubble3D val="0"/>
            <c:spPr>
              <a:gradFill>
                <a:gsLst>
                  <a:gs pos="0">
                    <a:schemeClr val="accent1">
                      <a:shade val="76667"/>
                      <a:lumMod val="40000"/>
                      <a:lumOff val="60000"/>
                    </a:schemeClr>
                  </a:gs>
                  <a:gs pos="90000">
                    <a:schemeClr val="accent1">
                      <a:shade val="76667"/>
                    </a:schemeClr>
                  </a:gs>
                </a:gsLst>
                <a:path path="rect">
                  <a:fillToRect t="100000" r="100000"/>
                </a:path>
                <a:tileRect l="-100000" b="-100000"/>
              </a:gradFill>
              <a:ln>
                <a:gradFill>
                  <a:gsLst>
                    <a:gs pos="0">
                      <a:schemeClr val="accent1">
                        <a:shade val="76667"/>
                      </a:schemeClr>
                    </a:gs>
                    <a:gs pos="100000">
                      <a:schemeClr val="accent1">
                        <a:shade val="76667"/>
                        <a:lumMod val="75000"/>
                      </a:schemeClr>
                    </a:gs>
                  </a:gsLst>
                  <a:lin ang="5400000" scaled="1"/>
                </a:gradFill>
              </a:ln>
              <a:effectLst>
                <a:innerShdw blurRad="63500" dist="50800" dir="10800000">
                  <a:prstClr val="black">
                    <a:alpha val="50000"/>
                  </a:prstClr>
                </a:innerShdw>
              </a:effectLst>
            </c:spPr>
          </c:dPt>
          <c:dPt>
            <c:idx val="1"/>
            <c:bubble3D val="0"/>
            <c:spPr>
              <a:gradFill>
                <a:gsLst>
                  <a:gs pos="0">
                    <a:schemeClr val="accent2">
                      <a:shade val="76667"/>
                      <a:lumMod val="40000"/>
                      <a:lumOff val="60000"/>
                    </a:schemeClr>
                  </a:gs>
                  <a:gs pos="90000">
                    <a:schemeClr val="accent2">
                      <a:shade val="76667"/>
                    </a:schemeClr>
                  </a:gs>
                </a:gsLst>
                <a:path path="rect">
                  <a:fillToRect t="100000" r="100000"/>
                </a:path>
                <a:tileRect l="-100000" b="-100000"/>
              </a:gradFill>
              <a:ln>
                <a:gradFill>
                  <a:gsLst>
                    <a:gs pos="0">
                      <a:schemeClr val="accent2">
                        <a:shade val="76667"/>
                      </a:schemeClr>
                    </a:gs>
                    <a:gs pos="100000">
                      <a:schemeClr val="accent2">
                        <a:shade val="76667"/>
                        <a:lumMod val="75000"/>
                      </a:schemeClr>
                    </a:gs>
                  </a:gsLst>
                  <a:lin ang="5400000" scaled="1"/>
                </a:gradFill>
              </a:ln>
              <a:effectLst>
                <a:innerShdw blurRad="63500" dist="50800" dir="10800000">
                  <a:prstClr val="black">
                    <a:alpha val="50000"/>
                  </a:prstClr>
                </a:innerShdw>
              </a:effectLst>
            </c:spPr>
          </c:dPt>
          <c:dPt>
            <c:idx val="2"/>
            <c:bubble3D val="0"/>
            <c:spPr>
              <a:gradFill>
                <a:gsLst>
                  <a:gs pos="0">
                    <a:schemeClr val="accent3">
                      <a:shade val="76667"/>
                      <a:lumMod val="40000"/>
                      <a:lumOff val="60000"/>
                    </a:schemeClr>
                  </a:gs>
                  <a:gs pos="90000">
                    <a:schemeClr val="accent3">
                      <a:shade val="76667"/>
                    </a:schemeClr>
                  </a:gs>
                </a:gsLst>
                <a:lin ang="5400000" scaled="0"/>
              </a:gradFill>
              <a:ln>
                <a:gradFill>
                  <a:gsLst>
                    <a:gs pos="0">
                      <a:schemeClr val="accent3">
                        <a:shade val="76667"/>
                      </a:schemeClr>
                    </a:gs>
                    <a:gs pos="100000">
                      <a:schemeClr val="accent3">
                        <a:shade val="76667"/>
                        <a:lumMod val="75000"/>
                      </a:schemeClr>
                    </a:gs>
                  </a:gsLst>
                  <a:lin ang="5400000" scaled="1"/>
                </a:gradFill>
              </a:ln>
              <a:effectLst/>
            </c:spPr>
          </c:dPt>
          <c:dPt>
            <c:idx val="3"/>
            <c:bubble3D val="0"/>
            <c:spPr>
              <a:gradFill>
                <a:gsLst>
                  <a:gs pos="0">
                    <a:schemeClr val="accent4">
                      <a:shade val="76667"/>
                      <a:lumMod val="40000"/>
                      <a:lumOff val="60000"/>
                    </a:schemeClr>
                  </a:gs>
                  <a:gs pos="90000">
                    <a:schemeClr val="accent4">
                      <a:shade val="76667"/>
                    </a:schemeClr>
                  </a:gs>
                </a:gsLst>
                <a:lin ang="5400000" scaled="0"/>
              </a:gradFill>
              <a:ln>
                <a:gradFill>
                  <a:gsLst>
                    <a:gs pos="0">
                      <a:schemeClr val="accent4">
                        <a:shade val="76667"/>
                      </a:schemeClr>
                    </a:gs>
                    <a:gs pos="100000">
                      <a:schemeClr val="accent4">
                        <a:shade val="76667"/>
                        <a:lumMod val="75000"/>
                      </a:schemeClr>
                    </a:gs>
                  </a:gsLst>
                  <a:lin ang="5400000" scaled="1"/>
                </a:gradFill>
              </a:ln>
              <a:effectLst/>
            </c:spPr>
          </c:dPt>
          <c:dLbls>
            <c:dLbl>
              <c:idx val="0"/>
              <c:layout>
                <c:manualLayout>
                  <c:x val="-0.430417975356366"/>
                  <c:y val="-0.159158521036974"/>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8905532737376"/>
                  <c:y val="0.0318742031449214"/>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2">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44745107513892"/>
                  <c:y val="0.23905652358691"/>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3">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38584199081904"/>
                  <c:y val="-0.0344241393965151"/>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4">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489.11</c:v>
                </c:pt>
                <c:pt idx="1">
                  <c:v>130.95</c:v>
                </c:pt>
                <c:pt idx="2">
                  <c:v>0</c:v>
                </c:pt>
                <c:pt idx="3">
                  <c:v>0</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5aef9828-fe2d-4d31-8d91-acede01a61e3}"/>
      </c:ext>
    </c:extLst>
  </c:chart>
  <c:spPr>
    <a:blipFill>
      <a:blip xmlns:r="http://schemas.openxmlformats.org/officeDocument/2006/relationships" r:embed="rId2">
        <a:alphaModFix amt="63000"/>
      </a:blip>
      <a:tile tx="0" ty="0" sx="100000" sy="100000" flip="none" algn="tl"/>
    </a:blipFill>
    <a:ln w="6350" cap="flat" cmpd="sng" algn="ctr">
      <a:solidFill>
        <a:schemeClr val="tx1">
          <a:lumMod val="50000"/>
          <a:lumOff val="50000"/>
          <a:alpha val="25000"/>
        </a:schemeClr>
      </a:solidFill>
      <a:prstDash val="solid"/>
      <a:round/>
    </a:ln>
    <a:effectLst>
      <a:innerShdw blurRad="63500" dist="50800" dir="10800000">
        <a:prstClr val="black">
          <a:alpha val="50000"/>
        </a:prstClr>
      </a:inn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effectLst>
                  <a:innerShdw blurRad="63500" dist="50800">
                    <a:prstClr val="black">
                      <a:alpha val="50000"/>
                    </a:prstClr>
                  </a:innerShdw>
                </a:effectLst>
              </a:rPr>
              <a:t>图</a:t>
            </a:r>
            <a:r>
              <a:rPr lang="en-US" altLang="zh-CN">
                <a:effectLst>
                  <a:innerShdw blurRad="63500" dist="50800">
                    <a:prstClr val="black">
                      <a:alpha val="50000"/>
                    </a:prstClr>
                  </a:innerShdw>
                </a:effectLst>
              </a:rPr>
              <a:t>4</a:t>
            </a:r>
            <a:r>
              <a:rPr altLang="en-US">
                <a:effectLst>
                  <a:innerShdw blurRad="63500" dist="50800">
                    <a:prstClr val="black">
                      <a:alpha val="50000"/>
                    </a:prstClr>
                  </a:innerShdw>
                </a:effectLst>
              </a:rPr>
              <a:t>：</a:t>
            </a:r>
            <a:r>
              <a:rPr>
                <a:effectLst>
                  <a:innerShdw blurRad="63500" dist="50800">
                    <a:prstClr val="black">
                      <a:alpha val="50000"/>
                    </a:prstClr>
                  </a:innerShdw>
                </a:effectLst>
              </a:rPr>
              <a:t>财政拨款收、支决算总计变动情况</a:t>
            </a:r>
            <a:endParaRPr>
              <a:effectLst>
                <a:innerShdw blurRad="63500" dist="50800">
                  <a:prstClr val="black">
                    <a:alpha val="50000"/>
                  </a:prstClr>
                </a:innerShdw>
              </a:effectLst>
            </a:endParaRP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收入决算数</c:v>
                </c:pt>
              </c:strCache>
            </c:strRef>
          </c:tx>
          <c:spPr>
            <a:gradFill>
              <a:gsLst>
                <a:gs pos="0">
                  <a:srgbClr val="EE5596"/>
                </a:gs>
                <a:gs pos="100000">
                  <a:srgbClr val="F9B621"/>
                </a:gs>
              </a:gsLst>
              <a:lin ang="5400000" scaled="0"/>
            </a:gradFill>
            <a:ln>
              <a:noFill/>
            </a:ln>
            <a:effectLst>
              <a:innerShdw blurRad="63500" dist="50800">
                <a:prstClr val="black">
                  <a:alpha val="50000"/>
                </a:prstClr>
              </a:innerShdw>
            </a:effectLst>
          </c:spPr>
          <c:invertIfNegative val="0"/>
          <c:dLbls>
            <c:delete val="1"/>
          </c:dLbls>
          <c:cat>
            <c:strRef>
              <c:f>Sheet1!$A$2:$A$3</c:f>
              <c:strCache>
                <c:ptCount val="2"/>
                <c:pt idx="0">
                  <c:v>2023年收支决算</c:v>
                </c:pt>
                <c:pt idx="1">
                  <c:v>2024年收支决算</c:v>
                </c:pt>
              </c:strCache>
            </c:strRef>
          </c:cat>
          <c:val>
            <c:numRef>
              <c:f>Sheet1!$B$2:$B$3</c:f>
              <c:numCache>
                <c:formatCode>General</c:formatCode>
                <c:ptCount val="2"/>
                <c:pt idx="0">
                  <c:v>651.84</c:v>
                </c:pt>
                <c:pt idx="1">
                  <c:v>620.06</c:v>
                </c:pt>
              </c:numCache>
            </c:numRef>
          </c:val>
        </c:ser>
        <c:ser>
          <c:idx val="1"/>
          <c:order val="1"/>
          <c:tx>
            <c:strRef>
              <c:f>Sheet1!$C$1</c:f>
              <c:strCache>
                <c:ptCount val="1"/>
                <c:pt idx="0">
                  <c:v>支出决算数</c:v>
                </c:pt>
              </c:strCache>
            </c:strRef>
          </c:tx>
          <c:spPr>
            <a:gradFill>
              <a:gsLst>
                <a:gs pos="0">
                  <a:srgbClr val="6E6FFA"/>
                </a:gs>
                <a:gs pos="100000">
                  <a:srgbClr val="07E3EE"/>
                </a:gs>
              </a:gsLst>
              <a:lin ang="5400000" scaled="0"/>
            </a:gradFill>
            <a:ln>
              <a:noFill/>
            </a:ln>
            <a:effectLst>
              <a:innerShdw blurRad="63500" dist="50800">
                <a:prstClr val="black">
                  <a:alpha val="50000"/>
                </a:prstClr>
              </a:innerShdw>
            </a:effectLst>
          </c:spPr>
          <c:invertIfNegative val="0"/>
          <c:dLbls>
            <c:delete val="1"/>
          </c:dLbls>
          <c:cat>
            <c:strRef>
              <c:f>Sheet1!$A$2:$A$3</c:f>
              <c:strCache>
                <c:ptCount val="2"/>
                <c:pt idx="0">
                  <c:v>2023年收支决算</c:v>
                </c:pt>
                <c:pt idx="1">
                  <c:v>2024年收支决算</c:v>
                </c:pt>
              </c:strCache>
            </c:strRef>
          </c:cat>
          <c:val>
            <c:numRef>
              <c:f>Sheet1!$C$2:$C$3</c:f>
              <c:numCache>
                <c:formatCode>General</c:formatCode>
                <c:ptCount val="2"/>
                <c:pt idx="0">
                  <c:v>651.84</c:v>
                </c:pt>
                <c:pt idx="1">
                  <c:v>620.06</c:v>
                </c:pt>
              </c:numCache>
            </c:numRef>
          </c:val>
        </c:ser>
        <c:dLbls>
          <c:showLegendKey val="0"/>
          <c:showVal val="0"/>
          <c:showCatName val="0"/>
          <c:showSerName val="0"/>
          <c:showPercent val="0"/>
          <c:showBubbleSize val="0"/>
        </c:dLbls>
        <c:gapWidth val="219"/>
        <c:overlap val="-27"/>
        <c:axId val="950454468"/>
        <c:axId val="83275791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gradFill>
                    <a:gsLst>
                      <a:gs pos="0">
                        <a:srgbClr val="8DDE03"/>
                      </a:gs>
                      <a:gs pos="100000">
                        <a:srgbClr val="DCDB06"/>
                      </a:gs>
                    </a:gsLst>
                    <a:lin ang="5400000" scaled="0"/>
                  </a:gra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2023年收支决算</c:v>
                      </c:pt>
                      <c:pt idx="1">
                        <c:v>2024年收支决算</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50454468"/>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32757910"/>
        <c:crosses val="autoZero"/>
        <c:auto val="1"/>
        <c:lblAlgn val="ctr"/>
        <c:lblOffset val="100"/>
        <c:noMultiLvlLbl val="0"/>
      </c:catAx>
      <c:valAx>
        <c:axId val="83275791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50454468"/>
        <c:crosses val="autoZero"/>
        <c:crossBetween val="between"/>
      </c:valAx>
      <c:spPr>
        <a:noFill/>
        <a:ln>
          <a:solidFill>
            <a:schemeClr val="bg1">
              <a:lumMod val="85000"/>
            </a:schemeClr>
          </a:solid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dfda205-be84-4862-9d35-a147aac44ff9}"/>
      </c:ext>
    </c:extLst>
  </c:chart>
  <c:spPr>
    <a:blipFill rotWithShape="1">
      <a:blip xmlns:r="http://schemas.openxmlformats.org/officeDocument/2006/relationships" r:embed="rId2">
        <a:alphaModFix amt="69000"/>
      </a:blip>
      <a:tile tx="0" ty="0" sx="100000" sy="100000" flip="none" algn="tl"/>
    </a:blipFill>
    <a:ln w="9525" cap="flat" cmpd="sng" algn="ctr">
      <a:solidFill>
        <a:schemeClr val="tx1">
          <a:lumMod val="15000"/>
          <a:lumOff val="85000"/>
        </a:schemeClr>
      </a:solidFill>
      <a:round/>
    </a:ln>
    <a:effectLst>
      <a:innerShdw blurRad="63500" dist="50800">
        <a:prstClr val="black">
          <a:alpha val="50000"/>
        </a:prstClr>
      </a:innerShdw>
    </a:effectLst>
  </c:spPr>
  <c:txPr>
    <a:bodyPr/>
    <a:lstStyle/>
    <a:p>
      <a:pPr>
        <a:defRPr lang="zh-CN">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effectLst>
                  <a:innerShdw blurRad="63500" dist="50800">
                    <a:prstClr val="black">
                      <a:alpha val="100000"/>
                    </a:prstClr>
                  </a:innerShdw>
                </a:effectLst>
              </a:rPr>
              <a:t>图5：一般公共预算财政拨款支出</a:t>
            </a:r>
            <a:endParaRPr>
              <a:effectLst>
                <a:innerShdw blurRad="63500" dist="50800">
                  <a:prstClr val="black">
                    <a:alpha val="100000"/>
                  </a:prstClr>
                </a:innerShdw>
              </a:effectLst>
            </a:endParaRP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一般公共预算财政拨款支出</c:v>
                </c:pt>
              </c:strCache>
            </c:strRef>
          </c:tx>
          <c:spPr>
            <a:gradFill>
              <a:gsLst>
                <a:gs pos="0">
                  <a:srgbClr val="EE5596"/>
                </a:gs>
                <a:gs pos="100000">
                  <a:srgbClr val="F9B621"/>
                </a:gs>
              </a:gsLst>
              <a:lin ang="5400000" scaled="0"/>
            </a:gradFill>
            <a:ln>
              <a:noFill/>
            </a:ln>
            <a:effectLst>
              <a:innerShdw blurRad="114300">
                <a:prstClr val="black"/>
              </a:innerShdw>
            </a:effectLst>
          </c:spPr>
          <c:invertIfNegative val="0"/>
          <c:dLbls>
            <c:delete val="1"/>
          </c:dLbls>
          <c:cat>
            <c:strRef>
              <c:f>Sheet1!$A$2:$A$3</c:f>
              <c:strCache>
                <c:ptCount val="2"/>
                <c:pt idx="0">
                  <c:v>2023年度一般公共预算财政拨款支出</c:v>
                </c:pt>
                <c:pt idx="1">
                  <c:v>2024年度一般公共预算财政拨款支出</c:v>
                </c:pt>
              </c:strCache>
            </c:strRef>
          </c:cat>
          <c:val>
            <c:numRef>
              <c:f>Sheet1!$B$2:$B$3</c:f>
              <c:numCache>
                <c:formatCode>General</c:formatCode>
                <c:ptCount val="2"/>
                <c:pt idx="0">
                  <c:v>651.84</c:v>
                </c:pt>
                <c:pt idx="1">
                  <c:v>620.06</c:v>
                </c:pt>
              </c:numCache>
            </c:numRef>
          </c:val>
        </c:ser>
        <c:dLbls>
          <c:showLegendKey val="0"/>
          <c:showVal val="0"/>
          <c:showCatName val="0"/>
          <c:showSerName val="0"/>
          <c:showPercent val="0"/>
          <c:showBubbleSize val="0"/>
        </c:dLbls>
        <c:gapWidth val="219"/>
        <c:overlap val="-27"/>
        <c:axId val="238019940"/>
        <c:axId val="5108972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一般公共预算财政拨款支出</c:v>
                      </c:pt>
                    </c:strCache>
                  </c:strRef>
                </c:tx>
                <c:spPr>
                  <a:gradFill>
                    <a:gsLst>
                      <a:gs pos="0">
                        <a:srgbClr val="6E6FFA"/>
                      </a:gs>
                      <a:gs pos="100000">
                        <a:srgbClr val="07E3EE"/>
                      </a:gs>
                    </a:gsLst>
                    <a:lin ang="5400000" scaled="0"/>
                  </a:gra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2023年度一般公共预算财政拨款支出</c:v>
                      </c:pt>
                      <c:pt idx="1">
                        <c:v>2024年度一般公共预算财政拨款支出</c:v>
                      </c:pt>
                    </c:strCache>
                  </c:strRef>
                </c:cat>
                <c:val>
                  <c:numRef>
                    <c:extLst>
                      <c:ext uri="{02D57815-91ED-43cb-92C2-25804820EDAC}">
                        <c15:formulaRef>
                          <c15:sqref>Sheet1!$C$2:$C$3</c15:sqref>
                        </c15:formulaRef>
                      </c:ext>
                    </c:extLst>
                    <c:numCache>
                      <c:formatCode>General</c:formatCode>
                      <c:ptCount val="2"/>
                      <c:pt idx="0">
                        <c:v>2.4</c:v>
                      </c:pt>
                      <c:pt idx="1">
                        <c:v>4.4</c:v>
                      </c:pt>
                    </c:numCache>
                  </c:numRef>
                </c:val>
              </c15:ser>
            </c15:filteredBarSeries>
          </c:ext>
        </c:extLst>
      </c:barChart>
      <c:catAx>
        <c:axId val="238019940"/>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0897288"/>
        <c:crosses val="autoZero"/>
        <c:auto val="1"/>
        <c:lblAlgn val="ctr"/>
        <c:lblOffset val="100"/>
        <c:noMultiLvlLbl val="0"/>
      </c:catAx>
      <c:valAx>
        <c:axId val="51089728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38019940"/>
        <c:crosses val="autoZero"/>
        <c:crossBetween val="between"/>
      </c:valAx>
      <c:spPr>
        <a:noFill/>
        <a:ln>
          <a:solidFill>
            <a:schemeClr val="bg1">
              <a:lumMod val="85000"/>
            </a:schemeClr>
          </a:solid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7a49327-b432-49d0-b05c-48ec3d3e93a4}"/>
      </c:ext>
    </c:extLst>
  </c:chart>
  <c:spPr>
    <a:gradFill>
      <a:gsLst>
        <a:gs pos="99000">
          <a:schemeClr val="accent1">
            <a:lumMod val="75000"/>
            <a:lumOff val="25000"/>
          </a:schemeClr>
        </a:gs>
        <a:gs pos="0">
          <a:schemeClr val="accent1">
            <a:lumMod val="25000"/>
            <a:lumOff val="75000"/>
          </a:schemeClr>
        </a:gs>
        <a:gs pos="100000">
          <a:schemeClr val="accent1">
            <a:lumMod val="85000"/>
          </a:schemeClr>
        </a:gs>
      </a:gsLst>
      <a:lin ang="5400000" scaled="1"/>
    </a:gradFill>
    <a:ln w="9525" cap="flat" cmpd="sng" algn="ctr">
      <a:solidFill>
        <a:schemeClr val="tx1">
          <a:lumMod val="15000"/>
          <a:lumOff val="85000"/>
        </a:schemeClr>
      </a:solidFill>
      <a:round/>
    </a:ln>
    <a:effectLst>
      <a:innerShdw blurRad="114300">
        <a:prstClr val="black"/>
      </a:innerShdw>
    </a:effectLst>
  </c:spPr>
  <c:txPr>
    <a:bodyPr/>
    <a:lstStyle/>
    <a:p>
      <a:pPr>
        <a:defRPr lang="zh-CN">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0705484416526"/>
          <c:y val="0.0095622609434764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c:v>
                </c:pt>
              </c:strCache>
            </c:strRef>
          </c:tx>
          <c:spPr>
            <a:effectLst>
              <a:innerShdw blurRad="114300">
                <a:schemeClr val="accent1">
                  <a:lumMod val="75000"/>
                </a:schemeClr>
              </a:innerShdw>
            </a:effectLst>
          </c:spPr>
          <c:explosion val="0"/>
          <c:dPt>
            <c:idx val="0"/>
            <c:bubble3D val="0"/>
            <c:spPr>
              <a:solidFill>
                <a:schemeClr val="accent1"/>
              </a:solidFill>
              <a:ln w="25400">
                <a:solidFill>
                  <a:schemeClr val="lt1"/>
                </a:solidFill>
              </a:ln>
              <a:effectLst>
                <a:innerShdw blurRad="114300">
                  <a:schemeClr val="accent1">
                    <a:lumMod val="75000"/>
                  </a:schemeClr>
                </a:innerShdw>
              </a:effectLst>
            </c:spPr>
          </c:dPt>
          <c:dPt>
            <c:idx val="1"/>
            <c:bubble3D val="0"/>
            <c:spPr>
              <a:solidFill>
                <a:schemeClr val="accent2"/>
              </a:solidFill>
              <a:ln w="25400">
                <a:solidFill>
                  <a:schemeClr val="lt1"/>
                </a:solidFill>
              </a:ln>
              <a:effectLst>
                <a:innerShdw blurRad="114300">
                  <a:schemeClr val="accent1">
                    <a:lumMod val="75000"/>
                  </a:schemeClr>
                </a:innerShdw>
              </a:effectLst>
            </c:spPr>
          </c:dPt>
          <c:dPt>
            <c:idx val="2"/>
            <c:bubble3D val="0"/>
            <c:spPr>
              <a:solidFill>
                <a:schemeClr val="accent3"/>
              </a:solidFill>
              <a:ln w="25400">
                <a:solidFill>
                  <a:schemeClr val="lt1"/>
                </a:solidFill>
              </a:ln>
              <a:effectLst>
                <a:innerShdw blurRad="114300">
                  <a:schemeClr val="accent1">
                    <a:lumMod val="75000"/>
                  </a:schemeClr>
                </a:innerShdw>
              </a:effectLst>
            </c:spPr>
          </c:dPt>
          <c:dPt>
            <c:idx val="3"/>
            <c:bubble3D val="0"/>
            <c:spPr>
              <a:solidFill>
                <a:schemeClr val="accent4"/>
              </a:solidFill>
              <a:ln w="25400">
                <a:solidFill>
                  <a:schemeClr val="lt1"/>
                </a:solidFill>
              </a:ln>
              <a:effectLst>
                <a:innerShdw blurRad="114300">
                  <a:schemeClr val="accent1">
                    <a:lumMod val="75000"/>
                  </a:schemeClr>
                </a:innerShdw>
              </a:effectLst>
            </c:spPr>
          </c:dPt>
          <c:dPt>
            <c:idx val="4"/>
            <c:bubble3D val="0"/>
            <c:spPr>
              <a:solidFill>
                <a:schemeClr val="accent5"/>
              </a:solidFill>
              <a:ln w="25400">
                <a:solidFill>
                  <a:schemeClr val="lt1"/>
                </a:solidFill>
              </a:ln>
              <a:effectLst>
                <a:innerShdw blurRad="114300">
                  <a:schemeClr val="accent1">
                    <a:lumMod val="75000"/>
                  </a:schemeClr>
                </a:innerShdw>
              </a:effectLst>
            </c:spPr>
          </c:dPt>
          <c:dPt>
            <c:idx val="5"/>
            <c:bubble3D val="0"/>
            <c:spPr>
              <a:solidFill>
                <a:schemeClr val="accent6"/>
              </a:solidFill>
              <a:ln w="25400">
                <a:solidFill>
                  <a:schemeClr val="lt1"/>
                </a:solidFill>
              </a:ln>
              <a:effectLst>
                <a:innerShdw blurRad="114300">
                  <a:schemeClr val="accent1">
                    <a:lumMod val="75000"/>
                  </a:schemeClr>
                </a:innerShdw>
              </a:effectLst>
            </c:spPr>
          </c:dPt>
          <c:dPt>
            <c:idx val="6"/>
            <c:bubble3D val="0"/>
            <c:spPr>
              <a:solidFill>
                <a:schemeClr val="accent1">
                  <a:lumMod val="60000"/>
                </a:schemeClr>
              </a:solidFill>
              <a:ln w="25400">
                <a:solidFill>
                  <a:schemeClr val="lt1"/>
                </a:solidFill>
              </a:ln>
              <a:effectLst>
                <a:innerShdw blurRad="114300">
                  <a:schemeClr val="accent1">
                    <a:lumMod val="75000"/>
                  </a:schemeClr>
                </a:innerShdw>
              </a:effectLst>
            </c:spPr>
          </c:dPt>
          <c:dPt>
            <c:idx val="7"/>
            <c:bubble3D val="0"/>
            <c:spPr>
              <a:solidFill>
                <a:schemeClr val="accent2">
                  <a:lumMod val="60000"/>
                </a:schemeClr>
              </a:solidFill>
              <a:ln w="25400">
                <a:solidFill>
                  <a:schemeClr val="lt1"/>
                </a:solidFill>
              </a:ln>
              <a:effectLst>
                <a:innerShdw blurRad="114300">
                  <a:schemeClr val="accent1">
                    <a:lumMod val="75000"/>
                  </a:schemeClr>
                </a:innerShdw>
              </a:effectLst>
            </c:spPr>
          </c:dPt>
          <c:dLbls>
            <c:dLbl>
              <c:idx val="0"/>
              <c:layout>
                <c:manualLayout>
                  <c:x val="0.131432713215753"/>
                  <c:y val="-0.1115597110072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5392606909882"/>
                  <c:y val="0.1434339141521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4252234839333"/>
                  <c:y val="0.2896302592435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3021148672228"/>
                  <c:y val="-0.03166170845728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78303938149311"/>
                  <c:y val="-0.1143221419464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1019569944431"/>
                  <c:y val="-0.021036974075648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2652814689539"/>
                      <c:h val="0.114747131321717"/>
                    </c:manualLayout>
                  </c15:layout>
                </c:ext>
              </c:extLst>
            </c:dLbl>
            <c:dLbl>
              <c:idx val="6"/>
              <c:layout>
                <c:manualLayout>
                  <c:x val="0.282193766610292"/>
                  <c:y val="0.01062473438164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effectLst>
                        <a:innerShdw blurRad="63500" dist="50800" dir="18900000">
                          <a:prstClr val="black">
                            <a:alpha val="100000"/>
                          </a:prstClr>
                        </a:innerShdw>
                      </a:effectLst>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effectLst>
                      <a:innerShdw blurRad="63500" dist="50800" dir="18900000">
                        <a:prstClr val="black">
                          <a:alpha val="100000"/>
                        </a:prstClr>
                      </a:innerShdw>
                    </a:effectLst>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Sheet1!$A$2:$A$9</c:f>
              <c:strCache>
                <c:ptCount val="8"/>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Sheet1!$B$2:$B$9</c:f>
              <c:numCache>
                <c:formatCode>General</c:formatCode>
                <c:ptCount val="8"/>
                <c:pt idx="0">
                  <c:v>499.17</c:v>
                </c:pt>
                <c:pt idx="1">
                  <c:v>0</c:v>
                </c:pt>
                <c:pt idx="2">
                  <c:v>0</c:v>
                </c:pt>
                <c:pt idx="3">
                  <c:v>0</c:v>
                </c:pt>
                <c:pt idx="4">
                  <c:v>64.52</c:v>
                </c:pt>
                <c:pt idx="5">
                  <c:v>24.29</c:v>
                </c:pt>
                <c:pt idx="6">
                  <c:v>32.08</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extLst>
      <c:ext uri="{0b15fc19-7d7d-44ad-8c2d-2c3a37ce22c3}">
        <chartProps xmlns="https://web.wps.cn/et/2018/main" chartId="{1ec747bf-b4ad-4568-a241-e203da77b3a9}"/>
      </c:ext>
    </c:extLst>
  </c:chart>
  <c:spPr>
    <a:gradFill>
      <a:gsLst>
        <a:gs pos="76000">
          <a:schemeClr val="accent3"/>
        </a:gs>
        <a:gs pos="0">
          <a:schemeClr val="accent3">
            <a:lumMod val="25000"/>
            <a:lumOff val="75000"/>
          </a:schemeClr>
        </a:gs>
        <a:gs pos="88000">
          <a:schemeClr val="accent3">
            <a:lumMod val="85000"/>
          </a:schemeClr>
        </a:gs>
      </a:gsLst>
      <a:path path="circle">
        <a:fillToRect l="50000" t="50000" r="50000" b="50000"/>
      </a:path>
      <a:tileRect/>
    </a:gradFill>
    <a:ln w="9525" cap="flat" cmpd="sng" algn="ctr">
      <a:solidFill>
        <a:schemeClr val="tx1">
          <a:lumMod val="15000"/>
          <a:lumOff val="85000"/>
        </a:schemeClr>
      </a:solidFill>
      <a:round/>
    </a:ln>
    <a:effectLst>
      <a:innerShdw blurRad="114300">
        <a:prstClr val="black"/>
      </a:inn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图7：“三公”经费财政拨款支出结构</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dLbl>
              <c:idx val="0"/>
              <c:layout>
                <c:manualLayout>
                  <c:x val="0.253620826820474"/>
                  <c:y val="0.07914684300999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352338922712001"/>
                  <c:y val="-0.12590669129579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227931920994075"/>
                  <c:y val="0.046975125045806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13.33</c:v>
                </c:pt>
                <c:pt idx="2">
                  <c:v>0.24</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9897cefd-631b-4998-a351-23499e90cab0}"/>
      </c:ext>
    </c:extLst>
  </c:chart>
  <c:spPr>
    <a:gradFill>
      <a:gsLst>
        <a:gs pos="0">
          <a:srgbClr val="9EE256">
            <a:alpha val="100000"/>
            <a:lumMod val="0"/>
            <a:lumOff val="100000"/>
          </a:srgbClr>
        </a:gs>
        <a:gs pos="100000">
          <a:srgbClr val="52762D"/>
        </a:gs>
      </a:gsLst>
      <a:path path="shape">
        <a:fillToRect l="50000" t="50000" r="50000" b="50000"/>
      </a:path>
      <a:tileRect/>
    </a:gradFill>
    <a:ln w="9525" cap="flat" cmpd="sng" algn="ctr">
      <a:solidFill>
        <a:schemeClr val="tx1">
          <a:lumMod val="15000"/>
          <a:lumOff val="85000"/>
        </a:schemeClr>
      </a:solidFill>
      <a:round/>
    </a:ln>
    <a:effectLst>
      <a:innerShdw blurRad="63500" dist="50800" dir="5400000">
        <a:prstClr val="black">
          <a:alpha val="50000"/>
        </a:prstClr>
      </a:inn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12123</Words>
  <Characters>12823</Characters>
  <TotalTime>5</TotalTime>
  <ScaleCrop>false</ScaleCrop>
  <LinksUpToDate>false</LinksUpToDate>
  <CharactersWithSpaces>12846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奕夕^_^</cp:lastModifiedBy>
  <cp:lastPrinted>2024-09-20T01:51:00Z</cp:lastPrinted>
  <dcterms:modified xsi:type="dcterms:W3CDTF">2025-10-15T08:09:21Z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C79A9B3D69FA4E5EA23449CBFFBAD28A_13</vt:lpwstr>
  </property>
  <property fmtid="{D5CDD505-2E9C-101B-9397-08002B2CF9AE}" pid="4" name="KSOTemplateDocerSaveRecord">
    <vt:lpwstr>eyJoZGlkIjoiNTU1MWNhN2ZmY2ZhZmY3ODhlYTg0MWU5OGMyY2QwZmUiLCJ1c2VySWQiOiI0MzQ2NTM0NzEifQ==</vt:lpwstr>
  </property>
</Properties>
</file>