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9A3F5">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3474BB33">
      <w:pPr>
        <w:pStyle w:val="5"/>
        <w:jc w:val="center"/>
        <w:rPr>
          <w:rFonts w:hint="eastAsia" w:ascii="方正小标宋简体" w:hAnsi="宋体" w:eastAsia="方正小标宋简体" w:cs="Times New Roman"/>
          <w:color w:val="auto"/>
          <w:kern w:val="2"/>
          <w:sz w:val="44"/>
          <w:szCs w:val="44"/>
          <w:highlight w:val="none"/>
          <w:lang w:val="en-US" w:eastAsia="zh-CN" w:bidi="ar-SA"/>
        </w:rPr>
      </w:pPr>
    </w:p>
    <w:p w14:paraId="23BD14D1">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Start w:id="0" w:name="_Toc15378442"/>
      <w:bookmarkStart w:id="1" w:name="_Toc15396598"/>
      <w:bookmarkStart w:id="2" w:name="_Toc15396476"/>
      <w:bookmarkStart w:id="3" w:name="_Toc15377426"/>
      <w:bookmarkStart w:id="4" w:name="_Toc15377194"/>
    </w:p>
    <w:p w14:paraId="3C022525">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四川省阿坝州松潘县</w:t>
      </w:r>
      <w:bookmarkStart w:id="5" w:name="_Toc15306268"/>
    </w:p>
    <w:p w14:paraId="2948DD18">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中共松潘县委统战部本级部门决算</w:t>
      </w:r>
      <w:bookmarkEnd w:id="0"/>
      <w:bookmarkEnd w:id="1"/>
      <w:bookmarkEnd w:id="2"/>
      <w:bookmarkEnd w:id="3"/>
      <w:bookmarkEnd w:id="4"/>
      <w:bookmarkEnd w:id="5"/>
    </w:p>
    <w:p w14:paraId="14DA5F50">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（部门公开）</w:t>
      </w:r>
    </w:p>
    <w:p w14:paraId="10EC5CE0">
      <w:pPr>
        <w:widowControl/>
        <w:jc w:val="center"/>
        <w:rPr>
          <w:rFonts w:hint="eastAsia" w:ascii="黑体" w:hAnsi="黑体" w:eastAsia="黑体"/>
          <w:color w:val="auto"/>
          <w:sz w:val="48"/>
          <w:szCs w:val="48"/>
          <w:highlight w:val="none"/>
        </w:rPr>
        <w:sectPr>
          <w:pgSz w:w="11906" w:h="16838"/>
          <w:pgMar w:top="1440" w:right="1800" w:bottom="1440" w:left="1800" w:header="720" w:footer="720" w:gutter="0"/>
          <w:cols w:space="720" w:num="1"/>
          <w:docGrid w:type="lines" w:linePitch="312" w:charSpace="0"/>
        </w:sectPr>
      </w:pPr>
    </w:p>
    <w:p w14:paraId="0E4D7A32">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7B4FB77F">
      <w:pPr>
        <w:widowControl/>
        <w:jc w:val="center"/>
        <w:rPr>
          <w:rFonts w:ascii="黑体" w:hAnsi="黑体" w:eastAsia="黑体" w:cs="Times New Roman"/>
          <w:color w:val="auto"/>
          <w:sz w:val="28"/>
          <w:szCs w:val="28"/>
          <w:highlight w:val="none"/>
        </w:rPr>
      </w:pPr>
    </w:p>
    <w:p w14:paraId="0DF4E653">
      <w:pPr>
        <w:pStyle w:val="9"/>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19</w:t>
      </w:r>
      <w:r>
        <w:rPr>
          <w:rFonts w:hint="eastAsia"/>
          <w:color w:val="auto"/>
          <w:highlight w:val="none"/>
        </w:rPr>
        <w:t>日</w:t>
      </w:r>
    </w:p>
    <w:p w14:paraId="1D830D4D">
      <w:pPr>
        <w:rPr>
          <w:color w:val="auto"/>
          <w:highlight w:val="none"/>
        </w:rPr>
      </w:pPr>
    </w:p>
    <w:p w14:paraId="10CB1857">
      <w:pPr>
        <w:pStyle w:val="9"/>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p>
    <w:p w14:paraId="3C26A851">
      <w:pPr>
        <w:pStyle w:val="13"/>
        <w:adjustRightInd w:val="0"/>
        <w:snapToGrid w:val="0"/>
        <w:spacing w:line="440" w:lineRule="exact"/>
        <w:jc w:val="left"/>
        <w:rPr>
          <w:rFonts w:ascii="仿宋" w:hAnsi="仿宋" w:eastAsia="仿宋"/>
          <w:color w:val="auto"/>
          <w:sz w:val="24"/>
          <w:highlight w:val="none"/>
        </w:rPr>
      </w:pPr>
      <w:r>
        <w:rPr>
          <w:rFonts w:hint="eastAsia"/>
          <w:color w:val="auto"/>
          <w:sz w:val="24"/>
          <w:highlight w:val="none"/>
        </w:rPr>
        <w:t>一、</w:t>
      </w:r>
      <w:r>
        <w:rPr>
          <w:rFonts w:hint="eastAsia"/>
          <w:color w:val="auto"/>
          <w:sz w:val="24"/>
          <w:highlight w:val="none"/>
          <w:lang w:eastAsia="zh-CN"/>
        </w:rPr>
        <w:t>部门职责</w:t>
      </w:r>
    </w:p>
    <w:p w14:paraId="0EECE7CC">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二、机构设置</w:t>
      </w:r>
    </w:p>
    <w:p w14:paraId="2EB9FA88">
      <w:pPr>
        <w:pStyle w:val="9"/>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2023年度</w:t>
      </w:r>
      <w:r>
        <w:rPr>
          <w:rFonts w:hint="eastAsia"/>
          <w:color w:val="auto"/>
          <w:sz w:val="24"/>
          <w:highlight w:val="none"/>
        </w:rPr>
        <w:t>部门决算情况说明</w:t>
      </w:r>
    </w:p>
    <w:p w14:paraId="006A1044">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一、收入支出决算总体情况说明</w:t>
      </w:r>
    </w:p>
    <w:p w14:paraId="7FBBE64C">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二、收入决算情况说明</w:t>
      </w:r>
    </w:p>
    <w:p w14:paraId="203C18AD">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三、支出决算情况说明</w:t>
      </w:r>
    </w:p>
    <w:p w14:paraId="34A2621D">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四、财政拨款收入支出决算总体情况说明</w:t>
      </w:r>
    </w:p>
    <w:p w14:paraId="64AF36FA">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五、一般公共预算财政拨款支出决算情况说明</w:t>
      </w:r>
    </w:p>
    <w:p w14:paraId="6DE84232">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六、一般公共预算财政拨款基本支出决算情况说明</w:t>
      </w:r>
    </w:p>
    <w:p w14:paraId="250A728C">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p>
    <w:p w14:paraId="617FB24C">
      <w:pPr>
        <w:pStyle w:val="13"/>
        <w:adjustRightInd w:val="0"/>
        <w:snapToGrid w:val="0"/>
        <w:spacing w:line="440" w:lineRule="exact"/>
        <w:jc w:val="left"/>
        <w:rPr>
          <w:rFonts w:ascii="仿宋" w:hAnsi="仿宋" w:eastAsia="仿宋" w:cs="Times New Roman"/>
          <w:color w:val="auto"/>
          <w:sz w:val="24"/>
          <w:highlight w:val="none"/>
        </w:rPr>
      </w:pPr>
      <w:r>
        <w:rPr>
          <w:rFonts w:hint="eastAsia"/>
          <w:color w:val="auto"/>
          <w:sz w:val="24"/>
          <w:highlight w:val="none"/>
        </w:rPr>
        <w:t>八、政府性基金预算支出决算情况说明</w:t>
      </w:r>
    </w:p>
    <w:p w14:paraId="1B6D6F67">
      <w:pPr>
        <w:pStyle w:val="13"/>
        <w:adjustRightInd w:val="0"/>
        <w:snapToGrid w:val="0"/>
        <w:spacing w:line="440" w:lineRule="exact"/>
        <w:ind w:lef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p>
    <w:p w14:paraId="3B7005E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宋体" w:hAnsi="宋体" w:eastAsia="宋体" w:cs="宋体"/>
          <w:color w:val="auto"/>
          <w:sz w:val="24"/>
          <w:highlight w:val="none"/>
        </w:rPr>
      </w:pPr>
      <w:r>
        <w:rPr>
          <w:rStyle w:val="18"/>
          <w:rFonts w:hint="eastAsia" w:ascii="宋体" w:hAnsi="宋体" w:eastAsia="宋体" w:cs="宋体"/>
          <w:color w:val="auto"/>
          <w:sz w:val="24"/>
          <w:highlight w:val="none"/>
          <w:u w:val="none"/>
          <w:lang w:eastAsia="zh-CN"/>
        </w:rPr>
        <w:t>十</w:t>
      </w:r>
      <w:r>
        <w:rPr>
          <w:rStyle w:val="18"/>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p>
    <w:p w14:paraId="2ABD0DBB">
      <w:pPr>
        <w:pStyle w:val="9"/>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p>
    <w:p w14:paraId="65E3825C">
      <w:pPr>
        <w:pStyle w:val="9"/>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p>
    <w:p w14:paraId="430D1E0F">
      <w:pPr>
        <w:pStyle w:val="9"/>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p>
    <w:p w14:paraId="4D319692">
      <w:pPr>
        <w:pStyle w:val="13"/>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D029878">
      <w:pPr>
        <w:pStyle w:val="13"/>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1C6285BD">
      <w:pPr>
        <w:pStyle w:val="13"/>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57DAD1C0">
      <w:pPr>
        <w:pStyle w:val="13"/>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3C038C1F">
      <w:pPr>
        <w:pStyle w:val="13"/>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632BB6CF">
      <w:pPr>
        <w:pStyle w:val="13"/>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57813B60">
      <w:pPr>
        <w:pStyle w:val="13"/>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29E85667">
      <w:pPr>
        <w:pStyle w:val="13"/>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3C1DEA66">
      <w:pPr>
        <w:pStyle w:val="13"/>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49D745D8">
      <w:pPr>
        <w:pStyle w:val="13"/>
        <w:adjustRightInd w:val="0"/>
        <w:snapToGrid w:val="0"/>
        <w:spacing w:line="440" w:lineRule="exact"/>
        <w:jc w:val="left"/>
        <w:rPr>
          <w:rFonts w:hint="eastAsia"/>
          <w:color w:val="auto"/>
          <w:sz w:val="24"/>
          <w:highlight w:val="none"/>
        </w:rPr>
        <w:sectPr>
          <w:footerReference r:id="rId3" w:type="default"/>
          <w:pgSz w:w="11906" w:h="16838"/>
          <w:pgMar w:top="1440" w:right="1800" w:bottom="1440" w:left="1800" w:header="720" w:footer="720" w:gutter="0"/>
          <w:pgNumType w:start="1"/>
          <w:cols w:space="720" w:num="1"/>
          <w:docGrid w:type="lines" w:linePitch="312" w:charSpace="0"/>
        </w:sectPr>
      </w:pPr>
    </w:p>
    <w:p w14:paraId="60196E3C">
      <w:pPr>
        <w:pStyle w:val="13"/>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30085046">
      <w:pPr>
        <w:pStyle w:val="13"/>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57D92315">
      <w:pPr>
        <w:pStyle w:val="13"/>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1F55EDBE">
      <w:pPr>
        <w:pStyle w:val="13"/>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284804A5">
      <w:pPr>
        <w:widowControl/>
        <w:adjustRightInd w:val="0"/>
        <w:snapToGrid w:val="0"/>
        <w:spacing w:line="440" w:lineRule="exact"/>
        <w:ind w:firstLine="1320" w:firstLineChars="550"/>
        <w:jc w:val="left"/>
        <w:rPr>
          <w:rFonts w:ascii="仿宋" w:hAnsi="仿宋" w:eastAsia="仿宋"/>
          <w:color w:val="auto"/>
          <w:sz w:val="24"/>
          <w:highlight w:val="none"/>
        </w:rPr>
      </w:pPr>
      <w:r>
        <w:rPr>
          <w:rFonts w:hint="eastAsia" w:ascii="仿宋" w:hAnsi="仿宋" w:eastAsia="仿宋"/>
          <w:color w:val="auto"/>
          <w:sz w:val="24"/>
          <w:highlight w:val="none"/>
          <w:lang w:eastAsia="zh-CN"/>
        </w:rPr>
        <w:t>（</w:t>
      </w:r>
      <w:r>
        <w:rPr>
          <w:rFonts w:ascii="仿宋" w:hAnsi="仿宋" w:eastAsia="仿宋"/>
          <w:color w:val="auto"/>
          <w:sz w:val="24"/>
          <w:highlight w:val="none"/>
        </w:rPr>
        <w:t>注：</w:t>
      </w:r>
      <w:r>
        <w:rPr>
          <w:rFonts w:hint="eastAsia" w:ascii="仿宋" w:hAnsi="仿宋" w:eastAsia="仿宋"/>
          <w:color w:val="auto"/>
          <w:sz w:val="24"/>
          <w:highlight w:val="none"/>
        </w:rPr>
        <w:t>请部门根据实际注明页码</w:t>
      </w:r>
      <w:r>
        <w:rPr>
          <w:rFonts w:hint="eastAsia" w:ascii="仿宋" w:hAnsi="仿宋" w:eastAsia="仿宋"/>
          <w:color w:val="auto"/>
          <w:sz w:val="24"/>
          <w:highlight w:val="none"/>
          <w:lang w:eastAsia="zh-CN"/>
        </w:rPr>
        <w:t>）</w:t>
      </w:r>
    </w:p>
    <w:p w14:paraId="517E08F7">
      <w:pPr>
        <w:pStyle w:val="2"/>
        <w:jc w:val="center"/>
        <w:rPr>
          <w:rFonts w:hint="eastAsia" w:ascii="黑体" w:hAnsi="黑体" w:eastAsia="黑体"/>
          <w:b w:val="0"/>
          <w:color w:val="auto"/>
          <w:highlight w:val="none"/>
        </w:rPr>
        <w:sectPr>
          <w:footerReference r:id="rId4" w:type="default"/>
          <w:pgSz w:w="11906" w:h="16838"/>
          <w:pgMar w:top="1440" w:right="1800" w:bottom="1440" w:left="1800" w:header="720" w:footer="720" w:gutter="0"/>
          <w:pgNumType w:start="1"/>
          <w:cols w:space="720" w:num="1"/>
          <w:docGrid w:type="lines" w:linePitch="312" w:charSpace="0"/>
        </w:sectPr>
      </w:pPr>
      <w:bookmarkStart w:id="6" w:name="_Toc15396599"/>
      <w:bookmarkStart w:id="7" w:name="_Toc15377196"/>
    </w:p>
    <w:p w14:paraId="0F828DCB">
      <w:pPr>
        <w:pStyle w:val="2"/>
        <w:jc w:val="center"/>
        <w:rPr>
          <w:rStyle w:val="1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19"/>
          <w:rFonts w:hint="eastAsia" w:ascii="黑体" w:hAnsi="黑体" w:eastAsia="黑体"/>
          <w:b w:val="0"/>
          <w:bCs w:val="0"/>
          <w:color w:val="auto"/>
          <w:highlight w:val="none"/>
        </w:rPr>
        <w:t>部门概况</w:t>
      </w:r>
      <w:bookmarkEnd w:id="6"/>
      <w:bookmarkEnd w:id="7"/>
    </w:p>
    <w:p w14:paraId="05F87D26">
      <w:pPr>
        <w:widowControl/>
        <w:jc w:val="left"/>
        <w:rPr>
          <w:rFonts w:ascii="黑体" w:eastAsia="黑体"/>
          <w:color w:val="auto"/>
          <w:sz w:val="32"/>
          <w:szCs w:val="32"/>
          <w:highlight w:val="none"/>
        </w:rPr>
      </w:pPr>
    </w:p>
    <w:p w14:paraId="52F02336">
      <w:pPr>
        <w:pStyle w:val="3"/>
        <w:rPr>
          <w:rStyle w:val="20"/>
          <w:rFonts w:hint="eastAsia" w:ascii="仿宋" w:hAnsi="仿宋" w:eastAsia="黑体"/>
          <w:b w:val="0"/>
          <w:bCs w:val="0"/>
          <w:color w:val="auto"/>
          <w:highlight w:val="none"/>
          <w:lang w:eastAsia="zh-CN"/>
        </w:rPr>
      </w:pPr>
      <w:bookmarkStart w:id="8" w:name="_Toc15396600"/>
      <w:bookmarkStart w:id="9" w:name="_Toc15377197"/>
      <w:r>
        <w:rPr>
          <w:rFonts w:hint="eastAsia" w:ascii="黑体" w:hAnsi="黑体" w:eastAsia="黑体"/>
          <w:b w:val="0"/>
          <w:color w:val="auto"/>
          <w:highlight w:val="none"/>
        </w:rPr>
        <w:t>一、</w:t>
      </w:r>
      <w:bookmarkEnd w:id="8"/>
      <w:bookmarkEnd w:id="9"/>
      <w:r>
        <w:rPr>
          <w:rFonts w:hint="eastAsia" w:ascii="黑体" w:hAnsi="黑体" w:eastAsia="黑体"/>
          <w:b w:val="0"/>
          <w:color w:val="auto"/>
          <w:highlight w:val="none"/>
          <w:lang w:eastAsia="zh-CN"/>
        </w:rPr>
        <w:t>部门职责</w:t>
      </w:r>
    </w:p>
    <w:p w14:paraId="42C6BF31">
      <w:pPr>
        <w:pStyle w:val="3"/>
        <w:ind w:firstLine="643" w:firstLineChars="200"/>
        <w:rPr>
          <w:rFonts w:ascii="仿宋" w:eastAsia="仿宋"/>
          <w:bCs/>
          <w:color w:val="000000"/>
          <w:sz w:val="32"/>
          <w:szCs w:val="32"/>
        </w:rPr>
      </w:pPr>
      <w:bookmarkStart w:id="10" w:name="_Toc24759"/>
      <w:bookmarkStart w:id="11" w:name="_Toc2852"/>
      <w:bookmarkStart w:id="12" w:name="_Toc10122"/>
      <w:bookmarkStart w:id="13" w:name="_Toc15377200"/>
      <w:bookmarkStart w:id="14" w:name="_Toc15396601"/>
      <w:r>
        <w:rPr>
          <w:rFonts w:hint="eastAsia" w:ascii="仿宋" w:eastAsia="仿宋"/>
          <w:bCs/>
          <w:color w:val="000000"/>
          <w:sz w:val="32"/>
          <w:szCs w:val="32"/>
        </w:rPr>
        <w:t>（一）主要职能。</w:t>
      </w:r>
      <w:bookmarkEnd w:id="10"/>
      <w:bookmarkEnd w:id="11"/>
      <w:bookmarkEnd w:id="12"/>
    </w:p>
    <w:p w14:paraId="4603402B">
      <w:pPr>
        <w:ind w:firstLine="640" w:firstLineChars="200"/>
        <w:rPr>
          <w:rFonts w:hint="eastAsia" w:ascii="仿宋" w:eastAsia="仿宋"/>
          <w:sz w:val="32"/>
          <w:szCs w:val="32"/>
          <w:lang w:eastAsia="zh-CN"/>
        </w:rPr>
      </w:pPr>
      <w:r>
        <w:rPr>
          <w:rFonts w:hint="eastAsia" w:ascii="仿宋" w:eastAsia="仿宋"/>
          <w:sz w:val="32"/>
          <w:szCs w:val="32"/>
          <w:lang w:eastAsia="zh-CN"/>
        </w:rPr>
        <w:t>涉密</w:t>
      </w:r>
    </w:p>
    <w:p w14:paraId="67A059C9">
      <w:pPr>
        <w:pStyle w:val="5"/>
        <w:adjustRightInd w:val="0"/>
        <w:snapToGrid w:val="0"/>
        <w:spacing w:before="93" w:beforeLines="0" w:line="600" w:lineRule="exact"/>
        <w:ind w:firstLine="643" w:firstLineChars="200"/>
        <w:outlineLvl w:val="2"/>
        <w:rPr>
          <w:rFonts w:hint="eastAsia" w:ascii="仿宋" w:eastAsia="仿宋"/>
          <w:b/>
          <w:bCs w:val="0"/>
          <w:color w:val="000000"/>
          <w:sz w:val="32"/>
          <w:szCs w:val="32"/>
        </w:rPr>
      </w:pPr>
      <w:bookmarkStart w:id="15" w:name="_Toc15377199"/>
      <w:bookmarkStart w:id="16" w:name="_Toc79163854"/>
      <w:bookmarkStart w:id="17" w:name="_Toc79163604"/>
      <w:bookmarkStart w:id="18" w:name="_Toc15378446"/>
      <w:bookmarkStart w:id="19" w:name="_Toc11615"/>
      <w:bookmarkStart w:id="20" w:name="_Toc21223"/>
      <w:bookmarkStart w:id="21" w:name="_Toc27179"/>
      <w:r>
        <w:rPr>
          <w:rFonts w:hint="eastAsia" w:ascii="仿宋" w:eastAsia="仿宋"/>
          <w:b/>
          <w:bCs w:val="0"/>
          <w:color w:val="000000"/>
          <w:sz w:val="32"/>
          <w:szCs w:val="32"/>
        </w:rPr>
        <w:t>（二）</w:t>
      </w:r>
      <w:r>
        <w:rPr>
          <w:rFonts w:ascii="仿宋" w:eastAsia="仿宋"/>
          <w:b/>
          <w:bCs w:val="0"/>
          <w:color w:val="000000"/>
          <w:sz w:val="32"/>
          <w:szCs w:val="32"/>
        </w:rPr>
        <w:t>202</w:t>
      </w:r>
      <w:r>
        <w:rPr>
          <w:rFonts w:hint="eastAsia" w:ascii="仿宋" w:eastAsia="仿宋"/>
          <w:b/>
          <w:bCs w:val="0"/>
          <w:color w:val="000000"/>
          <w:sz w:val="32"/>
          <w:szCs w:val="32"/>
          <w:lang w:val="en-US" w:eastAsia="zh-CN"/>
        </w:rPr>
        <w:t>3</w:t>
      </w:r>
      <w:r>
        <w:rPr>
          <w:rFonts w:hint="eastAsia" w:ascii="仿宋" w:eastAsia="仿宋"/>
          <w:b/>
          <w:bCs w:val="0"/>
          <w:color w:val="000000"/>
          <w:sz w:val="32"/>
          <w:szCs w:val="32"/>
        </w:rPr>
        <w:t>年重点工作完成情况。</w:t>
      </w:r>
      <w:bookmarkEnd w:id="15"/>
      <w:bookmarkEnd w:id="16"/>
      <w:bookmarkEnd w:id="17"/>
      <w:bookmarkEnd w:id="18"/>
      <w:bookmarkEnd w:id="19"/>
      <w:bookmarkEnd w:id="20"/>
      <w:bookmarkEnd w:id="21"/>
    </w:p>
    <w:p w14:paraId="3A1A8B03">
      <w:pPr>
        <w:pStyle w:val="5"/>
        <w:adjustRightInd w:val="0"/>
        <w:snapToGrid w:val="0"/>
        <w:spacing w:before="93" w:beforeLines="0" w:line="600" w:lineRule="exact"/>
        <w:ind w:firstLine="640" w:firstLineChars="200"/>
        <w:outlineLvl w:val="2"/>
        <w:rPr>
          <w:rFonts w:hint="eastAsia" w:ascii="黑体" w:eastAsia="黑体"/>
          <w:b w:val="0"/>
          <w:color w:val="auto"/>
          <w:highlight w:val="none"/>
        </w:rPr>
      </w:pPr>
      <w:bookmarkStart w:id="22" w:name="_Toc648"/>
      <w:bookmarkStart w:id="23" w:name="_Toc4330"/>
      <w:bookmarkStart w:id="24" w:name="_Toc5678"/>
      <w:r>
        <w:rPr>
          <w:rFonts w:hint="eastAsia" w:ascii="仿宋" w:eastAsia="仿宋"/>
          <w:bCs/>
          <w:color w:val="000000"/>
          <w:sz w:val="32"/>
          <w:szCs w:val="32"/>
          <w:lang w:val="en-US" w:eastAsia="zh-CN"/>
        </w:rPr>
        <w:t>涉密</w:t>
      </w:r>
      <w:bookmarkEnd w:id="22"/>
      <w:bookmarkEnd w:id="23"/>
      <w:bookmarkEnd w:id="24"/>
    </w:p>
    <w:p w14:paraId="6080556D">
      <w:pPr>
        <w:pStyle w:val="3"/>
        <w:rPr>
          <w:rStyle w:val="20"/>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20"/>
          <w:rFonts w:hint="eastAsia" w:ascii="黑体" w:hAnsi="黑体" w:eastAsia="黑体"/>
          <w:b w:val="0"/>
          <w:bCs w:val="0"/>
          <w:color w:val="auto"/>
          <w:highlight w:val="none"/>
        </w:rPr>
        <w:t>构设置</w:t>
      </w:r>
      <w:bookmarkEnd w:id="13"/>
      <w:bookmarkEnd w:id="14"/>
    </w:p>
    <w:p w14:paraId="6C4E8293">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中共松潘县委统战部本级</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w:t>
      </w:r>
    </w:p>
    <w:p w14:paraId="02C8AEC7">
      <w:pPr>
        <w:pStyle w:val="5"/>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中共松潘县委统战部本级2023</w:t>
      </w:r>
      <w:r>
        <w:rPr>
          <w:rFonts w:hint="eastAsia" w:ascii="仿宋" w:hAnsi="仿宋" w:eastAsia="仿宋"/>
          <w:color w:val="auto"/>
          <w:sz w:val="32"/>
          <w:szCs w:val="32"/>
          <w:highlight w:val="none"/>
        </w:rPr>
        <w:t>年度部门决算编制范围的二级预算单位包括：</w:t>
      </w:r>
    </w:p>
    <w:p w14:paraId="706BFE2D">
      <w:pPr>
        <w:pStyle w:val="5"/>
        <w:numPr>
          <w:ilvl w:val="0"/>
          <w:numId w:val="1"/>
        </w:numPr>
        <w:adjustRightInd w:val="0"/>
        <w:snapToGrid w:val="0"/>
        <w:spacing w:before="93" w:line="600" w:lineRule="exact"/>
        <w:outlineLvl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中共松潘县委统战部</w:t>
      </w:r>
    </w:p>
    <w:p w14:paraId="068652D7">
      <w:pPr>
        <w:pStyle w:val="5"/>
        <w:numPr>
          <w:ilvl w:val="0"/>
          <w:numId w:val="1"/>
        </w:numPr>
        <w:adjustRightInd w:val="0"/>
        <w:snapToGrid w:val="0"/>
        <w:spacing w:before="93" w:line="600" w:lineRule="exact"/>
        <w:outlineLvl w:val="2"/>
        <w:rPr>
          <w:rFonts w:ascii="仿宋" w:hAnsi="仿宋" w:eastAsia="仿宋"/>
          <w:color w:val="auto"/>
          <w:sz w:val="32"/>
          <w:szCs w:val="32"/>
          <w:highlight w:val="none"/>
        </w:rPr>
      </w:pPr>
      <w:bookmarkStart w:id="25" w:name="_Toc15377434"/>
      <w:bookmarkStart w:id="26" w:name="_Toc15306277"/>
      <w:bookmarkStart w:id="27" w:name="_Toc15377203"/>
      <w:bookmarkStart w:id="28" w:name="_Toc15378450"/>
      <w:r>
        <w:rPr>
          <w:rFonts w:hint="eastAsia" w:ascii="仿宋" w:hAnsi="仿宋" w:eastAsia="仿宋"/>
          <w:color w:val="auto"/>
          <w:sz w:val="32"/>
          <w:szCs w:val="32"/>
          <w:highlight w:val="none"/>
          <w:lang w:eastAsia="zh-CN"/>
        </w:rPr>
        <w:t>松潘县伊斯兰教协会</w:t>
      </w:r>
      <w:bookmarkEnd w:id="25"/>
      <w:bookmarkEnd w:id="26"/>
      <w:bookmarkEnd w:id="27"/>
      <w:bookmarkEnd w:id="28"/>
    </w:p>
    <w:p w14:paraId="79A7DED6">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17673D5E">
      <w:pPr>
        <w:pStyle w:val="2"/>
        <w:ind w:right="440"/>
        <w:jc w:val="center"/>
        <w:rPr>
          <w:rStyle w:val="19"/>
          <w:rFonts w:ascii="黑体" w:hAnsi="黑体" w:eastAsia="黑体"/>
          <w:b w:val="0"/>
          <w:bCs/>
          <w:color w:val="auto"/>
          <w:highlight w:val="none"/>
        </w:rPr>
      </w:pPr>
      <w:bookmarkStart w:id="29" w:name="_Toc15377204"/>
      <w:bookmarkStart w:id="30"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19"/>
          <w:rFonts w:hint="eastAsia" w:ascii="黑体" w:hAnsi="黑体" w:eastAsia="黑体"/>
          <w:b w:val="0"/>
          <w:bCs/>
          <w:color w:val="auto"/>
          <w:highlight w:val="none"/>
        </w:rPr>
        <w:t>部门决算情况说明</w:t>
      </w:r>
      <w:bookmarkEnd w:id="29"/>
      <w:bookmarkEnd w:id="30"/>
    </w:p>
    <w:p w14:paraId="30B5281C">
      <w:pPr>
        <w:rPr>
          <w:color w:val="auto"/>
          <w:highlight w:val="none"/>
        </w:rPr>
      </w:pPr>
    </w:p>
    <w:p w14:paraId="523A0C8C">
      <w:pPr>
        <w:pStyle w:val="26"/>
        <w:numPr>
          <w:ilvl w:val="0"/>
          <w:numId w:val="2"/>
        </w:numPr>
        <w:spacing w:line="600" w:lineRule="exact"/>
        <w:ind w:firstLineChars="0"/>
        <w:outlineLvl w:val="1"/>
        <w:rPr>
          <w:rStyle w:val="20"/>
          <w:rFonts w:ascii="黑体" w:hAnsi="黑体" w:eastAsia="黑体"/>
          <w:b w:val="0"/>
          <w:color w:val="auto"/>
          <w:highlight w:val="none"/>
        </w:rPr>
      </w:pPr>
      <w:bookmarkStart w:id="31" w:name="_Toc15396603"/>
      <w:bookmarkStart w:id="32" w:name="_Toc15377205"/>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31"/>
      <w:bookmarkEnd w:id="32"/>
    </w:p>
    <w:p w14:paraId="4F82418A">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651.84</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val="en-US" w:eastAsia="zh-CN"/>
        </w:rPr>
        <w:t>收入</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eastAsia="zh-CN"/>
        </w:rPr>
        <w:t>总计</w:t>
      </w:r>
      <w:r>
        <w:rPr>
          <w:rFonts w:hint="eastAsia" w:ascii="仿宋" w:hAnsi="仿宋" w:eastAsia="仿宋"/>
          <w:color w:val="auto"/>
          <w:sz w:val="32"/>
          <w:szCs w:val="32"/>
          <w:highlight w:val="none"/>
          <w:lang w:val="en-US" w:eastAsia="zh-CN"/>
        </w:rPr>
        <w:t>119.85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119.85</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均</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%。主要变动原因是人员</w:t>
      </w:r>
      <w:r>
        <w:rPr>
          <w:rFonts w:hint="eastAsia" w:ascii="仿宋" w:hAnsi="仿宋" w:eastAsia="仿宋"/>
          <w:color w:val="auto"/>
          <w:sz w:val="32"/>
          <w:szCs w:val="32"/>
          <w:highlight w:val="none"/>
          <w:lang w:eastAsia="zh-CN"/>
        </w:rPr>
        <w:t>调进和差旅及各项工作恢复正常开展</w:t>
      </w:r>
      <w:r>
        <w:rPr>
          <w:rFonts w:hint="eastAsia" w:ascii="仿宋" w:hAnsi="仿宋" w:eastAsia="仿宋"/>
          <w:color w:val="auto"/>
          <w:sz w:val="32"/>
          <w:szCs w:val="32"/>
          <w:highlight w:val="none"/>
        </w:rPr>
        <w:t>经费开支</w:t>
      </w:r>
      <w:r>
        <w:rPr>
          <w:rFonts w:hint="eastAsia" w:ascii="仿宋" w:hAnsi="仿宋" w:eastAsia="仿宋"/>
          <w:color w:val="auto"/>
          <w:sz w:val="32"/>
          <w:szCs w:val="32"/>
          <w:highlight w:val="none"/>
          <w:lang w:eastAsia="zh-CN"/>
        </w:rPr>
        <w:t>增加</w:t>
      </w:r>
      <w:r>
        <w:rPr>
          <w:rFonts w:hint="eastAsia" w:ascii="仿宋" w:hAnsi="仿宋" w:eastAsia="仿宋"/>
          <w:color w:val="auto"/>
          <w:sz w:val="32"/>
          <w:szCs w:val="32"/>
          <w:highlight w:val="none"/>
        </w:rPr>
        <w:t>、项目</w:t>
      </w:r>
      <w:r>
        <w:rPr>
          <w:rFonts w:hint="eastAsia" w:ascii="仿宋" w:hAnsi="仿宋" w:eastAsia="仿宋"/>
          <w:color w:val="auto"/>
          <w:sz w:val="32"/>
          <w:szCs w:val="32"/>
          <w:highlight w:val="none"/>
          <w:lang w:eastAsia="zh-CN"/>
        </w:rPr>
        <w:t>资金增加。</w:t>
      </w:r>
    </w:p>
    <w:p w14:paraId="692CCA24">
      <w:pPr>
        <w:spacing w:line="600" w:lineRule="exact"/>
        <w:ind w:firstLine="640" w:firstLineChars="20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165100</wp:posOffset>
            </wp:positionH>
            <wp:positionV relativeFrom="paragraph">
              <wp:posOffset>458470</wp:posOffset>
            </wp:positionV>
            <wp:extent cx="4947285" cy="2876550"/>
            <wp:effectExtent l="4445" t="4445" r="20320" b="14605"/>
            <wp:wrapSquare wrapText="bothSides"/>
            <wp:docPr id="3" name="图表 3" descr="7b0a202020202263686172745265734964223a2022343535363338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bookmarkStart w:id="33" w:name="_Toc15396604"/>
      <w:bookmarkStart w:id="34" w:name="_Toc15377206"/>
    </w:p>
    <w:p w14:paraId="325B5920">
      <w:pPr>
        <w:pStyle w:val="26"/>
        <w:numPr>
          <w:ilvl w:val="0"/>
          <w:numId w:val="0"/>
        </w:numPr>
        <w:spacing w:line="600" w:lineRule="exact"/>
        <w:ind w:left="640" w:leftChars="0"/>
        <w:outlineLvl w:val="1"/>
        <w:rPr>
          <w:rStyle w:val="20"/>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33"/>
      <w:bookmarkEnd w:id="34"/>
    </w:p>
    <w:p w14:paraId="7CEC745D">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651.84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651.84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F303547">
      <w:pPr>
        <w:spacing w:line="600" w:lineRule="exact"/>
        <w:ind w:firstLine="643" w:firstLineChars="200"/>
        <w:outlineLvl w:val="1"/>
        <w:rPr>
          <w:rFonts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，仅罗列本部门涉及的收入。</w:t>
      </w:r>
      <w:r>
        <w:rPr>
          <w:rFonts w:ascii="仿宋" w:hAnsi="仿宋" w:eastAsia="仿宋"/>
          <w:b/>
          <w:color w:val="auto"/>
          <w:sz w:val="32"/>
          <w:szCs w:val="32"/>
          <w:highlight w:val="none"/>
        </w:rPr>
        <w:t>）</w:t>
      </w:r>
    </w:p>
    <w:p w14:paraId="253D84BE">
      <w:pPr>
        <w:spacing w:line="600" w:lineRule="exact"/>
        <w:ind w:firstLine="640" w:firstLineChars="200"/>
        <w:rPr>
          <w:rFonts w:hint="eastAsia" w:ascii="黑体" w:hAnsi="黑体" w:eastAsia="黑体"/>
          <w:color w:val="auto"/>
          <w:sz w:val="32"/>
          <w:szCs w:val="32"/>
          <w:highlight w:val="none"/>
          <w:lang w:eastAsia="zh-CN"/>
        </w:rPr>
      </w:pPr>
      <w:r>
        <w:rPr>
          <w:rFonts w:hint="eastAsia" w:ascii="仿宋" w:hAnsi="仿宋" w:eastAsia="仿宋"/>
          <w:color w:val="auto"/>
          <w:sz w:val="32"/>
          <w:szCs w:val="32"/>
          <w:highlight w:val="none"/>
        </w:rPr>
        <w:t>（图2：收入决算结构图）（饼状图）</w:t>
      </w:r>
      <w:bookmarkStart w:id="35" w:name="_Toc15377207"/>
      <w:bookmarkStart w:id="36" w:name="_Toc15396605"/>
      <w:r>
        <w:rPr>
          <w:rFonts w:hint="eastAsia" w:ascii="黑体" w:hAnsi="黑体" w:eastAsia="黑体"/>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125730</wp:posOffset>
            </wp:positionH>
            <wp:positionV relativeFrom="paragraph">
              <wp:posOffset>113665</wp:posOffset>
            </wp:positionV>
            <wp:extent cx="5256530" cy="3432810"/>
            <wp:effectExtent l="4445" t="4445" r="15875" b="10795"/>
            <wp:wrapSquare wrapText="bothSides"/>
            <wp:docPr id="4" name="图表 4" descr="7b0a202020202263686172745265734964223a2022323034373232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926B873">
      <w:pPr>
        <w:pStyle w:val="26"/>
        <w:numPr>
          <w:ilvl w:val="0"/>
          <w:numId w:val="0"/>
        </w:numPr>
        <w:spacing w:line="600" w:lineRule="exact"/>
        <w:ind w:left="640" w:leftChars="0"/>
        <w:outlineLvl w:val="1"/>
        <w:rPr>
          <w:rStyle w:val="20"/>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35"/>
      <w:bookmarkEnd w:id="36"/>
    </w:p>
    <w:p w14:paraId="35643E82">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651.84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498.64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153.2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w:t>
      </w:r>
    </w:p>
    <w:p w14:paraId="7AAFFB78">
      <w:pPr>
        <w:spacing w:line="600" w:lineRule="exact"/>
        <w:ind w:firstLine="643" w:firstLineChars="200"/>
        <w:outlineLvl w:val="1"/>
        <w:rPr>
          <w:rFonts w:ascii="仿宋" w:hAnsi="仿宋" w:eastAsia="仿宋"/>
          <w:color w:val="auto"/>
          <w:sz w:val="32"/>
          <w:szCs w:val="32"/>
          <w:highlight w:val="none"/>
          <w:shd w:val="pct10" w:color="auto" w:fill="FFFFFF"/>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，仅罗列本部门涉及的支出。</w:t>
      </w:r>
      <w:r>
        <w:rPr>
          <w:rFonts w:hint="eastAsia" w:ascii="仿宋" w:hAnsi="仿宋" w:eastAsia="仿宋"/>
          <w:b/>
          <w:color w:val="auto"/>
          <w:sz w:val="32"/>
          <w:szCs w:val="32"/>
          <w:highlight w:val="none"/>
        </w:rPr>
        <w:t>）</w:t>
      </w:r>
    </w:p>
    <w:p w14:paraId="3C0EBEB9">
      <w:pPr>
        <w:spacing w:line="600" w:lineRule="exact"/>
        <w:ind w:firstLine="640" w:firstLineChars="20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93980</wp:posOffset>
            </wp:positionH>
            <wp:positionV relativeFrom="paragraph">
              <wp:posOffset>400050</wp:posOffset>
            </wp:positionV>
            <wp:extent cx="5256530" cy="2988310"/>
            <wp:effectExtent l="5080" t="4445" r="15240" b="17145"/>
            <wp:wrapSquare wrapText="bothSides"/>
            <wp:docPr id="5" name="图表 5" descr="7b0a202020202263686172745265734964223a2022323034373232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（图3：支出决算结构图）（饼状图）</w:t>
      </w:r>
      <w:bookmarkStart w:id="37" w:name="_Toc15396606"/>
      <w:bookmarkStart w:id="38" w:name="_Toc15377208"/>
    </w:p>
    <w:p w14:paraId="644461C3">
      <w:pPr>
        <w:spacing w:line="600" w:lineRule="exact"/>
        <w:ind w:firstLine="640" w:firstLineChars="200"/>
        <w:outlineLvl w:val="1"/>
        <w:rPr>
          <w:rStyle w:val="20"/>
          <w:rFonts w:ascii="黑体" w:hAnsi="黑体" w:eastAsia="黑体"/>
          <w:b w:val="0"/>
          <w:color w:val="auto"/>
          <w:highlight w:val="none"/>
        </w:rPr>
      </w:pPr>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37"/>
      <w:bookmarkEnd w:id="38"/>
    </w:p>
    <w:p w14:paraId="5A95D826">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651.84</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相比，财政拨款收入增加总计119.85万元、支出总计增加119.85万元，均增长23%。主要变动原因是人员调进和差旅及各项工作恢复正常开展经费开支增加、项目资金增加。</w:t>
      </w:r>
    </w:p>
    <w:p w14:paraId="00007895">
      <w:pPr>
        <w:spacing w:line="600"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14:paraId="3E30DD93">
      <w:pPr>
        <w:spacing w:line="600" w:lineRule="exact"/>
        <w:ind w:firstLine="640" w:firstLineChars="200"/>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212090</wp:posOffset>
            </wp:positionH>
            <wp:positionV relativeFrom="paragraph">
              <wp:posOffset>491490</wp:posOffset>
            </wp:positionV>
            <wp:extent cx="5081905" cy="2647315"/>
            <wp:effectExtent l="4445" t="4445" r="19050" b="15240"/>
            <wp:wrapSquare wrapText="bothSides"/>
            <wp:docPr id="6" name="图表 6"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（图4：财政拨款收、支决算总计变动情况）（柱状图）</w:t>
      </w:r>
      <w:bookmarkStart w:id="39" w:name="_Toc15377209"/>
      <w:bookmarkStart w:id="40" w:name="_Toc15396607"/>
    </w:p>
    <w:p w14:paraId="370AC7CD">
      <w:pPr>
        <w:spacing w:line="600" w:lineRule="exact"/>
        <w:ind w:firstLine="640" w:firstLineChars="200"/>
        <w:outlineLvl w:val="1"/>
        <w:rPr>
          <w:rStyle w:val="2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39"/>
      <w:bookmarkEnd w:id="40"/>
    </w:p>
    <w:p w14:paraId="7B1EFD63">
      <w:pP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14:paraId="1D52E6AD">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651.84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增加119.85万元，增长23%。主要变动原因是人员调进和差旅及各项工作恢复正常开展经费开支增加、项目资金增加。</w:t>
      </w:r>
    </w:p>
    <w:p w14:paraId="618130FF">
      <w:pPr>
        <w:spacing w:line="600" w:lineRule="exact"/>
        <w:ind w:firstLine="643" w:firstLineChars="200"/>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245110</wp:posOffset>
            </wp:positionH>
            <wp:positionV relativeFrom="paragraph">
              <wp:posOffset>879475</wp:posOffset>
            </wp:positionV>
            <wp:extent cx="5256530" cy="2988310"/>
            <wp:effectExtent l="5080" t="4445" r="15240" b="17145"/>
            <wp:wrapSquare wrapText="bothSides"/>
            <wp:docPr id="7" name="图表 7"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（图5：一般公共预算财政拨款支出决算变动情况）（柱状图）</w:t>
      </w:r>
      <w:bookmarkStart w:id="42" w:name="_Toc15377211"/>
    </w:p>
    <w:p w14:paraId="485520C7">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42"/>
    </w:p>
    <w:p w14:paraId="521F2425">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b w:val="0"/>
          <w:bCs w:val="0"/>
          <w:color w:val="auto"/>
          <w:sz w:val="32"/>
          <w:szCs w:val="32"/>
          <w:highlight w:val="none"/>
          <w:lang w:val="en-US" w:eastAsia="zh-CN"/>
        </w:rPr>
        <w:t>651.84万</w:t>
      </w:r>
      <w:r>
        <w:rPr>
          <w:rFonts w:hint="eastAsia" w:ascii="仿宋" w:hAnsi="仿宋" w:eastAsia="仿宋"/>
          <w:color w:val="auto"/>
          <w:sz w:val="32"/>
          <w:szCs w:val="32"/>
          <w:highlight w:val="none"/>
        </w:rPr>
        <w:t>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b w:val="0"/>
          <w:bCs w:val="0"/>
          <w:color w:val="auto"/>
          <w:sz w:val="32"/>
          <w:szCs w:val="32"/>
          <w:highlight w:val="none"/>
          <w:lang w:val="en-US" w:eastAsia="zh-CN"/>
        </w:rPr>
        <w:t>539.93</w:t>
      </w:r>
      <w:r>
        <w:rPr>
          <w:rFonts w:hint="eastAsia" w:ascii="仿宋" w:hAnsi="仿宋" w:eastAsia="仿宋"/>
          <w:color w:val="auto"/>
          <w:sz w:val="32"/>
          <w:szCs w:val="32"/>
          <w:highlight w:val="none"/>
        </w:rPr>
        <w:t>万元，占</w:t>
      </w:r>
      <w:r>
        <w:rPr>
          <w:rFonts w:hint="eastAsia" w:ascii="仿宋" w:hAnsi="仿宋" w:eastAsia="仿宋"/>
          <w:b w:val="0"/>
          <w:bCs w:val="0"/>
          <w:color w:val="auto"/>
          <w:sz w:val="32"/>
          <w:szCs w:val="32"/>
          <w:highlight w:val="none"/>
          <w:lang w:val="en-US" w:eastAsia="zh-CN"/>
        </w:rPr>
        <w:t>83%；</w:t>
      </w:r>
      <w:r>
        <w:rPr>
          <w:rFonts w:hint="eastAsia" w:ascii="仿宋" w:hAnsi="仿宋" w:eastAsia="仿宋"/>
          <w:b/>
          <w:color w:val="auto"/>
          <w:sz w:val="32"/>
          <w:szCs w:val="32"/>
          <w:highlight w:val="none"/>
        </w:rPr>
        <w:t>教育支出</w:t>
      </w:r>
      <w:r>
        <w:rPr>
          <w:rFonts w:hint="eastAsia" w:ascii="仿宋" w:hAnsi="仿宋" w:eastAsia="仿宋"/>
          <w:b w:val="0"/>
          <w:bCs w:val="0"/>
          <w:color w:val="auto"/>
          <w:sz w:val="32"/>
          <w:szCs w:val="32"/>
          <w:highlight w:val="none"/>
          <w:lang w:val="en-US" w:eastAsia="zh-CN"/>
        </w:rPr>
        <w:t>0万</w:t>
      </w:r>
      <w:r>
        <w:rPr>
          <w:rFonts w:hint="eastAsia" w:ascii="仿宋" w:hAnsi="仿宋" w:eastAsia="仿宋"/>
          <w:color w:val="auto"/>
          <w:sz w:val="32"/>
          <w:szCs w:val="32"/>
          <w:highlight w:val="none"/>
        </w:rPr>
        <w:t>元，</w:t>
      </w:r>
      <w:r>
        <w:rPr>
          <w:rFonts w:hint="eastAsia" w:ascii="仿宋" w:hAnsi="仿宋" w:eastAsia="仿宋"/>
          <w:b w:val="0"/>
          <w:bCs w:val="0"/>
          <w:color w:val="auto"/>
          <w:sz w:val="32"/>
          <w:szCs w:val="32"/>
          <w:highlight w:val="none"/>
          <w:lang w:val="en-US" w:eastAsia="zh-CN"/>
        </w:rPr>
        <w:t>占0%；</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val="0"/>
          <w:bCs w:val="0"/>
          <w:color w:val="auto"/>
          <w:sz w:val="32"/>
          <w:szCs w:val="32"/>
          <w:highlight w:val="none"/>
          <w:lang w:val="en-US" w:eastAsia="zh-CN"/>
        </w:rPr>
        <w:t>0万元，占0%；</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val="0"/>
          <w:bCs w:val="0"/>
          <w:color w:val="auto"/>
          <w:sz w:val="32"/>
          <w:szCs w:val="32"/>
          <w:highlight w:val="none"/>
          <w:lang w:val="en-US" w:eastAsia="zh-CN"/>
        </w:rPr>
        <w:t>59.25万元，占9%；</w:t>
      </w:r>
      <w:r>
        <w:rPr>
          <w:rFonts w:hint="eastAsia" w:ascii="仿宋" w:hAnsi="仿宋" w:eastAsia="仿宋"/>
          <w:b/>
          <w:bCs/>
          <w:color w:val="auto"/>
          <w:sz w:val="32"/>
          <w:szCs w:val="32"/>
          <w:highlight w:val="none"/>
          <w:lang w:val="en-US" w:eastAsia="zh-CN"/>
        </w:rPr>
        <w:t>卫生健康支出</w:t>
      </w:r>
      <w:r>
        <w:rPr>
          <w:rFonts w:hint="eastAsia" w:ascii="仿宋" w:hAnsi="仿宋" w:eastAsia="仿宋"/>
          <w:b w:val="0"/>
          <w:bCs w:val="0"/>
          <w:color w:val="auto"/>
          <w:sz w:val="32"/>
          <w:szCs w:val="32"/>
          <w:highlight w:val="none"/>
          <w:lang w:val="en-US" w:eastAsia="zh-CN"/>
        </w:rPr>
        <w:t>22.73万元，占3%；</w:t>
      </w:r>
      <w:r>
        <w:rPr>
          <w:rFonts w:hint="eastAsia" w:ascii="仿宋" w:hAnsi="仿宋" w:eastAsia="仿宋"/>
          <w:b/>
          <w:bCs/>
          <w:color w:val="auto"/>
          <w:sz w:val="32"/>
          <w:szCs w:val="32"/>
          <w:highlight w:val="none"/>
          <w:lang w:val="en-US" w:eastAsia="zh-CN"/>
        </w:rPr>
        <w:t>住房保障支出</w:t>
      </w:r>
      <w:r>
        <w:rPr>
          <w:rFonts w:hint="eastAsia" w:ascii="仿宋" w:hAnsi="仿宋" w:eastAsia="仿宋"/>
          <w:b w:val="0"/>
          <w:bCs w:val="0"/>
          <w:color w:val="auto"/>
          <w:sz w:val="32"/>
          <w:szCs w:val="32"/>
          <w:highlight w:val="none"/>
          <w:lang w:val="en-US" w:eastAsia="zh-CN"/>
        </w:rPr>
        <w:t>29.93万元，占5%</w:t>
      </w:r>
      <w:r>
        <w:rPr>
          <w:rFonts w:hint="eastAsia" w:ascii="仿宋" w:hAnsi="仿宋" w:eastAsia="仿宋"/>
          <w:color w:val="auto"/>
          <w:sz w:val="32"/>
          <w:szCs w:val="32"/>
          <w:highlight w:val="none"/>
        </w:rPr>
        <w:t>。</w:t>
      </w:r>
    </w:p>
    <w:p w14:paraId="36C915CB">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本部门涉及的全部</w:t>
      </w:r>
      <w:r>
        <w:rPr>
          <w:rFonts w:hint="eastAsia" w:ascii="仿宋" w:hAnsi="仿宋" w:eastAsia="仿宋"/>
          <w:b/>
          <w:color w:val="auto"/>
          <w:sz w:val="32"/>
          <w:szCs w:val="32"/>
          <w:highlight w:val="none"/>
        </w:rPr>
        <w:t>功能分类科目，至类级。）</w:t>
      </w:r>
    </w:p>
    <w:p w14:paraId="0239F7A8">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62230</wp:posOffset>
            </wp:positionH>
            <wp:positionV relativeFrom="paragraph">
              <wp:posOffset>459105</wp:posOffset>
            </wp:positionV>
            <wp:extent cx="5256530" cy="2988310"/>
            <wp:effectExtent l="5080" t="4445" r="15240" b="1714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（图6：一般公共预算财政拨款支出决算结构）（饼状图）</w:t>
      </w:r>
    </w:p>
    <w:p w14:paraId="6F01C8FB">
      <w:pP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14:paraId="5E18CB0D">
      <w:pPr>
        <w:spacing w:line="600" w:lineRule="exact"/>
        <w:ind w:firstLine="643" w:firstLineChars="200"/>
        <w:outlineLvl w:val="2"/>
        <w:rPr>
          <w:rFonts w:ascii="仿宋" w:hAnsi="仿宋" w:eastAsia="仿宋"/>
          <w:color w:val="auto"/>
          <w:sz w:val="32"/>
          <w:szCs w:val="32"/>
          <w:highlight w:val="none"/>
        </w:rPr>
      </w:pPr>
      <w:bookmarkStart w:id="44" w:name="_Toc15377213"/>
      <w:bookmarkStart w:id="45" w:name="_Toc15377444"/>
      <w:bookmarkStart w:id="46" w:name="_Toc15378460"/>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651.84万元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4"/>
      <w:bookmarkEnd w:id="45"/>
      <w:bookmarkEnd w:id="46"/>
    </w:p>
    <w:p w14:paraId="7F4069AE">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201（类）34（款）01（项）；201（类）34（款）50（项）：</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539.93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77C88F8C">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2.</w:t>
      </w:r>
      <w:r>
        <w:rPr>
          <w:rStyle w:val="17"/>
          <w:rFonts w:hint="eastAsia" w:ascii="仿宋" w:hAnsi="仿宋" w:eastAsia="仿宋"/>
          <w:bCs/>
          <w:color w:val="auto"/>
          <w:sz w:val="32"/>
          <w:szCs w:val="32"/>
          <w:highlight w:val="none"/>
        </w:rPr>
        <w:t>教育</w:t>
      </w:r>
      <w:r>
        <w:rPr>
          <w:rStyle w:val="17"/>
          <w:rFonts w:hint="eastAsia" w:ascii="仿宋" w:hAnsi="仿宋" w:eastAsia="仿宋"/>
          <w:bCs/>
          <w:color w:val="auto"/>
          <w:sz w:val="32"/>
          <w:szCs w:val="32"/>
          <w:highlight w:val="none"/>
          <w:lang w:val="en-US" w:eastAsia="zh-CN"/>
        </w:rPr>
        <w:t>205</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7533BD19">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3.</w:t>
      </w:r>
      <w:r>
        <w:rPr>
          <w:rStyle w:val="17"/>
          <w:rFonts w:hint="eastAsia" w:ascii="仿宋" w:hAnsi="仿宋" w:eastAsia="仿宋"/>
          <w:bCs/>
          <w:color w:val="auto"/>
          <w:sz w:val="32"/>
          <w:szCs w:val="32"/>
          <w:highlight w:val="none"/>
        </w:rPr>
        <w:t>科学技术</w:t>
      </w:r>
      <w:r>
        <w:rPr>
          <w:rStyle w:val="17"/>
          <w:rFonts w:hint="eastAsia" w:ascii="仿宋" w:hAnsi="仿宋" w:eastAsia="仿宋"/>
          <w:bCs/>
          <w:color w:val="auto"/>
          <w:sz w:val="32"/>
          <w:szCs w:val="32"/>
          <w:highlight w:val="none"/>
          <w:lang w:val="en-US" w:eastAsia="zh-CN"/>
        </w:rPr>
        <w:t>206</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3A02D4F6">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4.</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207</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665BEF99">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5.</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59.25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28A70A5B">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6.</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210</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；210（类）11（款）0</w:t>
      </w:r>
      <w:r>
        <w:rPr>
          <w:rStyle w:val="17"/>
          <w:rFonts w:hint="eastAsia" w:ascii="仿宋" w:hAnsi="仿宋" w:eastAsia="仿宋"/>
          <w:bCs/>
          <w:color w:val="auto"/>
          <w:sz w:val="32"/>
          <w:szCs w:val="32"/>
          <w:highlight w:val="none"/>
          <w:lang w:val="en-US" w:eastAsia="zh-CN"/>
        </w:rPr>
        <w:t>2</w:t>
      </w:r>
      <w:r>
        <w:rPr>
          <w:rStyle w:val="17"/>
          <w:rFonts w:hint="eastAsia" w:ascii="仿宋" w:hAnsi="仿宋" w:eastAsia="仿宋"/>
          <w:bCs/>
          <w:color w:val="auto"/>
          <w:sz w:val="32"/>
          <w:szCs w:val="32"/>
          <w:highlight w:val="none"/>
          <w:lang w:eastAsia="zh-CN"/>
        </w:rPr>
        <w:t>（项）；210（类）11（款）0</w:t>
      </w:r>
      <w:r>
        <w:rPr>
          <w:rStyle w:val="17"/>
          <w:rFonts w:hint="eastAsia" w:ascii="仿宋" w:hAnsi="仿宋" w:eastAsia="仿宋"/>
          <w:bCs/>
          <w:color w:val="auto"/>
          <w:sz w:val="32"/>
          <w:szCs w:val="32"/>
          <w:highlight w:val="none"/>
          <w:lang w:val="en-US" w:eastAsia="zh-CN"/>
        </w:rPr>
        <w:t>3</w:t>
      </w:r>
      <w:r>
        <w:rPr>
          <w:rStyle w:val="17"/>
          <w:rFonts w:hint="eastAsia" w:ascii="仿宋" w:hAnsi="仿宋" w:eastAsia="仿宋"/>
          <w:bCs/>
          <w:color w:val="auto"/>
          <w:sz w:val="32"/>
          <w:szCs w:val="32"/>
          <w:highlight w:val="none"/>
          <w:lang w:eastAsia="zh-CN"/>
        </w:rPr>
        <w:t>（项）；210（类）11（款）</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lang w:eastAsia="zh-CN"/>
        </w:rPr>
        <w:t>（项）；210（类）11（款）01（项）：</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22.73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36C649C2">
      <w:pPr>
        <w:spacing w:line="600" w:lineRule="exact"/>
        <w:ind w:firstLine="643" w:firstLineChars="200"/>
        <w:rPr>
          <w:rFonts w:hint="eastAsia"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lang w:eastAsia="zh-CN"/>
        </w:rPr>
        <w:t>住房保障支出</w:t>
      </w:r>
      <w:r>
        <w:rPr>
          <w:rFonts w:hint="eastAsia" w:ascii="仿宋" w:hAnsi="仿宋" w:eastAsia="仿宋"/>
          <w:b/>
          <w:bCs/>
          <w:color w:val="auto"/>
          <w:sz w:val="32"/>
          <w:szCs w:val="32"/>
          <w:highlight w:val="none"/>
          <w:lang w:val="en-US" w:eastAsia="zh-CN"/>
        </w:rPr>
        <w:t>221</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29.93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51A178DB">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本部门涉及的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项级</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比较，与预算数持平可以不写原因。）</w:t>
      </w:r>
    </w:p>
    <w:p w14:paraId="7F833CAE">
      <w:pPr>
        <w:tabs>
          <w:tab w:val="right" w:pos="8306"/>
        </w:tabs>
        <w:spacing w:line="600" w:lineRule="exact"/>
        <w:ind w:firstLine="640"/>
        <w:outlineLvl w:val="1"/>
        <w:rPr>
          <w:rStyle w:val="20"/>
          <w:color w:val="auto"/>
          <w:highlight w:val="none"/>
        </w:rPr>
      </w:pPr>
      <w:bookmarkStart w:id="47" w:name="_Toc15396608"/>
      <w:bookmarkStart w:id="48"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47"/>
      <w:bookmarkEnd w:id="48"/>
      <w:r>
        <w:rPr>
          <w:rStyle w:val="20"/>
          <w:rFonts w:ascii="黑体" w:hAnsi="黑体" w:eastAsia="黑体"/>
          <w:b w:val="0"/>
          <w:color w:val="auto"/>
          <w:highlight w:val="none"/>
        </w:rPr>
        <w:tab/>
      </w:r>
    </w:p>
    <w:p w14:paraId="785DBC3C">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498.65</w:t>
      </w:r>
      <w:r>
        <w:rPr>
          <w:rFonts w:hint="eastAsia" w:ascii="仿宋" w:hAnsi="仿宋" w:eastAsia="仿宋"/>
          <w:color w:val="auto"/>
          <w:sz w:val="32"/>
          <w:szCs w:val="32"/>
          <w:highlight w:val="none"/>
        </w:rPr>
        <w:t>万元，其中：</w:t>
      </w:r>
    </w:p>
    <w:p w14:paraId="7BB66C4B">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人员经费416</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22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公用经费82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4</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5B4E523">
      <w:pPr>
        <w:spacing w:line="600" w:lineRule="exact"/>
        <w:ind w:firstLine="645"/>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本部门实际支出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14:paraId="445939AE">
      <w:pPr>
        <w:spacing w:line="600" w:lineRule="exact"/>
        <w:ind w:firstLine="640"/>
        <w:outlineLvl w:val="1"/>
        <w:rPr>
          <w:rStyle w:val="20"/>
          <w:rFonts w:ascii="黑体" w:hAnsi="黑体" w:eastAsia="黑体"/>
          <w:b w:val="0"/>
          <w:color w:val="auto"/>
          <w:highlight w:val="none"/>
        </w:rPr>
      </w:pPr>
      <w:bookmarkStart w:id="49" w:name="_Toc15396609"/>
      <w:bookmarkStart w:id="50" w:name="_Toc15377215"/>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49"/>
      <w:bookmarkEnd w:id="50"/>
    </w:p>
    <w:p w14:paraId="1C28D81D">
      <w:pPr>
        <w:spacing w:line="600" w:lineRule="exact"/>
        <w:ind w:firstLine="640"/>
        <w:outlineLvl w:val="2"/>
        <w:rPr>
          <w:rFonts w:ascii="仿宋" w:hAnsi="仿宋" w:eastAsia="仿宋"/>
          <w:b/>
          <w:color w:val="auto"/>
          <w:sz w:val="32"/>
          <w:szCs w:val="32"/>
          <w:highlight w:val="none"/>
        </w:rPr>
      </w:pPr>
      <w:bookmarkStart w:id="51" w:name="_Toc15377216"/>
      <w:r>
        <w:rPr>
          <w:rFonts w:hint="eastAsia" w:ascii="仿宋" w:hAnsi="仿宋" w:eastAsia="仿宋"/>
          <w:b/>
          <w:color w:val="auto"/>
          <w:sz w:val="32"/>
          <w:szCs w:val="32"/>
          <w:highlight w:val="none"/>
        </w:rPr>
        <w:t>（一）“三公”经费财政拨款支出决算总体情况说明</w:t>
      </w:r>
      <w:bookmarkEnd w:id="51"/>
    </w:p>
    <w:p w14:paraId="330E2FC6">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14.31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减少0.51万元，下降3%</w:t>
      </w:r>
      <w:r>
        <w:rPr>
          <w:rFonts w:hint="eastAsia" w:ascii="仿宋" w:hAnsi="仿宋" w:eastAsia="仿宋"/>
          <w:color w:val="auto"/>
          <w:sz w:val="32"/>
          <w:szCs w:val="32"/>
          <w:highlight w:val="none"/>
        </w:rPr>
        <w:t>。</w:t>
      </w:r>
    </w:p>
    <w:p w14:paraId="0179CE2A">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20B15981">
      <w:pPr>
        <w:spacing w:line="600" w:lineRule="exact"/>
        <w:ind w:firstLine="640"/>
        <w:outlineLvl w:val="2"/>
        <w:rPr>
          <w:rFonts w:ascii="仿宋" w:hAnsi="仿宋" w:eastAsia="仿宋"/>
          <w:b/>
          <w:color w:val="auto"/>
          <w:sz w:val="32"/>
          <w:szCs w:val="32"/>
          <w:highlight w:val="none"/>
        </w:rPr>
      </w:pPr>
      <w:bookmarkStart w:id="52" w:name="_Toc15377217"/>
      <w:r>
        <w:rPr>
          <w:rFonts w:hint="eastAsia" w:ascii="仿宋" w:hAnsi="仿宋" w:eastAsia="仿宋"/>
          <w:b/>
          <w:color w:val="auto"/>
          <w:sz w:val="32"/>
          <w:szCs w:val="32"/>
          <w:highlight w:val="none"/>
        </w:rPr>
        <w:t>（二）“三公”经费财政拨款支出决算具体情况说明</w:t>
      </w:r>
      <w:bookmarkEnd w:id="52"/>
    </w:p>
    <w:p w14:paraId="056C50FC">
      <w:pPr>
        <w:spacing w:line="600" w:lineRule="exact"/>
        <w:ind w:firstLine="640"/>
        <w:rPr>
          <w:rFonts w:ascii="仿宋" w:hAnsi="仿宋" w:eastAsia="仿宋"/>
          <w:color w:val="auto"/>
          <w:sz w:val="32"/>
          <w:szCs w:val="32"/>
          <w:highlight w:val="none"/>
        </w:rPr>
      </w:pPr>
      <w:r>
        <w:rPr>
          <w:rFonts w:hint="eastAsia" w:ascii="仿宋_GB2312" w:eastAsia="仿宋_GB2312"/>
          <w:b/>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162560</wp:posOffset>
            </wp:positionH>
            <wp:positionV relativeFrom="paragraph">
              <wp:posOffset>1951990</wp:posOffset>
            </wp:positionV>
            <wp:extent cx="4795520" cy="2346325"/>
            <wp:effectExtent l="4445" t="4445" r="19685" b="11430"/>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；公务用车购置及运行维护费支出决算13</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98万元，占</w:t>
      </w:r>
      <w:r>
        <w:rPr>
          <w:rFonts w:hint="eastAsia" w:ascii="仿宋" w:hAnsi="仿宋" w:eastAsia="仿宋"/>
          <w:color w:val="auto"/>
          <w:sz w:val="32"/>
          <w:szCs w:val="32"/>
          <w:highlight w:val="none"/>
          <w:lang w:val="en-US" w:eastAsia="zh-CN"/>
        </w:rPr>
        <w:t>98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0C982E31">
      <w:pPr>
        <w:spacing w:line="600" w:lineRule="exact"/>
        <w:ind w:firstLine="640"/>
        <w:rPr>
          <w:rFonts w:hint="eastAsia" w:ascii="仿宋_GB2312" w:eastAsia="仿宋_GB2312"/>
          <w:b/>
          <w:color w:val="auto"/>
          <w:sz w:val="32"/>
          <w:szCs w:val="32"/>
          <w:highlight w:val="none"/>
          <w:lang w:eastAsia="zh-CN"/>
        </w:rPr>
      </w:pPr>
      <w:r>
        <w:rPr>
          <w:rFonts w:hint="eastAsia" w:ascii="仿宋" w:hAnsi="仿宋" w:eastAsia="仿宋"/>
          <w:color w:val="auto"/>
          <w:sz w:val="32"/>
          <w:szCs w:val="32"/>
          <w:highlight w:val="none"/>
        </w:rPr>
        <w:t>（图7：“三公”经费财政拨款支出结构）（饼状图）</w:t>
      </w:r>
    </w:p>
    <w:p w14:paraId="1F5A3F42">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r>
        <w:rPr>
          <w:rFonts w:hint="eastAsia" w:ascii="仿宋_GB2312" w:eastAsia="仿宋_GB2312"/>
          <w:color w:val="auto"/>
          <w:sz w:val="32"/>
          <w:szCs w:val="32"/>
          <w:highlight w:val="none"/>
        </w:rPr>
        <w:t>，增长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暂无相关工作安排</w:t>
      </w:r>
      <w:r>
        <w:rPr>
          <w:rFonts w:hint="eastAsia" w:ascii="仿宋_GB2312" w:eastAsia="仿宋_GB2312"/>
          <w:color w:val="auto"/>
          <w:sz w:val="32"/>
          <w:szCs w:val="32"/>
          <w:highlight w:val="none"/>
        </w:rPr>
        <w:t>。</w:t>
      </w:r>
    </w:p>
    <w:p w14:paraId="096822D7">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开支内容包括：</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（团组名称、出访地点、取得成效）等。</w:t>
      </w:r>
    </w:p>
    <w:p w14:paraId="46A2E5BF">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13.98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98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0.52</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节能减排工作方案的实施</w:t>
      </w:r>
      <w:r>
        <w:rPr>
          <w:rFonts w:hint="eastAsia" w:ascii="仿宋_GB2312" w:eastAsia="仿宋_GB2312"/>
          <w:color w:val="auto"/>
          <w:sz w:val="32"/>
          <w:szCs w:val="32"/>
          <w:highlight w:val="none"/>
        </w:rPr>
        <w:t>。</w:t>
      </w:r>
    </w:p>
    <w:p w14:paraId="5F781C51">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日常工作开展</w:t>
      </w: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3AEC585B">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13.98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日常统一战线、民族宗教、非公经济、两联一进等工作开展</w:t>
      </w:r>
      <w:r>
        <w:rPr>
          <w:rFonts w:hint="eastAsia" w:ascii="仿宋_GB2312" w:eastAsia="仿宋_GB2312"/>
          <w:color w:val="auto"/>
          <w:sz w:val="32"/>
          <w:szCs w:val="32"/>
          <w:highlight w:val="none"/>
        </w:rPr>
        <w:t>（具体工作）等所需的公务用车燃料费、维修费、过路过桥费、保险费等支出。</w:t>
      </w:r>
    </w:p>
    <w:p w14:paraId="45F2A0FE">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0.33</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0.04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执行公务日常工作开展的餐费</w:t>
      </w:r>
      <w:r>
        <w:rPr>
          <w:rFonts w:hint="eastAsia" w:ascii="仿宋_GB2312" w:eastAsia="仿宋_GB2312"/>
          <w:color w:val="auto"/>
          <w:sz w:val="32"/>
          <w:szCs w:val="32"/>
          <w:highlight w:val="none"/>
        </w:rPr>
        <w:t>。其中：</w:t>
      </w:r>
    </w:p>
    <w:p w14:paraId="331E5479">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0.33</w:t>
      </w:r>
      <w:r>
        <w:rPr>
          <w:rFonts w:hint="eastAsia" w:ascii="仿宋_GB2312" w:eastAsia="仿宋_GB2312"/>
          <w:color w:val="auto"/>
          <w:sz w:val="32"/>
          <w:szCs w:val="32"/>
          <w:highlight w:val="none"/>
        </w:rPr>
        <w:t>万元，主要用于执行公务、开展业务活动开支的住宿费、用餐费等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33</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0.33</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代表餐费</w:t>
      </w:r>
      <w:r>
        <w:rPr>
          <w:rFonts w:hint="eastAsia" w:ascii="仿宋_GB2312" w:eastAsia="仿宋_GB2312"/>
          <w:color w:val="auto"/>
          <w:sz w:val="32"/>
          <w:szCs w:val="32"/>
          <w:highlight w:val="none"/>
          <w:lang w:val="en-US" w:eastAsia="zh-CN"/>
        </w:rPr>
        <w:t>0.05万元、省侨联开展工作餐费0.07万元、伊协工作团换届调研餐费0.16万元（每次0.08万元）、昆明学院来松餐费0.05万元</w:t>
      </w:r>
      <w:r>
        <w:rPr>
          <w:rFonts w:hint="eastAsia" w:ascii="仿宋_GB2312" w:eastAsia="仿宋_GB2312"/>
          <w:color w:val="auto"/>
          <w:sz w:val="32"/>
          <w:szCs w:val="32"/>
          <w:highlight w:val="none"/>
        </w:rPr>
        <w:t>。</w:t>
      </w:r>
    </w:p>
    <w:p w14:paraId="11CE5C34">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53" w:name="_Toc15396610"/>
      <w:bookmarkStart w:id="54" w:name="_Toc15377218"/>
    </w:p>
    <w:p w14:paraId="7E5B0DDE">
      <w:pPr>
        <w:spacing w:line="600" w:lineRule="exact"/>
        <w:ind w:firstLine="640"/>
        <w:outlineLvl w:val="1"/>
        <w:rPr>
          <w:rStyle w:val="20"/>
          <w:rFonts w:ascii="黑体" w:hAnsi="黑体" w:eastAsia="黑体"/>
          <w:color w:val="auto"/>
          <w:highlight w:val="none"/>
        </w:rPr>
      </w:pPr>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53"/>
      <w:bookmarkEnd w:id="54"/>
    </w:p>
    <w:p w14:paraId="7718A57E">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79087E6">
      <w:pPr>
        <w:numPr>
          <w:ilvl w:val="0"/>
          <w:numId w:val="3"/>
        </w:numPr>
        <w:spacing w:line="600" w:lineRule="exact"/>
        <w:ind w:firstLine="640"/>
        <w:outlineLvl w:val="1"/>
        <w:rPr>
          <w:rStyle w:val="20"/>
          <w:rFonts w:ascii="黑体" w:hAnsi="黑体" w:eastAsia="黑体"/>
          <w:b w:val="0"/>
          <w:color w:val="auto"/>
          <w:highlight w:val="none"/>
        </w:rPr>
      </w:pPr>
      <w:bookmarkStart w:id="55" w:name="_Toc15396611"/>
      <w:bookmarkStart w:id="56" w:name="_Toc15377219"/>
      <w:r>
        <w:rPr>
          <w:rStyle w:val="20"/>
          <w:rFonts w:hint="eastAsia" w:ascii="黑体" w:hAnsi="黑体" w:eastAsia="黑体"/>
          <w:b w:val="0"/>
          <w:color w:val="auto"/>
          <w:highlight w:val="none"/>
        </w:rPr>
        <w:t>国有资本经营预算支出决算情况说明</w:t>
      </w:r>
      <w:bookmarkEnd w:id="55"/>
      <w:bookmarkEnd w:id="56"/>
    </w:p>
    <w:p w14:paraId="29C2C770">
      <w:pPr>
        <w:spacing w:line="600" w:lineRule="exact"/>
        <w:ind w:firstLine="640"/>
        <w:rPr>
          <w:rFonts w:ascii="方正小标宋简体" w:hAnsi="方正小标宋简体" w:eastAsia="方正小标宋简体" w:cs="方正小标宋简体"/>
          <w:color w:val="auto"/>
          <w:sz w:val="44"/>
          <w:szCs w:val="44"/>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D120AC3">
      <w:pPr>
        <w:numPr>
          <w:ilvl w:val="0"/>
          <w:numId w:val="3"/>
        </w:numPr>
        <w:spacing w:line="600" w:lineRule="exact"/>
        <w:ind w:firstLine="640"/>
        <w:outlineLvl w:val="1"/>
        <w:rPr>
          <w:rStyle w:val="20"/>
          <w:rFonts w:hint="eastAsia" w:ascii="黑体" w:hAnsi="黑体" w:eastAsia="黑体"/>
          <w:b w:val="0"/>
          <w:color w:val="auto"/>
          <w:highlight w:val="none"/>
        </w:rPr>
      </w:pPr>
      <w:bookmarkStart w:id="57" w:name="_Toc15396612"/>
      <w:bookmarkStart w:id="58" w:name="_Toc15377221"/>
      <w:r>
        <w:rPr>
          <w:rStyle w:val="20"/>
          <w:rFonts w:hint="eastAsia" w:ascii="黑体" w:hAnsi="黑体" w:eastAsia="黑体"/>
          <w:b w:val="0"/>
          <w:color w:val="auto"/>
          <w:highlight w:val="none"/>
        </w:rPr>
        <w:t>其他重要事项的情况说明</w:t>
      </w:r>
      <w:bookmarkEnd w:id="57"/>
      <w:bookmarkEnd w:id="58"/>
    </w:p>
    <w:p w14:paraId="2A243168">
      <w:pPr>
        <w:spacing w:line="600" w:lineRule="exact"/>
        <w:ind w:firstLine="643" w:firstLineChars="200"/>
        <w:outlineLvl w:val="2"/>
        <w:rPr>
          <w:rFonts w:ascii="仿宋" w:hAnsi="仿宋" w:eastAsia="仿宋"/>
          <w:color w:val="auto"/>
          <w:sz w:val="32"/>
          <w:szCs w:val="32"/>
          <w:highlight w:val="none"/>
        </w:rPr>
      </w:pPr>
      <w:bookmarkStart w:id="59" w:name="_Toc15377222"/>
      <w:r>
        <w:rPr>
          <w:rFonts w:hint="eastAsia" w:ascii="仿宋" w:hAnsi="仿宋" w:eastAsia="仿宋"/>
          <w:b/>
          <w:color w:val="auto"/>
          <w:sz w:val="32"/>
          <w:szCs w:val="32"/>
          <w:highlight w:val="none"/>
        </w:rPr>
        <w:t>（一）机关运行经费支出情况</w:t>
      </w:r>
      <w:bookmarkEnd w:id="59"/>
    </w:p>
    <w:p w14:paraId="0EC1C118">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中共松潘县委统战部本级</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82.42</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29.37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55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。主要原因是差旅及各项工作</w:t>
      </w:r>
      <w:r>
        <w:rPr>
          <w:rFonts w:hint="eastAsia" w:ascii="仿宋_GB2312" w:eastAsia="仿宋_GB2312"/>
          <w:color w:val="auto"/>
          <w:sz w:val="32"/>
          <w:szCs w:val="32"/>
          <w:highlight w:val="none"/>
          <w:lang w:eastAsia="zh-CN"/>
        </w:rPr>
        <w:t>量增加，</w:t>
      </w:r>
      <w:r>
        <w:rPr>
          <w:rFonts w:hint="eastAsia" w:ascii="仿宋_GB2312" w:eastAsia="仿宋_GB2312"/>
          <w:color w:val="auto"/>
          <w:sz w:val="32"/>
          <w:szCs w:val="32"/>
          <w:highlight w:val="none"/>
        </w:rPr>
        <w:t>正常开展经费开支增加</w:t>
      </w:r>
      <w:r>
        <w:rPr>
          <w:rFonts w:hint="eastAsia" w:ascii="仿宋_GB2312" w:eastAsia="仿宋_GB2312"/>
          <w:color w:val="auto"/>
          <w:sz w:val="32"/>
          <w:szCs w:val="32"/>
          <w:highlight w:val="none"/>
          <w:lang w:eastAsia="zh-CN"/>
        </w:rPr>
        <w:t>。</w:t>
      </w:r>
    </w:p>
    <w:p w14:paraId="61E7455D">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47748D8E">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0" w:name="_Toc15377223"/>
      <w:r>
        <w:rPr>
          <w:rFonts w:hint="eastAsia" w:ascii="仿宋" w:hAnsi="仿宋" w:eastAsia="仿宋"/>
          <w:b/>
          <w:color w:val="auto"/>
          <w:sz w:val="32"/>
          <w:szCs w:val="32"/>
          <w:highlight w:val="none"/>
        </w:rPr>
        <w:t>（二）政府采购支出情况</w:t>
      </w:r>
      <w:bookmarkEnd w:id="60"/>
    </w:p>
    <w:p w14:paraId="3E72176B">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中共松潘县委统战部本级</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（具体工作）。授予中小企业合同金额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36340D6B">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5648B839">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1" w:name="_Toc15377224"/>
      <w:r>
        <w:rPr>
          <w:rFonts w:hint="eastAsia" w:ascii="仿宋" w:hAnsi="仿宋" w:eastAsia="仿宋"/>
          <w:b/>
          <w:color w:val="auto"/>
          <w:sz w:val="32"/>
          <w:szCs w:val="32"/>
          <w:highlight w:val="none"/>
        </w:rPr>
        <w:t>（三）国有资产占有使用情况</w:t>
      </w:r>
      <w:bookmarkEnd w:id="61"/>
    </w:p>
    <w:p w14:paraId="7429C9BE">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中共松潘县委统战部本级</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1E55C1E3">
      <w:pPr>
        <w:autoSpaceDE w:val="0"/>
        <w:autoSpaceDN w:val="0"/>
        <w:adjustRightInd w:val="0"/>
        <w:spacing w:line="60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p w14:paraId="64D72542">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7CEFFDA6">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2023年寺庙维修及爱国主义教育</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、民族团结进步创建活动经费、服务全州经济高质量发展工作现场会点位提升改造经费等</w:t>
      </w:r>
      <w:r>
        <w:rPr>
          <w:rFonts w:hint="eastAsia" w:ascii="仿宋_GB2312" w:hAnsi="仿宋_GB2312" w:eastAsia="仿宋_GB2312" w:cs="仿宋_GB2312"/>
          <w:color w:val="auto"/>
          <w:sz w:val="32"/>
          <w:szCs w:val="32"/>
          <w:highlight w:val="none"/>
          <w:lang w:val="en-US" w:eastAsia="zh-CN"/>
        </w:rPr>
        <w:t>3个项目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56138D75">
      <w:pPr>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全面开展绩效自评，形成中共松潘县委统战部本级</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2023年寺庙维修及爱国主义教育项目、民族团结进步创建活动经费、服务全州经济高质量发展工作现场会点为提升改造经费等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绩效自评报告，其中，中共松潘县委统战部本级部门整体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97分，绩效自评综述：根据部门预算绩效评价指标体系“总体绩效”涉及二、三级指标进行逐项绩效分析并评分，依次包括履职效能、预算管理、财务管理、资产管理、采购管理等情况。中共松潘县委统战部本级</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100分，绩效自评综述：按照绩效评价指标体系，对资金支出使用全过程及其实施效果进行综合评价和判断。绩效目标和绩效指标可量化可考核，契合政策，与部门的长期规划目标、年度工作目标相一致，产出和效果相关联，满意度指标达100%。绩效自评报告详见附件。</w:t>
      </w:r>
    </w:p>
    <w:p w14:paraId="7E472DBB">
      <w:pPr>
        <w:widowControl/>
        <w:ind w:firstLine="643" w:firstLineChars="200"/>
        <w:jc w:val="left"/>
        <w:rPr>
          <w:rFonts w:ascii="仿宋_GB2312" w:eastAsia="仿宋_GB2312"/>
          <w:b/>
          <w:color w:val="auto"/>
          <w:sz w:val="32"/>
          <w:szCs w:val="32"/>
          <w:highlight w:val="none"/>
        </w:rPr>
      </w:pPr>
    </w:p>
    <w:p w14:paraId="4D72BAD6"/>
    <w:p w14:paraId="212A2D15"/>
    <w:p w14:paraId="7E5FC1EB"/>
    <w:p w14:paraId="6E7A5113"/>
    <w:p w14:paraId="308834C3"/>
    <w:p w14:paraId="72C327A2"/>
    <w:p w14:paraId="6C86A375"/>
    <w:p w14:paraId="0370C9F1"/>
    <w:p w14:paraId="1EC7B47D"/>
    <w:p w14:paraId="5D6EC918"/>
    <w:p w14:paraId="235951C0"/>
    <w:p w14:paraId="0A83203B"/>
    <w:p w14:paraId="249E638E"/>
    <w:p w14:paraId="72EC3211"/>
    <w:p w14:paraId="6B52DBCD"/>
    <w:p w14:paraId="1227EB24"/>
    <w:p w14:paraId="19D064E2"/>
    <w:p w14:paraId="7A1B4949"/>
    <w:p w14:paraId="179CE975"/>
    <w:p w14:paraId="51B76AF1"/>
    <w:p w14:paraId="2EECFB4A"/>
    <w:p w14:paraId="1EF7A811"/>
    <w:p w14:paraId="4181E9C9"/>
    <w:p w14:paraId="25FE215A"/>
    <w:p w14:paraId="432606D2"/>
    <w:p w14:paraId="55E664B2">
      <w:pPr>
        <w:numPr>
          <w:ilvl w:val="0"/>
          <w:numId w:val="4"/>
        </w:numPr>
        <w:spacing w:line="600" w:lineRule="exact"/>
        <w:ind w:firstLine="660" w:firstLineChars="150"/>
        <w:jc w:val="center"/>
        <w:outlineLvl w:val="0"/>
        <w:rPr>
          <w:rStyle w:val="19"/>
          <w:rFonts w:ascii="黑体" w:hAnsi="黑体" w:eastAsia="黑体"/>
          <w:b w:val="0"/>
          <w:color w:val="auto"/>
          <w:highlight w:val="none"/>
        </w:rPr>
      </w:pPr>
      <w:bookmarkStart w:id="62" w:name="_Toc15377225"/>
      <w:bookmarkStart w:id="63" w:name="_Toc15396613"/>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62"/>
      <w:bookmarkEnd w:id="63"/>
    </w:p>
    <w:p w14:paraId="33C94620">
      <w:pPr>
        <w:spacing w:line="600" w:lineRule="exact"/>
        <w:jc w:val="left"/>
        <w:rPr>
          <w:rFonts w:ascii="宋体"/>
          <w:b/>
          <w:color w:val="auto"/>
          <w:sz w:val="44"/>
          <w:szCs w:val="44"/>
          <w:highlight w:val="none"/>
        </w:rPr>
      </w:pPr>
    </w:p>
    <w:p w14:paraId="4B73E2B8">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439D3C3A">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14:paraId="722A9086">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14:paraId="71D300FE">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14:paraId="52506123">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083F98D8">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60F0FDE9">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CAAF3B1">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6C906163">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9.</w:t>
      </w:r>
      <w:r>
        <w:rPr>
          <w:rFonts w:hint="eastAsia" w:ascii="仿宋_GB2312" w:eastAsia="仿宋_GB2312"/>
          <w:color w:val="auto"/>
          <w:sz w:val="32"/>
          <w:szCs w:val="32"/>
          <w:highlight w:val="none"/>
        </w:rPr>
        <w:t>一般公共服务（类）…（款）…（项）：指……。</w:t>
      </w:r>
    </w:p>
    <w:p w14:paraId="6BCA3FFD">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10.</w:t>
      </w:r>
      <w:r>
        <w:rPr>
          <w:rFonts w:hint="eastAsia" w:ascii="仿宋_GB2312" w:eastAsia="仿宋_GB2312"/>
          <w:color w:val="auto"/>
          <w:sz w:val="32"/>
          <w:szCs w:val="32"/>
          <w:highlight w:val="none"/>
        </w:rPr>
        <w:t>外交（类）…（款）…（项）：指……。</w:t>
      </w:r>
    </w:p>
    <w:p w14:paraId="223162B9">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11.</w:t>
      </w:r>
      <w:r>
        <w:rPr>
          <w:rFonts w:hint="eastAsia" w:ascii="仿宋_GB2312" w:eastAsia="仿宋_GB2312"/>
          <w:color w:val="auto"/>
          <w:sz w:val="32"/>
          <w:szCs w:val="32"/>
          <w:highlight w:val="none"/>
        </w:rPr>
        <w:t>公共安全（类）…（款）…（项）：指……。</w:t>
      </w:r>
    </w:p>
    <w:p w14:paraId="7EDFD417">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12.</w:t>
      </w:r>
      <w:r>
        <w:rPr>
          <w:rFonts w:hint="eastAsia" w:ascii="仿宋_GB2312" w:eastAsia="仿宋_GB2312"/>
          <w:color w:val="auto"/>
          <w:sz w:val="32"/>
          <w:szCs w:val="32"/>
          <w:highlight w:val="none"/>
        </w:rPr>
        <w:t>教育（类）…（款）…（项）：指……。</w:t>
      </w:r>
    </w:p>
    <w:p w14:paraId="17670D5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13.</w:t>
      </w:r>
      <w:r>
        <w:rPr>
          <w:rFonts w:hint="eastAsia" w:ascii="仿宋_GB2312" w:eastAsia="仿宋_GB2312"/>
          <w:color w:val="auto"/>
          <w:sz w:val="32"/>
          <w:szCs w:val="32"/>
          <w:highlight w:val="none"/>
        </w:rPr>
        <w:t>科学技术（类）…（款）…（项）：指……。</w:t>
      </w:r>
    </w:p>
    <w:p w14:paraId="7A2A42E0">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14.</w:t>
      </w:r>
      <w:r>
        <w:rPr>
          <w:rFonts w:hint="eastAsia" w:ascii="仿宋_GB2312" w:eastAsia="仿宋_GB2312"/>
          <w:color w:val="auto"/>
          <w:sz w:val="32"/>
          <w:szCs w:val="32"/>
          <w:highlight w:val="none"/>
        </w:rPr>
        <w:t>文化</w:t>
      </w:r>
      <w:r>
        <w:rPr>
          <w:rFonts w:hint="eastAsia" w:ascii="仿宋_GB2312" w:eastAsia="仿宋_GB2312"/>
          <w:color w:val="auto"/>
          <w:sz w:val="32"/>
          <w:szCs w:val="32"/>
          <w:highlight w:val="none"/>
          <w:lang w:eastAsia="zh-CN"/>
        </w:rPr>
        <w:t>旅游</w:t>
      </w:r>
      <w:r>
        <w:rPr>
          <w:rFonts w:hint="eastAsia" w:ascii="仿宋_GB2312" w:eastAsia="仿宋_GB2312"/>
          <w:color w:val="auto"/>
          <w:sz w:val="32"/>
          <w:szCs w:val="32"/>
          <w:highlight w:val="none"/>
        </w:rPr>
        <w:t>体育与传媒（类）…（款）…（项）：指……。</w:t>
      </w:r>
    </w:p>
    <w:p w14:paraId="56E39B3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15.</w:t>
      </w:r>
      <w:r>
        <w:rPr>
          <w:rFonts w:hint="eastAsia" w:ascii="仿宋_GB2312" w:eastAsia="仿宋_GB2312"/>
          <w:color w:val="auto"/>
          <w:sz w:val="32"/>
          <w:szCs w:val="32"/>
          <w:highlight w:val="none"/>
        </w:rPr>
        <w:t>社会保障和就业（类）…（款）…（项）：指……。</w:t>
      </w:r>
    </w:p>
    <w:p w14:paraId="73F93A83">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16.</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（类）…（款）…（项）：指……。</w:t>
      </w:r>
    </w:p>
    <w:p w14:paraId="1DF5D61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17.</w:t>
      </w:r>
      <w:r>
        <w:rPr>
          <w:rFonts w:hint="eastAsia" w:ascii="仿宋_GB2312" w:eastAsia="仿宋_GB2312"/>
          <w:color w:val="auto"/>
          <w:sz w:val="32"/>
          <w:szCs w:val="32"/>
          <w:highlight w:val="none"/>
        </w:rPr>
        <w:t>节能环保（类）…（款）…（项）：指……。</w:t>
      </w:r>
    </w:p>
    <w:p w14:paraId="2709C7D1">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18.</w:t>
      </w:r>
      <w:r>
        <w:rPr>
          <w:rFonts w:hint="eastAsia" w:ascii="仿宋_GB2312" w:eastAsia="仿宋_GB2312"/>
          <w:color w:val="auto"/>
          <w:sz w:val="32"/>
          <w:szCs w:val="32"/>
          <w:highlight w:val="none"/>
        </w:rPr>
        <w:t>城乡社区（类）…（款）…（项）：指……。</w:t>
      </w:r>
    </w:p>
    <w:p w14:paraId="66520963">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19.</w:t>
      </w:r>
      <w:r>
        <w:rPr>
          <w:rFonts w:hint="eastAsia" w:ascii="仿宋_GB2312" w:eastAsia="仿宋_GB2312"/>
          <w:color w:val="auto"/>
          <w:sz w:val="32"/>
          <w:szCs w:val="32"/>
          <w:highlight w:val="none"/>
        </w:rPr>
        <w:t>农林水（类）…（款）…（项）：指……。</w:t>
      </w:r>
    </w:p>
    <w:p w14:paraId="27F96C85">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rPr>
        <w:t>交通运输（类）…（款）…（项）：指……。</w:t>
      </w:r>
    </w:p>
    <w:p w14:paraId="6801350A">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21.</w:t>
      </w:r>
      <w:r>
        <w:rPr>
          <w:rFonts w:hint="eastAsia" w:ascii="仿宋_GB2312" w:eastAsia="仿宋_GB2312"/>
          <w:color w:val="auto"/>
          <w:sz w:val="32"/>
          <w:szCs w:val="32"/>
          <w:highlight w:val="none"/>
        </w:rPr>
        <w:t>资源勘探</w:t>
      </w:r>
      <w:r>
        <w:rPr>
          <w:rFonts w:hint="eastAsia" w:ascii="仿宋_GB2312" w:eastAsia="仿宋_GB2312"/>
          <w:color w:val="auto"/>
          <w:sz w:val="32"/>
          <w:szCs w:val="32"/>
          <w:highlight w:val="none"/>
          <w:lang w:eastAsia="zh-CN"/>
        </w:rPr>
        <w:t>工业</w:t>
      </w:r>
      <w:r>
        <w:rPr>
          <w:rFonts w:hint="eastAsia" w:ascii="仿宋_GB2312" w:eastAsia="仿宋_GB2312"/>
          <w:color w:val="auto"/>
          <w:sz w:val="32"/>
          <w:szCs w:val="32"/>
          <w:highlight w:val="none"/>
        </w:rPr>
        <w:t>信息等（类）…（款）…（项）：指……。</w:t>
      </w:r>
    </w:p>
    <w:p w14:paraId="685607D7">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22.</w:t>
      </w:r>
      <w:r>
        <w:rPr>
          <w:rFonts w:hint="eastAsia" w:ascii="仿宋_GB2312" w:eastAsia="仿宋_GB2312"/>
          <w:color w:val="auto"/>
          <w:sz w:val="32"/>
          <w:szCs w:val="32"/>
          <w:highlight w:val="none"/>
        </w:rPr>
        <w:t>商业服务业（类）…（款）…（项）：指……。</w:t>
      </w:r>
    </w:p>
    <w:p w14:paraId="5B3658F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23.</w:t>
      </w:r>
      <w:r>
        <w:rPr>
          <w:rFonts w:hint="eastAsia" w:ascii="仿宋_GB2312" w:eastAsia="仿宋_GB2312"/>
          <w:color w:val="auto"/>
          <w:sz w:val="32"/>
          <w:szCs w:val="32"/>
          <w:highlight w:val="none"/>
        </w:rPr>
        <w:t>金融（类）…（款）…（项）：指……。</w:t>
      </w:r>
    </w:p>
    <w:p w14:paraId="0A37AAD8">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24.</w:t>
      </w:r>
      <w:r>
        <w:rPr>
          <w:rFonts w:hint="eastAsia" w:ascii="仿宋_GB2312" w:eastAsia="仿宋_GB2312"/>
          <w:color w:val="auto"/>
          <w:sz w:val="32"/>
          <w:szCs w:val="32"/>
          <w:highlight w:val="none"/>
          <w:lang w:eastAsia="zh-CN"/>
        </w:rPr>
        <w:t>自然资源</w:t>
      </w:r>
      <w:r>
        <w:rPr>
          <w:rFonts w:hint="eastAsia" w:ascii="仿宋_GB2312" w:eastAsia="仿宋_GB2312"/>
          <w:color w:val="auto"/>
          <w:sz w:val="32"/>
          <w:szCs w:val="32"/>
          <w:highlight w:val="none"/>
        </w:rPr>
        <w:t>海洋气象等（类）…（款）…（项）：指……。</w:t>
      </w:r>
    </w:p>
    <w:p w14:paraId="3C389A8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25.</w:t>
      </w:r>
      <w:r>
        <w:rPr>
          <w:rFonts w:hint="eastAsia" w:ascii="仿宋_GB2312" w:eastAsia="仿宋_GB2312"/>
          <w:color w:val="auto"/>
          <w:sz w:val="32"/>
          <w:szCs w:val="32"/>
          <w:highlight w:val="none"/>
        </w:rPr>
        <w:t>住房保障（类）…（款）…（项）：指……。</w:t>
      </w:r>
    </w:p>
    <w:p w14:paraId="61108EA8">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26.</w:t>
      </w:r>
      <w:r>
        <w:rPr>
          <w:rFonts w:hint="eastAsia" w:ascii="仿宋_GB2312" w:eastAsia="仿宋_GB2312"/>
          <w:color w:val="auto"/>
          <w:sz w:val="32"/>
          <w:szCs w:val="32"/>
          <w:highlight w:val="none"/>
        </w:rPr>
        <w:t>粮油物资储备（类）…（款）…（项）：指……。</w:t>
      </w:r>
    </w:p>
    <w:p w14:paraId="1C7A3E00">
      <w:pPr>
        <w:spacing w:line="600" w:lineRule="exact"/>
        <w:ind w:firstLine="640"/>
        <w:rPr>
          <w:rFonts w:ascii="仿宋" w:hAnsi="仿宋" w:eastAsia="仿宋"/>
          <w:b/>
          <w:color w:val="auto"/>
          <w:sz w:val="32"/>
          <w:szCs w:val="32"/>
          <w:highlight w:val="none"/>
        </w:rPr>
      </w:pPr>
      <w:r>
        <w:rPr>
          <w:rFonts w:hint="eastAsia" w:ascii="仿宋" w:hAnsi="仿宋" w:eastAsia="仿宋"/>
          <w:b/>
          <w:color w:val="auto"/>
          <w:sz w:val="32"/>
          <w:szCs w:val="32"/>
          <w:highlight w:val="none"/>
        </w:rPr>
        <w:t>（解释本部门决算报表中</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全部功能分类科目至项级，</w:t>
      </w:r>
      <w:r>
        <w:rPr>
          <w:rFonts w:hint="eastAsia" w:ascii="仿宋" w:hAnsi="仿宋" w:eastAsia="仿宋"/>
          <w:b/>
          <w:color w:val="auto"/>
          <w:sz w:val="32"/>
          <w:szCs w:val="32"/>
          <w:highlight w:val="none"/>
          <w:lang w:eastAsia="zh-CN"/>
        </w:rPr>
        <w:t>不涉及的科目请自行删除。</w:t>
      </w:r>
      <w:r>
        <w:rPr>
          <w:rFonts w:hint="eastAsia" w:ascii="仿宋" w:hAnsi="仿宋" w:eastAsia="仿宋"/>
          <w:b/>
          <w:color w:val="auto"/>
          <w:sz w:val="32"/>
          <w:szCs w:val="32"/>
          <w:highlight w:val="none"/>
        </w:rPr>
        <w:t>请参照《</w:t>
      </w:r>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年政府收支分类科目》增减内容。）</w:t>
      </w:r>
    </w:p>
    <w:p w14:paraId="37033181">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14:paraId="154E2A8E">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CAD87D9">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4B6F8311">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30.</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A811049">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D8F8C3">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32.</w:t>
      </w:r>
      <w:r>
        <w:rPr>
          <w:rFonts w:hint="eastAsia" w:ascii="仿宋_GB2312" w:eastAsia="仿宋_GB2312"/>
          <w:color w:val="auto"/>
          <w:sz w:val="32"/>
          <w:szCs w:val="32"/>
          <w:highlight w:val="none"/>
        </w:rPr>
        <w:t>……。</w:t>
      </w:r>
    </w:p>
    <w:p w14:paraId="755A2791">
      <w:pPr>
        <w:pStyle w:val="23"/>
        <w:spacing w:line="560" w:lineRule="exact"/>
        <w:ind w:firstLine="640" w:firstLineChars="200"/>
        <w:rPr>
          <w:rFonts w:ascii="仿宋_GB2312" w:eastAsia="仿宋_GB2312" w:cs="黑体"/>
          <w:color w:val="auto"/>
          <w:sz w:val="32"/>
          <w:szCs w:val="32"/>
          <w:highlight w:val="none"/>
        </w:rPr>
      </w:pPr>
    </w:p>
    <w:p w14:paraId="7E945B96">
      <w:pPr>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（名词解释部分请根据各部门实际列支情况罗列，并根据本部门职责职能增减名词解释内容。）</w:t>
      </w:r>
    </w:p>
    <w:p w14:paraId="1A286C35">
      <w:pPr>
        <w:spacing w:line="600" w:lineRule="exact"/>
        <w:jc w:val="center"/>
        <w:outlineLvl w:val="0"/>
        <w:rPr>
          <w:rStyle w:val="19"/>
          <w:rFonts w:hint="eastAsia" w:ascii="黑体" w:hAnsi="黑体" w:eastAsia="黑体"/>
          <w:b w:val="0"/>
          <w:color w:val="auto"/>
          <w:highlight w:val="none"/>
          <w:lang w:eastAsia="zh-CN"/>
        </w:rPr>
      </w:pPr>
      <w:bookmarkStart w:id="64" w:name="_Toc15377226"/>
      <w:r>
        <w:rPr>
          <w:rFonts w:ascii="宋体"/>
          <w:b/>
          <w:color w:val="auto"/>
          <w:sz w:val="44"/>
          <w:szCs w:val="44"/>
          <w:highlight w:val="none"/>
        </w:rPr>
        <w:br w:type="page"/>
      </w:r>
      <w:bookmarkStart w:id="65" w:name="_Toc15396614"/>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bookmarkEnd w:id="65"/>
    </w:p>
    <w:p w14:paraId="10533DB1">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FF0000"/>
          <w:sz w:val="32"/>
          <w:szCs w:val="32"/>
          <w:highlight w:val="none"/>
        </w:rPr>
      </w:pPr>
    </w:p>
    <w:p w14:paraId="7413A292">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7C9E2BE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ascii="Times New Roman" w:hAnsi="Times New Roman" w:eastAsia="方正小标宋简体" w:cs="Times New Roman"/>
          <w:b w:val="0"/>
          <w:bCs/>
          <w:sz w:val="44"/>
          <w:szCs w:val="44"/>
          <w:highlight w:val="none"/>
          <w:shd w:val="clear" w:color="auto" w:fill="FFFFFF"/>
          <w:lang w:eastAsia="zh-CN"/>
        </w:rPr>
        <w:t>四川省阿坝州松潘县中共松潘县委统战部本级</w:t>
      </w:r>
      <w:r>
        <w:rPr>
          <w:rFonts w:hint="eastAsia" w:ascii="Times New Roman" w:hAnsi="Times New Roman" w:eastAsia="方正小标宋简体" w:cs="Times New Roman"/>
          <w:b w:val="0"/>
          <w:bCs/>
          <w:sz w:val="44"/>
          <w:szCs w:val="44"/>
          <w:highlight w:val="none"/>
          <w:shd w:val="clear" w:color="auto" w:fill="FFFFFF"/>
          <w:lang w:val="en-US" w:eastAsia="zh-CN"/>
        </w:rPr>
        <w:t>2023年</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9D94D4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62A8B3FA">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261307E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eastAsia" w:eastAsia="黑体" w:cs="Times New Roman"/>
          <w:color w:val="000000"/>
          <w:kern w:val="0"/>
          <w:sz w:val="32"/>
          <w:szCs w:val="32"/>
          <w:highlight w:val="none"/>
          <w:shd w:val="clear" w:color="auto" w:fill="FFFFFF"/>
          <w:lang w:val="zh-CN"/>
        </w:rPr>
        <w:t>一、</w:t>
      </w:r>
      <w:r>
        <w:rPr>
          <w:rFonts w:hint="default" w:eastAsia="黑体" w:cs="Times New Roman"/>
          <w:color w:val="000000"/>
          <w:kern w:val="0"/>
          <w:sz w:val="32"/>
          <w:szCs w:val="32"/>
          <w:highlight w:val="none"/>
          <w:shd w:val="clear" w:color="auto" w:fill="FFFFFF"/>
          <w:lang w:val="zh-CN"/>
        </w:rPr>
        <w:t>部门（单位）基本情况</w:t>
      </w:r>
    </w:p>
    <w:p w14:paraId="5BD8CCC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319" w:leftChars="152" w:firstLine="321" w:firstLineChars="1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w:t>
      </w:r>
      <w:r>
        <w:rPr>
          <w:rFonts w:hint="default" w:ascii="Times New Roman" w:hAnsi="Times New Roman" w:eastAsia="楷体_GB2312" w:cs="Times New Roman"/>
          <w:b/>
          <w:bCs/>
          <w:color w:val="000000"/>
          <w:kern w:val="0"/>
          <w:sz w:val="32"/>
          <w:szCs w:val="32"/>
          <w:highlight w:val="none"/>
          <w:shd w:val="clear" w:color="auto" w:fill="FFFFFF"/>
          <w:lang w:val="zh-CN"/>
        </w:rPr>
        <w:t>机构组成。</w:t>
      </w:r>
    </w:p>
    <w:p w14:paraId="6260B7B3">
      <w:pPr>
        <w:ind w:firstLine="640"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仿宋" w:eastAsia="仿宋"/>
          <w:sz w:val="32"/>
          <w:szCs w:val="32"/>
          <w:lang w:eastAsia="zh-CN"/>
        </w:rPr>
        <w:t>涉密</w:t>
      </w:r>
    </w:p>
    <w:p w14:paraId="1BC1CF5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5F99BD01">
      <w:pPr>
        <w:ind w:firstLine="640" w:firstLineChars="200"/>
        <w:rPr>
          <w:rFonts w:hint="eastAsia" w:ascii="黑体" w:hAnsi="黑体" w:eastAsia="黑体"/>
          <w:b w:val="0"/>
          <w:color w:val="auto"/>
          <w:highlight w:val="none"/>
        </w:rPr>
      </w:pPr>
      <w:r>
        <w:rPr>
          <w:rFonts w:hint="eastAsia" w:ascii="仿宋" w:eastAsia="仿宋"/>
          <w:sz w:val="32"/>
          <w:szCs w:val="32"/>
          <w:lang w:eastAsia="zh-CN"/>
        </w:rPr>
        <w:t>涉密</w:t>
      </w:r>
    </w:p>
    <w:p w14:paraId="7D52A2F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截至2023年末，县委统战部行政编制13名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年末实有在职人数12人。</w:t>
      </w:r>
    </w:p>
    <w:p w14:paraId="587B9C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机关工勤人员</w:t>
      </w:r>
      <w:r>
        <w:rPr>
          <w:rFonts w:hint="eastAsia"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val="en-US" w:eastAsia="zh-CN"/>
        </w:rPr>
        <w:t>编制1名，年末实有在职人数1人。</w:t>
      </w:r>
    </w:p>
    <w:p w14:paraId="4B3D81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事业编制</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人，年末实有在职人数</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人。</w:t>
      </w:r>
    </w:p>
    <w:p w14:paraId="17D6742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14:paraId="101C8E8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rPr>
      </w:pPr>
      <w:r>
        <w:rPr>
          <w:rFonts w:hint="eastAsia" w:ascii="仿宋_GB2312" w:hAnsi="仿宋_GB2312" w:eastAsia="仿宋_GB2312" w:cs="仿宋_GB2312"/>
          <w:b/>
          <w:bCs/>
          <w:color w:val="000000"/>
          <w:kern w:val="0"/>
          <w:sz w:val="32"/>
          <w:szCs w:val="32"/>
          <w:highlight w:val="none"/>
          <w:shd w:val="clear" w:color="auto" w:fill="FFFFFF"/>
          <w:lang w:val="zh-CN"/>
        </w:rPr>
        <w:t>（一）收入情况。</w:t>
      </w:r>
      <w:r>
        <w:rPr>
          <w:rFonts w:hint="eastAsia" w:ascii="仿宋_GB2312" w:hAnsi="仿宋_GB2312" w:eastAsia="仿宋_GB2312" w:cs="仿宋_GB2312"/>
          <w:sz w:val="32"/>
          <w:szCs w:val="32"/>
          <w:lang w:val="en-US" w:eastAsia="zh-CN"/>
        </w:rPr>
        <w:t>中共松潘县委统战部2023年年初预算收入442.64万元、全年预算收入为609.06万元、年初结转和结余42.81万元，收入决算数总和为651.84万元。</w:t>
      </w:r>
    </w:p>
    <w:p w14:paraId="6BCE353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（二）支出情况。</w:t>
      </w:r>
      <w:r>
        <w:rPr>
          <w:rFonts w:hint="eastAsia" w:ascii="仿宋_GB2312" w:hAnsi="仿宋_GB2312" w:eastAsia="仿宋_GB2312" w:cs="仿宋_GB2312"/>
          <w:sz w:val="32"/>
          <w:szCs w:val="32"/>
          <w:lang w:val="en-US" w:eastAsia="zh-CN"/>
        </w:rPr>
        <w:t>中共松潘县委统战部2023年年初预算支出442.64万元、全年预算支出为651.84万元，年底决算支出为651.84万元。</w:t>
      </w:r>
    </w:p>
    <w:p w14:paraId="6A806165">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bCs/>
          <w:color w:val="000000"/>
          <w:kern w:val="0"/>
          <w:sz w:val="32"/>
          <w:szCs w:val="32"/>
          <w:highlight w:val="none"/>
          <w:shd w:val="clear" w:color="auto" w:fill="FFFFFF"/>
          <w:lang w:val="zh-CN"/>
        </w:rPr>
        <w:t>（三）</w:t>
      </w:r>
      <w:r>
        <w:rPr>
          <w:rFonts w:hint="eastAsia" w:ascii="仿宋_GB2312" w:hAnsi="仿宋_GB2312" w:eastAsia="仿宋_GB2312" w:cs="仿宋_GB2312"/>
          <w:b/>
          <w:sz w:val="32"/>
          <w:szCs w:val="32"/>
        </w:rPr>
        <w:t>结余分配和结转结余情况</w:t>
      </w:r>
      <w:r>
        <w:rPr>
          <w:rFonts w:hint="eastAsia" w:ascii="仿宋_GB2312" w:hAnsi="仿宋_GB2312" w:eastAsia="仿宋_GB2312" w:cs="仿宋_GB2312"/>
          <w:b/>
          <w:sz w:val="32"/>
          <w:szCs w:val="32"/>
          <w:lang w:eastAsia="zh-CN"/>
        </w:rPr>
        <w:t>。</w:t>
      </w:r>
    </w:p>
    <w:p w14:paraId="2902A80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color w:val="000000"/>
          <w:kern w:val="0"/>
          <w:sz w:val="32"/>
          <w:szCs w:val="32"/>
          <w:highlight w:val="none"/>
          <w:shd w:val="clear" w:color="auto" w:fill="FFFFFF"/>
          <w:lang w:val="zh-CN" w:eastAsia="zh-CN"/>
        </w:rPr>
      </w:pPr>
      <w:r>
        <w:rPr>
          <w:rFonts w:hint="eastAsia" w:ascii="仿宋_GB2312" w:hAnsi="仿宋_GB2312" w:eastAsia="仿宋_GB2312" w:cs="仿宋_GB2312"/>
          <w:sz w:val="32"/>
          <w:szCs w:val="32"/>
          <w:lang w:val="en-US" w:eastAsia="zh-CN"/>
        </w:rPr>
        <w:t>中共松潘县委统战部2023年决算报表</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结转结余0元。</w:t>
      </w:r>
    </w:p>
    <w:p w14:paraId="1CEB796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14:paraId="4BE373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zh-CN"/>
        </w:rPr>
        <w:t>（一）部门预算总体绩效分析。</w:t>
      </w:r>
      <w:r>
        <w:rPr>
          <w:rFonts w:hint="eastAsia" w:ascii="仿宋_GB2312" w:hAnsi="仿宋_GB2312" w:eastAsia="仿宋_GB2312" w:cs="仿宋_GB2312"/>
          <w:color w:val="000000"/>
          <w:kern w:val="0"/>
          <w:sz w:val="32"/>
          <w:szCs w:val="32"/>
          <w:highlight w:val="none"/>
          <w:shd w:val="clear" w:color="auto" w:fill="FFFFFF"/>
          <w:lang w:val="zh-CN"/>
        </w:rPr>
        <w:t>根据部门预算绩效评价指标体系“总体绩效”涉及二、三级指标进行逐项绩效分析并评分，依次包括履职效能、预算管理、财务管理、资产管理、采购管理等情况。</w:t>
      </w:r>
    </w:p>
    <w:p w14:paraId="6645F4A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w:t>
      </w:r>
      <w:r>
        <w:rPr>
          <w:rFonts w:hint="eastAsia" w:ascii="仿宋_GB2312" w:hAnsi="仿宋_GB2312" w:eastAsia="仿宋_GB2312" w:cs="仿宋_GB2312"/>
          <w:b/>
          <w:bCs/>
          <w:color w:val="000000"/>
          <w:kern w:val="0"/>
          <w:sz w:val="32"/>
          <w:szCs w:val="32"/>
          <w:highlight w:val="none"/>
          <w:shd w:val="clear" w:color="auto" w:fill="FFFFFF"/>
          <w:lang w:val="zh-CN"/>
        </w:rPr>
        <w:t>履职效能。</w:t>
      </w:r>
      <w:r>
        <w:rPr>
          <w:rFonts w:hint="eastAsia" w:ascii="仿宋_GB2312" w:hAnsi="仿宋_GB2312" w:eastAsia="仿宋_GB2312" w:cs="仿宋_GB2312"/>
          <w:color w:val="000000"/>
          <w:kern w:val="0"/>
          <w:sz w:val="32"/>
          <w:szCs w:val="32"/>
          <w:highlight w:val="none"/>
          <w:shd w:val="clear" w:color="auto" w:fill="FFFFFF"/>
          <w:lang w:val="zh-CN"/>
        </w:rPr>
        <w:t>部门整体绩效目标中选定3—5个核心职能目标，对职能目标完成效果情况进行分析。</w:t>
      </w:r>
    </w:p>
    <w:p w14:paraId="64A1762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（1）经济性履职效能分析：县委统战部严格按照控制预算，每季度进行厉行节约上报，分析本年度三公经费、会议费、培训费等支出，并与上一年度进行比较分析，发现问题并着力解决问题。此项得分4分。</w:t>
      </w:r>
    </w:p>
    <w:p w14:paraId="0B0568D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（2）效率性履职效能分析：每年分两次对各项工作的开展进度及质量进行检查，做到实时掌握，保证完成任务。此项得分4分。</w:t>
      </w:r>
    </w:p>
    <w:p w14:paraId="6923D6F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（3）有效性履职效能分析：不定时地走访调研，对项目的进展情况进行实地摸查，确保资金用在刀刃上。此项得分3分。</w:t>
      </w:r>
    </w:p>
    <w:p w14:paraId="2211C25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（4）可持续性履职效能分析：项目支出完成后，安排专人不定期进行走访项目完工后的使用情况，并对后续政策进行宣传。此项得分4分。</w:t>
      </w:r>
    </w:p>
    <w:p w14:paraId="206A6B4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w:t>
      </w:r>
      <w:r>
        <w:rPr>
          <w:rFonts w:hint="eastAsia" w:ascii="仿宋_GB2312" w:hAnsi="仿宋_GB2312" w:eastAsia="仿宋_GB2312" w:cs="仿宋_GB2312"/>
          <w:b/>
          <w:bCs/>
          <w:color w:val="000000"/>
          <w:kern w:val="0"/>
          <w:sz w:val="32"/>
          <w:szCs w:val="32"/>
          <w:highlight w:val="none"/>
          <w:shd w:val="clear" w:color="auto" w:fill="FFFFFF"/>
          <w:lang w:val="zh-CN"/>
        </w:rPr>
        <w:t>预算管理。</w:t>
      </w:r>
      <w:r>
        <w:rPr>
          <w:rFonts w:hint="eastAsia" w:ascii="仿宋_GB2312" w:hAnsi="仿宋_GB2312" w:eastAsia="仿宋_GB2312" w:cs="仿宋_GB2312"/>
          <w:color w:val="000000"/>
          <w:kern w:val="0"/>
          <w:sz w:val="32"/>
          <w:szCs w:val="32"/>
          <w:highlight w:val="none"/>
          <w:shd w:val="clear" w:color="auto" w:fill="FFFFFF"/>
          <w:lang w:val="zh-CN"/>
        </w:rPr>
        <w:t>围绕预算编制质量、单位收入统筹、支出执行进度、预算年终结余、严控一般性支出进行绩效分析。</w:t>
      </w:r>
    </w:p>
    <w:p w14:paraId="57BFB77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（1）预算编制质量分析：</w:t>
      </w:r>
      <w:r>
        <w:rPr>
          <w:rFonts w:hint="eastAsia" w:ascii="仿宋_GB2312" w:hAnsi="仿宋_GB2312" w:eastAsia="仿宋_GB2312" w:cs="仿宋_GB2312"/>
          <w:color w:val="000000"/>
          <w:kern w:val="0"/>
          <w:sz w:val="32"/>
          <w:szCs w:val="32"/>
          <w:highlight w:val="none"/>
          <w:shd w:val="clear" w:color="auto" w:fill="FFFFFF"/>
          <w:lang w:val="zh-CN"/>
        </w:rPr>
        <w:t>坚决贯彻落实党中央、国务院“过紧日子”要求，紧紧围绕财政中心工作，坚持“严”字当头、“细”字为要、“效”字为重，全面提升202</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年度部门预算编制审核工作质效。年初我部严格按要求编制年初部门预算，年初预算编制的科学性和准确性，此项得分</w:t>
      </w:r>
      <w:r>
        <w:rPr>
          <w:rFonts w:hint="eastAsia" w:ascii="仿宋_GB2312" w:hAnsi="仿宋_GB2312" w:eastAsia="仿宋_GB2312" w:cs="仿宋_GB2312"/>
          <w:color w:val="000000"/>
          <w:kern w:val="0"/>
          <w:sz w:val="32"/>
          <w:szCs w:val="32"/>
          <w:highlight w:val="none"/>
          <w:shd w:val="clear" w:color="auto" w:fill="FFFFFF"/>
          <w:lang w:val="en-US" w:eastAsia="zh-CN"/>
        </w:rPr>
        <w:t>8分。</w:t>
      </w:r>
    </w:p>
    <w:p w14:paraId="6F130FF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单位收入统筹分析：年初将单位收入统筹全面纳入预算管理包括非财政拨款资金、工会会费收入、基本户批量结息等，都被纳入预算管理，确保所有收入都经过预算的规划和监督。通过加强部门和单位收入纳入预算的统筹管理，实现预算管理的一体化，即“横向到边，纵向到底”，提高预算管理的完整性和规范性。通过规范预算支出管理，动态掌握单位账户资金余额和收付信息，确保预算执行的规范性和效率。通过这些措施，单位能够更有效地管理和使用其收入，优化资源配置，提高资金使用效率，同时确保财务的透明度和责任性。此项得分4分。</w:t>
      </w:r>
    </w:p>
    <w:p w14:paraId="3744C1C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）支出执行进度分析：</w:t>
      </w:r>
      <w:r>
        <w:rPr>
          <w:rFonts w:hint="eastAsia" w:ascii="仿宋_GB2312" w:hAnsi="仿宋_GB2312" w:eastAsia="仿宋_GB2312" w:cs="仿宋_GB2312"/>
          <w:color w:val="000000"/>
          <w:kern w:val="0"/>
          <w:sz w:val="32"/>
          <w:szCs w:val="32"/>
          <w:highlight w:val="none"/>
          <w:shd w:val="clear" w:color="auto" w:fill="FFFFFF"/>
          <w:lang w:val="en-US" w:eastAsia="zh-CN"/>
        </w:rPr>
        <w:t>2023年1月至6月、1月至10月，我单位加强预算支出执行管理，切实加快财政资金支出进度，提高财政资金的使用效益。</w:t>
      </w:r>
      <w:r>
        <w:rPr>
          <w:rFonts w:hint="eastAsia" w:ascii="仿宋_GB2312" w:hAnsi="仿宋_GB2312" w:eastAsia="仿宋_GB2312" w:cs="仿宋_GB2312"/>
          <w:b/>
          <w:bCs/>
          <w:color w:val="000000"/>
          <w:kern w:val="0"/>
          <w:sz w:val="32"/>
          <w:szCs w:val="32"/>
          <w:highlight w:val="none"/>
          <w:shd w:val="clear" w:color="auto" w:fill="FFFFFF"/>
          <w:lang w:val="zh-CN"/>
        </w:rPr>
        <w:t>一是</w:t>
      </w:r>
      <w:r>
        <w:rPr>
          <w:rFonts w:hint="eastAsia" w:ascii="仿宋_GB2312" w:hAnsi="仿宋_GB2312" w:eastAsia="仿宋_GB2312" w:cs="仿宋_GB2312"/>
          <w:color w:val="000000"/>
          <w:kern w:val="0"/>
          <w:sz w:val="32"/>
          <w:szCs w:val="32"/>
          <w:highlight w:val="none"/>
          <w:shd w:val="clear" w:color="auto" w:fill="FFFFFF"/>
          <w:lang w:val="zh-CN"/>
        </w:rPr>
        <w:t>严格执行预算，加强资金调度。确保基本支出预算按序时进度及时拨付，项目支出预算按建设计划以及项目进度及时拨付。</w:t>
      </w:r>
      <w:r>
        <w:rPr>
          <w:rFonts w:hint="eastAsia" w:ascii="仿宋_GB2312" w:hAnsi="仿宋_GB2312" w:eastAsia="仿宋_GB2312" w:cs="仿宋_GB2312"/>
          <w:b/>
          <w:bCs/>
          <w:color w:val="000000"/>
          <w:kern w:val="0"/>
          <w:sz w:val="32"/>
          <w:szCs w:val="32"/>
          <w:highlight w:val="none"/>
          <w:shd w:val="clear" w:color="auto" w:fill="FFFFFF"/>
          <w:lang w:val="zh-CN"/>
        </w:rPr>
        <w:t>二是</w:t>
      </w:r>
      <w:r>
        <w:rPr>
          <w:rFonts w:hint="eastAsia" w:ascii="仿宋_GB2312" w:hAnsi="仿宋_GB2312" w:eastAsia="仿宋_GB2312" w:cs="仿宋_GB2312"/>
          <w:color w:val="000000"/>
          <w:kern w:val="0"/>
          <w:sz w:val="32"/>
          <w:szCs w:val="32"/>
          <w:highlight w:val="none"/>
          <w:shd w:val="clear" w:color="auto" w:fill="FFFFFF"/>
          <w:lang w:val="zh-CN"/>
        </w:rPr>
        <w:t>加强支出进度分析，完善考核通报制度。加强月度支出进度分析，及时反映预算执行动态，完善预算支出执行分析制度，确保及时掌握部门预算执行进度，并做好督促检查工作。</w:t>
      </w:r>
      <w:r>
        <w:rPr>
          <w:rFonts w:hint="eastAsia" w:ascii="仿宋_GB2312" w:hAnsi="仿宋_GB2312" w:eastAsia="仿宋_GB2312" w:cs="仿宋_GB2312"/>
          <w:b/>
          <w:bCs/>
          <w:color w:val="000000"/>
          <w:kern w:val="0"/>
          <w:sz w:val="32"/>
          <w:szCs w:val="32"/>
          <w:highlight w:val="none"/>
          <w:shd w:val="clear" w:color="auto" w:fill="FFFFFF"/>
          <w:lang w:val="zh-CN"/>
        </w:rPr>
        <w:t>三是</w:t>
      </w:r>
      <w:r>
        <w:rPr>
          <w:rFonts w:hint="eastAsia" w:ascii="仿宋_GB2312" w:hAnsi="仿宋_GB2312" w:eastAsia="仿宋_GB2312" w:cs="仿宋_GB2312"/>
          <w:color w:val="000000"/>
          <w:kern w:val="0"/>
          <w:sz w:val="32"/>
          <w:szCs w:val="32"/>
          <w:highlight w:val="none"/>
          <w:shd w:val="clear" w:color="auto" w:fill="FFFFFF"/>
          <w:lang w:val="zh-CN"/>
        </w:rPr>
        <w:t>建立健全加强预算支出执行管理的长效机制。增强预算单位加强预算执行的责任意识，强化财政资金使用的追踪问效，提高财政资金的效益性和安全性，此项得分</w:t>
      </w:r>
      <w:r>
        <w:rPr>
          <w:rFonts w:hint="eastAsia" w:ascii="仿宋_GB2312" w:hAnsi="仿宋_GB2312" w:eastAsia="仿宋_GB2312" w:cs="仿宋_GB2312"/>
          <w:color w:val="000000"/>
          <w:kern w:val="0"/>
          <w:sz w:val="32"/>
          <w:szCs w:val="32"/>
          <w:highlight w:val="none"/>
          <w:shd w:val="clear" w:color="auto" w:fill="FFFFFF"/>
          <w:lang w:val="en-US" w:eastAsia="zh-CN"/>
        </w:rPr>
        <w:t>6分。</w:t>
      </w:r>
    </w:p>
    <w:p w14:paraId="670460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）预算年终结余分析：</w:t>
      </w:r>
      <w:r>
        <w:rPr>
          <w:rFonts w:hint="eastAsia" w:ascii="仿宋_GB2312" w:hAnsi="仿宋_GB2312" w:eastAsia="仿宋_GB2312" w:cs="仿宋_GB2312"/>
          <w:color w:val="000000"/>
          <w:kern w:val="0"/>
          <w:sz w:val="32"/>
          <w:szCs w:val="32"/>
          <w:highlight w:val="none"/>
          <w:shd w:val="clear" w:color="auto" w:fill="FFFFFF"/>
          <w:lang w:val="en-US" w:eastAsia="zh-CN"/>
        </w:rPr>
        <w:t>2023年底我单位</w:t>
      </w:r>
      <w:r>
        <w:rPr>
          <w:rFonts w:hint="eastAsia" w:ascii="仿宋_GB2312" w:hAnsi="仿宋_GB2312" w:eastAsia="仿宋_GB2312" w:cs="仿宋_GB2312"/>
          <w:color w:val="000000"/>
          <w:kern w:val="0"/>
          <w:sz w:val="32"/>
          <w:szCs w:val="32"/>
          <w:highlight w:val="none"/>
          <w:shd w:val="clear" w:color="auto" w:fill="FFFFFF"/>
          <w:lang w:val="zh-CN"/>
        </w:rPr>
        <w:t>统一思想，‌提高认识，‌充分认识加强结余资金管理在新形势下的重大意义，‌包括提高预算执行率、‌消化结余资金等方面。年初预算与年终决算数据无结余，此项得分</w:t>
      </w:r>
      <w:r>
        <w:rPr>
          <w:rFonts w:hint="eastAsia" w:ascii="仿宋_GB2312" w:hAnsi="仿宋_GB2312" w:eastAsia="仿宋_GB2312" w:cs="仿宋_GB2312"/>
          <w:color w:val="000000"/>
          <w:kern w:val="0"/>
          <w:sz w:val="32"/>
          <w:szCs w:val="32"/>
          <w:highlight w:val="none"/>
          <w:shd w:val="clear" w:color="auto" w:fill="FFFFFF"/>
          <w:lang w:val="en-US" w:eastAsia="zh-CN"/>
        </w:rPr>
        <w:t>2分。</w:t>
      </w:r>
      <w:r>
        <w:rPr>
          <w:rFonts w:hint="eastAsia" w:ascii="仿宋_GB2312" w:hAnsi="仿宋_GB2312" w:eastAsia="仿宋_GB2312" w:cs="仿宋_GB2312"/>
          <w:color w:val="000000"/>
          <w:kern w:val="0"/>
          <w:sz w:val="32"/>
          <w:szCs w:val="32"/>
          <w:highlight w:val="none"/>
          <w:shd w:val="clear" w:color="auto" w:fill="FFFFFF"/>
          <w:lang w:val="zh-CN"/>
        </w:rPr>
        <w:t>‌</w:t>
      </w:r>
    </w:p>
    <w:p w14:paraId="256B4B4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5</w:t>
      </w:r>
      <w:r>
        <w:rPr>
          <w:rFonts w:hint="eastAsia" w:ascii="仿宋_GB2312" w:hAnsi="仿宋_GB2312" w:eastAsia="仿宋_GB2312" w:cs="仿宋_GB2312"/>
          <w:color w:val="000000"/>
          <w:kern w:val="0"/>
          <w:sz w:val="32"/>
          <w:szCs w:val="32"/>
          <w:highlight w:val="none"/>
          <w:shd w:val="clear" w:color="auto" w:fill="FFFFFF"/>
          <w:lang w:val="zh-CN"/>
        </w:rPr>
        <w:t>）严控一般性支出分析：《政府工作报告》提出，习惯过紧日子，真正精打细算，切实把财政资金用在刀刃上、用出实效来。强化预算约束和执行监督，严格控制一般性支出，提升政府采购效率。细化一般性支出管理“大钱大方、小钱小气”，“大钱大方”是指强化大事要事保障能力，“小钱小气”则是要大力压减一般性支出，将过紧日子作为预算管理的主题，厉行节约办一切事业。一般性支出在办公和公务活动中有其必要性和重要性。细化一般性支出管理，既防止滥用浪费，也确保相关资金得到有效使用，保障国家利益和社会公众利益。目前看，针对公务用车、公务接待、会议费等费用的特点，完善支出标准，全年有创新实践。此项得分</w:t>
      </w:r>
      <w:r>
        <w:rPr>
          <w:rFonts w:hint="eastAsia" w:ascii="仿宋_GB2312" w:hAnsi="仿宋_GB2312" w:eastAsia="仿宋_GB2312" w:cs="仿宋_GB2312"/>
          <w:color w:val="000000"/>
          <w:kern w:val="0"/>
          <w:sz w:val="32"/>
          <w:szCs w:val="32"/>
          <w:highlight w:val="none"/>
          <w:shd w:val="clear" w:color="auto" w:fill="FFFFFF"/>
          <w:lang w:val="en-US" w:eastAsia="zh-CN"/>
        </w:rPr>
        <w:t>5分。</w:t>
      </w:r>
    </w:p>
    <w:p w14:paraId="7C7A6B9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3.</w:t>
      </w:r>
      <w:r>
        <w:rPr>
          <w:rFonts w:hint="eastAsia" w:ascii="仿宋_GB2312" w:hAnsi="仿宋_GB2312" w:eastAsia="仿宋_GB2312" w:cs="仿宋_GB2312"/>
          <w:b/>
          <w:bCs/>
          <w:color w:val="000000"/>
          <w:kern w:val="0"/>
          <w:sz w:val="32"/>
          <w:szCs w:val="32"/>
          <w:highlight w:val="none"/>
          <w:shd w:val="clear" w:color="auto" w:fill="FFFFFF"/>
          <w:lang w:val="zh-CN"/>
        </w:rPr>
        <w:t>财务管理。</w:t>
      </w:r>
      <w:r>
        <w:rPr>
          <w:rFonts w:hint="eastAsia" w:ascii="仿宋_GB2312" w:hAnsi="仿宋_GB2312" w:eastAsia="仿宋_GB2312" w:cs="仿宋_GB2312"/>
          <w:color w:val="000000"/>
          <w:kern w:val="0"/>
          <w:sz w:val="32"/>
          <w:szCs w:val="32"/>
          <w:highlight w:val="none"/>
          <w:shd w:val="clear" w:color="auto" w:fill="FFFFFF"/>
          <w:lang w:val="zh-CN"/>
        </w:rPr>
        <w:t>围绕财务管理制度、财务岗位设置、资金使用规范进行绩效分析。</w:t>
      </w:r>
    </w:p>
    <w:p w14:paraId="5D52A44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（1）财务制度分析:为规范统战部的财务工作，加强财务管理，提高经费使用效益，促进统战工作的发展，正确处理统战工作发展的需要和经费的关系，2023年我部明确以下财务管理制度：</w:t>
      </w:r>
      <w:r>
        <w:rPr>
          <w:rFonts w:hint="eastAsia" w:ascii="仿宋_GB2312" w:hAnsi="仿宋_GB2312" w:eastAsia="仿宋_GB2312" w:cs="仿宋_GB2312"/>
          <w:b/>
          <w:bCs/>
          <w:color w:val="000000"/>
          <w:kern w:val="0"/>
          <w:sz w:val="32"/>
          <w:szCs w:val="32"/>
          <w:highlight w:val="none"/>
          <w:shd w:val="clear" w:color="auto" w:fill="FFFFFF"/>
          <w:lang w:val="en-US" w:eastAsia="zh-CN"/>
        </w:rPr>
        <w:t>一是</w:t>
      </w:r>
      <w:r>
        <w:rPr>
          <w:rFonts w:hint="eastAsia" w:ascii="仿宋_GB2312" w:hAnsi="仿宋_GB2312" w:eastAsia="仿宋_GB2312" w:cs="仿宋_GB2312"/>
          <w:color w:val="000000"/>
          <w:kern w:val="0"/>
          <w:sz w:val="32"/>
          <w:szCs w:val="32"/>
          <w:highlight w:val="none"/>
          <w:shd w:val="clear" w:color="auto" w:fill="FFFFFF"/>
          <w:lang w:val="en-US" w:eastAsia="zh-CN"/>
        </w:rPr>
        <w:t>部门的财务工作实行</w:t>
      </w:r>
      <w:bookmarkStart w:id="81" w:name="_GoBack"/>
      <w:bookmarkEnd w:id="81"/>
      <w:r>
        <w:rPr>
          <w:rFonts w:hint="eastAsia" w:ascii="仿宋_GB2312" w:hAnsi="仿宋_GB2312" w:eastAsia="仿宋_GB2312" w:cs="仿宋_GB2312"/>
          <w:color w:val="000000"/>
          <w:kern w:val="0"/>
          <w:sz w:val="32"/>
          <w:szCs w:val="32"/>
          <w:highlight w:val="none"/>
          <w:shd w:val="clear" w:color="auto" w:fill="FFFFFF"/>
          <w:lang w:val="en-US" w:eastAsia="zh-CN"/>
        </w:rPr>
        <w:t>常务副部长负责，分管副部长审核，财务人员经办，部门同事监督的机制。每年合理编制预算，坚持“量入为出、科学使用”的总原则。所支出预算坚持“统筹兼顾、保证重点、勤俭节约”等原则，并对预算执行过程进行控制和管理。</w:t>
      </w:r>
      <w:r>
        <w:rPr>
          <w:rFonts w:hint="eastAsia" w:ascii="仿宋_GB2312" w:hAnsi="仿宋_GB2312" w:eastAsia="仿宋_GB2312" w:cs="仿宋_GB2312"/>
          <w:b/>
          <w:bCs/>
          <w:color w:val="000000"/>
          <w:kern w:val="0"/>
          <w:sz w:val="32"/>
          <w:szCs w:val="32"/>
          <w:highlight w:val="none"/>
          <w:shd w:val="clear" w:color="auto" w:fill="FFFFFF"/>
          <w:lang w:val="en-US" w:eastAsia="zh-CN"/>
        </w:rPr>
        <w:t>二是</w:t>
      </w:r>
      <w:r>
        <w:rPr>
          <w:rFonts w:hint="eastAsia" w:ascii="仿宋_GB2312" w:hAnsi="仿宋_GB2312" w:eastAsia="仿宋_GB2312" w:cs="仿宋_GB2312"/>
          <w:color w:val="000000"/>
          <w:kern w:val="0"/>
          <w:sz w:val="32"/>
          <w:szCs w:val="32"/>
          <w:highlight w:val="none"/>
          <w:shd w:val="clear" w:color="auto" w:fill="FFFFFF"/>
          <w:lang w:val="en-US" w:eastAsia="zh-CN"/>
        </w:rPr>
        <w:t>切实规范部门的各项财务报销制度。严格遵守财经纪律和财务管理制度，对统战活动的合理性、有效性进行监督，杜绝浪费和不必要的开支，确保财务工作促进统战工作的有效开展。</w:t>
      </w:r>
      <w:r>
        <w:rPr>
          <w:rFonts w:hint="eastAsia" w:ascii="仿宋_GB2312" w:hAnsi="仿宋_GB2312" w:eastAsia="仿宋_GB2312" w:cs="仿宋_GB2312"/>
          <w:b/>
          <w:bCs/>
          <w:color w:val="000000"/>
          <w:kern w:val="0"/>
          <w:sz w:val="32"/>
          <w:szCs w:val="32"/>
          <w:highlight w:val="none"/>
          <w:shd w:val="clear" w:color="auto" w:fill="FFFFFF"/>
          <w:lang w:val="en-US" w:eastAsia="zh-CN"/>
        </w:rPr>
        <w:t>三是</w:t>
      </w:r>
      <w:r>
        <w:rPr>
          <w:rFonts w:hint="eastAsia" w:ascii="仿宋_GB2312" w:hAnsi="仿宋_GB2312" w:eastAsia="仿宋_GB2312" w:cs="仿宋_GB2312"/>
          <w:color w:val="000000"/>
          <w:kern w:val="0"/>
          <w:sz w:val="32"/>
          <w:szCs w:val="32"/>
          <w:highlight w:val="none"/>
          <w:shd w:val="clear" w:color="auto" w:fill="FFFFFF"/>
          <w:lang w:val="en-US" w:eastAsia="zh-CN"/>
        </w:rPr>
        <w:t>合理有效统筹统战经费。各项工作经费应有明细，有记录；财务报销凭证经相关负责人签字后方可予以报销；加强职工对财务规范的培训，做到财务工作规范，账目清晰，手续清楚。</w:t>
      </w:r>
      <w:r>
        <w:rPr>
          <w:rFonts w:hint="eastAsia" w:ascii="仿宋_GB2312" w:hAnsi="仿宋_GB2312" w:eastAsia="仿宋_GB2312" w:cs="仿宋_GB2312"/>
          <w:color w:val="000000"/>
          <w:kern w:val="0"/>
          <w:sz w:val="32"/>
          <w:szCs w:val="32"/>
          <w:highlight w:val="none"/>
          <w:shd w:val="clear" w:color="auto" w:fill="FFFFFF"/>
          <w:lang w:val="zh-CN" w:eastAsia="zh-CN"/>
        </w:rPr>
        <w:t>此项得分</w:t>
      </w:r>
      <w:r>
        <w:rPr>
          <w:rFonts w:hint="eastAsia" w:ascii="仿宋_GB2312" w:hAnsi="仿宋_GB2312" w:eastAsia="仿宋_GB2312" w:cs="仿宋_GB2312"/>
          <w:color w:val="000000"/>
          <w:kern w:val="0"/>
          <w:sz w:val="32"/>
          <w:szCs w:val="32"/>
          <w:highlight w:val="none"/>
          <w:shd w:val="clear" w:color="auto" w:fill="FFFFFF"/>
          <w:lang w:val="en-US" w:eastAsia="zh-CN"/>
        </w:rPr>
        <w:t>4分。</w:t>
      </w:r>
    </w:p>
    <w:p w14:paraId="4C9A230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）财务岗位设置</w:t>
      </w:r>
      <w:r>
        <w:rPr>
          <w:rFonts w:hint="eastAsia" w:ascii="仿宋_GB2312" w:hAnsi="仿宋_GB2312" w:eastAsia="仿宋_GB2312" w:cs="仿宋_GB2312"/>
          <w:sz w:val="32"/>
          <w:szCs w:val="32"/>
          <w:lang w:val="zh-CN"/>
        </w:rPr>
        <w:t>分析：</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"http://www.so.com/s?q=%E4%BC%9A%E8%AE%A1&amp;ie=utf-8&amp;src=internal_wenda_recommend_textn"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会计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"http://www.so.com/s?q=%E5%87%BA%E7%BA%B3&amp;ie=utf-8&amp;src=internal_wenda_recommend_textn"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出纳</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"http://www.so.com/s?q=%E4%B8%8D%E7%9B%B8%E5%AE%B9%E8%81%8C%E5%8A%A1&amp;ie=utf-8&amp;src=internal_wenda_recommend_textn"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不相容职务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，必须分离。这是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"http://www.so.com/s?q=%E4%BC%9A%E8%AE%A1%E5%9F%BA%E7%A1%80%E5%B7%A5%E4%BD%9C&amp;ie=utf-8&amp;src=internal_wenda_recommend_textn"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会计基础工作</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规范的规定，也是单位内部控制规范的要求。</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不相容职务分离控制要求全面系统地分析、梳理</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"http://www.so.com/s?q=%E4%B8%9A%E5%8A%A1%E6%B5%81%E7%A8%8B&amp;ie=utf-8&amp;src=internal_wenda_recommend_textn"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业务流程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中所涉及的不相容职务，实施相应的分离措施，形成各司其职、各负其责、相互制约的工作机制。</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会计与出纳分开的必要性。可以降低舞弊风险和差错风险。是保证提高经营效率，保护财产安全以及增强会计数据可靠性的重要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"http://www.so.com/s?q=%E6%9D%A1%E4%BB%B6&amp;ie=utf-8&amp;src=internal_wenda_recommend_textn"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条件</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"http://www.so.com/s?q=%E8%B5%84%E9%87%91%E4%B8%9A%E5%8A%A1&amp;ie=utf-8&amp;src=internal_wenda_recommend_textn"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资金业务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的不相容</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"http://www.so.com/s?q=%E5%B2%97%E4%BD%8D&amp;ie=utf-8&amp;src=internal_wenda_recommend_textn"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岗位</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包括：（1）资金支付的审批与执行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（2）资金的保管、记录与盘点清查；（3）资金的会计记录与审计监督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（4）出纳人员不得兼任稽核、</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"http://www.so.com/s?q=%E4%BC%9A%E8%AE%A1%E6%A1%A3%E6%A1%88&amp;ie=utf-8&amp;src=internal_wenda_recommend_textn"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会计档案</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保管和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"http://www.so.com/s?q=%E6%94%B6%E5%85%A5&amp;ie=utf-8&amp;src=internal_wenda_recommend_textn"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收入</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"http://www.so.com/s?q=%E6%94%AF%E5%87%BA&amp;ie=utf-8&amp;src=internal_wenda_recommend_textn"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"http://www.so.com/s?q=%E8%B4%B9%E7%94%A8&amp;ie=utf-8&amp;src=internal_wenda_recommend_textn"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"http://www.so.com/s?q=%E5%80%BA%E6%9D%83%E5%80%BA%E5%8A%A1&amp;ie=utf-8&amp;src=internal_wenda_recommend_textn"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债权债务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"http://www.so.com/s?q=%E8%B4%A6%E7%9B%AE&amp;ie=utf-8&amp;src=internal_wenda_recommend_textn"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账目</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的登记工作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（5）对办理货币资金业务的人员定期进行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"http://www.so.com/s?q=%E8%81%8C%E5%8A%A1&amp;ie=utf-8&amp;src=internal_wenda_recommend_textn"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轮换。关键的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"http://www.so.com/s?q=%E8%B4%A2%E4%BC%9A&amp;ie=utf-8&amp;src=internal_wenda_recommend_textn"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财会</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职务实行强制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"http://www.so.com/s?q=%E4%BC%91%E5%81%87%E5%88%B6%E5%BA%A6&amp;ie=utf-8&amp;src=internal_wenda_recommend_textn"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休假制度</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，并在最长不超过5年的时间内轮换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会计与出纳分离，明确各自的职责范围，即所谓“管钱的不管账，管账的不管钱”。</w:t>
      </w:r>
      <w:r>
        <w:rPr>
          <w:rFonts w:hint="eastAsia" w:ascii="仿宋_GB2312" w:hAnsi="仿宋_GB2312" w:eastAsia="仿宋_GB2312" w:cs="仿宋_GB2312"/>
          <w:sz w:val="32"/>
          <w:szCs w:val="32"/>
          <w:lang w:eastAsia="zh-CN"/>
        </w:rPr>
        <w:t>此项得分</w:t>
      </w:r>
      <w:r>
        <w:rPr>
          <w:rFonts w:hint="eastAsia" w:ascii="仿宋_GB2312" w:hAnsi="仿宋_GB2312" w:eastAsia="仿宋_GB2312" w:cs="仿宋_GB2312"/>
          <w:sz w:val="32"/>
          <w:szCs w:val="32"/>
          <w:lang w:val="en-US" w:eastAsia="zh-CN"/>
        </w:rPr>
        <w:t>1分。</w:t>
      </w:r>
    </w:p>
    <w:p w14:paraId="1783F2B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eastAsia="zh-CN"/>
        </w:rPr>
        <w:t>）资金使用规范分析：</w:t>
      </w:r>
      <w:r>
        <w:rPr>
          <w:rFonts w:hint="eastAsia" w:ascii="仿宋_GB2312" w:hAnsi="仿宋_GB2312" w:eastAsia="仿宋_GB2312" w:cs="仿宋_GB2312"/>
          <w:b/>
          <w:bCs/>
          <w:sz w:val="32"/>
          <w:szCs w:val="32"/>
          <w:lang w:val="zh-CN"/>
        </w:rPr>
        <w:t>一是</w:t>
      </w:r>
      <w:r>
        <w:rPr>
          <w:rFonts w:hint="eastAsia" w:ascii="仿宋_GB2312" w:hAnsi="仿宋_GB2312" w:eastAsia="仿宋_GB2312" w:cs="仿宋_GB2312"/>
          <w:sz w:val="32"/>
          <w:szCs w:val="32"/>
          <w:lang w:val="zh-CN"/>
        </w:rPr>
        <w:t>办公费。购买办公用品原则上由部办公室统一购买，各科室登记、领用。购买物品、设备必须有正规商家发票，注明数量、单价、金额和验收登记后才能报销。</w:t>
      </w:r>
      <w:r>
        <w:rPr>
          <w:rFonts w:hint="eastAsia" w:ascii="仿宋_GB2312" w:hAnsi="仿宋_GB2312" w:eastAsia="仿宋_GB2312" w:cs="仿宋_GB2312"/>
          <w:b/>
          <w:bCs/>
          <w:sz w:val="32"/>
          <w:szCs w:val="32"/>
          <w:lang w:val="zh-CN"/>
        </w:rPr>
        <w:t>二是</w:t>
      </w:r>
      <w:r>
        <w:rPr>
          <w:rFonts w:hint="eastAsia" w:ascii="仿宋_GB2312" w:hAnsi="仿宋_GB2312" w:eastAsia="仿宋_GB2312" w:cs="仿宋_GB2312"/>
          <w:sz w:val="32"/>
          <w:szCs w:val="32"/>
          <w:lang w:val="zh-CN"/>
        </w:rPr>
        <w:t>公务接待费。部机关公务接待实行归口管理、定点接待，接待标准严格按照中央八项规定执行。</w:t>
      </w:r>
      <w:r>
        <w:rPr>
          <w:rFonts w:hint="eastAsia" w:ascii="仿宋_GB2312" w:hAnsi="仿宋_GB2312" w:eastAsia="仿宋_GB2312" w:cs="仿宋_GB2312"/>
          <w:b/>
          <w:bCs/>
          <w:sz w:val="32"/>
          <w:szCs w:val="32"/>
          <w:lang w:val="zh-CN"/>
        </w:rPr>
        <w:t>三是</w:t>
      </w:r>
      <w:r>
        <w:rPr>
          <w:rFonts w:hint="eastAsia" w:ascii="仿宋_GB2312" w:hAnsi="仿宋_GB2312" w:eastAsia="仿宋_GB2312" w:cs="仿宋_GB2312"/>
          <w:sz w:val="32"/>
          <w:szCs w:val="32"/>
          <w:lang w:val="zh-CN"/>
        </w:rPr>
        <w:t>打印复印费。部机关一般性文件材料打印及复印由办公室负责，大宗打印业务或确需在外打印的资料，须到定点单位进行打印。</w:t>
      </w:r>
      <w:r>
        <w:rPr>
          <w:rFonts w:hint="eastAsia" w:ascii="仿宋_GB2312" w:hAnsi="仿宋_GB2312" w:eastAsia="仿宋_GB2312" w:cs="仿宋_GB2312"/>
          <w:b/>
          <w:bCs/>
          <w:sz w:val="32"/>
          <w:szCs w:val="32"/>
          <w:lang w:val="zh-CN"/>
        </w:rPr>
        <w:t>四是</w:t>
      </w:r>
      <w:r>
        <w:rPr>
          <w:rFonts w:hint="eastAsia" w:ascii="仿宋_GB2312" w:hAnsi="仿宋_GB2312" w:eastAsia="仿宋_GB2312" w:cs="仿宋_GB2312"/>
          <w:sz w:val="32"/>
          <w:szCs w:val="32"/>
          <w:lang w:val="zh-CN"/>
        </w:rPr>
        <w:t>差旅费。差旅费指工作人员临时到常驻地以外地区公务出差所发生的城市间交通费、住宿费、伙食补助费和市内交通费。填好差旅费报销单后找办公室登记人员、财务分管领导审核签字。经会计审核，对未经批准出差以及超范围超标准开支的费用不予报销。</w:t>
      </w:r>
      <w:r>
        <w:rPr>
          <w:rFonts w:hint="eastAsia" w:ascii="仿宋_GB2312" w:hAnsi="仿宋_GB2312" w:eastAsia="仿宋_GB2312" w:cs="仿宋_GB2312"/>
          <w:b/>
          <w:bCs/>
          <w:sz w:val="32"/>
          <w:szCs w:val="32"/>
          <w:lang w:val="zh-CN"/>
        </w:rPr>
        <w:t>五是</w:t>
      </w:r>
      <w:r>
        <w:rPr>
          <w:rFonts w:hint="eastAsia" w:ascii="仿宋_GB2312" w:hAnsi="仿宋_GB2312" w:eastAsia="仿宋_GB2312" w:cs="仿宋_GB2312"/>
          <w:sz w:val="32"/>
          <w:szCs w:val="32"/>
          <w:lang w:val="zh-CN"/>
        </w:rPr>
        <w:t>会议费。部机关各科室召开的会议须报分管部领导同意。按有关规定编制会议预算，须常务副部长同意，不得超支。</w:t>
      </w:r>
      <w:r>
        <w:rPr>
          <w:rFonts w:hint="eastAsia" w:ascii="仿宋_GB2312" w:hAnsi="仿宋_GB2312" w:eastAsia="仿宋_GB2312" w:cs="仿宋_GB2312"/>
          <w:b/>
          <w:bCs/>
          <w:sz w:val="32"/>
          <w:szCs w:val="32"/>
          <w:lang w:val="zh-CN"/>
        </w:rPr>
        <w:t>六是</w:t>
      </w:r>
      <w:r>
        <w:rPr>
          <w:rFonts w:hint="eastAsia" w:ascii="仿宋_GB2312" w:hAnsi="仿宋_GB2312" w:eastAsia="仿宋_GB2312" w:cs="仿宋_GB2312"/>
          <w:sz w:val="32"/>
          <w:szCs w:val="32"/>
          <w:lang w:val="zh-CN"/>
        </w:rPr>
        <w:t>公务用车运行维护费。公务用车派车由办公室统一管理，出差前由部办公室负责出具公务用车派车单。账务报销严格按照先出单再办事后报销的程序执行。此项得分</w:t>
      </w:r>
      <w:r>
        <w:rPr>
          <w:rFonts w:hint="eastAsia" w:ascii="仿宋_GB2312" w:hAnsi="仿宋_GB2312" w:eastAsia="仿宋_GB2312" w:cs="仿宋_GB2312"/>
          <w:sz w:val="32"/>
          <w:szCs w:val="32"/>
          <w:lang w:val="en-US" w:eastAsia="zh-CN"/>
        </w:rPr>
        <w:t>4分。</w:t>
      </w:r>
    </w:p>
    <w:p w14:paraId="27A3D7E3">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4.资产</w:t>
      </w:r>
      <w:r>
        <w:rPr>
          <w:rFonts w:hint="eastAsia" w:ascii="仿宋_GB2312" w:hAnsi="仿宋_GB2312" w:eastAsia="仿宋_GB2312" w:cs="仿宋_GB2312"/>
          <w:b/>
          <w:bCs/>
          <w:color w:val="000000"/>
          <w:kern w:val="0"/>
          <w:sz w:val="32"/>
          <w:szCs w:val="32"/>
          <w:highlight w:val="none"/>
          <w:shd w:val="clear" w:color="auto" w:fill="FFFFFF"/>
          <w:lang w:val="zh-CN"/>
        </w:rPr>
        <w:t>管理。</w:t>
      </w:r>
      <w:r>
        <w:rPr>
          <w:rFonts w:hint="eastAsia" w:ascii="仿宋_GB2312" w:hAnsi="仿宋_GB2312" w:eastAsia="仿宋_GB2312" w:cs="仿宋_GB2312"/>
          <w:color w:val="000000"/>
          <w:kern w:val="0"/>
          <w:sz w:val="32"/>
          <w:szCs w:val="32"/>
          <w:highlight w:val="none"/>
          <w:shd w:val="clear" w:color="auto" w:fill="FFFFFF"/>
          <w:lang w:val="zh-CN"/>
        </w:rPr>
        <w:t>围绕人均资产变化率、资产利用率、资产盘活率进行绩效分析。</w:t>
      </w:r>
    </w:p>
    <w:p w14:paraId="229A21A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人均资产变化率分析：2023年我部资产管理人均变化率为正，资产管理效率比较以前年度有所提高，主要措施是资产管理流程的优化、工作效率进步或者管理人员的专业能力提升等。2023年资产管理的效果好，‌能够更好地服务于单位的运营和发展。此项得分3分。‌</w:t>
      </w:r>
    </w:p>
    <w:p w14:paraId="1C4914D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）资产利用率分析：我部资产超最低使用年限的较多，此项得分</w:t>
      </w:r>
      <w:r>
        <w:rPr>
          <w:rFonts w:hint="eastAsia" w:ascii="仿宋_GB2312" w:hAnsi="仿宋_GB2312" w:eastAsia="仿宋_GB2312" w:cs="仿宋_GB2312"/>
          <w:color w:val="000000"/>
          <w:kern w:val="0"/>
          <w:sz w:val="32"/>
          <w:szCs w:val="32"/>
          <w:highlight w:val="none"/>
          <w:shd w:val="clear" w:color="auto" w:fill="FFFFFF"/>
          <w:lang w:val="en-US" w:eastAsia="zh-CN"/>
        </w:rPr>
        <w:t>3分</w:t>
      </w:r>
    </w:p>
    <w:p w14:paraId="6FABDE3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）资产盘活率分析：我部无闲置资产每月准时上报资产月报，此项得分</w:t>
      </w:r>
      <w:r>
        <w:rPr>
          <w:rFonts w:hint="eastAsia" w:ascii="仿宋_GB2312" w:hAnsi="仿宋_GB2312" w:eastAsia="仿宋_GB2312" w:cs="仿宋_GB2312"/>
          <w:color w:val="000000"/>
          <w:kern w:val="0"/>
          <w:sz w:val="32"/>
          <w:szCs w:val="32"/>
          <w:highlight w:val="none"/>
          <w:shd w:val="clear" w:color="auto" w:fill="FFFFFF"/>
          <w:lang w:val="en-US" w:eastAsia="zh-CN"/>
        </w:rPr>
        <w:t>3分。</w:t>
      </w:r>
    </w:p>
    <w:p w14:paraId="419A8C9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5.采购管理</w:t>
      </w:r>
      <w:r>
        <w:rPr>
          <w:rFonts w:hint="eastAsia" w:ascii="仿宋_GB2312" w:hAnsi="仿宋_GB2312" w:eastAsia="仿宋_GB2312" w:cs="仿宋_GB2312"/>
          <w:b/>
          <w:bCs/>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zh-CN"/>
        </w:rPr>
        <w:t>围绕支持中小企业发展、采购执行率进行绩效分析。</w:t>
      </w:r>
    </w:p>
    <w:p w14:paraId="52451A03">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我部</w:t>
      </w:r>
      <w:r>
        <w:rPr>
          <w:rFonts w:hint="eastAsia" w:ascii="仿宋_GB2312" w:hAnsi="仿宋_GB2312" w:eastAsia="仿宋_GB2312" w:cs="仿宋_GB2312"/>
          <w:color w:val="000000"/>
          <w:kern w:val="0"/>
          <w:sz w:val="32"/>
          <w:szCs w:val="32"/>
          <w:highlight w:val="none"/>
          <w:shd w:val="clear" w:color="auto" w:fill="FFFFFF"/>
          <w:lang w:val="en-US" w:eastAsia="zh-CN"/>
        </w:rPr>
        <w:t>2023年暂无采购项目，并已建立完善采购制度，采购中未围绕支持中小企业发展开展工作，此项得分3分。</w:t>
      </w:r>
    </w:p>
    <w:p w14:paraId="6E4E431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（二）部门预算项目绩效分析。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填报以下数据，</w:t>
      </w:r>
      <w:r>
        <w:rPr>
          <w:rFonts w:hint="eastAsia" w:ascii="仿宋_GB2312" w:hAnsi="仿宋_GB2312" w:eastAsia="仿宋_GB2312" w:cs="仿宋_GB2312"/>
          <w:color w:val="000000"/>
          <w:kern w:val="0"/>
          <w:sz w:val="32"/>
          <w:szCs w:val="32"/>
          <w:highlight w:val="none"/>
          <w:shd w:val="clear" w:color="auto" w:fill="FFFFFF"/>
          <w:lang w:val="zh-CN"/>
        </w:rPr>
        <w:t>并根据部门预算绩效评价指标体系“项目绩效”涉及二、三级指标进行逐项绩效分析并评分，依次包括项目</w:t>
      </w:r>
      <w:r>
        <w:rPr>
          <w:rFonts w:hint="eastAsia" w:ascii="仿宋_GB2312" w:hAnsi="仿宋_GB2312" w:eastAsia="仿宋_GB2312" w:cs="仿宋_GB2312"/>
          <w:color w:val="000000"/>
          <w:kern w:val="0"/>
          <w:sz w:val="32"/>
          <w:szCs w:val="32"/>
          <w:highlight w:val="none"/>
          <w:shd w:val="clear" w:color="auto" w:fill="FFFFFF"/>
          <w:lang w:val="en-US" w:eastAsia="zh-CN"/>
        </w:rPr>
        <w:t>决策、项目执行、目标实现等情况。</w:t>
      </w:r>
    </w:p>
    <w:p w14:paraId="79E03AE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（1）一般公共预算分析：2023年初一般公共全年预算收入为651.84万元，决算数为651.84万元。收入决算数总和为651.84万元。一般公共预算全年支出为651.84万元，年底决算支出为651.84万元。</w:t>
      </w:r>
    </w:p>
    <w:p w14:paraId="57E44C9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常年项目绩效分析：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color w:val="000000"/>
          <w:kern w:val="0"/>
          <w:sz w:val="32"/>
          <w:szCs w:val="32"/>
          <w:highlight w:val="none"/>
          <w:shd w:val="clear" w:color="auto" w:fill="FFFFFF"/>
          <w:lang w:val="en-US" w:eastAsia="zh-CN"/>
        </w:rPr>
        <w:t>9</w:t>
      </w:r>
      <w:r>
        <w:rPr>
          <w:rFonts w:hint="eastAsia" w:ascii="仿宋_GB2312" w:hAnsi="仿宋_GB2312" w:eastAsia="仿宋_GB2312" w:cs="仿宋_GB2312"/>
          <w:color w:val="000000"/>
          <w:kern w:val="0"/>
          <w:sz w:val="32"/>
          <w:szCs w:val="32"/>
          <w:highlight w:val="none"/>
          <w:shd w:val="clear" w:color="auto" w:fill="FFFFFF"/>
          <w:lang w:val="zh-CN" w:eastAsia="zh-CN"/>
        </w:rPr>
        <w:t>个（</w:t>
      </w:r>
      <w:r>
        <w:rPr>
          <w:rFonts w:hint="eastAsia" w:ascii="仿宋_GB2312" w:hAnsi="仿宋_GB2312" w:eastAsia="仿宋_GB2312" w:cs="仿宋_GB2312"/>
          <w:color w:val="000000"/>
          <w:kern w:val="0"/>
          <w:sz w:val="32"/>
          <w:szCs w:val="32"/>
          <w:highlight w:val="none"/>
          <w:shd w:val="clear" w:color="auto" w:fill="FFFFFF"/>
          <w:lang w:val="en-US" w:eastAsia="zh-CN"/>
        </w:rPr>
        <w:t>统战部工作经费、</w:t>
      </w:r>
      <w:r>
        <w:rPr>
          <w:rFonts w:hint="eastAsia" w:ascii="仿宋_GB2312" w:hAnsi="仿宋_GB2312" w:eastAsia="仿宋_GB2312" w:cs="仿宋_GB2312"/>
          <w:color w:val="000000"/>
          <w:kern w:val="0"/>
          <w:sz w:val="32"/>
          <w:szCs w:val="32"/>
          <w:highlight w:val="none"/>
          <w:shd w:val="clear" w:color="auto" w:fill="FFFFFF"/>
          <w:lang w:val="zh-CN" w:eastAsia="zh-CN"/>
        </w:rPr>
        <w:t>民族团结进步创建活动经费</w:t>
      </w:r>
      <w:r>
        <w:rPr>
          <w:rFonts w:hint="eastAsia" w:ascii="仿宋_GB2312" w:hAnsi="仿宋_GB2312" w:eastAsia="仿宋_GB2312" w:cs="仿宋_GB2312"/>
          <w:color w:val="000000"/>
          <w:kern w:val="0"/>
          <w:sz w:val="32"/>
          <w:szCs w:val="32"/>
          <w:highlight w:val="none"/>
          <w:shd w:val="clear" w:color="auto" w:fill="FFFFFF"/>
          <w:lang w:val="en-US" w:eastAsia="zh-CN"/>
        </w:rPr>
        <w:t>、伊协佛协工作经费、春节慰问金、2022年民族团结进步创建工作、其中有4个项目涉密未列出名称</w:t>
      </w:r>
      <w:r>
        <w:rPr>
          <w:rFonts w:hint="eastAsia" w:ascii="仿宋_GB2312" w:hAnsi="仿宋_GB2312" w:eastAsia="仿宋_GB2312" w:cs="仿宋_GB2312"/>
          <w:color w:val="000000"/>
          <w:kern w:val="0"/>
          <w:sz w:val="32"/>
          <w:szCs w:val="32"/>
          <w:highlight w:val="none"/>
          <w:shd w:val="clear" w:color="auto" w:fill="FFFFFF"/>
          <w:lang w:val="zh-CN" w:eastAsia="zh-CN"/>
        </w:rPr>
        <w:t>），涉及预算总金额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126.20</w:t>
      </w:r>
      <w:r>
        <w:rPr>
          <w:rFonts w:hint="eastAsia" w:ascii="仿宋_GB2312" w:hAnsi="仿宋_GB2312" w:eastAsia="仿宋_GB2312" w:cs="仿宋_GB2312"/>
          <w:color w:val="000000"/>
          <w:kern w:val="0"/>
          <w:sz w:val="32"/>
          <w:szCs w:val="32"/>
          <w:highlight w:val="none"/>
          <w:shd w:val="clear" w:color="auto" w:fill="FFFFFF"/>
          <w:lang w:val="zh-CN" w:eastAsia="zh-CN"/>
        </w:rPr>
        <w:t>万元，</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月预算执行总体进度为</w:t>
      </w:r>
      <w:r>
        <w:rPr>
          <w:rFonts w:hint="eastAsia" w:ascii="仿宋_GB2312" w:hAnsi="仿宋_GB2312" w:eastAsia="仿宋_GB2312" w:cs="仿宋_GB2312"/>
          <w:color w:val="000000"/>
          <w:kern w:val="0"/>
          <w:sz w:val="32"/>
          <w:szCs w:val="32"/>
          <w:highlight w:val="none"/>
          <w:shd w:val="clear" w:color="auto" w:fill="FFFFFF"/>
          <w:lang w:val="en-US" w:eastAsia="zh-CN"/>
        </w:rPr>
        <w:t>100</w:t>
      </w:r>
      <w:r>
        <w:rPr>
          <w:rFonts w:hint="eastAsia" w:ascii="仿宋_GB2312" w:hAnsi="仿宋_GB2312" w:eastAsia="仿宋_GB2312" w:cs="仿宋_GB2312"/>
          <w:color w:val="000000"/>
          <w:kern w:val="0"/>
          <w:sz w:val="32"/>
          <w:szCs w:val="32"/>
          <w:highlight w:val="none"/>
          <w:shd w:val="clear" w:color="auto" w:fill="FFFFFF"/>
          <w:lang w:val="zh-CN"/>
        </w:rPr>
        <w:t>%，其中：</w:t>
      </w:r>
      <w:r>
        <w:rPr>
          <w:rFonts w:hint="eastAsia" w:ascii="仿宋_GB2312" w:hAnsi="仿宋_GB2312" w:eastAsia="仿宋_GB2312" w:cs="仿宋_GB2312"/>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color w:val="000000"/>
          <w:kern w:val="0"/>
          <w:sz w:val="32"/>
          <w:szCs w:val="32"/>
          <w:highlight w:val="none"/>
          <w:shd w:val="clear" w:color="auto" w:fill="FFFFFF"/>
          <w:lang w:val="en-US" w:eastAsia="zh-CN"/>
        </w:rPr>
        <w:t>10%</w:t>
      </w:r>
      <w:r>
        <w:rPr>
          <w:rFonts w:hint="eastAsia" w:ascii="仿宋_GB2312" w:hAnsi="仿宋_GB2312" w:eastAsia="仿宋_GB2312" w:cs="仿宋_GB2312"/>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color w:val="000000"/>
          <w:kern w:val="0"/>
          <w:sz w:val="32"/>
          <w:szCs w:val="32"/>
          <w:highlight w:val="none"/>
          <w:shd w:val="clear" w:color="auto" w:fill="FFFFFF"/>
          <w:lang w:val="en-US" w:eastAsia="zh-CN"/>
        </w:rPr>
        <w:t>0</w:t>
      </w:r>
      <w:r>
        <w:rPr>
          <w:rFonts w:hint="eastAsia" w:ascii="仿宋_GB2312" w:hAnsi="仿宋_GB2312" w:eastAsia="仿宋_GB2312" w:cs="仿宋_GB2312"/>
          <w:color w:val="000000"/>
          <w:kern w:val="0"/>
          <w:sz w:val="32"/>
          <w:szCs w:val="32"/>
          <w:highlight w:val="none"/>
          <w:shd w:val="clear" w:color="auto" w:fill="FFFFFF"/>
          <w:lang w:val="zh-CN" w:eastAsia="zh-CN"/>
        </w:rPr>
        <w:t>个。</w:t>
      </w:r>
    </w:p>
    <w:p w14:paraId="096AA6D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（3）阶段（一次性）项目绩效分析：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eastAsia="zh-CN"/>
        </w:rPr>
        <w:t>个（服务全州经济高质量发展工作现场会点位提升改造补助资金</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eastAsia="zh-CN"/>
        </w:rPr>
        <w:t>会议室装修改造资金</w:t>
      </w:r>
      <w:r>
        <w:rPr>
          <w:rFonts w:hint="eastAsia" w:ascii="仿宋_GB2312" w:hAnsi="仿宋_GB2312" w:eastAsia="仿宋_GB2312" w:cs="仿宋_GB2312"/>
          <w:color w:val="000000"/>
          <w:kern w:val="0"/>
          <w:sz w:val="32"/>
          <w:szCs w:val="32"/>
          <w:highlight w:val="none"/>
          <w:shd w:val="clear" w:color="auto" w:fill="FFFFFF"/>
          <w:lang w:val="en-US" w:eastAsia="zh-CN"/>
        </w:rPr>
        <w:t>、松潘民族工作经费〈大邑县对口帮扶援建资金〉</w:t>
      </w:r>
      <w:r>
        <w:rPr>
          <w:rFonts w:hint="eastAsia" w:ascii="仿宋_GB2312" w:hAnsi="仿宋_GB2312" w:eastAsia="仿宋_GB2312" w:cs="仿宋_GB2312"/>
          <w:color w:val="000000"/>
          <w:kern w:val="0"/>
          <w:sz w:val="32"/>
          <w:szCs w:val="32"/>
          <w:highlight w:val="none"/>
          <w:shd w:val="clear" w:color="auto" w:fill="FFFFFF"/>
          <w:lang w:val="zh-CN" w:eastAsia="zh-CN"/>
        </w:rPr>
        <w:t>），涉及预算总金额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42.58</w:t>
      </w:r>
      <w:r>
        <w:rPr>
          <w:rFonts w:hint="eastAsia" w:ascii="仿宋_GB2312" w:hAnsi="仿宋_GB2312" w:eastAsia="仿宋_GB2312" w:cs="仿宋_GB2312"/>
          <w:color w:val="000000"/>
          <w:kern w:val="0"/>
          <w:sz w:val="32"/>
          <w:szCs w:val="32"/>
          <w:highlight w:val="none"/>
          <w:shd w:val="clear" w:color="auto" w:fill="FFFFFF"/>
          <w:lang w:val="zh-CN" w:eastAsia="zh-CN"/>
        </w:rPr>
        <w:t>万元，</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rPr>
        <w:t>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月预算执行总体进度为</w:t>
      </w:r>
      <w:r>
        <w:rPr>
          <w:rFonts w:hint="eastAsia" w:ascii="仿宋_GB2312" w:hAnsi="仿宋_GB2312" w:eastAsia="仿宋_GB2312" w:cs="仿宋_GB2312"/>
          <w:color w:val="000000"/>
          <w:kern w:val="0"/>
          <w:sz w:val="32"/>
          <w:szCs w:val="32"/>
          <w:highlight w:val="none"/>
          <w:shd w:val="clear" w:color="auto" w:fill="FFFFFF"/>
          <w:lang w:val="en-US" w:eastAsia="zh-CN"/>
        </w:rPr>
        <w:t>100</w:t>
      </w:r>
      <w:r>
        <w:rPr>
          <w:rFonts w:hint="eastAsia" w:ascii="仿宋_GB2312" w:hAnsi="仿宋_GB2312" w:eastAsia="仿宋_GB2312" w:cs="仿宋_GB2312"/>
          <w:color w:val="000000"/>
          <w:kern w:val="0"/>
          <w:sz w:val="32"/>
          <w:szCs w:val="32"/>
          <w:highlight w:val="none"/>
          <w:shd w:val="clear" w:color="auto" w:fill="FFFFFF"/>
          <w:lang w:val="zh-CN"/>
        </w:rPr>
        <w:t>%，其中：</w:t>
      </w:r>
      <w:r>
        <w:rPr>
          <w:rFonts w:hint="eastAsia" w:ascii="仿宋_GB2312" w:hAnsi="仿宋_GB2312" w:eastAsia="仿宋_GB2312" w:cs="仿宋_GB2312"/>
          <w:color w:val="000000"/>
          <w:kern w:val="0"/>
          <w:sz w:val="32"/>
          <w:szCs w:val="32"/>
          <w:highlight w:val="none"/>
          <w:shd w:val="clear" w:color="auto" w:fill="FFFFFF"/>
          <w:lang w:val="zh-CN" w:eastAsia="zh-CN"/>
        </w:rPr>
        <w:t>预算结余率大于</w:t>
      </w:r>
      <w:r>
        <w:rPr>
          <w:rFonts w:hint="eastAsia" w:ascii="仿宋_GB2312" w:hAnsi="仿宋_GB2312" w:eastAsia="仿宋_GB2312" w:cs="仿宋_GB2312"/>
          <w:color w:val="000000"/>
          <w:kern w:val="0"/>
          <w:sz w:val="32"/>
          <w:szCs w:val="32"/>
          <w:highlight w:val="none"/>
          <w:shd w:val="clear" w:color="auto" w:fill="FFFFFF"/>
          <w:lang w:val="en-US" w:eastAsia="zh-CN"/>
        </w:rPr>
        <w:t>10%</w:t>
      </w:r>
      <w:r>
        <w:rPr>
          <w:rFonts w:hint="eastAsia" w:ascii="仿宋_GB2312" w:hAnsi="仿宋_GB2312" w:eastAsia="仿宋_GB2312" w:cs="仿宋_GB2312"/>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color w:val="000000"/>
          <w:kern w:val="0"/>
          <w:sz w:val="32"/>
          <w:szCs w:val="32"/>
          <w:highlight w:val="none"/>
          <w:shd w:val="clear" w:color="auto" w:fill="FFFFFF"/>
          <w:lang w:val="en-US" w:eastAsia="zh-CN"/>
        </w:rPr>
        <w:t>0</w:t>
      </w:r>
      <w:r>
        <w:rPr>
          <w:rFonts w:hint="eastAsia" w:ascii="仿宋_GB2312" w:hAnsi="仿宋_GB2312" w:eastAsia="仿宋_GB2312" w:cs="仿宋_GB2312"/>
          <w:color w:val="000000"/>
          <w:kern w:val="0"/>
          <w:sz w:val="32"/>
          <w:szCs w:val="32"/>
          <w:highlight w:val="none"/>
          <w:shd w:val="clear" w:color="auto" w:fill="FFFFFF"/>
          <w:lang w:val="zh-CN" w:eastAsia="zh-CN"/>
        </w:rPr>
        <w:t>个。</w:t>
      </w:r>
    </w:p>
    <w:p w14:paraId="6ADB958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1.</w:t>
      </w:r>
      <w:r>
        <w:rPr>
          <w:rFonts w:hint="eastAsia" w:ascii="仿宋_GB2312" w:hAnsi="仿宋_GB2312" w:eastAsia="仿宋_GB2312" w:cs="仿宋_GB2312"/>
          <w:b/>
          <w:bCs/>
          <w:color w:val="000000"/>
          <w:kern w:val="0"/>
          <w:sz w:val="32"/>
          <w:szCs w:val="32"/>
          <w:highlight w:val="none"/>
          <w:shd w:val="clear" w:color="auto" w:fill="FFFFFF"/>
          <w:lang w:val="zh-CN"/>
        </w:rPr>
        <w:t>项目决策。</w:t>
      </w:r>
      <w:r>
        <w:rPr>
          <w:rFonts w:hint="eastAsia" w:ascii="仿宋_GB2312" w:hAnsi="仿宋_GB2312" w:eastAsia="仿宋_GB2312" w:cs="仿宋_GB2312"/>
          <w:color w:val="000000"/>
          <w:kern w:val="0"/>
          <w:sz w:val="32"/>
          <w:szCs w:val="32"/>
          <w:highlight w:val="none"/>
          <w:shd w:val="clear" w:color="auto" w:fill="FFFFFF"/>
          <w:lang w:val="zh-CN"/>
        </w:rPr>
        <w:t>围绕决策程序、目标设置、项目入库进行绩效分析。</w:t>
      </w:r>
    </w:p>
    <w:p w14:paraId="463D28C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项目决策程序如下：一是研究论证‌对各方面提出的决策事项建议进行研究论证，‌这是决策过程的基础步骤，‌确保决策事项的合理性和可行性。</w:t>
      </w:r>
      <w:r>
        <w:rPr>
          <w:rFonts w:hint="eastAsia" w:ascii="仿宋_GB2312" w:hAnsi="仿宋_GB2312" w:eastAsia="仿宋_GB2312" w:cs="仿宋_GB2312"/>
          <w:b/>
          <w:bCs/>
          <w:color w:val="000000"/>
          <w:kern w:val="0"/>
          <w:sz w:val="32"/>
          <w:szCs w:val="32"/>
          <w:highlight w:val="none"/>
          <w:shd w:val="clear" w:color="auto" w:fill="FFFFFF"/>
          <w:lang w:val="en-US" w:eastAsia="zh-CN"/>
        </w:rPr>
        <w:t>‌二是</w:t>
      </w:r>
      <w:r>
        <w:rPr>
          <w:rFonts w:hint="eastAsia" w:ascii="仿宋_GB2312" w:hAnsi="仿宋_GB2312" w:eastAsia="仿宋_GB2312" w:cs="仿宋_GB2312"/>
          <w:color w:val="000000"/>
          <w:kern w:val="0"/>
          <w:sz w:val="32"/>
          <w:szCs w:val="32"/>
          <w:highlight w:val="none"/>
          <w:shd w:val="clear" w:color="auto" w:fill="FFFFFF"/>
          <w:lang w:val="en-US" w:eastAsia="zh-CN"/>
        </w:rPr>
        <w:t>启动决策程序：‌在研究论证的基础上，‌需要报请决策机关决定是否启动决策程序。‌如果决定启动，‌需要明确决策事项的承办单位。</w:t>
      </w:r>
      <w:r>
        <w:rPr>
          <w:rFonts w:hint="eastAsia" w:ascii="仿宋_GB2312" w:hAnsi="仿宋_GB2312" w:eastAsia="仿宋_GB2312" w:cs="仿宋_GB2312"/>
          <w:b/>
          <w:bCs/>
          <w:color w:val="000000"/>
          <w:kern w:val="0"/>
          <w:sz w:val="32"/>
          <w:szCs w:val="32"/>
          <w:highlight w:val="none"/>
          <w:shd w:val="clear" w:color="auto" w:fill="FFFFFF"/>
          <w:lang w:val="en-US" w:eastAsia="zh-CN"/>
        </w:rPr>
        <w:t>‌三是</w:t>
      </w:r>
      <w:r>
        <w:rPr>
          <w:rFonts w:hint="eastAsia" w:ascii="仿宋_GB2312" w:hAnsi="仿宋_GB2312" w:eastAsia="仿宋_GB2312" w:cs="仿宋_GB2312"/>
          <w:color w:val="000000"/>
          <w:kern w:val="0"/>
          <w:sz w:val="32"/>
          <w:szCs w:val="32"/>
          <w:highlight w:val="none"/>
          <w:shd w:val="clear" w:color="auto" w:fill="FFFFFF"/>
          <w:lang w:val="en-US" w:eastAsia="zh-CN"/>
        </w:rPr>
        <w:t>决策草案的拟订：‌决策承办单位应当拟订决策草案，‌并进行公开征求意见和听证等程序，‌以确保决策的科学性和公正性。</w:t>
      </w:r>
      <w:r>
        <w:rPr>
          <w:rFonts w:hint="eastAsia" w:ascii="仿宋_GB2312" w:hAnsi="仿宋_GB2312" w:eastAsia="仿宋_GB2312" w:cs="仿宋_GB2312"/>
          <w:b/>
          <w:bCs/>
          <w:color w:val="000000"/>
          <w:kern w:val="0"/>
          <w:sz w:val="32"/>
          <w:szCs w:val="32"/>
          <w:highlight w:val="none"/>
          <w:shd w:val="clear" w:color="auto" w:fill="FFFFFF"/>
          <w:lang w:val="en-US" w:eastAsia="zh-CN"/>
        </w:rPr>
        <w:t>‌四是</w:t>
      </w:r>
      <w:r>
        <w:rPr>
          <w:rFonts w:hint="eastAsia" w:ascii="仿宋_GB2312" w:hAnsi="仿宋_GB2312" w:eastAsia="仿宋_GB2312" w:cs="仿宋_GB2312"/>
          <w:color w:val="000000"/>
          <w:kern w:val="0"/>
          <w:sz w:val="32"/>
          <w:szCs w:val="32"/>
          <w:highlight w:val="none"/>
          <w:shd w:val="clear" w:color="auto" w:fill="FFFFFF"/>
          <w:lang w:val="en-US" w:eastAsia="zh-CN"/>
        </w:rPr>
        <w:t>公众参与：‌重大行政决策应当充分听取各方面意见，‌保障人民群众通过多种途径和形式参与决策。‌公众参与意见报告要及时公开，‌合理化建议原则上应当被采纳。</w:t>
      </w:r>
      <w:r>
        <w:rPr>
          <w:rFonts w:hint="eastAsia" w:ascii="仿宋_GB2312" w:hAnsi="仿宋_GB2312" w:eastAsia="仿宋_GB2312" w:cs="仿宋_GB2312"/>
          <w:b/>
          <w:bCs/>
          <w:color w:val="000000"/>
          <w:kern w:val="0"/>
          <w:sz w:val="32"/>
          <w:szCs w:val="32"/>
          <w:highlight w:val="none"/>
          <w:shd w:val="clear" w:color="auto" w:fill="FFFFFF"/>
          <w:lang w:val="en-US" w:eastAsia="zh-CN"/>
        </w:rPr>
        <w:t>‌五是</w:t>
      </w:r>
      <w:r>
        <w:rPr>
          <w:rFonts w:hint="eastAsia" w:ascii="仿宋_GB2312" w:hAnsi="仿宋_GB2312" w:eastAsia="仿宋_GB2312" w:cs="仿宋_GB2312"/>
          <w:color w:val="000000"/>
          <w:kern w:val="0"/>
          <w:sz w:val="32"/>
          <w:szCs w:val="32"/>
          <w:highlight w:val="none"/>
          <w:shd w:val="clear" w:color="auto" w:fill="FFFFFF"/>
          <w:lang w:val="en-US" w:eastAsia="zh-CN"/>
        </w:rPr>
        <w:t>专家咨询论证：‌实行重大行政决策专家咨询论证制度，‌涉及工业和信息化发展全局以及专业性、‌技术性较强的重大行政决策事项，‌应当组织专家、‌专业机构进行必要性、‌可行性和科学性论证。</w:t>
      </w:r>
      <w:r>
        <w:rPr>
          <w:rFonts w:hint="eastAsia" w:ascii="仿宋_GB2312" w:hAnsi="仿宋_GB2312" w:eastAsia="仿宋_GB2312" w:cs="仿宋_GB2312"/>
          <w:b/>
          <w:bCs/>
          <w:color w:val="000000"/>
          <w:kern w:val="0"/>
          <w:sz w:val="32"/>
          <w:szCs w:val="32"/>
          <w:highlight w:val="none"/>
          <w:shd w:val="clear" w:color="auto" w:fill="FFFFFF"/>
          <w:lang w:val="en-US" w:eastAsia="zh-CN"/>
        </w:rPr>
        <w:t>‌六是</w:t>
      </w:r>
      <w:r>
        <w:rPr>
          <w:rFonts w:hint="eastAsia" w:ascii="仿宋_GB2312" w:hAnsi="仿宋_GB2312" w:eastAsia="仿宋_GB2312" w:cs="仿宋_GB2312"/>
          <w:color w:val="000000"/>
          <w:kern w:val="0"/>
          <w:sz w:val="32"/>
          <w:szCs w:val="32"/>
          <w:highlight w:val="none"/>
          <w:shd w:val="clear" w:color="auto" w:fill="FFFFFF"/>
          <w:lang w:val="en-US" w:eastAsia="zh-CN"/>
        </w:rPr>
        <w:t>风险评估和合法性审查：‌决策过程中需要进行风险评估，‌并提交风险评估报告。‌同时，‌决策草案需经过合法性审查，‌确保决策内容符合法律法规。</w:t>
      </w:r>
      <w:r>
        <w:rPr>
          <w:rFonts w:hint="eastAsia" w:ascii="仿宋_GB2312" w:hAnsi="仿宋_GB2312" w:eastAsia="仿宋_GB2312" w:cs="仿宋_GB2312"/>
          <w:b/>
          <w:bCs/>
          <w:color w:val="000000"/>
          <w:kern w:val="0"/>
          <w:sz w:val="32"/>
          <w:szCs w:val="32"/>
          <w:highlight w:val="none"/>
          <w:shd w:val="clear" w:color="auto" w:fill="FFFFFF"/>
          <w:lang w:val="en-US" w:eastAsia="zh-CN"/>
        </w:rPr>
        <w:t>‌七是</w:t>
      </w:r>
      <w:r>
        <w:rPr>
          <w:rFonts w:hint="eastAsia" w:ascii="仿宋_GB2312" w:hAnsi="仿宋_GB2312" w:eastAsia="仿宋_GB2312" w:cs="仿宋_GB2312"/>
          <w:color w:val="000000"/>
          <w:kern w:val="0"/>
          <w:sz w:val="32"/>
          <w:szCs w:val="32"/>
          <w:highlight w:val="none"/>
          <w:shd w:val="clear" w:color="auto" w:fill="FFFFFF"/>
          <w:lang w:val="en-US" w:eastAsia="zh-CN"/>
        </w:rPr>
        <w:t>集体讨论决定：‌决策机关进行集体讨论决定，‌确保决策的民主性和合法性。</w:t>
      </w:r>
      <w:r>
        <w:rPr>
          <w:rFonts w:hint="eastAsia" w:ascii="仿宋_GB2312" w:hAnsi="仿宋_GB2312" w:eastAsia="仿宋_GB2312" w:cs="仿宋_GB2312"/>
          <w:b/>
          <w:bCs/>
          <w:color w:val="000000"/>
          <w:kern w:val="0"/>
          <w:sz w:val="32"/>
          <w:szCs w:val="32"/>
          <w:highlight w:val="none"/>
          <w:shd w:val="clear" w:color="auto" w:fill="FFFFFF"/>
          <w:lang w:val="en-US" w:eastAsia="zh-CN"/>
        </w:rPr>
        <w:t>‌八是</w:t>
      </w:r>
      <w:r>
        <w:rPr>
          <w:rFonts w:hint="eastAsia" w:ascii="仿宋_GB2312" w:hAnsi="仿宋_GB2312" w:eastAsia="仿宋_GB2312" w:cs="仿宋_GB2312"/>
          <w:color w:val="000000"/>
          <w:kern w:val="0"/>
          <w:sz w:val="32"/>
          <w:szCs w:val="32"/>
          <w:highlight w:val="none"/>
          <w:shd w:val="clear" w:color="auto" w:fill="FFFFFF"/>
          <w:lang w:val="en-US" w:eastAsia="zh-CN"/>
        </w:rPr>
        <w:t>执行和监督：‌决策执行过程中，‌决策承办单位应密切跟踪舆情，‌及时回应社会关切，‌并根据需要组织专家或第三方机构进行评估，‌确保决策的有效实施。</w:t>
      </w:r>
      <w:r>
        <w:rPr>
          <w:rFonts w:hint="eastAsia" w:ascii="仿宋_GB2312" w:hAnsi="仿宋_GB2312" w:eastAsia="仿宋_GB2312" w:cs="仿宋_GB2312"/>
          <w:b/>
          <w:bCs/>
          <w:color w:val="000000"/>
          <w:kern w:val="0"/>
          <w:sz w:val="32"/>
          <w:szCs w:val="32"/>
          <w:highlight w:val="none"/>
          <w:shd w:val="clear" w:color="auto" w:fill="FFFFFF"/>
          <w:lang w:val="en-US" w:eastAsia="zh-CN"/>
        </w:rPr>
        <w:t>‌九是</w:t>
      </w:r>
      <w:r>
        <w:rPr>
          <w:rFonts w:hint="eastAsia" w:ascii="仿宋_GB2312" w:hAnsi="仿宋_GB2312" w:eastAsia="仿宋_GB2312" w:cs="仿宋_GB2312"/>
          <w:color w:val="000000"/>
          <w:kern w:val="0"/>
          <w:sz w:val="32"/>
          <w:szCs w:val="32"/>
          <w:highlight w:val="none"/>
          <w:shd w:val="clear" w:color="auto" w:fill="FFFFFF"/>
          <w:lang w:val="en-US" w:eastAsia="zh-CN"/>
        </w:rPr>
        <w:t>档案管理和责任追究：‌建立健全档案管理制度，‌对重大行政决策过程形成的文件材料进行归档保存。‌对未经法定程序变更或停止执行的决策，‌要追究相关责任。‌通过上述步骤和原则的实施，‌行政项目决策程序能够更好地实现科学决策、‌民主决策和依法决策的目标。此项得分12分。</w:t>
      </w:r>
    </w:p>
    <w:p w14:paraId="5101932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2.项目执行</w:t>
      </w:r>
      <w:r>
        <w:rPr>
          <w:rFonts w:hint="eastAsia" w:ascii="仿宋_GB2312" w:hAnsi="仿宋_GB2312" w:eastAsia="仿宋_GB2312" w:cs="仿宋_GB2312"/>
          <w:b/>
          <w:bCs/>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zh-CN"/>
        </w:rPr>
        <w:t>围绕资金执行导向、项目调整、执行结果进行绩效分析。</w:t>
      </w:r>
    </w:p>
    <w:p w14:paraId="355B16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项目财政补贴资金实行报账制，</w:t>
      </w:r>
      <w:r>
        <w:rPr>
          <w:rFonts w:hint="eastAsia" w:ascii="仿宋_GB2312" w:hAnsi="仿宋_GB2312" w:eastAsia="仿宋_GB2312" w:cs="仿宋_GB2312"/>
          <w:b/>
          <w:bCs/>
          <w:color w:val="000000"/>
          <w:kern w:val="0"/>
          <w:sz w:val="32"/>
          <w:szCs w:val="32"/>
          <w:highlight w:val="none"/>
          <w:shd w:val="clear" w:color="auto" w:fill="FFFFFF"/>
          <w:lang w:val="en-US" w:eastAsia="zh-CN"/>
        </w:rPr>
        <w:t>一是</w:t>
      </w:r>
      <w:r>
        <w:rPr>
          <w:rFonts w:hint="eastAsia" w:ascii="仿宋_GB2312" w:hAnsi="仿宋_GB2312" w:eastAsia="仿宋_GB2312" w:cs="仿宋_GB2312"/>
          <w:color w:val="000000"/>
          <w:kern w:val="0"/>
          <w:sz w:val="32"/>
          <w:szCs w:val="32"/>
          <w:highlight w:val="none"/>
          <w:shd w:val="clear" w:color="auto" w:fill="FFFFFF"/>
          <w:lang w:val="en-US" w:eastAsia="zh-CN"/>
        </w:rPr>
        <w:t>资金管理情况。项目资金严格按照专款专用、单独核算的办法进行管理，项目完成后，由项目实施单位直接到县委统战部进行报账。</w:t>
      </w:r>
      <w:r>
        <w:rPr>
          <w:rFonts w:hint="eastAsia" w:ascii="仿宋_GB2312" w:hAnsi="仿宋_GB2312" w:eastAsia="仿宋_GB2312" w:cs="仿宋_GB2312"/>
          <w:b/>
          <w:bCs/>
          <w:color w:val="000000"/>
          <w:kern w:val="0"/>
          <w:sz w:val="32"/>
          <w:szCs w:val="32"/>
          <w:highlight w:val="none"/>
          <w:shd w:val="clear" w:color="auto" w:fill="FFFFFF"/>
          <w:lang w:val="en-US" w:eastAsia="zh-CN"/>
        </w:rPr>
        <w:t>二是</w:t>
      </w:r>
      <w:r>
        <w:rPr>
          <w:rFonts w:hint="eastAsia" w:ascii="仿宋_GB2312" w:hAnsi="仿宋_GB2312" w:eastAsia="仿宋_GB2312" w:cs="仿宋_GB2312"/>
          <w:color w:val="000000"/>
          <w:kern w:val="0"/>
          <w:sz w:val="32"/>
          <w:szCs w:val="32"/>
          <w:highlight w:val="none"/>
          <w:shd w:val="clear" w:color="auto" w:fill="FFFFFF"/>
          <w:lang w:val="en-US" w:eastAsia="zh-CN"/>
        </w:rPr>
        <w:t>项目资金管理，实行报账制，严格项目资金的“专账、专人、专用”三专管理，对项目资金的使用公开透明，严禁挪用，健全完善项目资金档案管理制度，自觉接受社会监督，充分发挥资金的使用效益。成立项目管理小组，对该项目进行全程监督管控，制定了项目实施方案，严格按照方案流程进行施工，确保项目安全顺利完成。项目完工后达到项目完成的可持续性。项目完成后小组将继续对完工后的反映以及工程影响等情况进行检查登记，做到监管到位并有可持续性。项目实施初期，制定了各类管理办法以及实施方案、应急预案，在项目完工后，各类制度也将继续发挥作用，按照管理办法进行后期管理，遇到突发事件也有应急预案，做到了制度在先，有据可依。</w:t>
      </w:r>
      <w:r>
        <w:rPr>
          <w:rFonts w:hint="eastAsia" w:ascii="仿宋_GB2312" w:hAnsi="仿宋_GB2312" w:eastAsia="仿宋_GB2312" w:cs="仿宋_GB2312"/>
          <w:b/>
          <w:bCs/>
          <w:color w:val="000000"/>
          <w:kern w:val="0"/>
          <w:sz w:val="32"/>
          <w:szCs w:val="32"/>
          <w:highlight w:val="none"/>
          <w:shd w:val="clear" w:color="auto" w:fill="FFFFFF"/>
          <w:lang w:val="en-US" w:eastAsia="zh-CN"/>
        </w:rPr>
        <w:t>三是</w:t>
      </w:r>
      <w:r>
        <w:rPr>
          <w:rFonts w:hint="eastAsia" w:ascii="仿宋_GB2312" w:hAnsi="仿宋_GB2312" w:eastAsia="仿宋_GB2312" w:cs="仿宋_GB2312"/>
          <w:color w:val="000000"/>
          <w:kern w:val="0"/>
          <w:sz w:val="32"/>
          <w:szCs w:val="32"/>
          <w:highlight w:val="none"/>
          <w:shd w:val="clear" w:color="auto" w:fill="FFFFFF"/>
          <w:lang w:val="en-US" w:eastAsia="zh-CN"/>
        </w:rPr>
        <w:t>为保证该项目能保质保量地完成任务，该项目通过了需求论证，并进行了需求论证结果公示，论证结果采购方式为竞争性磋商方式。</w:t>
      </w:r>
      <w:r>
        <w:rPr>
          <w:rFonts w:hint="eastAsia" w:ascii="仿宋_GB2312" w:hAnsi="仿宋_GB2312" w:eastAsia="仿宋_GB2312" w:cs="仿宋_GB2312"/>
          <w:b/>
          <w:bCs/>
          <w:color w:val="000000"/>
          <w:kern w:val="0"/>
          <w:sz w:val="32"/>
          <w:szCs w:val="32"/>
          <w:highlight w:val="none"/>
          <w:shd w:val="clear" w:color="auto" w:fill="FFFFFF"/>
          <w:lang w:val="en-US" w:eastAsia="zh-CN"/>
        </w:rPr>
        <w:t>四是</w:t>
      </w:r>
      <w:r>
        <w:rPr>
          <w:rFonts w:hint="eastAsia" w:ascii="仿宋_GB2312" w:hAnsi="仿宋_GB2312" w:eastAsia="仿宋_GB2312" w:cs="仿宋_GB2312"/>
          <w:color w:val="000000"/>
          <w:kern w:val="0"/>
          <w:sz w:val="32"/>
          <w:szCs w:val="32"/>
          <w:highlight w:val="none"/>
          <w:shd w:val="clear" w:color="auto" w:fill="FFFFFF"/>
          <w:lang w:val="en-US" w:eastAsia="zh-CN"/>
        </w:rPr>
        <w:t>我单位根据专项绩效评定指标对各项目进行量化评价。</w:t>
      </w:r>
      <w:r>
        <w:rPr>
          <w:rFonts w:hint="eastAsia" w:ascii="仿宋_GB2312" w:hAnsi="仿宋_GB2312" w:eastAsia="仿宋_GB2312" w:cs="仿宋_GB2312"/>
          <w:b/>
          <w:bCs/>
          <w:color w:val="000000"/>
          <w:kern w:val="0"/>
          <w:sz w:val="32"/>
          <w:szCs w:val="32"/>
          <w:highlight w:val="none"/>
          <w:shd w:val="clear" w:color="auto" w:fill="FFFFFF"/>
          <w:lang w:val="en-US" w:eastAsia="zh-CN"/>
        </w:rPr>
        <w:t>五是</w:t>
      </w:r>
      <w:r>
        <w:rPr>
          <w:rFonts w:hint="eastAsia" w:ascii="仿宋_GB2312" w:hAnsi="仿宋_GB2312" w:eastAsia="仿宋_GB2312" w:cs="仿宋_GB2312"/>
          <w:color w:val="000000"/>
          <w:kern w:val="0"/>
          <w:sz w:val="32"/>
          <w:szCs w:val="32"/>
          <w:highlight w:val="none"/>
          <w:shd w:val="clear" w:color="auto" w:fill="FFFFFF"/>
          <w:lang w:val="en-US" w:eastAsia="zh-CN"/>
        </w:rPr>
        <w:t>将项目支出后的实际状况与项目申报的绩效目标进行对比分析，所有项目均与批复下达相符。综上分析此项得分12分。</w:t>
      </w:r>
    </w:p>
    <w:p w14:paraId="663E4BA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b/>
          <w:bCs/>
          <w:color w:val="000000"/>
          <w:kern w:val="0"/>
          <w:sz w:val="32"/>
          <w:szCs w:val="32"/>
          <w:highlight w:val="none"/>
          <w:shd w:val="clear" w:color="auto" w:fill="FFFFFF"/>
          <w:lang w:val="en-US" w:eastAsia="zh-CN"/>
        </w:rPr>
        <w:t>3.</w:t>
      </w:r>
      <w:r>
        <w:rPr>
          <w:rFonts w:hint="eastAsia" w:ascii="仿宋_GB2312" w:hAnsi="仿宋_GB2312" w:eastAsia="仿宋_GB2312" w:cs="仿宋_GB2312"/>
          <w:b/>
          <w:bCs/>
          <w:color w:val="000000"/>
          <w:kern w:val="0"/>
          <w:sz w:val="32"/>
          <w:szCs w:val="32"/>
          <w:highlight w:val="none"/>
          <w:shd w:val="clear" w:color="auto" w:fill="FFFFFF"/>
          <w:lang w:val="zh-CN"/>
        </w:rPr>
        <w:t>目标实现。</w:t>
      </w:r>
      <w:r>
        <w:rPr>
          <w:rFonts w:hint="eastAsia" w:ascii="仿宋_GB2312" w:hAnsi="仿宋_GB2312" w:eastAsia="仿宋_GB2312" w:cs="仿宋_GB2312"/>
          <w:color w:val="000000"/>
          <w:kern w:val="0"/>
          <w:sz w:val="32"/>
          <w:szCs w:val="32"/>
          <w:highlight w:val="none"/>
          <w:shd w:val="clear" w:color="auto" w:fill="FFFFFF"/>
          <w:lang w:val="zh-CN"/>
        </w:rPr>
        <w:t>围绕目标完成、目标偏离、实现效果进行绩效分析。</w:t>
      </w:r>
    </w:p>
    <w:p w14:paraId="05AFF316">
      <w:pPr>
        <w:keepNext w:val="0"/>
        <w:keepLines w:val="0"/>
        <w:pageBreakBefore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楷体_GB2312" w:cs="Times New Roman"/>
          <w:color w:val="333333"/>
          <w:sz w:val="32"/>
          <w:szCs w:val="32"/>
          <w:highlight w:val="none"/>
          <w:u w:val="none"/>
          <w:shd w:val="clear" w:color="auto" w:fill="auto"/>
          <w:lang w:bidi="ar"/>
        </w:rPr>
      </w:pPr>
      <w:r>
        <w:rPr>
          <w:rFonts w:hint="eastAsia" w:ascii="仿宋_GB2312" w:hAnsi="仿宋_GB2312" w:eastAsia="仿宋_GB2312" w:cs="仿宋_GB2312"/>
          <w:sz w:val="32"/>
          <w:szCs w:val="32"/>
          <w:u w:val="none"/>
          <w:lang w:val="en-US" w:eastAsia="zh-CN"/>
        </w:rPr>
        <w:t>统战部项目符合中央统战工作决策部署，符合省委、省政府的相关重点任务要求、发展规划、优先发展重点。该项目具有现实需求，具有明显的经济、社会、环境或可持续性效益等必要性。2023年12个项目的实施极大程度上提高寺庙建筑物的安全性对寺庙建筑进行维修加固，确保活动场所的安全性。评估内容包括绩效目标和绩效指标量化考核，契合政策，与部门的长期规划目标、年度工作目标相一致，能使寺庙僧尼、信教群众满意。宣传培训类项目内容</w:t>
      </w:r>
      <w:r>
        <w:rPr>
          <w:rFonts w:hint="eastAsia" w:ascii="仿宋_GB2312" w:hAnsi="仿宋_GB2312" w:eastAsia="仿宋_GB2312" w:cs="仿宋_GB2312"/>
          <w:b/>
          <w:bCs/>
          <w:sz w:val="32"/>
          <w:szCs w:val="32"/>
          <w:u w:val="none"/>
          <w:lang w:val="en-US" w:eastAsia="zh-CN"/>
        </w:rPr>
        <w:t>一是</w:t>
      </w:r>
      <w:r>
        <w:rPr>
          <w:rFonts w:hint="eastAsia" w:ascii="仿宋_GB2312" w:hAnsi="仿宋_GB2312" w:eastAsia="仿宋_GB2312" w:cs="仿宋_GB2312"/>
          <w:sz w:val="32"/>
          <w:szCs w:val="32"/>
          <w:u w:val="none"/>
          <w:lang w:val="en-US" w:eastAsia="zh-CN"/>
        </w:rPr>
        <w:t>以 “爱国爱教”为主题，在全县范围内开展爱国教育活动，有效增强了法制意识、国家意识和公民意识；</w:t>
      </w:r>
      <w:r>
        <w:rPr>
          <w:rFonts w:hint="eastAsia" w:ascii="仿宋_GB2312" w:hAnsi="仿宋_GB2312" w:eastAsia="仿宋_GB2312" w:cs="仿宋_GB2312"/>
          <w:b/>
          <w:bCs/>
          <w:sz w:val="32"/>
          <w:szCs w:val="32"/>
          <w:u w:val="none"/>
          <w:lang w:val="en-US" w:eastAsia="zh-CN"/>
        </w:rPr>
        <w:t>二是</w:t>
      </w:r>
      <w:r>
        <w:rPr>
          <w:rFonts w:hint="eastAsia" w:ascii="仿宋_GB2312" w:hAnsi="仿宋_GB2312" w:eastAsia="仿宋_GB2312" w:cs="仿宋_GB2312"/>
          <w:sz w:val="32"/>
          <w:szCs w:val="32"/>
          <w:u w:val="none"/>
          <w:lang w:val="en-US" w:eastAsia="zh-CN"/>
        </w:rPr>
        <w:t>结合我县实际，进行感恩教育活动；三是在全县范围内进行全面小康和美好生活教育，激发群众的爱国情怀，为松潘县的持续发展提供良好的环境。此项得分11分。</w:t>
      </w:r>
    </w:p>
    <w:p w14:paraId="2C68F30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仿宋_GB2312" w:cs="Times New Roman"/>
          <w:sz w:val="32"/>
          <w:szCs w:val="32"/>
          <w:highlight w:val="none"/>
          <w:u w:val="none"/>
        </w:rPr>
        <w:t>省级部门</w:t>
      </w:r>
      <w:r>
        <w:rPr>
          <w:rFonts w:hint="eastAsia" w:ascii="Times New Roman" w:hAnsi="Times New Roman" w:eastAsia="仿宋_GB2312" w:cs="Times New Roman"/>
          <w:sz w:val="32"/>
          <w:szCs w:val="32"/>
          <w:u w:val="none"/>
          <w:lang w:val="en-US" w:eastAsia="zh-CN"/>
        </w:rPr>
        <w:t>2023年度</w:t>
      </w:r>
      <w:r>
        <w:rPr>
          <w:rFonts w:hint="default" w:ascii="Times New Roman" w:hAnsi="Times New Roman" w:eastAsia="仿宋_GB2312" w:cs="Times New Roman"/>
          <w:sz w:val="32"/>
          <w:szCs w:val="32"/>
          <w:highlight w:val="none"/>
          <w:u w:val="none"/>
        </w:rPr>
        <w:t>若涉及国有资本、行政事业性国有资产、</w:t>
      </w:r>
      <w:r>
        <w:rPr>
          <w:rFonts w:hint="default" w:ascii="Times New Roman" w:hAnsi="Times New Roman" w:eastAsia="仿宋_GB2312" w:cs="Times New Roman"/>
          <w:b w:val="0"/>
          <w:bCs w:val="0"/>
          <w:sz w:val="32"/>
          <w:szCs w:val="32"/>
          <w:highlight w:val="none"/>
          <w:u w:val="none"/>
        </w:rPr>
        <w:t>债券</w:t>
      </w:r>
      <w:r>
        <w:rPr>
          <w:rFonts w:hint="default" w:ascii="Times New Roman" w:hAnsi="Times New Roman" w:eastAsia="仿宋_GB2312" w:cs="Times New Roman"/>
          <w:b w:val="0"/>
          <w:bCs w:val="0"/>
          <w:sz w:val="32"/>
          <w:szCs w:val="32"/>
          <w:highlight w:val="none"/>
          <w:u w:val="none"/>
          <w:lang w:eastAsia="zh-CN"/>
        </w:rPr>
        <w:t>资金、政府采购和政府购买服务等重点领域</w:t>
      </w:r>
      <w:r>
        <w:rPr>
          <w:rFonts w:hint="default" w:ascii="Times New Roman" w:hAnsi="Times New Roman" w:eastAsia="仿宋_GB2312" w:cs="Times New Roman"/>
          <w:sz w:val="32"/>
          <w:szCs w:val="32"/>
          <w:highlight w:val="none"/>
          <w:u w:val="none"/>
        </w:rPr>
        <w:t>的</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bidi="ar"/>
        </w:rPr>
        <w:t>应在部门</w:t>
      </w:r>
      <w:r>
        <w:rPr>
          <w:rFonts w:hint="default" w:ascii="Times New Roman" w:hAnsi="Times New Roman" w:eastAsia="仿宋_GB2312" w:cs="Times New Roman"/>
          <w:sz w:val="32"/>
          <w:szCs w:val="32"/>
          <w:u w:val="none"/>
          <w:lang w:eastAsia="zh-CN" w:bidi="ar"/>
        </w:rPr>
        <w:t>预算</w:t>
      </w:r>
      <w:r>
        <w:rPr>
          <w:rFonts w:hint="default" w:ascii="Times New Roman" w:hAnsi="Times New Roman" w:eastAsia="仿宋_GB2312" w:cs="Times New Roman"/>
          <w:sz w:val="32"/>
          <w:szCs w:val="32"/>
          <w:highlight w:val="none"/>
          <w:u w:val="none"/>
          <w:lang w:bidi="ar"/>
        </w:rPr>
        <w:t>绩效自评报告中</w:t>
      </w:r>
      <w:r>
        <w:rPr>
          <w:rFonts w:hint="default" w:ascii="Times New Roman" w:hAnsi="Times New Roman" w:eastAsia="仿宋_GB2312" w:cs="Times New Roman"/>
          <w:sz w:val="32"/>
          <w:szCs w:val="32"/>
          <w:highlight w:val="none"/>
          <w:u w:val="none"/>
          <w:lang w:eastAsia="zh-CN" w:bidi="ar"/>
        </w:rPr>
        <w:t>对完成情况进行梳理阐述</w:t>
      </w:r>
      <w:r>
        <w:rPr>
          <w:rFonts w:hint="eastAsia" w:ascii="Times New Roman" w:hAnsi="Times New Roman" w:cs="Times New Roman"/>
          <w:sz w:val="32"/>
          <w:szCs w:val="32"/>
          <w:highlight w:val="none"/>
          <w:u w:val="none"/>
          <w:lang w:eastAsia="zh-CN" w:bidi="ar"/>
        </w:rPr>
        <w:t>。</w:t>
      </w:r>
    </w:p>
    <w:p w14:paraId="27B31CA8">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楷体_GB2312" w:cs="Times New Roman"/>
          <w:b w:val="0"/>
          <w:bCs w:val="0"/>
          <w:color w:val="000000"/>
          <w:kern w:val="0"/>
          <w:sz w:val="32"/>
          <w:szCs w:val="32"/>
          <w:highlight w:val="none"/>
          <w:shd w:val="clear" w:color="auto" w:fill="FFFFFF"/>
          <w:lang w:val="zh-CN" w:eastAsia="zh-CN"/>
        </w:rPr>
      </w:pPr>
      <w:r>
        <w:rPr>
          <w:rFonts w:hint="eastAsia" w:ascii="Times New Roman" w:hAnsi="Times New Roman" w:eastAsia="楷体_GB2312" w:cs="Times New Roman"/>
          <w:b w:val="0"/>
          <w:bCs w:val="0"/>
          <w:color w:val="000000"/>
          <w:kern w:val="0"/>
          <w:sz w:val="32"/>
          <w:szCs w:val="32"/>
          <w:highlight w:val="none"/>
          <w:shd w:val="clear" w:color="auto" w:fill="FFFFFF"/>
          <w:lang w:val="zh-CN" w:eastAsia="zh-CN"/>
        </w:rPr>
        <w:t>无</w:t>
      </w:r>
    </w:p>
    <w:p w14:paraId="607FE2F0">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zh-CN" w:eastAsia="zh-CN" w:bidi="ar"/>
        </w:rPr>
        <w:t>围绕内部应用情况、</w:t>
      </w:r>
      <w:r>
        <w:rPr>
          <w:rFonts w:hint="default" w:ascii="Times New Roman" w:hAnsi="Times New Roman" w:eastAsia="仿宋_GB2312" w:cs="Times New Roman"/>
          <w:sz w:val="32"/>
          <w:szCs w:val="32"/>
          <w:highlight w:val="none"/>
          <w:u w:val="none"/>
          <w:lang w:val="zh-CN" w:eastAsia="zh-CN" w:bidi="ar"/>
        </w:rPr>
        <w:t>信息公开情况</w:t>
      </w:r>
      <w:r>
        <w:rPr>
          <w:rFonts w:hint="eastAsia" w:ascii="Times New Roman" w:hAnsi="Times New Roman" w:eastAsia="仿宋_GB2312" w:cs="Times New Roman"/>
          <w:sz w:val="32"/>
          <w:szCs w:val="32"/>
          <w:highlight w:val="none"/>
          <w:u w:val="none"/>
          <w:lang w:val="zh-CN" w:eastAsia="zh-CN" w:bidi="ar"/>
        </w:rPr>
        <w:t>、</w:t>
      </w:r>
      <w:r>
        <w:rPr>
          <w:rFonts w:hint="default" w:ascii="Times New Roman" w:hAnsi="Times New Roman" w:eastAsia="仿宋_GB2312" w:cs="Times New Roman"/>
          <w:sz w:val="32"/>
          <w:szCs w:val="32"/>
          <w:highlight w:val="none"/>
          <w:u w:val="none"/>
          <w:lang w:val="zh-CN" w:eastAsia="zh-CN" w:bidi="ar"/>
        </w:rPr>
        <w:t>整改反馈情况</w:t>
      </w:r>
      <w:r>
        <w:rPr>
          <w:rFonts w:hint="eastAsia" w:ascii="Times New Roman" w:hAnsi="Times New Roman" w:eastAsia="仿宋_GB2312" w:cs="Times New Roman"/>
          <w:sz w:val="32"/>
          <w:szCs w:val="32"/>
          <w:highlight w:val="none"/>
          <w:u w:val="none"/>
          <w:lang w:val="zh-CN" w:eastAsia="zh-CN" w:bidi="ar"/>
        </w:rPr>
        <w:t>进行分析。</w:t>
      </w:r>
    </w:p>
    <w:p w14:paraId="3A05683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14:paraId="58EA2B6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u w:val="none"/>
          <w:lang w:val="en-US" w:eastAsia="zh-CN"/>
        </w:rPr>
      </w:pPr>
      <w:bookmarkStart w:id="66" w:name="_Hlk110546638"/>
      <w:r>
        <w:rPr>
          <w:rFonts w:hint="eastAsia" w:ascii="仿宋_GB2312" w:hAnsi="仿宋_GB2312" w:eastAsia="仿宋_GB2312" w:cs="仿宋_GB2312"/>
          <w:b/>
          <w:bCs/>
          <w:color w:val="000000"/>
          <w:kern w:val="0"/>
          <w:sz w:val="32"/>
          <w:szCs w:val="32"/>
          <w:highlight w:val="none"/>
          <w:shd w:val="clear" w:color="auto" w:fill="FFFFFF"/>
          <w:lang w:val="zh-CN"/>
        </w:rPr>
        <w:t>（一）评价结论。</w:t>
      </w:r>
      <w:r>
        <w:rPr>
          <w:rFonts w:hint="eastAsia" w:ascii="仿宋_GB2312" w:hAnsi="仿宋_GB2312" w:eastAsia="仿宋_GB2312" w:cs="仿宋_GB2312"/>
          <w:sz w:val="32"/>
          <w:szCs w:val="32"/>
          <w:u w:val="none"/>
          <w:lang w:val="en-US" w:eastAsia="zh-CN"/>
        </w:rPr>
        <w:t>简要阐述部门预算绩效自评总体结论，其中必须包含自评得分。</w:t>
      </w:r>
    </w:p>
    <w:p w14:paraId="3F16895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bCs/>
          <w:color w:val="000000"/>
          <w:kern w:val="0"/>
          <w:sz w:val="32"/>
          <w:szCs w:val="32"/>
          <w:highlight w:val="none"/>
          <w:shd w:val="clear" w:color="auto" w:fill="FFFFFF"/>
          <w:lang w:val="en-US" w:eastAsia="zh-CN"/>
        </w:rPr>
      </w:pPr>
      <w:r>
        <w:rPr>
          <w:rFonts w:hint="eastAsia" w:ascii="仿宋_GB2312" w:hAnsi="仿宋_GB2312" w:eastAsia="仿宋_GB2312" w:cs="仿宋_GB2312"/>
          <w:sz w:val="32"/>
          <w:szCs w:val="32"/>
          <w:u w:val="none"/>
          <w:lang w:val="en-US" w:eastAsia="zh-CN"/>
        </w:rPr>
        <w:t>2023年我部预算绩效自评总分为97分，主要扣分内容为采购围绕中小企业发展扣3分。</w:t>
      </w:r>
    </w:p>
    <w:p w14:paraId="4A702CD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color w:val="000000"/>
          <w:kern w:val="0"/>
          <w:sz w:val="32"/>
          <w:szCs w:val="32"/>
          <w:highlight w:val="none"/>
          <w:shd w:val="clear" w:color="auto" w:fill="FFFFFF"/>
          <w:lang w:val="zh-CN"/>
        </w:rPr>
        <w:t>（二）存在问题。</w:t>
      </w:r>
      <w:r>
        <w:rPr>
          <w:rFonts w:hint="eastAsia" w:ascii="仿宋_GB2312" w:hAnsi="仿宋_GB2312" w:eastAsia="仿宋_GB2312" w:cs="仿宋_GB2312"/>
          <w:sz w:val="32"/>
          <w:szCs w:val="32"/>
          <w:u w:val="none"/>
          <w:lang w:val="en-US" w:eastAsia="zh-CN"/>
        </w:rPr>
        <w:t>简要阐述部门预算绩效自评发现的主要问题。明确职责分工：对财务人员的职责进行重新梳理和明确，确保每个人的职责清晰、无重叠，提高工作效率。长期以来单位人手不足等原因，单位财务人员开展工作进度缓慢。</w:t>
      </w:r>
    </w:p>
    <w:p w14:paraId="46CD722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hAnsi="Times New Roman" w:cs="Times New Roman"/>
          <w:color w:val="auto"/>
          <w:sz w:val="32"/>
          <w:szCs w:val="32"/>
          <w:highlight w:val="none"/>
          <w:lang w:val="zh-CN" w:eastAsia="zh-CN"/>
        </w:rPr>
      </w:pPr>
      <w:r>
        <w:rPr>
          <w:rFonts w:hint="eastAsia" w:ascii="仿宋_GB2312" w:hAnsi="仿宋_GB2312" w:eastAsia="仿宋_GB2312" w:cs="仿宋_GB2312"/>
          <w:b/>
          <w:bCs/>
          <w:color w:val="000000"/>
          <w:kern w:val="0"/>
          <w:sz w:val="32"/>
          <w:szCs w:val="32"/>
          <w:highlight w:val="none"/>
          <w:shd w:val="clear" w:color="auto" w:fill="FFFFFF"/>
          <w:lang w:val="zh-CN" w:eastAsia="zh-CN"/>
        </w:rPr>
        <w:t>（三）改进建议。</w:t>
      </w:r>
      <w:r>
        <w:rPr>
          <w:rFonts w:hint="eastAsia" w:ascii="仿宋_GB2312" w:hAnsi="仿宋_GB2312" w:eastAsia="仿宋_GB2312" w:cs="仿宋_GB2312"/>
          <w:sz w:val="32"/>
          <w:szCs w:val="32"/>
          <w:u w:val="none"/>
          <w:lang w:val="zh-CN" w:eastAsia="zh-CN"/>
        </w:rPr>
        <w:t>建议在组织会计人员培训的同时也要求出纳等工作人员到场。强化责任意识，提高业务能力水平，优化单位内控建设，进一步落实好行政事业单位财经法规，强化单位财务人员对工作的责任。</w:t>
      </w:r>
      <w:bookmarkEnd w:id="66"/>
    </w:p>
    <w:p w14:paraId="67652F0C">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color w:val="auto"/>
          <w:sz w:val="32"/>
          <w:szCs w:val="32"/>
          <w:highlight w:val="none"/>
          <w:lang w:val="zh-CN" w:eastAsia="zh-CN"/>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3</w:t>
      </w:r>
      <w:r>
        <w:rPr>
          <w:rFonts w:hint="eastAsia" w:hAnsi="Times New Roman" w:cs="Times New Roman"/>
          <w:color w:val="auto"/>
          <w:sz w:val="32"/>
          <w:szCs w:val="32"/>
          <w:highlight w:val="none"/>
          <w:lang w:val="en-US" w:eastAsia="zh-CN"/>
        </w:rPr>
        <w:t>年度）</w:t>
      </w:r>
    </w:p>
    <w:p w14:paraId="5C743B02">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（备注：按照绩效自评工作安排，各部门已在预算管理一体化系统绩效自评模块上传“部门预算项目支出绩效自评表（2023年度）”，该表格应作为附表予以公开。）</w:t>
      </w:r>
    </w:p>
    <w:p w14:paraId="7F8A76BC">
      <w:pPr>
        <w:keepNext w:val="0"/>
        <w:keepLines w:val="0"/>
        <w:pageBreakBefore w:val="0"/>
        <w:kinsoku/>
        <w:wordWrap/>
        <w:overflowPunct/>
        <w:topLinePunct w:val="0"/>
        <w:autoSpaceDE/>
        <w:autoSpaceDN/>
        <w:bidi w:val="0"/>
        <w:adjustRightInd/>
        <w:snapToGrid w:val="0"/>
        <w:spacing w:line="216" w:lineRule="auto"/>
        <w:ind w:firstLine="640" w:firstLineChars="200"/>
        <w:textAlignment w:val="auto"/>
        <w:rPr>
          <w:rFonts w:hint="default" w:ascii="Times New Roman" w:hAnsi="Times New Roman" w:eastAsia="仿宋_GB2312" w:cs="Times New Roman"/>
          <w:kern w:val="2"/>
          <w:sz w:val="32"/>
          <w:szCs w:val="24"/>
          <w:highlight w:val="none"/>
          <w:lang w:val="en-US" w:eastAsia="zh-CN" w:bidi="ar-SA"/>
        </w:rPr>
      </w:pPr>
      <w:r>
        <w:rPr>
          <w:rFonts w:hint="eastAsia" w:ascii="黑体" w:hAnsi="黑体" w:eastAsia="黑体" w:cs="黑体"/>
          <w:kern w:val="2"/>
          <w:sz w:val="32"/>
          <w:szCs w:val="24"/>
          <w:highlight w:val="none"/>
          <w:lang w:val="en-US" w:eastAsia="zh-CN" w:bidi="ar-SA"/>
        </w:rPr>
        <w:t>附表</w:t>
      </w:r>
    </w:p>
    <w:tbl>
      <w:tblPr>
        <w:tblStyle w:val="14"/>
        <w:tblpPr w:leftFromText="180" w:rightFromText="180" w:vertAnchor="text" w:horzAnchor="page" w:tblpX="660" w:tblpY="127"/>
        <w:tblOverlap w:val="never"/>
        <w:tblW w:w="10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250"/>
        <w:gridCol w:w="1061"/>
        <w:gridCol w:w="2622"/>
        <w:gridCol w:w="1000"/>
        <w:gridCol w:w="902"/>
        <w:gridCol w:w="830"/>
        <w:gridCol w:w="585"/>
        <w:gridCol w:w="1001"/>
      </w:tblGrid>
      <w:tr w14:paraId="7FAD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trPr>
        <w:tc>
          <w:tcPr>
            <w:tcW w:w="10560" w:type="dxa"/>
            <w:gridSpan w:val="9"/>
            <w:noWrap w:val="0"/>
            <w:vAlign w:val="center"/>
          </w:tcPr>
          <w:p w14:paraId="3C0D1E61">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3D21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60" w:type="dxa"/>
            <w:gridSpan w:val="9"/>
            <w:noWrap w:val="0"/>
            <w:vAlign w:val="center"/>
          </w:tcPr>
          <w:p w14:paraId="6D81F49F">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（2023年度）</w:t>
            </w:r>
          </w:p>
        </w:tc>
      </w:tr>
      <w:tr w14:paraId="3A18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560" w:type="dxa"/>
            <w:gridSpan w:val="9"/>
            <w:tcBorders>
              <w:bottom w:val="single" w:color="000000" w:sz="4" w:space="0"/>
            </w:tcBorders>
            <w:noWrap w:val="0"/>
            <w:vAlign w:val="center"/>
          </w:tcPr>
          <w:p w14:paraId="34C91427">
            <w:pPr>
              <w:keepNext w:val="0"/>
              <w:keepLines w:val="0"/>
              <w:pageBreakBefore w:val="0"/>
              <w:widowControl/>
              <w:suppressLineNumbers w:val="0"/>
              <w:kinsoku/>
              <w:wordWrap/>
              <w:overflowPunct/>
              <w:topLinePunct w:val="0"/>
              <w:autoSpaceDE/>
              <w:autoSpaceDN/>
              <w:bidi w:val="0"/>
              <w:adjustRightInd/>
              <w:snapToGrid w:val="0"/>
              <w:spacing w:line="216" w:lineRule="auto"/>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04EB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3620" w:type="dxa"/>
            <w:gridSpan w:val="3"/>
            <w:tcBorders>
              <w:top w:val="single" w:color="000000" w:sz="4" w:space="0"/>
              <w:left w:val="single" w:color="000000" w:sz="4" w:space="0"/>
              <w:bottom w:val="single" w:color="000000" w:sz="4" w:space="0"/>
              <w:right w:val="single" w:color="000000" w:sz="4" w:space="0"/>
            </w:tcBorders>
            <w:noWrap w:val="0"/>
            <w:vAlign w:val="center"/>
          </w:tcPr>
          <w:p w14:paraId="7D89AD44">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61CAD932">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中共松潘县委统战部</w:t>
            </w:r>
          </w:p>
        </w:tc>
      </w:tr>
      <w:tr w14:paraId="3654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2718C">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50E75598">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3622" w:type="dxa"/>
            <w:gridSpan w:val="2"/>
            <w:tcBorders>
              <w:top w:val="single" w:color="000000" w:sz="4" w:space="0"/>
              <w:left w:val="single" w:color="000000" w:sz="4" w:space="0"/>
              <w:bottom w:val="single" w:color="000000" w:sz="4" w:space="0"/>
              <w:right w:val="single" w:color="000000" w:sz="4" w:space="0"/>
            </w:tcBorders>
            <w:noWrap w:val="0"/>
            <w:vAlign w:val="center"/>
          </w:tcPr>
          <w:p w14:paraId="491C43C2">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3318" w:type="dxa"/>
            <w:gridSpan w:val="4"/>
            <w:tcBorders>
              <w:top w:val="single" w:color="000000" w:sz="4" w:space="0"/>
              <w:left w:val="single" w:color="000000" w:sz="4" w:space="0"/>
              <w:bottom w:val="single" w:color="000000" w:sz="4" w:space="0"/>
              <w:right w:val="single" w:color="000000" w:sz="4" w:space="0"/>
            </w:tcBorders>
            <w:noWrap w:val="0"/>
            <w:vAlign w:val="center"/>
          </w:tcPr>
          <w:p w14:paraId="3B49BB4C">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4777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898A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1CC14295">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651.84</w:t>
            </w:r>
          </w:p>
        </w:tc>
        <w:tc>
          <w:tcPr>
            <w:tcW w:w="3622" w:type="dxa"/>
            <w:gridSpan w:val="2"/>
            <w:tcBorders>
              <w:top w:val="single" w:color="000000" w:sz="4" w:space="0"/>
              <w:left w:val="single" w:color="000000" w:sz="4" w:space="0"/>
              <w:bottom w:val="single" w:color="000000" w:sz="4" w:space="0"/>
              <w:right w:val="single" w:color="000000" w:sz="4" w:space="0"/>
            </w:tcBorders>
            <w:noWrap w:val="0"/>
            <w:vAlign w:val="center"/>
          </w:tcPr>
          <w:p w14:paraId="10A86CFD">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eastAsia="宋体" w:cs="Times New Roman"/>
                <w:i w:val="0"/>
                <w:color w:val="000000"/>
                <w:kern w:val="0"/>
                <w:sz w:val="24"/>
                <w:szCs w:val="24"/>
                <w:u w:val="none"/>
                <w:lang w:val="en-US" w:eastAsia="zh-CN" w:bidi="ar"/>
              </w:rPr>
              <w:t>651.84</w:t>
            </w:r>
          </w:p>
        </w:tc>
        <w:tc>
          <w:tcPr>
            <w:tcW w:w="3318" w:type="dxa"/>
            <w:gridSpan w:val="4"/>
            <w:tcBorders>
              <w:top w:val="single" w:color="000000" w:sz="4" w:space="0"/>
              <w:left w:val="single" w:color="000000" w:sz="4" w:space="0"/>
              <w:bottom w:val="single" w:color="000000" w:sz="4" w:space="0"/>
              <w:right w:val="single" w:color="000000" w:sz="4" w:space="0"/>
            </w:tcBorders>
            <w:noWrap w:val="0"/>
            <w:vAlign w:val="center"/>
          </w:tcPr>
          <w:p w14:paraId="01749121">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0</w:t>
            </w:r>
          </w:p>
        </w:tc>
      </w:tr>
      <w:tr w14:paraId="7808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6" w:hRule="atLeast"/>
        </w:trPr>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ECD18F3">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741399BE">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8"/>
            <w:tcBorders>
              <w:top w:val="single" w:color="000000" w:sz="4" w:space="0"/>
              <w:left w:val="single" w:color="000000" w:sz="4" w:space="0"/>
              <w:bottom w:val="single" w:color="000000" w:sz="4" w:space="0"/>
              <w:right w:val="single" w:color="000000" w:sz="4" w:space="0"/>
            </w:tcBorders>
            <w:noWrap w:val="0"/>
            <w:vAlign w:val="center"/>
          </w:tcPr>
          <w:p w14:paraId="586524D4">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w:t>
            </w:r>
            <w:r>
              <w:rPr>
                <w:rFonts w:hint="eastAsia" w:eastAsia="宋体" w:cs="Times New Roman"/>
                <w:i w:val="0"/>
                <w:color w:val="000000"/>
                <w:kern w:val="0"/>
                <w:sz w:val="18"/>
                <w:szCs w:val="18"/>
                <w:u w:val="none"/>
                <w:lang w:val="en-US" w:eastAsia="zh-CN" w:bidi="ar"/>
              </w:rPr>
              <w:t>3</w:t>
            </w:r>
            <w:r>
              <w:rPr>
                <w:rFonts w:hint="default" w:ascii="Times New Roman" w:hAnsi="Times New Roman" w:eastAsia="宋体" w:cs="Times New Roman"/>
                <w:i w:val="0"/>
                <w:color w:val="000000"/>
                <w:kern w:val="0"/>
                <w:sz w:val="18"/>
                <w:szCs w:val="18"/>
                <w:u w:val="none"/>
                <w:lang w:val="en-US" w:eastAsia="zh-CN" w:bidi="ar"/>
              </w:rPr>
              <w:t>年，县委统战部深入学习贯彻党的二十大精神，坚持以习近平新时代中国特色社会主义思想为指导，认真落实县党委、县政府重大决策部署，自觉服从和服务全县经济社会发展大局，积极应对挑战，落实积极财政政策，充分发挥职能作用，顺利完成了年度各项工作任务。</w:t>
            </w:r>
          </w:p>
        </w:tc>
      </w:tr>
      <w:tr w14:paraId="5849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6BDCD6C">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4273429F">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03FD07CE">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30CD3790">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23C3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3"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15DD8">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4B5F4752">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统一战线工作</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4906E815">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维护民族团结</w:t>
            </w:r>
            <w:r>
              <w:rPr>
                <w:rFonts w:hint="eastAsia" w:ascii="Times New Roman" w:hAnsi="Times New Roman" w:cs="Times New Roman"/>
                <w:i w:val="0"/>
                <w:color w:val="000000"/>
                <w:kern w:val="0"/>
                <w:sz w:val="16"/>
                <w:szCs w:val="16"/>
                <w:u w:val="none"/>
                <w:lang w:val="en-US" w:eastAsia="zh-CN" w:bidi="ar"/>
              </w:rPr>
              <w:t>，</w:t>
            </w:r>
            <w:r>
              <w:rPr>
                <w:rFonts w:hint="default" w:ascii="Times New Roman" w:hAnsi="Times New Roman" w:eastAsia="宋体" w:cs="Times New Roman"/>
                <w:i w:val="0"/>
                <w:color w:val="000000"/>
                <w:kern w:val="0"/>
                <w:sz w:val="16"/>
                <w:szCs w:val="16"/>
                <w:u w:val="none"/>
                <w:lang w:val="en-US" w:eastAsia="zh-CN" w:bidi="ar"/>
              </w:rPr>
              <w:t>促进我县地区经济社会发展</w:t>
            </w:r>
            <w:r>
              <w:rPr>
                <w:rFonts w:hint="eastAsia" w:ascii="Times New Roman" w:hAnsi="Times New Roman" w:cs="Times New Roman"/>
                <w:i w:val="0"/>
                <w:color w:val="000000"/>
                <w:kern w:val="0"/>
                <w:sz w:val="16"/>
                <w:szCs w:val="16"/>
                <w:u w:val="none"/>
                <w:lang w:val="en-US" w:eastAsia="zh-CN" w:bidi="ar"/>
              </w:rPr>
              <w:t>，</w:t>
            </w:r>
            <w:r>
              <w:rPr>
                <w:rFonts w:hint="default" w:ascii="Times New Roman" w:hAnsi="Times New Roman" w:eastAsia="宋体" w:cs="Times New Roman"/>
                <w:i w:val="0"/>
                <w:color w:val="000000"/>
                <w:kern w:val="0"/>
                <w:sz w:val="16"/>
                <w:szCs w:val="16"/>
                <w:u w:val="none"/>
                <w:lang w:val="en-US" w:eastAsia="zh-CN" w:bidi="ar"/>
              </w:rPr>
              <w:t>广泛持久地开展民族团结稳定工作、增进共识，加强团结</w:t>
            </w:r>
            <w:r>
              <w:rPr>
                <w:rFonts w:hint="eastAsia" w:ascii="Times New Roman" w:hAnsi="Times New Roman" w:eastAsia="宋体" w:cs="Times New Roman"/>
                <w:i w:val="0"/>
                <w:color w:val="000000"/>
                <w:kern w:val="0"/>
                <w:sz w:val="16"/>
                <w:szCs w:val="16"/>
                <w:u w:val="none"/>
                <w:lang w:val="en-US" w:eastAsia="zh-CN" w:bidi="ar"/>
              </w:rPr>
              <w:t>。</w:t>
            </w:r>
          </w:p>
        </w:tc>
      </w:tr>
      <w:tr w14:paraId="2263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1A016">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75C98936">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民族宗教工作</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00AFD595">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贯彻落实党和国家民族政策。</w:t>
            </w:r>
          </w:p>
        </w:tc>
      </w:tr>
      <w:tr w14:paraId="2980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28AC6">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21F94207">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藏传佛教工作</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4CBBDAE0">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贯彻落实党和国家民族政策。</w:t>
            </w:r>
          </w:p>
        </w:tc>
      </w:tr>
      <w:tr w14:paraId="4280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975E7">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2DB9E65E">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爱国主义教育工作</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4B85B961">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结合我县实际，</w:t>
            </w:r>
            <w:r>
              <w:rPr>
                <w:rFonts w:hint="eastAsia" w:ascii="Times New Roman" w:hAnsi="Times New Roman" w:cs="Times New Roman"/>
                <w:i w:val="0"/>
                <w:color w:val="000000"/>
                <w:kern w:val="0"/>
                <w:sz w:val="16"/>
                <w:szCs w:val="16"/>
                <w:u w:val="none"/>
                <w:lang w:val="en-US" w:eastAsia="zh-CN" w:bidi="ar"/>
              </w:rPr>
              <w:t>强化爱国主义教育</w:t>
            </w:r>
            <w:r>
              <w:rPr>
                <w:rFonts w:hint="default" w:ascii="Times New Roman" w:hAnsi="Times New Roman" w:eastAsia="宋体" w:cs="Times New Roman"/>
                <w:i w:val="0"/>
                <w:color w:val="000000"/>
                <w:kern w:val="0"/>
                <w:sz w:val="16"/>
                <w:szCs w:val="16"/>
                <w:u w:val="none"/>
                <w:lang w:val="en-US" w:eastAsia="zh-CN" w:bidi="ar"/>
              </w:rPr>
              <w:t>。</w:t>
            </w:r>
          </w:p>
        </w:tc>
      </w:tr>
      <w:tr w14:paraId="404B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9" w:hRule="atLeast"/>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9AE4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14:paraId="5E80FEAC">
            <w:pPr>
              <w:keepNext w:val="0"/>
              <w:keepLines w:val="0"/>
              <w:pageBreakBefore w:val="0"/>
              <w:widowControl/>
              <w:suppressLineNumbers w:val="0"/>
              <w:kinsoku/>
              <w:wordWrap/>
              <w:overflowPunct/>
              <w:topLinePunct w:val="0"/>
              <w:autoSpaceDE/>
              <w:autoSpaceDN/>
              <w:bidi w:val="0"/>
              <w:adjustRightInd/>
              <w:snapToGrid w:val="0"/>
              <w:spacing w:line="216" w:lineRule="auto"/>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非公经济工作</w:t>
            </w:r>
          </w:p>
        </w:tc>
        <w:tc>
          <w:tcPr>
            <w:tcW w:w="6940" w:type="dxa"/>
            <w:gridSpan w:val="6"/>
            <w:tcBorders>
              <w:top w:val="single" w:color="000000" w:sz="4" w:space="0"/>
              <w:left w:val="single" w:color="000000" w:sz="4" w:space="0"/>
              <w:bottom w:val="single" w:color="000000" w:sz="4" w:space="0"/>
              <w:right w:val="single" w:color="000000" w:sz="4" w:space="0"/>
            </w:tcBorders>
            <w:noWrap w:val="0"/>
            <w:vAlign w:val="center"/>
          </w:tcPr>
          <w:p w14:paraId="7D03A50F">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协助有关部门做好非公有制经济组织建设；团结、帮助、教育、引导非公有制经济代表人士，积极开展工作，为促进我县非公有制经济的发展提供服务。</w:t>
            </w:r>
          </w:p>
        </w:tc>
      </w:tr>
      <w:tr w14:paraId="6C16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restart"/>
            <w:tcBorders>
              <w:top w:val="single" w:color="000000" w:sz="4" w:space="0"/>
              <w:left w:val="single" w:color="000000" w:sz="4" w:space="0"/>
              <w:right w:val="single" w:color="000000" w:sz="4" w:space="0"/>
            </w:tcBorders>
            <w:noWrap w:val="0"/>
            <w:vAlign w:val="center"/>
          </w:tcPr>
          <w:p w14:paraId="28D078EC">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6041DE70">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09A8717">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2190E20">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3ED7E721">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28F6F4B">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03E27798">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E8BF1E7">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A7A697E">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585" w:type="dxa"/>
            <w:tcBorders>
              <w:top w:val="single" w:color="000000" w:sz="4" w:space="0"/>
              <w:left w:val="single" w:color="000000" w:sz="4" w:space="0"/>
              <w:bottom w:val="single" w:color="000000" w:sz="4" w:space="0"/>
            </w:tcBorders>
            <w:noWrap w:val="0"/>
            <w:vAlign w:val="center"/>
          </w:tcPr>
          <w:p w14:paraId="4C8215F1">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7780DF6">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3DDA3934">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1024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09" w:type="dxa"/>
            <w:vMerge w:val="continue"/>
            <w:tcBorders>
              <w:left w:val="single" w:color="000000" w:sz="4" w:space="0"/>
              <w:right w:val="single" w:color="000000" w:sz="4" w:space="0"/>
            </w:tcBorders>
            <w:noWrap w:val="0"/>
            <w:vAlign w:val="center"/>
          </w:tcPr>
          <w:p w14:paraId="0112FA1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9E8942">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7C1B41E">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质量指标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1119E12B">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cs="Times New Roman"/>
                <w:i w:val="0"/>
                <w:color w:val="000000"/>
                <w:kern w:val="0"/>
                <w:sz w:val="16"/>
                <w:szCs w:val="16"/>
                <w:u w:val="none"/>
                <w:lang w:val="en-US" w:eastAsia="zh-CN" w:bidi="ar"/>
              </w:rPr>
              <w:t>高</w:t>
            </w:r>
            <w:r>
              <w:rPr>
                <w:rFonts w:hint="default" w:ascii="Times New Roman" w:hAnsi="Times New Roman" w:eastAsia="宋体" w:cs="Times New Roman"/>
                <w:i w:val="0"/>
                <w:color w:val="000000"/>
                <w:kern w:val="0"/>
                <w:sz w:val="16"/>
                <w:szCs w:val="16"/>
                <w:u w:val="none"/>
                <w:lang w:val="en-US" w:eastAsia="zh-CN" w:bidi="ar"/>
              </w:rPr>
              <w:t>质量完成工作</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7D719DF">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定性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D357FEC">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保质量</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A97575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9770B5B">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20</w:t>
            </w:r>
            <w:r>
              <w:rPr>
                <w:rFonts w:hint="eastAsia" w:eastAsia="宋体" w:cs="Times New Roman"/>
                <w:i w:val="0"/>
                <w:color w:val="000000"/>
                <w:kern w:val="0"/>
                <w:sz w:val="16"/>
                <w:szCs w:val="16"/>
                <w:u w:val="none"/>
                <w:lang w:val="en-US" w:eastAsia="zh-CN" w:bidi="ar"/>
              </w:rPr>
              <w:t>%</w:t>
            </w:r>
          </w:p>
        </w:tc>
        <w:tc>
          <w:tcPr>
            <w:tcW w:w="1001" w:type="dxa"/>
            <w:tcBorders>
              <w:left w:val="single" w:color="000000" w:sz="4" w:space="0"/>
              <w:bottom w:val="single" w:color="000000" w:sz="4" w:space="0"/>
              <w:right w:val="single" w:color="000000" w:sz="4" w:space="0"/>
            </w:tcBorders>
            <w:noWrap w:val="0"/>
            <w:vAlign w:val="center"/>
          </w:tcPr>
          <w:p w14:paraId="24FD1EF7">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已完成</w:t>
            </w:r>
          </w:p>
        </w:tc>
      </w:tr>
      <w:tr w14:paraId="7DE4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left w:val="single" w:color="000000" w:sz="4" w:space="0"/>
              <w:right w:val="single" w:color="000000" w:sz="4" w:space="0"/>
            </w:tcBorders>
            <w:noWrap w:val="0"/>
            <w:vAlign w:val="center"/>
          </w:tcPr>
          <w:p w14:paraId="089ADCB5">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06B5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8F4627E">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数量指标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736A3531">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完成全县</w:t>
            </w:r>
            <w:r>
              <w:rPr>
                <w:rFonts w:hint="eastAsia" w:ascii="Times New Roman" w:hAnsi="Times New Roman" w:cs="Times New Roman"/>
                <w:i w:val="0"/>
                <w:color w:val="000000"/>
                <w:kern w:val="0"/>
                <w:sz w:val="16"/>
                <w:szCs w:val="16"/>
                <w:u w:val="none"/>
                <w:lang w:val="en-US" w:eastAsia="zh-CN" w:bidi="ar"/>
              </w:rPr>
              <w:t>各点位</w:t>
            </w:r>
            <w:r>
              <w:rPr>
                <w:rFonts w:hint="default" w:ascii="Times New Roman" w:hAnsi="Times New Roman" w:eastAsia="宋体" w:cs="Times New Roman"/>
                <w:i w:val="0"/>
                <w:color w:val="000000"/>
                <w:kern w:val="0"/>
                <w:sz w:val="16"/>
                <w:szCs w:val="16"/>
                <w:u w:val="none"/>
                <w:lang w:val="en-US" w:eastAsia="zh-CN" w:bidi="ar"/>
              </w:rPr>
              <w:t>一战线工作</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4BE7082">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CB0D4B3">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cs="Times New Roman"/>
                <w:i w:val="0"/>
                <w:color w:val="000000"/>
                <w:kern w:val="0"/>
                <w:sz w:val="16"/>
                <w:szCs w:val="16"/>
                <w:u w:val="none"/>
                <w:lang w:val="en-US" w:eastAsia="zh-CN" w:bidi="ar"/>
              </w:rPr>
              <w:t>涉密</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52E4E2D">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座</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3930F1A">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eastAsia="宋体" w:cs="Times New Roman"/>
                <w:i w:val="0"/>
                <w:color w:val="000000"/>
                <w:kern w:val="0"/>
                <w:sz w:val="16"/>
                <w:szCs w:val="16"/>
                <w:u w:val="none"/>
                <w:lang w:val="en-US" w:eastAsia="zh-CN" w:bidi="ar"/>
              </w:rPr>
              <w:t>10</w:t>
            </w:r>
            <w:r>
              <w:rPr>
                <w:rFonts w:hint="eastAsia" w:eastAsia="宋体" w:cs="Times New Roman"/>
                <w:i w:val="0"/>
                <w:color w:val="000000"/>
                <w:kern w:val="0"/>
                <w:sz w:val="16"/>
                <w:szCs w:val="16"/>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D8C31F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cs="Times New Roman"/>
                <w:i w:val="0"/>
                <w:color w:val="000000"/>
                <w:kern w:val="0"/>
                <w:sz w:val="16"/>
                <w:szCs w:val="16"/>
                <w:u w:val="none"/>
                <w:lang w:val="en-US" w:eastAsia="zh-CN" w:bidi="ar"/>
              </w:rPr>
              <w:t>涉密</w:t>
            </w:r>
          </w:p>
        </w:tc>
      </w:tr>
      <w:tr w14:paraId="4A0A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left w:val="single" w:color="000000" w:sz="4" w:space="0"/>
              <w:right w:val="single" w:color="000000" w:sz="4" w:space="0"/>
            </w:tcBorders>
            <w:noWrap w:val="0"/>
            <w:vAlign w:val="center"/>
          </w:tcPr>
          <w:p w14:paraId="1FDEFAE5">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19F2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19CF8DB">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时效指标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6F64B091">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按年初计划在2023年度内完成统战的相关工作</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2E2C7F1">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定性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5A9D467">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及时</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79B69D2">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2103340D">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eastAsia="宋体" w:cs="Times New Roman"/>
                <w:i w:val="0"/>
                <w:color w:val="000000"/>
                <w:kern w:val="0"/>
                <w:sz w:val="16"/>
                <w:szCs w:val="16"/>
                <w:u w:val="none"/>
                <w:lang w:val="en-US" w:eastAsia="zh-CN" w:bidi="ar"/>
              </w:rPr>
              <w:t>10</w:t>
            </w:r>
            <w:r>
              <w:rPr>
                <w:rFonts w:hint="eastAsia" w:eastAsia="宋体" w:cs="Times New Roman"/>
                <w:i w:val="0"/>
                <w:color w:val="000000"/>
                <w:kern w:val="0"/>
                <w:sz w:val="16"/>
                <w:szCs w:val="16"/>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B8C062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已完成</w:t>
            </w:r>
          </w:p>
        </w:tc>
      </w:tr>
      <w:tr w14:paraId="307D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309" w:type="dxa"/>
            <w:vMerge w:val="continue"/>
            <w:tcBorders>
              <w:left w:val="single" w:color="000000" w:sz="4" w:space="0"/>
              <w:right w:val="single" w:color="000000" w:sz="4" w:space="0"/>
            </w:tcBorders>
            <w:noWrap w:val="0"/>
            <w:vAlign w:val="center"/>
          </w:tcPr>
          <w:p w14:paraId="60DB8E62">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3204D6">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061" w:type="dxa"/>
            <w:tcBorders>
              <w:top w:val="single" w:color="000000" w:sz="4" w:space="0"/>
              <w:left w:val="single" w:color="000000" w:sz="4" w:space="0"/>
              <w:right w:val="single" w:color="000000" w:sz="4" w:space="0"/>
            </w:tcBorders>
            <w:noWrap w:val="0"/>
            <w:vAlign w:val="center"/>
          </w:tcPr>
          <w:p w14:paraId="64CCF27E">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社会效益指标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62C333E8">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群众统战意识进一步提升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88A2DC2">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定性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B1EC2AA">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EDC3AE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08B74AC">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eastAsia="宋体" w:cs="Times New Roman"/>
                <w:i w:val="0"/>
                <w:color w:val="000000"/>
                <w:kern w:val="0"/>
                <w:sz w:val="16"/>
                <w:szCs w:val="16"/>
                <w:u w:val="none"/>
                <w:lang w:val="en-US" w:eastAsia="zh-CN" w:bidi="ar"/>
              </w:rPr>
              <w:t>10</w:t>
            </w:r>
            <w:r>
              <w:rPr>
                <w:rFonts w:hint="eastAsia" w:eastAsia="宋体" w:cs="Times New Roman"/>
                <w:i w:val="0"/>
                <w:color w:val="000000"/>
                <w:kern w:val="0"/>
                <w:sz w:val="16"/>
                <w:szCs w:val="16"/>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1FEBB1B">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已完成</w:t>
            </w:r>
          </w:p>
        </w:tc>
      </w:tr>
      <w:tr w14:paraId="53F17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left w:val="single" w:color="000000" w:sz="4" w:space="0"/>
              <w:right w:val="single" w:color="000000" w:sz="4" w:space="0"/>
            </w:tcBorders>
            <w:noWrap w:val="0"/>
            <w:vAlign w:val="center"/>
          </w:tcPr>
          <w:p w14:paraId="18061E5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655AD">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061" w:type="dxa"/>
            <w:tcBorders>
              <w:top w:val="single" w:color="000000" w:sz="4" w:space="0"/>
              <w:left w:val="single" w:color="000000" w:sz="4" w:space="0"/>
              <w:right w:val="single" w:color="000000" w:sz="4" w:space="0"/>
            </w:tcBorders>
            <w:noWrap w:val="0"/>
            <w:vAlign w:val="center"/>
          </w:tcPr>
          <w:p w14:paraId="1B0D9535">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可持续影响指标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76E55070">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长效提高民族工作效率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961068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定性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BB41789">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长效</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D6B2C40">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4C1EA36">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eastAsia="宋体" w:cs="Times New Roman"/>
                <w:i w:val="0"/>
                <w:color w:val="000000"/>
                <w:kern w:val="0"/>
                <w:sz w:val="16"/>
                <w:szCs w:val="16"/>
                <w:u w:val="none"/>
                <w:lang w:val="en-US" w:eastAsia="zh-CN" w:bidi="ar"/>
              </w:rPr>
              <w:t>10</w:t>
            </w:r>
            <w:r>
              <w:rPr>
                <w:rFonts w:hint="eastAsia" w:eastAsia="宋体" w:cs="Times New Roman"/>
                <w:i w:val="0"/>
                <w:color w:val="000000"/>
                <w:kern w:val="0"/>
                <w:sz w:val="16"/>
                <w:szCs w:val="16"/>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59DFD83">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长效</w:t>
            </w:r>
          </w:p>
        </w:tc>
      </w:tr>
      <w:tr w14:paraId="2B58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309" w:type="dxa"/>
            <w:vMerge w:val="continue"/>
            <w:tcBorders>
              <w:left w:val="single" w:color="000000" w:sz="4" w:space="0"/>
              <w:right w:val="single" w:color="000000" w:sz="4" w:space="0"/>
            </w:tcBorders>
            <w:noWrap w:val="0"/>
            <w:vAlign w:val="center"/>
          </w:tcPr>
          <w:p w14:paraId="3A3E898A">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A599D">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0B03AB6">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可持续发展指标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0905E771">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长效推进统战工作</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6AF42F3">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定性</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2FA9BFC">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长效</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2CD61A2">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155E7F8">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ascii="Times New Roman" w:hAnsi="Times New Roman" w:eastAsia="宋体" w:cs="Times New Roman"/>
                <w:i w:val="0"/>
                <w:color w:val="000000"/>
                <w:kern w:val="0"/>
                <w:sz w:val="16"/>
                <w:szCs w:val="16"/>
                <w:u w:val="none"/>
                <w:lang w:val="en-US" w:eastAsia="zh-CN" w:bidi="ar"/>
              </w:rPr>
              <w:t>10</w:t>
            </w:r>
            <w:r>
              <w:rPr>
                <w:rFonts w:hint="eastAsia" w:eastAsia="宋体" w:cs="Times New Roman"/>
                <w:i w:val="0"/>
                <w:color w:val="000000"/>
                <w:kern w:val="0"/>
                <w:sz w:val="16"/>
                <w:szCs w:val="16"/>
                <w:u w:val="none"/>
                <w:lang w:val="en-US" w:eastAsia="zh-CN" w:bidi="ar"/>
              </w:rPr>
              <w:t>%</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E45D41F">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长效</w:t>
            </w:r>
          </w:p>
        </w:tc>
      </w:tr>
      <w:tr w14:paraId="26C7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309" w:type="dxa"/>
            <w:vMerge w:val="continue"/>
            <w:tcBorders>
              <w:left w:val="single" w:color="000000" w:sz="4" w:space="0"/>
              <w:right w:val="single" w:color="000000" w:sz="4" w:space="0"/>
            </w:tcBorders>
            <w:noWrap w:val="0"/>
            <w:vAlign w:val="center"/>
          </w:tcPr>
          <w:p w14:paraId="1EB10301">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8908F33">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8AB5D15">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满意度指标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2C2A19B8">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社会公众对统一战线工作的满意度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EF21AE7">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31BC1C3">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AD7D6E1">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961FA8C">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AE7AA54">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100%</w:t>
            </w:r>
          </w:p>
        </w:tc>
      </w:tr>
      <w:tr w14:paraId="328A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1309" w:type="dxa"/>
            <w:vMerge w:val="continue"/>
            <w:tcBorders>
              <w:left w:val="single" w:color="000000" w:sz="4" w:space="0"/>
              <w:bottom w:val="single" w:color="000000" w:sz="4" w:space="0"/>
              <w:right w:val="single" w:color="000000" w:sz="4" w:space="0"/>
            </w:tcBorders>
            <w:noWrap w:val="0"/>
            <w:vAlign w:val="center"/>
          </w:tcPr>
          <w:p w14:paraId="7E426339">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44EA7E7">
            <w:pPr>
              <w:keepNext w:val="0"/>
              <w:keepLines w:val="0"/>
              <w:pageBreakBefore w:val="0"/>
              <w:widowControl/>
              <w:suppressLineNumbers w:val="0"/>
              <w:kinsoku/>
              <w:wordWrap/>
              <w:overflowPunct/>
              <w:topLinePunct w:val="0"/>
              <w:autoSpaceDE/>
              <w:autoSpaceDN/>
              <w:bidi w:val="0"/>
              <w:adjustRightInd/>
              <w:snapToGrid w:val="0"/>
              <w:spacing w:line="216" w:lineRule="auto"/>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27BA925">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经济成本指标</w:t>
            </w:r>
          </w:p>
        </w:tc>
        <w:tc>
          <w:tcPr>
            <w:tcW w:w="2622" w:type="dxa"/>
            <w:tcBorders>
              <w:top w:val="single" w:color="000000" w:sz="4" w:space="0"/>
              <w:left w:val="single" w:color="000000" w:sz="4" w:space="0"/>
              <w:bottom w:val="single" w:color="000000" w:sz="4" w:space="0"/>
              <w:right w:val="single" w:color="000000" w:sz="4" w:space="0"/>
            </w:tcBorders>
            <w:noWrap w:val="0"/>
            <w:vAlign w:val="center"/>
          </w:tcPr>
          <w:p w14:paraId="5C56A2D8">
            <w:pPr>
              <w:keepNext w:val="0"/>
              <w:keepLines w:val="0"/>
              <w:pageBreakBefore w:val="0"/>
              <w:widowControl/>
              <w:kinsoku/>
              <w:wordWrap/>
              <w:overflowPunct/>
              <w:topLinePunct w:val="0"/>
              <w:autoSpaceDE/>
              <w:autoSpaceDN/>
              <w:bidi w:val="0"/>
              <w:adjustRightInd/>
              <w:snapToGrid w:val="0"/>
              <w:spacing w:line="216" w:lineRule="auto"/>
              <w:jc w:val="left"/>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经济成本控制率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9C26CAB">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FB0D076">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100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3D3981F">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default" w:ascii="Times New Roman" w:hAnsi="Times New Roman" w:eastAsia="宋体" w:cs="Times New Roman"/>
                <w:i w:val="0"/>
                <w:color w:val="000000"/>
                <w:kern w:val="0"/>
                <w:sz w:val="16"/>
                <w:szCs w:val="16"/>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AF59583">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1759BB5">
            <w:pPr>
              <w:keepNext w:val="0"/>
              <w:keepLines w:val="0"/>
              <w:pageBreakBefore w:val="0"/>
              <w:widowControl/>
              <w:kinsoku/>
              <w:wordWrap/>
              <w:overflowPunct/>
              <w:topLinePunct w:val="0"/>
              <w:autoSpaceDE/>
              <w:autoSpaceDN/>
              <w:bidi w:val="0"/>
              <w:adjustRightInd/>
              <w:snapToGrid w:val="0"/>
              <w:spacing w:line="216" w:lineRule="auto"/>
              <w:jc w:val="center"/>
              <w:outlineLvl w:val="9"/>
              <w:rPr>
                <w:rFonts w:hint="default" w:ascii="Times New Roman" w:hAnsi="Times New Roman" w:eastAsia="宋体" w:cs="Times New Roman"/>
                <w:i w:val="0"/>
                <w:color w:val="000000"/>
                <w:kern w:val="0"/>
                <w:sz w:val="16"/>
                <w:szCs w:val="16"/>
                <w:u w:val="none"/>
                <w:lang w:val="en-US" w:eastAsia="zh-CN" w:bidi="ar"/>
              </w:rPr>
            </w:pPr>
            <w:r>
              <w:rPr>
                <w:rFonts w:hint="eastAsia" w:eastAsia="宋体" w:cs="Times New Roman"/>
                <w:i w:val="0"/>
                <w:color w:val="000000"/>
                <w:kern w:val="0"/>
                <w:sz w:val="16"/>
                <w:szCs w:val="16"/>
                <w:u w:val="none"/>
                <w:lang w:val="en-US" w:eastAsia="zh-CN" w:bidi="ar"/>
              </w:rPr>
              <w:t>100%</w:t>
            </w:r>
          </w:p>
        </w:tc>
      </w:tr>
    </w:tbl>
    <w:p w14:paraId="0FE19044">
      <w:pPr>
        <w:pStyle w:val="12"/>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sz w:val="32"/>
          <w:szCs w:val="32"/>
          <w:highlight w:val="yellow"/>
          <w:lang w:val="zh-CN" w:eastAsia="zh-CN"/>
        </w:rPr>
      </w:pPr>
    </w:p>
    <w:p w14:paraId="013ADCE6">
      <w:pPr>
        <w:pStyle w:val="5"/>
        <w:rPr>
          <w:rFonts w:hint="eastAsia" w:hAnsi="宋体" w:cs="宋体"/>
          <w:color w:val="FF0000"/>
          <w:kern w:val="0"/>
          <w:sz w:val="32"/>
          <w:szCs w:val="32"/>
          <w:highlight w:val="yellow"/>
          <w:shd w:val="clear" w:color="auto" w:fill="FFFFFF"/>
          <w:lang w:val="zh-CN"/>
        </w:rPr>
      </w:pPr>
    </w:p>
    <w:p w14:paraId="0CBF9006">
      <w:pPr>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br w:type="page"/>
      </w:r>
    </w:p>
    <w:p w14:paraId="2DDA4751">
      <w:pPr>
        <w:pStyle w:val="5"/>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1B3FAA18">
      <w:pPr>
        <w:pStyle w:val="2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中共松潘县委统战部</w:t>
      </w:r>
    </w:p>
    <w:p w14:paraId="040901D2">
      <w:pPr>
        <w:pStyle w:val="2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44"/>
          <w:szCs w:val="44"/>
          <w:highlight w:val="none"/>
          <w:lang w:val="en-US" w:eastAsia="zh-CN"/>
        </w:rPr>
      </w:pPr>
      <w:r>
        <w:rPr>
          <w:rFonts w:hint="eastAsia" w:ascii="微软雅黑" w:hAnsi="微软雅黑" w:eastAsia="微软雅黑" w:cs="微软雅黑"/>
          <w:color w:val="auto"/>
          <w:kern w:val="2"/>
          <w:sz w:val="44"/>
          <w:szCs w:val="44"/>
          <w:highlight w:val="none"/>
          <w:lang w:val="en-US" w:eastAsia="zh-CN"/>
        </w:rPr>
        <w:t>专项预算项目绩效评价报告</w:t>
      </w:r>
    </w:p>
    <w:p w14:paraId="1523A742">
      <w:pPr>
        <w:pStyle w:val="2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微软雅黑" w:hAnsi="微软雅黑" w:eastAsia="微软雅黑" w:cs="微软雅黑"/>
          <w:color w:val="auto"/>
          <w:kern w:val="2"/>
          <w:sz w:val="36"/>
          <w:szCs w:val="36"/>
          <w:highlight w:val="none"/>
          <w:lang w:val="en-US" w:eastAsia="zh-CN"/>
        </w:rPr>
      </w:pPr>
      <w:r>
        <w:rPr>
          <w:rFonts w:hint="eastAsia" w:ascii="楷体_GB2312" w:hAnsi="楷体_GB2312" w:eastAsia="楷体_GB2312" w:cs="楷体_GB2312"/>
          <w:color w:val="auto"/>
          <w:kern w:val="2"/>
          <w:sz w:val="24"/>
          <w:szCs w:val="24"/>
          <w:highlight w:val="none"/>
          <w:lang w:val="en-US" w:eastAsia="zh-CN"/>
        </w:rPr>
        <w:t>（2023年服务全州经济高质量发展工作现场会点位提升改造补助资金）</w:t>
      </w:r>
    </w:p>
    <w:p w14:paraId="069384F3">
      <w:pPr>
        <w:pStyle w:val="22"/>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445C262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highlight w:val="none"/>
          <w:lang w:val="zh-CN"/>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zh-CN"/>
        </w:rPr>
        <w:t>项目概况</w:t>
      </w:r>
    </w:p>
    <w:p w14:paraId="0B16E133">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b/>
          <w:color w:val="auto"/>
          <w:sz w:val="32"/>
          <w:szCs w:val="32"/>
          <w:highlight w:val="none"/>
          <w:u w:val="none"/>
          <w:lang w:val="zh-CN"/>
        </w:rPr>
        <w:t>（一）设立背景及基本情况。</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项目设立原因及背景，</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项目立项、资金申报的依据，项目主要内容</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主管部门职能。</w:t>
      </w:r>
    </w:p>
    <w:p w14:paraId="71458926">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sz w:val="32"/>
          <w:szCs w:val="32"/>
          <w:lang w:val="en-US" w:eastAsia="zh-CN"/>
        </w:rPr>
        <w:t>2023年6月召开</w:t>
      </w:r>
      <w:r>
        <w:rPr>
          <w:rFonts w:hint="eastAsia" w:ascii="仿宋_GB2312" w:hAnsi="仿宋_GB2312" w:eastAsia="仿宋_GB2312" w:cs="仿宋_GB2312"/>
          <w:sz w:val="32"/>
          <w:szCs w:val="32"/>
        </w:rPr>
        <w:t>全州统一战线以铸牢中华民族共同体意识为主线•服务全州经济高质量发展工作现场会</w:t>
      </w:r>
      <w:r>
        <w:rPr>
          <w:rFonts w:hint="eastAsia" w:ascii="仿宋_GB2312" w:hAnsi="仿宋_GB2312" w:eastAsia="仿宋_GB2312" w:cs="仿宋_GB2312"/>
          <w:sz w:val="32"/>
          <w:szCs w:val="32"/>
          <w:lang w:eastAsia="zh-CN"/>
        </w:rPr>
        <w:t>。松潘县相关</w:t>
      </w:r>
      <w:r>
        <w:rPr>
          <w:rFonts w:hint="eastAsia" w:ascii="仿宋_GB2312" w:hAnsi="仿宋_GB2312" w:eastAsia="仿宋_GB2312" w:cs="仿宋_GB2312"/>
          <w:sz w:val="32"/>
          <w:szCs w:val="32"/>
        </w:rPr>
        <w:t>点位共7个：松潘县麦吉村、松潘县“五十六间房”、松潘县牟尼后寺、松潘县青藏高原农畜产品加工集中区、松潘县清真北寺、松潘县红军长征纪念馆、松潘县岷江源国家湿地公园。</w:t>
      </w:r>
      <w:r>
        <w:rPr>
          <w:rFonts w:hint="eastAsia" w:ascii="仿宋_GB2312" w:hAnsi="仿宋_GB2312" w:eastAsia="仿宋_GB2312" w:cs="仿宋_GB2312"/>
          <w:sz w:val="32"/>
          <w:szCs w:val="32"/>
          <w:lang w:eastAsia="zh-CN"/>
        </w:rPr>
        <w:t>为更好迎接现场会召开，全面提升松潘县非公有制经济发展，展现我县良好精神文明风貌和民族团结进步工作的成效，特在现场会之前对</w:t>
      </w:r>
      <w:r>
        <w:rPr>
          <w:rFonts w:hint="eastAsia" w:ascii="仿宋_GB2312" w:hAnsi="仿宋_GB2312" w:eastAsia="仿宋_GB2312" w:cs="仿宋_GB2312"/>
          <w:sz w:val="32"/>
          <w:szCs w:val="32"/>
          <w:lang w:val="en-US" w:eastAsia="zh-CN"/>
        </w:rPr>
        <w:t>7个点位进行提升改造工作。</w:t>
      </w:r>
    </w:p>
    <w:p w14:paraId="7B30A8E1">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val="0"/>
          <w:bCs w:val="0"/>
          <w:sz w:val="32"/>
          <w:szCs w:val="32"/>
          <w:lang w:val="zh-CN" w:eastAsia="zh-CN"/>
        </w:rPr>
        <w:t>项目的主管部门为中共松潘县委统战部，主要职能为统一战线、非公有制经济、党外人士和民族宗教工作，在该项目中主要负责项目的自检管理监督、质量实施进度监督及后期验收工作。实施单位为项目所涉及的各乡镇。</w:t>
      </w:r>
    </w:p>
    <w:p w14:paraId="5FEB5CE7">
      <w:pPr>
        <w:keepNext w:val="0"/>
        <w:keepLines w:val="0"/>
        <w:pageBreakBefore w:val="0"/>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（二）</w:t>
      </w:r>
      <w:r>
        <w:rPr>
          <w:rFonts w:hint="eastAsia" w:ascii="仿宋_GB2312" w:hAnsi="仿宋_GB2312" w:eastAsia="仿宋_GB2312" w:cs="仿宋_GB2312"/>
          <w:b/>
          <w:color w:val="auto"/>
          <w:sz w:val="32"/>
          <w:szCs w:val="32"/>
          <w:highlight w:val="none"/>
          <w:u w:val="none"/>
          <w:lang w:val="en-US" w:eastAsia="zh-CN"/>
        </w:rPr>
        <w:t>实施目的及支持方向。</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项目资金</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管理办法制定情况，项目实施目的和主要工作任务，项目支持方向。</w:t>
      </w:r>
    </w:p>
    <w:p w14:paraId="65A721B2">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color w:val="auto"/>
          <w:sz w:val="32"/>
          <w:szCs w:val="32"/>
          <w:highlight w:val="none"/>
          <w:u w:val="none"/>
          <w:lang w:val="zh-CN" w:eastAsia="zh-CN"/>
        </w:rPr>
      </w:pPr>
      <w:r>
        <w:rPr>
          <w:rFonts w:hint="eastAsia" w:ascii="仿宋_GB2312" w:hAnsi="仿宋_GB2312" w:eastAsia="仿宋_GB2312" w:cs="仿宋_GB2312"/>
          <w:b w:val="0"/>
          <w:bCs w:val="0"/>
          <w:sz w:val="32"/>
          <w:szCs w:val="32"/>
          <w:lang w:val="zh-CN" w:eastAsia="zh-CN"/>
        </w:rPr>
        <w:t>依照《阿坝州委统战部关于全州统一战线以铸牢中华民族共同体意识为主线•服务全州经济高质量发展工作现场会方案的通知》（阿州统发﹝2023﹞）精神，紧紧围绕省委“四化同步、城乡融合、五区共兴”和州委“一州两区三家园”发展战略目标，坚定不移地贯彻创新、协调、绿色、开放、共享新发展理念，坚持“讲政治、抓发展、惠民生、保安全”的工作思路，深化拓展“一城两心三地”发展战略，全力推动产业松潘、文化松潘、生态松潘、平安松潘、幸福松潘建设。全县社会事业不断进步，经济内生动力不断激活，各族群众中华民族共同体意识不断铸牢。结合我县实际特制定相关方案。</w:t>
      </w:r>
    </w:p>
    <w:p w14:paraId="74C23BCA">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b/>
          <w:color w:val="auto"/>
          <w:sz w:val="32"/>
          <w:szCs w:val="32"/>
          <w:highlight w:val="none"/>
          <w:u w:val="none"/>
          <w:lang w:val="zh-CN" w:eastAsia="zh-CN"/>
        </w:rPr>
        <w:t>（三）</w:t>
      </w:r>
      <w:r>
        <w:rPr>
          <w:rFonts w:hint="eastAsia" w:ascii="仿宋_GB2312" w:hAnsi="仿宋_GB2312" w:eastAsia="仿宋_GB2312" w:cs="仿宋_GB2312"/>
          <w:b/>
          <w:color w:val="auto"/>
          <w:sz w:val="32"/>
          <w:szCs w:val="32"/>
          <w:highlight w:val="none"/>
          <w:u w:val="none"/>
          <w:lang w:val="en-US" w:eastAsia="zh-CN"/>
        </w:rPr>
        <w:t>预算安排及分配管理</w:t>
      </w:r>
      <w:r>
        <w:rPr>
          <w:rFonts w:hint="eastAsia" w:ascii="仿宋_GB2312" w:hAnsi="仿宋_GB2312" w:eastAsia="仿宋_GB2312" w:cs="仿宋_GB2312"/>
          <w:b/>
          <w:color w:val="auto"/>
          <w:sz w:val="32"/>
          <w:szCs w:val="32"/>
          <w:highlight w:val="none"/>
          <w:u w:val="none"/>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项目预算安排情况，项目</w:t>
      </w:r>
      <w:r>
        <w:rPr>
          <w:rFonts w:hint="eastAsia" w:ascii="仿宋_GB2312" w:hAnsi="仿宋_GB2312" w:eastAsia="仿宋_GB2312" w:cs="仿宋_GB2312"/>
          <w:color w:val="auto"/>
          <w:kern w:val="0"/>
          <w:sz w:val="32"/>
          <w:szCs w:val="32"/>
          <w:highlight w:val="none"/>
          <w:u w:val="none"/>
          <w:shd w:val="clear" w:color="auto" w:fill="FFFFFF"/>
          <w:lang w:val="zh-CN"/>
        </w:rPr>
        <w:t>资金分配原则及考虑因素，项目资金分配情况。</w:t>
      </w:r>
    </w:p>
    <w:p w14:paraId="1C61B40A">
      <w:pPr>
        <w:keepNext w:val="0"/>
        <w:keepLines w:val="0"/>
        <w:pageBreakBefore w:val="0"/>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val="0"/>
          <w:bCs w:val="0"/>
          <w:sz w:val="32"/>
          <w:szCs w:val="32"/>
          <w:lang w:val="zh-CN" w:eastAsia="zh-CN"/>
        </w:rPr>
        <w:t>点位一：麦吉村（民族团结进步与乡村振兴深度融合）</w:t>
      </w:r>
    </w:p>
    <w:p w14:paraId="32A12E86">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点位背景：麦吉村位于松潘县南部距离松潘县城63公里，共有2个村民小组，先后获得，州级“四好村”、州级“民族团结进步示范村”等荣誉称号，省级“乡村振兴重点帮扶优秀村”。</w:t>
      </w:r>
    </w:p>
    <w:p w14:paraId="45710C10">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提升内容：立足民族团结进步文化及优美自然山水，依托乡村振兴示范项目建设，持续推进麦吉村河道沿线景观化、村内走廊民族化、公共区域绿色化、居民房屋庭院化，切实改善人居环境，提高群众满意度和幸福感。麦吉驿站停车场划线、修建垃圾池1座、维修污水处理设施、麦吉驿站破损标识。</w:t>
      </w:r>
    </w:p>
    <w:p w14:paraId="62B0437D">
      <w:pPr>
        <w:keepNext w:val="0"/>
        <w:keepLines w:val="0"/>
        <w:pageBreakBefore w:val="0"/>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val="0"/>
          <w:bCs w:val="0"/>
          <w:sz w:val="32"/>
          <w:szCs w:val="32"/>
          <w:lang w:val="zh-CN" w:eastAsia="zh-CN"/>
        </w:rPr>
        <w:t>点位二：“五十六间房”民俗（调研民族团结和乡村振兴）</w:t>
      </w:r>
    </w:p>
    <w:p w14:paraId="4C956E3D">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点位背景：五十六间房酒店由四川吉能旅游开发有限公司打造，酒店位于松潘县城内AB地块商业中心地段，酒店以56个民族特色打造出56间风格迥异的风俗房型，也是松潘县创建民族团结进步示范县和积极探索铸牢中华民族共同体意识示范创建的文旅新产品，在酒店内打造各民族民俗风情元素外，将把各民族共同团结奋斗，共同繁荣发展的民族工作主题融入酒店管理和营销。</w:t>
      </w:r>
    </w:p>
    <w:p w14:paraId="6DBBAB3F">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提升内容：把中华民族一家亲、同心共筑中国梦的民族工作目标纳入酒店发展理念。使每一位宾客对酒店留下“宾至如归”的美好印象。</w:t>
      </w:r>
    </w:p>
    <w:p w14:paraId="2B97D673">
      <w:pPr>
        <w:keepNext w:val="0"/>
        <w:keepLines w:val="0"/>
        <w:pageBreakBefore w:val="0"/>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val="0"/>
          <w:bCs w:val="0"/>
          <w:sz w:val="32"/>
          <w:szCs w:val="32"/>
          <w:lang w:val="zh-CN" w:eastAsia="zh-CN"/>
        </w:rPr>
        <w:t>点位三：牟尼后寺“四化”建设和“四室”一体建设</w:t>
      </w:r>
    </w:p>
    <w:p w14:paraId="77802324">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点位背景：牟尼后寺积极践行社会主义核心价值观，积极参与生态环境保护，民族团结进步创建等工作，2021年度被授予省级文明和谐寺庙。</w:t>
      </w:r>
    </w:p>
    <w:p w14:paraId="3043C8DA">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提升内容：开展“四化整治”。着力改善生态环境和人居环境，不断加强内外兼修的净化、亮化、绿化、美化“四化”新时代寺庙标准化建设，坚持“生态优先”的发展共识，寺庙内建设垃圾处理池1座、增设爱国爱教爱家乡展板、“四室一体化”阵地建设制度上墙、增设书屋书架设施、更换损坏门窗。</w:t>
      </w:r>
    </w:p>
    <w:p w14:paraId="1963908B">
      <w:pPr>
        <w:keepNext w:val="0"/>
        <w:keepLines w:val="0"/>
        <w:pageBreakBefore w:val="0"/>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val="0"/>
          <w:bCs w:val="0"/>
          <w:sz w:val="32"/>
          <w:szCs w:val="32"/>
          <w:lang w:val="zh-CN" w:eastAsia="zh-CN"/>
        </w:rPr>
        <w:t>点位四：桐乡松潘共建电商产业园</w:t>
      </w:r>
    </w:p>
    <w:p w14:paraId="066E9784">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点位背景：桐乡松潘共建电商产业园，位于松潘县青云镇浙川产业园内，占地2000平米，可容纳20余家电商创业团队入驻、拥有40个高配置专用工位。2021年5月桐乡对口松潘以来，在两地党委、政府的关心下，桐乡市以电商服务赋能为抓手，以“互联网+产业”为导向，以渠道创新为加速器，输出农村电商“桐乡经验”，为松潘县产业经济蓄势赋能，成功帮助松潘电商工作在全州争先晋位。</w:t>
      </w:r>
    </w:p>
    <w:p w14:paraId="672112ED">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提升内容：增设展板4处。</w:t>
      </w:r>
    </w:p>
    <w:p w14:paraId="644FBF74">
      <w:pPr>
        <w:keepNext w:val="0"/>
        <w:keepLines w:val="0"/>
        <w:pageBreakBefore w:val="0"/>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val="0"/>
          <w:bCs w:val="0"/>
          <w:sz w:val="32"/>
          <w:szCs w:val="32"/>
          <w:lang w:val="zh-CN" w:eastAsia="zh-CN"/>
        </w:rPr>
        <w:t>点位五：松潘县进安镇清真北寺概况</w:t>
      </w:r>
    </w:p>
    <w:p w14:paraId="164CEFC8">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松潘县清真北寺坐落于松潘县城北，面临岷江，坐西向东，</w:t>
      </w:r>
    </w:p>
    <w:p w14:paraId="384B4AC0">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点位背景：该寺始建于清朝，建筑总面积达2000余平方米。</w:t>
      </w:r>
    </w:p>
    <w:p w14:paraId="1D68CD6B">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提升内容：以主题教育实践活动为载体，用中华优秀文化浸润教职人员思想，用社会主义核心价值观引领教育广大群众，积极参与生态环境保护、民族团结进步创建。制作钢架标语内容两处、增设展板4处。</w:t>
      </w:r>
    </w:p>
    <w:p w14:paraId="00F19CE0">
      <w:pPr>
        <w:keepNext w:val="0"/>
        <w:keepLines w:val="0"/>
        <w:pageBreakBefore w:val="0"/>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val="0"/>
          <w:bCs w:val="0"/>
          <w:sz w:val="32"/>
          <w:szCs w:val="32"/>
          <w:lang w:val="zh-CN" w:eastAsia="zh-CN"/>
        </w:rPr>
        <w:t>点位六：松潘县红军长征纪念馆</w:t>
      </w:r>
    </w:p>
    <w:p w14:paraId="7C8D756A">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点位背景：红军长征纪念碑碑园位于松潘县川主寺镇元宝山，是去世界自然遗产九寨沟、黄龙风景名胜区的必经之地。占地面积19.27万平方米，由主碑、大型花岗石群雕、陈列室三大部分组成。</w:t>
      </w:r>
    </w:p>
    <w:p w14:paraId="4A395098">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提升内容：规范完善服务标准，场外增设展板2处。</w:t>
      </w:r>
    </w:p>
    <w:p w14:paraId="620895DB">
      <w:pPr>
        <w:keepNext w:val="0"/>
        <w:keepLines w:val="0"/>
        <w:pageBreakBefore w:val="0"/>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val="0"/>
          <w:bCs w:val="0"/>
          <w:sz w:val="32"/>
          <w:szCs w:val="32"/>
          <w:lang w:val="zh-CN" w:eastAsia="zh-CN"/>
        </w:rPr>
        <w:t>点位七：岷江源湿地公园科普馆，民族团结进步创建与生态保护、全域旅游示范区建设深度融合</w:t>
      </w:r>
    </w:p>
    <w:p w14:paraId="284D4DA1">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点位背景：湿地公园位于松潘县川主寺镇境内，主要包括岷江源头河段及周边区域。湿地公园呈东西走向，南北以第一层山脊为界，该公园是民族团结进步创建与生态保护、全域旅游示范区建设深度融合，是民族地区与成都平原共饮一江水。</w:t>
      </w:r>
    </w:p>
    <w:p w14:paraId="0854CD7E">
      <w:pPr>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textAlignment w:val="auto"/>
        <w:rPr>
          <w:rFonts w:hint="eastAsia" w:ascii="仿宋_GB2312" w:hAnsi="仿宋_GB2312" w:eastAsia="仿宋_GB2312" w:cs="仿宋_GB2312"/>
          <w:b/>
          <w:color w:val="auto"/>
          <w:sz w:val="32"/>
          <w:szCs w:val="32"/>
          <w:highlight w:val="none"/>
          <w:u w:val="none"/>
          <w:lang w:val="zh-CN" w:eastAsia="zh-CN"/>
        </w:rPr>
      </w:pPr>
      <w:r>
        <w:rPr>
          <w:rFonts w:hint="eastAsia" w:ascii="仿宋_GB2312" w:hAnsi="仿宋_GB2312" w:eastAsia="仿宋_GB2312" w:cs="仿宋_GB2312"/>
          <w:b w:val="0"/>
          <w:bCs w:val="0"/>
          <w:sz w:val="32"/>
          <w:szCs w:val="32"/>
          <w:lang w:val="zh-CN" w:eastAsia="zh-CN"/>
        </w:rPr>
        <w:t>提升内容：1.设置生态植物箱，生态植物箱内种植花苗建议购买适合高原种植的牵牛花和孔雀草2种花草套种类；维修损坏设施、增加挂画增添民族团结进步氛围。</w:t>
      </w:r>
    </w:p>
    <w:p w14:paraId="3CC3ADF2">
      <w:pPr>
        <w:keepNext w:val="0"/>
        <w:keepLines w:val="0"/>
        <w:pageBreakBefore w:val="0"/>
        <w:kinsoku/>
        <w:wordWrap/>
        <w:overflowPunct/>
        <w:topLinePunct w:val="0"/>
        <w:autoSpaceDE/>
        <w:autoSpaceDN/>
        <w:bidi w:val="0"/>
        <w:adjustRightInd w:val="0"/>
        <w:snapToGrid w:val="0"/>
        <w:spacing w:line="576" w:lineRule="exact"/>
        <w:ind w:left="0" w:lef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仿宋_GB2312" w:cs="仿宋_GB2312"/>
          <w:b/>
          <w:color w:val="auto"/>
          <w:sz w:val="32"/>
          <w:szCs w:val="32"/>
          <w:highlight w:val="none"/>
          <w:u w:val="none"/>
          <w:lang w:val="zh-CN" w:eastAsia="zh-CN"/>
        </w:rPr>
        <w:t>（四）项目绩效目标设置。</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项目整体、区域和具体绩效目标设置情况，项目自评工作开展情况。</w:t>
      </w:r>
    </w:p>
    <w:p w14:paraId="2B967E7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成立了项目管理小组，对该项目进行全程监督管控，制定了项目实施方案，严格按照方案流程进行施工，确保项目安全顺利完成。项目完工后将大大改善建筑的服务性能，达到项目完成的可持续性。项目完成后，该项目小组将继续对项目完工后的反映以及工程影响等情况进行检查登记，做到监管到位并有可持续性。项目实施初期，制定了各类管理办法以及实施方案、应急预案，在项目完工后，各类制度也将继续发挥作用，按照管理办法进行后期管理，遇到突发事件也有应急预案，做到了制度在先，有据可依。本项目资金来源渠道符合相关文件政策的规定，资金筹措程序科学规范，财权和事权匹配，项目筹资风险可控。</w:t>
      </w:r>
    </w:p>
    <w:p w14:paraId="74357FF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评价实施</w:t>
      </w:r>
    </w:p>
    <w:p w14:paraId="3100BD50">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highlight w:val="none"/>
          <w:u w:val="none"/>
          <w:lang w:val="zh-CN"/>
        </w:rPr>
        <w:t>（一）评价目的。</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自评要实现的目的。</w:t>
      </w:r>
    </w:p>
    <w:p w14:paraId="34070CA6">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为认真学习宣传贯彻党的二十大精神，贯彻落实习近平总书记关于做好新时代党的统一战线工作的重要思想，要深刻认识到全县统战工作面临的形势和任务，坚持守正创新、务实开拓，凝聚人心、汇聚力量，推动全州统战工作高质量发展。全面展现我县统战工作成果，通过现场会契机大力推动民族团结进步、寺庙依法规范管理、民营经济。通过到红军长征纪念碑碑园开展党建活动，在镇坪乡麦吉村调研民族团结进步与乡村振兴深度融合、“五十六间房”民俗调研乡村振兴工作，牟尼后寺调研“四化”建设和“四室一体”建设、松潘县青藏高原农畜产品加工集中区调研桐乡松潘共建电商产业园、清真北寺调研宗教活动场所安全隐患整改和中国化示范场所建设、松潘县红军长征纪念馆开展统战系统（重温入党誓词、参观民族团结进步基地）、岷江源国家湿地公园调研岷江源湿地公园科普馆，民族团结进步创建与生态保护、全域 旅游示范区建设深度融合。</w:t>
      </w:r>
    </w:p>
    <w:p w14:paraId="0A7FD2B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auto"/>
          <w:sz w:val="32"/>
          <w:szCs w:val="32"/>
          <w:highlight w:val="none"/>
          <w:u w:val="none"/>
          <w:lang w:val="zh-CN"/>
        </w:rPr>
        <w:t>（二）预设问题及评价重点。</w:t>
      </w:r>
      <w:r>
        <w:rPr>
          <w:rFonts w:hint="eastAsia" w:ascii="仿宋_GB2312" w:hAnsi="仿宋_GB2312" w:eastAsia="仿宋_GB2312" w:cs="仿宋_GB2312"/>
          <w:sz w:val="32"/>
          <w:szCs w:val="32"/>
        </w:rPr>
        <w:t>按照绩效评价指标体系，对资金支出使用全过程及其实施效果进行综合评价和判断</w:t>
      </w:r>
      <w:r>
        <w:rPr>
          <w:rFonts w:hint="eastAsia" w:ascii="仿宋_GB2312" w:hAnsi="仿宋_GB2312" w:eastAsia="仿宋_GB2312" w:cs="仿宋_GB2312"/>
          <w:sz w:val="32"/>
          <w:szCs w:val="32"/>
          <w:lang w:eastAsia="zh-CN"/>
        </w:rPr>
        <w:t>。</w:t>
      </w:r>
    </w:p>
    <w:p w14:paraId="75B0B134">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绩效目标和绩效指标可量化可考核，契合政策，与部门的长期规划目标、年度工作目标相一致，产出和效果相关联，满意度指标达100%。现场会前项目已全面实施完成，验收合格。</w:t>
      </w:r>
    </w:p>
    <w:p w14:paraId="26D6089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color w:val="auto"/>
          <w:sz w:val="32"/>
          <w:szCs w:val="32"/>
          <w:highlight w:val="none"/>
          <w:u w:val="none"/>
          <w:lang w:val="zh-CN"/>
        </w:rPr>
        <w:t>（三）评价选点。</w:t>
      </w:r>
      <w:r>
        <w:rPr>
          <w:rFonts w:hint="eastAsia" w:ascii="仿宋_GB2312" w:hAnsi="仿宋_GB2312" w:eastAsia="仿宋_GB2312" w:cs="仿宋_GB2312"/>
          <w:sz w:val="32"/>
          <w:szCs w:val="32"/>
          <w:lang w:val="zh-CN" w:eastAsia="zh-CN"/>
        </w:rPr>
        <w:t>项目绩效自评所抽样点位情况。</w:t>
      </w:r>
    </w:p>
    <w:p w14:paraId="1E1AEF21">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松潘县麦吉村、松潘县“五十六间房”、松潘县牟尼后寺、松潘县青藏高原农畜产品加工集中区、松潘县清真北寺、松潘县红军长征纪念馆、松潘县岷江源国家湿地公园已实施完成。</w:t>
      </w:r>
    </w:p>
    <w:p w14:paraId="20A68EC7">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auto"/>
          <w:sz w:val="32"/>
          <w:szCs w:val="32"/>
          <w:highlight w:val="none"/>
          <w:u w:val="none"/>
          <w:lang w:val="zh-CN"/>
        </w:rPr>
        <w:t>（四）评价方法。</w:t>
      </w:r>
      <w:r>
        <w:rPr>
          <w:rFonts w:hint="eastAsia" w:ascii="仿宋_GB2312" w:hAnsi="仿宋_GB2312" w:eastAsia="仿宋_GB2312" w:cs="仿宋_GB2312"/>
          <w:sz w:val="32"/>
          <w:szCs w:val="32"/>
        </w:rPr>
        <w:t>根据项目情况和评价重点，</w:t>
      </w:r>
      <w:r>
        <w:rPr>
          <w:rFonts w:hint="eastAsia" w:ascii="仿宋_GB2312" w:hAnsi="仿宋_GB2312" w:eastAsia="仿宋_GB2312" w:cs="仿宋_GB2312"/>
          <w:sz w:val="32"/>
          <w:szCs w:val="32"/>
          <w:lang w:eastAsia="zh-CN"/>
        </w:rPr>
        <w:t>用于</w:t>
      </w:r>
      <w:r>
        <w:rPr>
          <w:rFonts w:hint="eastAsia" w:ascii="仿宋_GB2312" w:hAnsi="仿宋_GB2312" w:eastAsia="仿宋_GB2312" w:cs="仿宋_GB2312"/>
          <w:sz w:val="32"/>
          <w:szCs w:val="32"/>
        </w:rPr>
        <w:t>收集相关材料和开展具体评价</w:t>
      </w:r>
      <w:r>
        <w:rPr>
          <w:rFonts w:hint="eastAsia" w:ascii="仿宋_GB2312" w:hAnsi="仿宋_GB2312" w:eastAsia="仿宋_GB2312" w:cs="仿宋_GB2312"/>
          <w:sz w:val="32"/>
          <w:szCs w:val="32"/>
          <w:lang w:eastAsia="zh-CN"/>
        </w:rPr>
        <w:t>的方法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采用成本效益分析法、标杆管理法、案卷研究法、单位自评法、实地勘察法、问卷调查法、座谈调研法等多种方法</w:t>
      </w:r>
      <w:r>
        <w:rPr>
          <w:rFonts w:hint="eastAsia" w:ascii="仿宋_GB2312" w:hAnsi="仿宋_GB2312" w:eastAsia="仿宋_GB2312" w:cs="仿宋_GB2312"/>
          <w:sz w:val="32"/>
          <w:szCs w:val="32"/>
          <w:lang w:eastAsia="zh-CN"/>
        </w:rPr>
        <w:t>。</w:t>
      </w:r>
    </w:p>
    <w:p w14:paraId="7784537F">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评价方法为单位自评法。</w:t>
      </w:r>
    </w:p>
    <w:p w14:paraId="214AF7FD">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color w:val="auto"/>
          <w:sz w:val="32"/>
          <w:szCs w:val="32"/>
          <w:highlight w:val="none"/>
          <w:u w:val="none"/>
          <w:lang w:val="zh-CN"/>
        </w:rPr>
        <w:t>（五）评价组织。</w:t>
      </w:r>
      <w:r>
        <w:rPr>
          <w:rFonts w:hint="eastAsia" w:ascii="仿宋_GB2312" w:hAnsi="仿宋_GB2312" w:eastAsia="仿宋_GB2312" w:cs="仿宋_GB2312"/>
          <w:sz w:val="32"/>
          <w:szCs w:val="32"/>
        </w:rPr>
        <w:t>评价组人员构成</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职责分工</w:t>
      </w:r>
      <w:r>
        <w:rPr>
          <w:rFonts w:hint="eastAsia" w:ascii="仿宋_GB2312" w:hAnsi="仿宋_GB2312" w:eastAsia="仿宋_GB2312" w:cs="仿宋_GB2312"/>
          <w:sz w:val="32"/>
          <w:szCs w:val="32"/>
          <w:lang w:eastAsia="zh-CN"/>
        </w:rPr>
        <w:t>。</w:t>
      </w:r>
    </w:p>
    <w:p w14:paraId="7A62AE2E">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评价工作人员为中共松潘县委统战部相关股室。</w:t>
      </w:r>
    </w:p>
    <w:p w14:paraId="756649D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highlight w:val="none"/>
          <w:lang w:val="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绩效分析</w:t>
      </w:r>
      <w:r>
        <w:rPr>
          <w:rFonts w:hint="eastAsia" w:ascii="黑体" w:hAnsi="黑体" w:eastAsia="黑体" w:cs="黑体"/>
          <w:sz w:val="32"/>
          <w:szCs w:val="32"/>
          <w:highlight w:val="none"/>
          <w:lang w:val="zh-CN"/>
        </w:rPr>
        <w:tab/>
      </w:r>
    </w:p>
    <w:p w14:paraId="66D310BA">
      <w:pPr>
        <w:keepNext w:val="0"/>
        <w:keepLines w:val="0"/>
        <w:pageBreakBefore w:val="0"/>
        <w:widowControl w:val="0"/>
        <w:kinsoku/>
        <w:wordWrap/>
        <w:overflowPunct/>
        <w:topLinePunct w:val="0"/>
        <w:autoSpaceDE/>
        <w:autoSpaceDN/>
        <w:bidi w:val="0"/>
        <w:spacing w:line="576"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根据项目预算绩效评价指标体系“通用指标”“专用指标”“个性指标”涉及二、三级指标进行逐项绩效分析并评分</w:t>
      </w:r>
      <w:r>
        <w:rPr>
          <w:rFonts w:hint="eastAsia" w:ascii="仿宋_GB2312" w:hAnsi="仿宋_GB2312" w:eastAsia="仿宋_GB2312" w:cs="仿宋_GB2312"/>
          <w:sz w:val="32"/>
          <w:szCs w:val="32"/>
          <w:lang w:val="en-US" w:eastAsia="zh-CN"/>
        </w:rPr>
        <w:t>。</w:t>
      </w:r>
    </w:p>
    <w:p w14:paraId="15186F8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b/>
          <w:color w:val="auto"/>
          <w:sz w:val="32"/>
          <w:szCs w:val="32"/>
          <w:highlight w:val="none"/>
          <w:u w:val="none"/>
          <w:lang w:val="zh-CN"/>
        </w:rPr>
        <w:t>（一）</w:t>
      </w:r>
      <w:r>
        <w:rPr>
          <w:rFonts w:hint="eastAsia" w:ascii="仿宋_GB2312" w:hAnsi="仿宋_GB2312" w:eastAsia="仿宋_GB2312" w:cs="仿宋_GB2312"/>
          <w:b/>
          <w:color w:val="auto"/>
          <w:sz w:val="32"/>
          <w:szCs w:val="32"/>
          <w:highlight w:val="none"/>
          <w:u w:val="none"/>
          <w:lang w:val="en-US" w:eastAsia="zh-CN"/>
        </w:rPr>
        <w:t>通用指标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p>
    <w:p w14:paraId="0727539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项目决策。围绕决策程序、规划论证、资金投向进行绩效分析。</w:t>
      </w:r>
    </w:p>
    <w:p w14:paraId="4386BA6F">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资金来源渠道的合法合规，参考阿州财行﹝2023﹞57号。项目内容具有公共性，属于公共财政支持范围，筹资渠道符合法律法规规定，筹资结构合理，资金来源渠道明确，能够具体落实。该项目有进一步实施的必要，资金来源于上级专项资金拨付无需本地财政出资，松潘县全州经济发展现场会由松潘县委统战部统筹协调，组织管理机构完善、运行机制顺畅，对于进一步加强全州经济发展依法规范管理效果明显。</w:t>
      </w:r>
    </w:p>
    <w:p w14:paraId="1B5C853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项目管理。围绕制度办法、分配管理、绩效监管进行绩效分析。</w:t>
      </w:r>
    </w:p>
    <w:p w14:paraId="4887AC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资金来源渠道符合相关文件政策的规定，资金筹措程序科学规范，财权和事权匹配，项目筹资风险可控。成立了项目管理小组，对该项目进行全程监督管控，制定了项目实施方案，严格按照方案流程进行施工，确保项目安全顺利完成。该项目小组将继续对项目完工后的反映以及工程影响等情况进行检查登记，做到监管到位并有可持续性。项目实施初期，制定了各类管理办法以及实施方案、应急预案，在项目完工后，各类制度也将继续发挥作用，按照管理办法进行后期管理，遇到突发事件也有应急预案，做到了制度在先，有据可依。</w:t>
      </w:r>
    </w:p>
    <w:p w14:paraId="7718ACBE">
      <w:pPr>
        <w:keepNext w:val="0"/>
        <w:keepLines w:val="0"/>
        <w:pageBreakBefore w:val="0"/>
        <w:widowControl w:val="0"/>
        <w:kinsoku/>
        <w:wordWrap/>
        <w:overflowPunct/>
        <w:topLinePunct w:val="0"/>
        <w:autoSpaceDE/>
        <w:autoSpaceDN/>
        <w:bidi w:val="0"/>
        <w:adjustRightInd/>
        <w:snapToGrid/>
        <w:spacing w:line="576" w:lineRule="exact"/>
        <w:ind w:left="420" w:leftChars="200" w:firstLine="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3.项目实施。</w:t>
      </w:r>
      <w:r>
        <w:rPr>
          <w:rFonts w:hint="eastAsia" w:ascii="仿宋_GB2312" w:hAnsi="仿宋_GB2312" w:eastAsia="仿宋_GB2312" w:cs="仿宋_GB2312"/>
          <w:color w:val="auto"/>
          <w:sz w:val="32"/>
          <w:szCs w:val="32"/>
          <w:lang w:eastAsia="zh-CN"/>
        </w:rPr>
        <w:t>围绕预算</w:t>
      </w:r>
      <w:r>
        <w:rPr>
          <w:rFonts w:hint="eastAsia" w:ascii="仿宋_GB2312" w:hAnsi="仿宋_GB2312" w:eastAsia="仿宋_GB2312" w:cs="仿宋_GB2312"/>
          <w:color w:val="auto"/>
          <w:sz w:val="32"/>
          <w:szCs w:val="32"/>
          <w:lang w:val="zh-CN" w:eastAsia="zh-CN"/>
        </w:rPr>
        <w:t>执行</w:t>
      </w:r>
      <w:r>
        <w:rPr>
          <w:rFonts w:hint="eastAsia" w:ascii="仿宋_GB2312" w:hAnsi="仿宋_GB2312" w:eastAsia="仿宋_GB2312" w:cs="仿宋_GB2312"/>
          <w:color w:val="auto"/>
          <w:sz w:val="32"/>
          <w:szCs w:val="32"/>
          <w:lang w:eastAsia="zh-CN"/>
        </w:rPr>
        <w:t>、资金使用进行绩效分析。</w:t>
      </w:r>
    </w:p>
    <w:p w14:paraId="19E52C3C">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预算执行率达到100%，资金使用合法合规。</w:t>
      </w:r>
    </w:p>
    <w:p w14:paraId="29E9B9C7">
      <w:pPr>
        <w:keepNext w:val="0"/>
        <w:keepLines w:val="0"/>
        <w:pageBreakBefore w:val="0"/>
        <w:widowControl w:val="0"/>
        <w:kinsoku/>
        <w:wordWrap/>
        <w:overflowPunct/>
        <w:topLinePunct w:val="0"/>
        <w:autoSpaceDE/>
        <w:autoSpaceDN/>
        <w:bidi w:val="0"/>
        <w:adjustRightInd/>
        <w:snapToGrid/>
        <w:spacing w:line="576" w:lineRule="exact"/>
        <w:ind w:left="420" w:leftChars="200" w:firstLine="0" w:firstLineChars="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4.项目结果。围绕</w:t>
      </w:r>
      <w:r>
        <w:rPr>
          <w:rFonts w:hint="eastAsia" w:ascii="仿宋_GB2312" w:hAnsi="仿宋_GB2312" w:eastAsia="仿宋_GB2312" w:cs="仿宋_GB2312"/>
          <w:color w:val="auto"/>
          <w:sz w:val="32"/>
          <w:szCs w:val="32"/>
          <w:lang w:eastAsia="zh-CN"/>
        </w:rPr>
        <w:t>目标完成、完成时效进行绩效分析。</w:t>
      </w:r>
    </w:p>
    <w:p w14:paraId="2627BE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color w:val="auto"/>
          <w:sz w:val="32"/>
          <w:szCs w:val="32"/>
          <w:lang w:val="zh-CN" w:eastAsia="zh-CN"/>
        </w:rPr>
        <w:t>绩效目标和绩效指标可量化可考核，契合政策，与部门的长期规划目标、年度工作目标相一致，产出和效果相关联，满意度指标达100%。现场会前项目已全面实施完成，验收合格</w:t>
      </w:r>
    </w:p>
    <w:p w14:paraId="7A5013E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color w:val="auto"/>
          <w:sz w:val="32"/>
          <w:szCs w:val="32"/>
          <w:highlight w:val="none"/>
          <w:u w:val="none"/>
          <w:lang w:val="zh-CN"/>
        </w:rPr>
        <w:t>（二）</w:t>
      </w:r>
      <w:r>
        <w:rPr>
          <w:rFonts w:hint="eastAsia" w:ascii="仿宋_GB2312" w:hAnsi="仿宋_GB2312" w:eastAsia="仿宋_GB2312" w:cs="仿宋_GB2312"/>
          <w:b/>
          <w:color w:val="auto"/>
          <w:sz w:val="32"/>
          <w:szCs w:val="32"/>
          <w:highlight w:val="none"/>
          <w:u w:val="none"/>
          <w:lang w:val="en-US" w:eastAsia="zh-CN"/>
        </w:rPr>
        <w:t>专用指标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sz w:val="32"/>
          <w:szCs w:val="32"/>
          <w:lang w:val="zh-CN" w:eastAsia="zh-CN"/>
        </w:rPr>
        <w:t>根据</w:t>
      </w:r>
      <w:r>
        <w:rPr>
          <w:rFonts w:hint="eastAsia" w:ascii="仿宋_GB2312" w:hAnsi="仿宋_GB2312" w:eastAsia="仿宋_GB2312" w:cs="仿宋_GB2312"/>
          <w:color w:val="auto"/>
          <w:sz w:val="32"/>
          <w:szCs w:val="32"/>
          <w:lang w:val="en-US" w:eastAsia="zh-CN"/>
        </w:rPr>
        <w:t>专项预算项目资金支持对象选择所属指标进行绩效分析。支持对象</w:t>
      </w:r>
      <w:r>
        <w:rPr>
          <w:rFonts w:hint="eastAsia" w:ascii="仿宋_GB2312" w:hAnsi="仿宋_GB2312" w:eastAsia="仿宋_GB2312" w:cs="仿宋_GB2312"/>
          <w:color w:val="auto"/>
          <w:sz w:val="32"/>
          <w:szCs w:val="32"/>
          <w:lang w:val="zh-CN" w:eastAsia="zh-CN"/>
        </w:rPr>
        <w:t>包括产业发展、民生保障、基础设施、行政运转等方面。</w:t>
      </w:r>
    </w:p>
    <w:p w14:paraId="542446D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1.产业发展。</w:t>
      </w:r>
      <w:r>
        <w:rPr>
          <w:rFonts w:hint="eastAsia" w:ascii="仿宋_GB2312" w:hAnsi="仿宋_GB2312" w:eastAsia="仿宋_GB2312" w:cs="仿宋_GB2312"/>
          <w:color w:val="auto"/>
          <w:sz w:val="32"/>
          <w:szCs w:val="32"/>
          <w:lang w:eastAsia="zh-CN"/>
        </w:rPr>
        <w:t>围绕符合性、成长性、经济性进行绩效分析。</w:t>
      </w:r>
    </w:p>
    <w:p w14:paraId="59028700">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对松潘县麦吉村、松潘县“五十六间房”、松潘县牟尼后寺、松潘县青藏高原农畜产品加工集中区、松潘县清真北寺、松潘县红军长征纪念馆、松潘县岷江源国家湿地公园已实施完成等点位的提升改造长期可维护松潘对外旅游形象，有助于我县第二、三产业发展。</w:t>
      </w:r>
    </w:p>
    <w:p w14:paraId="7165317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民生保障。</w:t>
      </w:r>
      <w:r>
        <w:rPr>
          <w:rFonts w:hint="eastAsia" w:ascii="仿宋_GB2312" w:hAnsi="仿宋_GB2312" w:eastAsia="仿宋_GB2312" w:cs="仿宋_GB2312"/>
          <w:color w:val="auto"/>
          <w:sz w:val="32"/>
          <w:szCs w:val="32"/>
          <w:lang w:eastAsia="zh-CN"/>
        </w:rPr>
        <w:t>围绕区域均衡性、对象精准性、标准合理性、群众满意度进行绩效分析。</w:t>
      </w:r>
    </w:p>
    <w:p w14:paraId="2BA8E0C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点为提升改造项目能提升区域均衡性、能精准在现场会展示我县经济发展风貌、实施内容标准合理、群众满意度达100%。</w:t>
      </w:r>
    </w:p>
    <w:p w14:paraId="1F7C89F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3.基础设施。</w:t>
      </w:r>
      <w:r>
        <w:rPr>
          <w:rFonts w:hint="eastAsia" w:ascii="仿宋_GB2312" w:hAnsi="仿宋_GB2312" w:eastAsia="仿宋_GB2312" w:cs="仿宋_GB2312"/>
          <w:color w:val="auto"/>
          <w:sz w:val="32"/>
          <w:szCs w:val="32"/>
          <w:lang w:eastAsia="zh-CN"/>
        </w:rPr>
        <w:t>在建项目围绕工程进度和资金拨付进行绩效分析；建成项目围绕项目验收、功能实现、后续管护进行绩效分析。</w:t>
      </w:r>
    </w:p>
    <w:p w14:paraId="0786764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项目工程进度能如期开展，在</w:t>
      </w:r>
      <w:r>
        <w:rPr>
          <w:rFonts w:hint="eastAsia" w:ascii="仿宋_GB2312" w:hAnsi="仿宋_GB2312" w:eastAsia="仿宋_GB2312" w:cs="仿宋_GB2312"/>
          <w:color w:val="auto"/>
          <w:sz w:val="32"/>
          <w:szCs w:val="32"/>
          <w:lang w:val="en-US" w:eastAsia="zh-CN"/>
        </w:rPr>
        <w:t>2023年6月前已实施完成并验收通过。</w:t>
      </w:r>
      <w:r>
        <w:rPr>
          <w:rFonts w:hint="eastAsia" w:ascii="仿宋_GB2312" w:hAnsi="仿宋_GB2312" w:eastAsia="仿宋_GB2312" w:cs="仿宋_GB2312"/>
          <w:color w:val="auto"/>
          <w:sz w:val="32"/>
          <w:szCs w:val="32"/>
          <w:lang w:eastAsia="zh-CN"/>
        </w:rPr>
        <w:t>资金拨付率达</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，实现县域环境提升。</w:t>
      </w:r>
    </w:p>
    <w:p w14:paraId="6BED72F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行政运转。围绕用途合规性、程序合规性、标准合规性进行绩效分析。</w:t>
      </w:r>
    </w:p>
    <w:p w14:paraId="22C09E4C">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sz w:val="32"/>
          <w:szCs w:val="32"/>
          <w:lang w:eastAsia="zh-CN"/>
        </w:rPr>
        <w:t>该项目资金来源渠道的合法合规，参考阿州财行﹝2023﹞57号。</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内容具有公共性，属于公共财政支持范围，筹资渠道符合法律法规规定，筹资结构合理，资金来源渠道明确，能够具体落实。</w:t>
      </w:r>
    </w:p>
    <w:p w14:paraId="3F681ED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highlight w:val="none"/>
          <w:u w:val="none"/>
          <w:lang w:val="zh-CN"/>
        </w:rPr>
        <w:t>（三）</w:t>
      </w:r>
      <w:r>
        <w:rPr>
          <w:rFonts w:hint="eastAsia" w:ascii="仿宋_GB2312" w:hAnsi="仿宋_GB2312" w:eastAsia="仿宋_GB2312" w:cs="仿宋_GB2312"/>
          <w:b/>
          <w:color w:val="auto"/>
          <w:sz w:val="32"/>
          <w:szCs w:val="32"/>
          <w:highlight w:val="none"/>
          <w:u w:val="none"/>
          <w:lang w:val="en-US" w:eastAsia="zh-CN"/>
        </w:rPr>
        <w:t>个性指标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r>
        <w:rPr>
          <w:rFonts w:hint="eastAsia" w:ascii="仿宋_GB2312" w:hAnsi="仿宋_GB2312" w:eastAsia="仿宋_GB2312" w:cs="仿宋_GB2312"/>
          <w:color w:val="auto"/>
          <w:sz w:val="32"/>
          <w:szCs w:val="32"/>
          <w:lang w:val="zh-CN" w:eastAsia="zh-CN"/>
        </w:rPr>
        <w:t>根据项目个性自行设定部分指标，反映该项指标执行完成情况。</w:t>
      </w:r>
    </w:p>
    <w:p w14:paraId="2EE9FCD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sz w:val="32"/>
          <w:szCs w:val="32"/>
        </w:rPr>
        <w:t>松潘县麦吉村、松潘县“五十六间房”、松潘县牟尼后寺、松潘县青藏高原农畜产品加工集中区、松潘县清真北寺、松潘县红军长征纪念馆、松潘县岷江源国家湿地公园</w:t>
      </w:r>
      <w:r>
        <w:rPr>
          <w:rFonts w:hint="eastAsia" w:ascii="仿宋_GB2312" w:hAnsi="仿宋_GB2312" w:eastAsia="仿宋_GB2312" w:cs="仿宋_GB2312"/>
          <w:sz w:val="32"/>
          <w:szCs w:val="32"/>
          <w:lang w:val="en-US" w:eastAsia="zh-CN"/>
        </w:rPr>
        <w:t>7个点位共有专项资金8万元，后期将根据具体实施情况进行拨付。</w:t>
      </w:r>
      <w:r>
        <w:rPr>
          <w:rFonts w:hint="eastAsia" w:ascii="仿宋_GB2312" w:hAnsi="仿宋_GB2312" w:eastAsia="仿宋_GB2312" w:cs="仿宋_GB2312"/>
          <w:sz w:val="32"/>
          <w:szCs w:val="32"/>
        </w:rPr>
        <w:t>评估内容：绩效目标和绩效指标可量化可考核，契合政策，与部门的长期规划目标、年度工作目标相一致，产出和效果相关联，满意度指标能够预测。</w:t>
      </w:r>
    </w:p>
    <w:p w14:paraId="61C4D87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、评价结论</w:t>
      </w:r>
    </w:p>
    <w:p w14:paraId="5DA32A8C">
      <w:pPr>
        <w:pStyle w:val="5"/>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简要阐述专项预算项目绩效自评总体结论，包含评价总分、</w:t>
      </w:r>
      <w:r>
        <w:rPr>
          <w:rFonts w:hint="eastAsia" w:ascii="仿宋_GB2312" w:hAnsi="仿宋_GB2312" w:eastAsia="仿宋_GB2312" w:cs="仿宋_GB2312"/>
          <w:b w:val="0"/>
          <w:bCs w:val="0"/>
          <w:sz w:val="32"/>
          <w:szCs w:val="32"/>
          <w:highlight w:val="none"/>
          <w:lang w:val="zh-CN"/>
        </w:rPr>
        <w:t>项目实施情况。</w:t>
      </w:r>
    </w:p>
    <w:p w14:paraId="1C6AFF1D">
      <w:pPr>
        <w:pStyle w:val="5"/>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绩效目标和绩效指标可量化可考核，契合政策，与部门的长期规划目标、年度工作目标相一致，产出和效果相关联，满意度指标达100%。现场会前项目已全面实施完成，验收合格。项目总分为100分。</w:t>
      </w:r>
    </w:p>
    <w:p w14:paraId="556F826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五、存在主要问题</w:t>
      </w:r>
    </w:p>
    <w:p w14:paraId="6C3A1FC5">
      <w:pPr>
        <w:pStyle w:val="5"/>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简要阐述专项预算项目绩效自评发现的主要问题。</w:t>
      </w:r>
    </w:p>
    <w:p w14:paraId="5D6713C8">
      <w:pPr>
        <w:pStyle w:val="5"/>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无</w:t>
      </w:r>
    </w:p>
    <w:p w14:paraId="1DF0D591">
      <w:pPr>
        <w:pStyle w:val="5"/>
        <w:keepNext w:val="0"/>
        <w:keepLines w:val="0"/>
        <w:pageBreakBefore w:val="0"/>
        <w:numPr>
          <w:ilvl w:val="0"/>
          <w:numId w:val="0"/>
        </w:numPr>
        <w:tabs>
          <w:tab w:val="left" w:pos="2160"/>
        </w:tabs>
        <w:kinsoku/>
        <w:wordWrap/>
        <w:overflowPunct/>
        <w:topLinePunct w:val="0"/>
        <w:autoSpaceDE/>
        <w:autoSpaceDN/>
        <w:bidi w:val="0"/>
        <w:adjustRightInd/>
        <w:spacing w:line="576" w:lineRule="exact"/>
        <w:ind w:firstLine="640" w:firstLineChars="200"/>
        <w:textAlignment w:val="auto"/>
        <w:rPr>
          <w:rFonts w:hint="eastAsia" w:ascii="仿宋_GB2312" w:hAnsi="仿宋_GB2312" w:eastAsia="仿宋_GB2312" w:cs="仿宋_GB2312"/>
          <w:color w:val="auto"/>
          <w:kern w:val="0"/>
          <w:position w:val="3"/>
          <w:sz w:val="32"/>
          <w:szCs w:val="32"/>
          <w:highlight w:val="none"/>
          <w:u w:val="none"/>
          <w:lang w:val="zh-CN" w:eastAsia="zh-CN" w:bidi="ar-SA"/>
        </w:rPr>
      </w:pPr>
      <w:r>
        <w:rPr>
          <w:rFonts w:hint="eastAsia" w:ascii="黑体" w:hAnsi="黑体" w:eastAsia="黑体" w:cs="黑体"/>
          <w:color w:val="auto"/>
          <w:kern w:val="2"/>
          <w:sz w:val="32"/>
          <w:szCs w:val="32"/>
          <w:highlight w:val="none"/>
          <w:lang w:val="zh-CN" w:eastAsia="zh-CN" w:bidi="ar-SA"/>
        </w:rPr>
        <w:t>六、改进建议</w:t>
      </w:r>
    </w:p>
    <w:p w14:paraId="6B37E11A">
      <w:pPr>
        <w:keepNext w:val="0"/>
        <w:keepLines w:val="0"/>
        <w:pageBreakBefore w:val="0"/>
        <w:tabs>
          <w:tab w:val="left" w:pos="1911"/>
        </w:tabs>
        <w:kinsoku/>
        <w:wordWrap/>
        <w:overflowPunct/>
        <w:topLinePunct w:val="0"/>
        <w:autoSpaceDE/>
        <w:autoSpaceDN/>
        <w:bidi w:val="0"/>
        <w:spacing w:line="576" w:lineRule="exact"/>
        <w:jc w:val="left"/>
        <w:textAlignment w:val="auto"/>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简要阐述专项预算项目在</w:t>
      </w:r>
      <w:r>
        <w:rPr>
          <w:rFonts w:hint="eastAsia" w:ascii="仿宋_GB2312" w:hAnsi="仿宋_GB2312" w:eastAsia="仿宋_GB2312" w:cs="仿宋_GB2312"/>
          <w:b w:val="0"/>
          <w:bCs w:val="0"/>
          <w:kern w:val="0"/>
          <w:position w:val="0"/>
          <w:sz w:val="32"/>
          <w:szCs w:val="32"/>
          <w:highlight w:val="none"/>
          <w:lang w:val="en" w:eastAsia="zh-CN" w:bidi="ar-SA"/>
        </w:rPr>
        <w:t>预算安排、完善政策、改进管理等方面的</w:t>
      </w:r>
      <w:r>
        <w:rPr>
          <w:rFonts w:hint="eastAsia" w:ascii="仿宋_GB2312" w:hAnsi="仿宋_GB2312" w:eastAsia="仿宋_GB2312" w:cs="仿宋_GB2312"/>
          <w:b w:val="0"/>
          <w:bCs w:val="0"/>
          <w:kern w:val="2"/>
          <w:position w:val="0"/>
          <w:sz w:val="32"/>
          <w:szCs w:val="32"/>
          <w:highlight w:val="none"/>
          <w:lang w:val="en-US" w:eastAsia="zh-CN" w:bidi="ar-SA"/>
        </w:rPr>
        <w:t>措施</w:t>
      </w:r>
      <w:r>
        <w:rPr>
          <w:rFonts w:hint="eastAsia" w:ascii="仿宋_GB2312" w:hAnsi="仿宋_GB2312" w:eastAsia="仿宋_GB2312" w:cs="仿宋_GB2312"/>
          <w:b w:val="0"/>
          <w:bCs w:val="0"/>
          <w:kern w:val="0"/>
          <w:position w:val="0"/>
          <w:sz w:val="32"/>
          <w:szCs w:val="32"/>
          <w:highlight w:val="none"/>
          <w:lang w:val="en" w:eastAsia="zh-CN" w:bidi="ar-SA"/>
        </w:rPr>
        <w:t>建议，其中</w:t>
      </w:r>
      <w:r>
        <w:rPr>
          <w:rFonts w:hint="eastAsia" w:ascii="仿宋_GB2312" w:hAnsi="仿宋_GB2312" w:eastAsia="仿宋_GB2312" w:cs="仿宋_GB2312"/>
          <w:b w:val="0"/>
          <w:bCs w:val="0"/>
          <w:kern w:val="0"/>
          <w:position w:val="0"/>
          <w:sz w:val="32"/>
          <w:szCs w:val="32"/>
          <w:highlight w:val="none"/>
          <w:lang w:val="en-US" w:eastAsia="zh-CN" w:bidi="ar-SA"/>
        </w:rPr>
        <w:t>必须对评价发现的主要问题一一提出措施建议。</w:t>
      </w:r>
    </w:p>
    <w:p w14:paraId="296D91B2">
      <w:pPr>
        <w:keepNext w:val="0"/>
        <w:keepLines w:val="0"/>
        <w:pageBreakBefore w:val="0"/>
        <w:kinsoku/>
        <w:wordWrap/>
        <w:overflowPunct/>
        <w:topLinePunct w:val="0"/>
        <w:autoSpaceDE/>
        <w:autoSpaceDN/>
        <w:bidi w:val="0"/>
        <w:adjustRightInd/>
        <w:snapToGrid w:val="0"/>
        <w:spacing w:line="576" w:lineRule="exact"/>
        <w:ind w:left="0" w:leftChars="0" w:firstLine="640" w:firstLineChars="200"/>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无</w:t>
      </w:r>
    </w:p>
    <w:p w14:paraId="279E512C">
      <w:pPr>
        <w:keepNext w:val="0"/>
        <w:keepLines w:val="0"/>
        <w:pageBreakBefore w:val="0"/>
        <w:kinsoku/>
        <w:wordWrap/>
        <w:overflowPunct/>
        <w:topLinePunct w:val="0"/>
        <w:autoSpaceDE/>
        <w:autoSpaceDN/>
        <w:bidi w:val="0"/>
        <w:adjustRightInd/>
        <w:snapToGrid w:val="0"/>
        <w:spacing w:line="576" w:lineRule="exact"/>
        <w:ind w:left="0" w:leftChars="0" w:firstLine="640" w:firstLineChars="200"/>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p>
    <w:p w14:paraId="02B0B33D">
      <w:pPr>
        <w:keepNext w:val="0"/>
        <w:keepLines w:val="0"/>
        <w:pageBreakBefore w:val="0"/>
        <w:kinsoku/>
        <w:wordWrap/>
        <w:overflowPunct/>
        <w:topLinePunct w:val="0"/>
        <w:autoSpaceDE/>
        <w:autoSpaceDN/>
        <w:bidi w:val="0"/>
        <w:adjustRightInd/>
        <w:snapToGrid w:val="0"/>
        <w:spacing w:line="576" w:lineRule="exact"/>
        <w:ind w:left="0" w:leftChars="0" w:firstLine="640" w:firstLineChars="200"/>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附表：1.项目资金分配涉及所有点位自评得分情况表</w:t>
      </w:r>
    </w:p>
    <w:p w14:paraId="75F7391F">
      <w:pPr>
        <w:keepNext w:val="0"/>
        <w:keepLines w:val="0"/>
        <w:pageBreakBefore w:val="0"/>
        <w:kinsoku/>
        <w:wordWrap/>
        <w:overflowPunct/>
        <w:topLinePunct w:val="0"/>
        <w:autoSpaceDE/>
        <w:autoSpaceDN/>
        <w:bidi w:val="0"/>
        <w:adjustRightInd/>
        <w:snapToGrid w:val="0"/>
        <w:spacing w:line="576" w:lineRule="exact"/>
        <w:ind w:left="0" w:leftChars="0" w:firstLine="1600" w:firstLineChars="500"/>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2.专项预算项目绩效目标完成情况自评表</w:t>
      </w:r>
    </w:p>
    <w:p w14:paraId="4CB2C983">
      <w:pPr>
        <w:keepNext w:val="0"/>
        <w:keepLines w:val="0"/>
        <w:pageBreakBefore w:val="0"/>
        <w:kinsoku/>
        <w:wordWrap/>
        <w:overflowPunct/>
        <w:topLinePunct w:val="0"/>
        <w:autoSpaceDE/>
        <w:autoSpaceDN/>
        <w:bidi w:val="0"/>
        <w:adjustRightInd/>
        <w:snapToGrid w:val="0"/>
        <w:spacing w:line="576"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r>
        <w:rPr>
          <w:rFonts w:hint="eastAsia" w:ascii="Times New Roman" w:hAnsi="Times New Roman" w:cs="Times New Roman"/>
          <w:color w:val="000000"/>
          <w:kern w:val="0"/>
          <w:szCs w:val="32"/>
          <w:highlight w:val="none"/>
          <w:shd w:val="clear" w:color="auto" w:fill="FFFFFF"/>
          <w:lang w:val="zh-CN" w:eastAsia="zh-CN"/>
        </w:rPr>
        <w:br w:type="page"/>
      </w:r>
    </w:p>
    <w:p w14:paraId="6381C56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黑体" w:hAnsi="黑体" w:eastAsia="黑体" w:cs="黑体"/>
          <w:b w:val="0"/>
          <w:bCs w:val="0"/>
          <w:color w:val="auto"/>
          <w:kern w:val="0"/>
          <w:sz w:val="32"/>
          <w:szCs w:val="32"/>
          <w:highlight w:val="none"/>
          <w:u w:val="none"/>
          <w:shd w:val="clear" w:color="auto" w:fill="FFFFFF"/>
          <w:lang w:val="zh-CN"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r>
        <w:rPr>
          <w:rFonts w:hint="eastAsia" w:ascii="黑体" w:hAnsi="黑体" w:eastAsia="黑体" w:cs="黑体"/>
          <w:b w:val="0"/>
          <w:bCs w:val="0"/>
          <w:color w:val="auto"/>
          <w:kern w:val="0"/>
          <w:sz w:val="32"/>
          <w:szCs w:val="32"/>
          <w:highlight w:val="none"/>
          <w:u w:val="none"/>
          <w:shd w:val="clear" w:color="auto" w:fill="FFFFFF"/>
          <w:lang w:val="en-US" w:eastAsia="zh-CN"/>
        </w:rPr>
        <w:t>1</w:t>
      </w:r>
    </w:p>
    <w:p w14:paraId="7AA10641">
      <w:pPr>
        <w:keepNext w:val="0"/>
        <w:keepLines w:val="0"/>
        <w:pageBreakBefore w:val="0"/>
        <w:kinsoku/>
        <w:wordWrap/>
        <w:overflowPunct/>
        <w:topLinePunct w:val="0"/>
        <w:autoSpaceDE/>
        <w:autoSpaceDN/>
        <w:bidi w:val="0"/>
        <w:spacing w:line="578" w:lineRule="exact"/>
        <w:ind w:left="0" w:leftChars="0"/>
        <w:jc w:val="center"/>
        <w:textAlignment w:val="auto"/>
        <w:rPr>
          <w:rFonts w:hint="eastAsia" w:ascii="方正小标宋_GBK" w:hAnsi="方正小标宋_GBK" w:eastAsia="方正小标宋_GBK" w:cs="方正小标宋_GBK"/>
          <w:b w:val="0"/>
          <w:bCs w:val="0"/>
          <w:color w:val="auto"/>
          <w:sz w:val="40"/>
          <w:szCs w:val="40"/>
          <w:highlight w:val="none"/>
          <w:u w:val="none"/>
          <w:lang w:val="en-US" w:eastAsia="zh-CN"/>
        </w:rPr>
      </w:pPr>
      <w:r>
        <w:rPr>
          <w:rFonts w:hint="eastAsia" w:ascii="方正小标宋_GBK" w:hAnsi="方正小标宋_GBK" w:eastAsia="方正小标宋_GBK" w:cs="方正小标宋_GBK"/>
          <w:b w:val="0"/>
          <w:bCs w:val="0"/>
          <w:color w:val="auto"/>
          <w:sz w:val="40"/>
          <w:szCs w:val="40"/>
          <w:highlight w:val="none"/>
          <w:u w:val="none"/>
          <w:lang w:val="en-US" w:eastAsia="zh-CN"/>
        </w:rPr>
        <w:t>项目资金分配涉及所有点位自评得分情况表</w:t>
      </w:r>
    </w:p>
    <w:tbl>
      <w:tblPr>
        <w:tblStyle w:val="15"/>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0E10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0FE0846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序号</w:t>
            </w:r>
          </w:p>
        </w:tc>
        <w:tc>
          <w:tcPr>
            <w:tcW w:w="3843" w:type="dxa"/>
            <w:noWrap w:val="0"/>
            <w:vAlign w:val="top"/>
          </w:tcPr>
          <w:p w14:paraId="3ACFFF4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 w:eastAsia="zh-CN"/>
              </w:rPr>
            </w:pPr>
            <w:r>
              <w:rPr>
                <w:rFonts w:hint="eastAsia" w:ascii="黑体" w:hAnsi="黑体" w:eastAsia="黑体" w:cs="黑体"/>
                <w:b w:val="0"/>
                <w:bCs w:val="0"/>
                <w:color w:val="auto"/>
                <w:sz w:val="24"/>
                <w:szCs w:val="24"/>
                <w:highlight w:val="none"/>
                <w:u w:val="none"/>
                <w:vertAlign w:val="baseline"/>
                <w:lang w:val="en-US" w:eastAsia="zh-CN"/>
              </w:rPr>
              <w:t>项目资金末端分配点位</w:t>
            </w:r>
          </w:p>
        </w:tc>
        <w:tc>
          <w:tcPr>
            <w:tcW w:w="2861" w:type="dxa"/>
            <w:noWrap w:val="0"/>
            <w:vAlign w:val="top"/>
          </w:tcPr>
          <w:p w14:paraId="1DF4BFDF">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 w:eastAsia="zh-CN"/>
              </w:rPr>
              <w:t>自评得分（百分制）</w:t>
            </w:r>
          </w:p>
        </w:tc>
        <w:tc>
          <w:tcPr>
            <w:tcW w:w="993" w:type="dxa"/>
            <w:noWrap w:val="0"/>
            <w:vAlign w:val="top"/>
          </w:tcPr>
          <w:p w14:paraId="295D484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备注</w:t>
            </w:r>
          </w:p>
        </w:tc>
      </w:tr>
      <w:tr w14:paraId="622C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7863377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3843" w:type="dxa"/>
            <w:noWrap w:val="0"/>
            <w:vAlign w:val="top"/>
          </w:tcPr>
          <w:p w14:paraId="3C5E339B">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松潘县麦吉村</w:t>
            </w:r>
          </w:p>
        </w:tc>
        <w:tc>
          <w:tcPr>
            <w:tcW w:w="2861" w:type="dxa"/>
            <w:noWrap w:val="0"/>
            <w:vAlign w:val="top"/>
          </w:tcPr>
          <w:p w14:paraId="0ED4F56C">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优</w:t>
            </w:r>
          </w:p>
        </w:tc>
        <w:tc>
          <w:tcPr>
            <w:tcW w:w="993" w:type="dxa"/>
            <w:noWrap w:val="0"/>
            <w:vAlign w:val="top"/>
          </w:tcPr>
          <w:p w14:paraId="5A20A2E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37D7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564E521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w:t>
            </w:r>
          </w:p>
        </w:tc>
        <w:tc>
          <w:tcPr>
            <w:tcW w:w="3843" w:type="dxa"/>
            <w:noWrap w:val="0"/>
            <w:vAlign w:val="top"/>
          </w:tcPr>
          <w:p w14:paraId="5ED8B164">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松潘县“五十六间房”</w:t>
            </w:r>
          </w:p>
        </w:tc>
        <w:tc>
          <w:tcPr>
            <w:tcW w:w="2861" w:type="dxa"/>
            <w:noWrap w:val="0"/>
            <w:vAlign w:val="top"/>
          </w:tcPr>
          <w:p w14:paraId="462526A7">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优</w:t>
            </w:r>
          </w:p>
        </w:tc>
        <w:tc>
          <w:tcPr>
            <w:tcW w:w="993" w:type="dxa"/>
            <w:noWrap w:val="0"/>
            <w:vAlign w:val="top"/>
          </w:tcPr>
          <w:p w14:paraId="7AB398F5">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39F4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357B530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w:t>
            </w:r>
          </w:p>
        </w:tc>
        <w:tc>
          <w:tcPr>
            <w:tcW w:w="3843" w:type="dxa"/>
            <w:noWrap w:val="0"/>
            <w:vAlign w:val="top"/>
          </w:tcPr>
          <w:p w14:paraId="70BCD937">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松潘县牟尼后寺</w:t>
            </w:r>
          </w:p>
        </w:tc>
        <w:tc>
          <w:tcPr>
            <w:tcW w:w="2861" w:type="dxa"/>
            <w:noWrap w:val="0"/>
            <w:vAlign w:val="top"/>
          </w:tcPr>
          <w:p w14:paraId="2FEAFC03">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优</w:t>
            </w:r>
          </w:p>
        </w:tc>
        <w:tc>
          <w:tcPr>
            <w:tcW w:w="993" w:type="dxa"/>
            <w:noWrap w:val="0"/>
            <w:vAlign w:val="top"/>
          </w:tcPr>
          <w:p w14:paraId="4EC7464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758F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7A958AD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w:t>
            </w:r>
          </w:p>
        </w:tc>
        <w:tc>
          <w:tcPr>
            <w:tcW w:w="3843" w:type="dxa"/>
            <w:noWrap w:val="0"/>
            <w:vAlign w:val="top"/>
          </w:tcPr>
          <w:p w14:paraId="280C4062">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松潘县青藏高原农畜产品加工集中区</w:t>
            </w:r>
          </w:p>
        </w:tc>
        <w:tc>
          <w:tcPr>
            <w:tcW w:w="2861" w:type="dxa"/>
            <w:noWrap w:val="0"/>
            <w:vAlign w:val="top"/>
          </w:tcPr>
          <w:p w14:paraId="47C13BF7">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优</w:t>
            </w:r>
          </w:p>
        </w:tc>
        <w:tc>
          <w:tcPr>
            <w:tcW w:w="993" w:type="dxa"/>
            <w:noWrap w:val="0"/>
            <w:vAlign w:val="top"/>
          </w:tcPr>
          <w:p w14:paraId="60158A8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0932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7EF9742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w:t>
            </w:r>
          </w:p>
        </w:tc>
        <w:tc>
          <w:tcPr>
            <w:tcW w:w="3843" w:type="dxa"/>
            <w:noWrap w:val="0"/>
            <w:vAlign w:val="top"/>
          </w:tcPr>
          <w:p w14:paraId="1E0895D0">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松潘县清真北寺</w:t>
            </w:r>
          </w:p>
        </w:tc>
        <w:tc>
          <w:tcPr>
            <w:tcW w:w="2861" w:type="dxa"/>
            <w:noWrap w:val="0"/>
            <w:vAlign w:val="top"/>
          </w:tcPr>
          <w:p w14:paraId="0D27F64E">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优</w:t>
            </w:r>
          </w:p>
        </w:tc>
        <w:tc>
          <w:tcPr>
            <w:tcW w:w="993" w:type="dxa"/>
            <w:noWrap w:val="0"/>
            <w:vAlign w:val="top"/>
          </w:tcPr>
          <w:p w14:paraId="0E863160">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4605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3488B7FA">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w:t>
            </w:r>
          </w:p>
        </w:tc>
        <w:tc>
          <w:tcPr>
            <w:tcW w:w="3843" w:type="dxa"/>
            <w:noWrap w:val="0"/>
            <w:vAlign w:val="top"/>
          </w:tcPr>
          <w:p w14:paraId="14044EBE">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松潘县红军长征纪念</w:t>
            </w:r>
          </w:p>
        </w:tc>
        <w:tc>
          <w:tcPr>
            <w:tcW w:w="2861" w:type="dxa"/>
            <w:noWrap w:val="0"/>
            <w:vAlign w:val="top"/>
          </w:tcPr>
          <w:p w14:paraId="26720955">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优</w:t>
            </w:r>
          </w:p>
        </w:tc>
        <w:tc>
          <w:tcPr>
            <w:tcW w:w="993" w:type="dxa"/>
            <w:noWrap w:val="0"/>
            <w:vAlign w:val="top"/>
          </w:tcPr>
          <w:p w14:paraId="355B1F11">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2892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5C9D2329">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7</w:t>
            </w:r>
          </w:p>
        </w:tc>
        <w:tc>
          <w:tcPr>
            <w:tcW w:w="3843" w:type="dxa"/>
            <w:noWrap w:val="0"/>
            <w:vAlign w:val="top"/>
          </w:tcPr>
          <w:p w14:paraId="57815588">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松潘县岷江源国家湿地公园</w:t>
            </w:r>
          </w:p>
        </w:tc>
        <w:tc>
          <w:tcPr>
            <w:tcW w:w="2861" w:type="dxa"/>
            <w:noWrap w:val="0"/>
            <w:vAlign w:val="top"/>
          </w:tcPr>
          <w:p w14:paraId="3C2BEAE2">
            <w:pPr>
              <w:keepNext w:val="0"/>
              <w:keepLines w:val="0"/>
              <w:pageBreakBefore w:val="0"/>
              <w:widowControl w:val="0"/>
              <w:kinsoku/>
              <w:wordWrap/>
              <w:overflowPunct/>
              <w:topLinePunct w:val="0"/>
              <w:autoSpaceDE/>
              <w:autoSpaceDN/>
              <w:bidi w:val="0"/>
              <w:adjustRightInd/>
              <w:snapToGrid/>
              <w:spacing w:line="300" w:lineRule="exact"/>
              <w:ind w:left="0" w:leftChars="0"/>
              <w:jc w:val="left"/>
              <w:textAlignment w:val="auto"/>
              <w:outlineLvl w:val="9"/>
              <w:rPr>
                <w:rFonts w:hint="eastAsia" w:ascii="宋体" w:hAnsi="宋体" w:cs="宋体"/>
                <w:color w:val="auto"/>
                <w:sz w:val="24"/>
                <w:szCs w:val="24"/>
                <w:highlight w:val="none"/>
                <w:u w:val="none"/>
                <w:vertAlign w:val="baseline"/>
                <w:lang w:val="en" w:eastAsia="zh-CN"/>
              </w:rPr>
            </w:pPr>
            <w:r>
              <w:rPr>
                <w:rFonts w:hint="eastAsia" w:ascii="宋体" w:hAnsi="宋体" w:cs="宋体"/>
                <w:color w:val="auto"/>
                <w:sz w:val="24"/>
                <w:szCs w:val="24"/>
                <w:highlight w:val="none"/>
                <w:u w:val="none"/>
                <w:vertAlign w:val="baseline"/>
                <w:lang w:val="en" w:eastAsia="zh-CN"/>
              </w:rPr>
              <w:t>优</w:t>
            </w:r>
          </w:p>
        </w:tc>
        <w:tc>
          <w:tcPr>
            <w:tcW w:w="993" w:type="dxa"/>
            <w:noWrap w:val="0"/>
            <w:vAlign w:val="top"/>
          </w:tcPr>
          <w:p w14:paraId="2165651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bl>
    <w:p w14:paraId="7F4DF915">
      <w:pPr>
        <w:pStyle w:val="12"/>
        <w:keepNext w:val="0"/>
        <w:keepLines w:val="0"/>
        <w:pageBreakBefore w:val="0"/>
        <w:kinsoku/>
        <w:wordWrap/>
        <w:overflowPunct/>
        <w:topLinePunct w:val="0"/>
        <w:autoSpaceDE/>
        <w:autoSpaceDN/>
        <w:bidi w:val="0"/>
        <w:spacing w:after="0" w:line="578" w:lineRule="exact"/>
        <w:ind w:left="0" w:leftChars="0" w:firstLine="0" w:firstLineChars="0"/>
        <w:rPr>
          <w:rFonts w:hint="default" w:ascii="Times New Roman" w:hAnsi="Times New Roman" w:eastAsia="黑体" w:cs="Times New Roman"/>
          <w:kern w:val="2"/>
          <w:sz w:val="32"/>
          <w:szCs w:val="24"/>
          <w:highlight w:val="none"/>
          <w:lang w:val="en-US" w:eastAsia="zh-CN" w:bidi="ar-SA"/>
        </w:rPr>
      </w:pPr>
      <w:r>
        <w:rPr>
          <w:rFonts w:hint="default" w:ascii="Times New Roman" w:hAnsi="Times New Roman" w:eastAsia="黑体" w:cs="Times New Roman"/>
          <w:kern w:val="2"/>
          <w:sz w:val="32"/>
          <w:szCs w:val="24"/>
          <w:highlight w:val="none"/>
          <w:lang w:val="en-US" w:eastAsia="zh-CN" w:bidi="ar-SA"/>
        </w:rPr>
        <w:t>附表2</w:t>
      </w:r>
    </w:p>
    <w:tbl>
      <w:tblPr>
        <w:tblStyle w:val="14"/>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262"/>
        <w:gridCol w:w="1177"/>
        <w:gridCol w:w="971"/>
        <w:gridCol w:w="1061"/>
        <w:gridCol w:w="938"/>
        <w:gridCol w:w="1841"/>
      </w:tblGrid>
      <w:tr w14:paraId="4F86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14:paraId="1385B84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微软雅黑" w:hAnsi="微软雅黑" w:eastAsia="微软雅黑" w:cs="微软雅黑"/>
                <w:i w:val="0"/>
                <w:color w:val="000000"/>
                <w:kern w:val="0"/>
                <w:sz w:val="40"/>
                <w:szCs w:val="40"/>
                <w:u w:val="none"/>
                <w:lang w:val="en-US" w:eastAsia="zh-CN" w:bidi="ar"/>
              </w:rPr>
              <w:t>专项预算项目绩效目标完成情况自评表</w:t>
            </w:r>
          </w:p>
        </w:tc>
      </w:tr>
      <w:tr w14:paraId="25B6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45" w:type="dxa"/>
            <w:gridSpan w:val="4"/>
            <w:tcBorders>
              <w:top w:val="single" w:color="000000" w:sz="4" w:space="0"/>
              <w:left w:val="single" w:color="000000" w:sz="4" w:space="0"/>
              <w:bottom w:val="single" w:color="000000" w:sz="4" w:space="0"/>
              <w:right w:val="single" w:color="000000" w:sz="4" w:space="0"/>
            </w:tcBorders>
            <w:noWrap w:val="0"/>
            <w:vAlign w:val="center"/>
          </w:tcPr>
          <w:p w14:paraId="09BB80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52F2F99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r>
              <w:rPr>
                <w:rFonts w:hint="eastAsia" w:ascii="宋体" w:hAnsi="宋体" w:eastAsia="宋体" w:cs="宋体"/>
                <w:i w:val="0"/>
                <w:color w:val="000000"/>
                <w:sz w:val="20"/>
                <w:szCs w:val="20"/>
                <w:u w:val="none"/>
              </w:rPr>
              <w:t>中共松潘县委统战部2023年全州统一战线以铸牢中华民族共同体意识为主线•服务全州经济高质量发展工作现场会点位提升改造项目</w:t>
            </w:r>
          </w:p>
        </w:tc>
      </w:tr>
      <w:tr w14:paraId="5656E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5" w:hRule="atLeast"/>
          <w:jc w:val="center"/>
        </w:trPr>
        <w:tc>
          <w:tcPr>
            <w:tcW w:w="4245" w:type="dxa"/>
            <w:gridSpan w:val="4"/>
            <w:tcBorders>
              <w:top w:val="single" w:color="000000" w:sz="4" w:space="0"/>
              <w:left w:val="single" w:color="000000" w:sz="4" w:space="0"/>
              <w:bottom w:val="single" w:color="000000" w:sz="4" w:space="0"/>
              <w:right w:val="single" w:color="000000" w:sz="4" w:space="0"/>
            </w:tcBorders>
            <w:noWrap w:val="0"/>
            <w:vAlign w:val="center"/>
          </w:tcPr>
          <w:p w14:paraId="1C56A3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预算单位</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1249589A">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中共松潘县委统战部</w:t>
            </w:r>
          </w:p>
        </w:tc>
      </w:tr>
      <w:tr w14:paraId="4362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 w:hRule="atLeast"/>
          <w:jc w:val="center"/>
        </w:trPr>
        <w:tc>
          <w:tcPr>
            <w:tcW w:w="4245" w:type="dxa"/>
            <w:gridSpan w:val="4"/>
            <w:tcBorders>
              <w:top w:val="single" w:color="000000" w:sz="4" w:space="0"/>
              <w:left w:val="single" w:color="000000" w:sz="4" w:space="0"/>
              <w:bottom w:val="single" w:color="000000" w:sz="4" w:space="0"/>
              <w:right w:val="single" w:color="000000" w:sz="4" w:space="0"/>
            </w:tcBorders>
            <w:noWrap w:val="0"/>
            <w:vAlign w:val="center"/>
          </w:tcPr>
          <w:p w14:paraId="62D164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项目类型</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06895C0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阶段性项目</w:t>
            </w:r>
          </w:p>
        </w:tc>
      </w:tr>
      <w:tr w14:paraId="3432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DBE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593" w:type="dxa"/>
            <w:gridSpan w:val="3"/>
            <w:tcBorders>
              <w:top w:val="single" w:color="000000" w:sz="4" w:space="0"/>
              <w:left w:val="single" w:color="000000" w:sz="4" w:space="0"/>
              <w:bottom w:val="single" w:color="000000" w:sz="4" w:space="0"/>
              <w:right w:val="single" w:color="000000" w:sz="4" w:space="0"/>
            </w:tcBorders>
            <w:noWrap w:val="0"/>
            <w:vAlign w:val="center"/>
          </w:tcPr>
          <w:p w14:paraId="115702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0"/>
                <w:szCs w:val="20"/>
                <w:u w:val="none"/>
                <w:lang w:val="en-US" w:eastAsia="zh-CN" w:bidi="ar"/>
              </w:rPr>
              <w:t>中长期规划（名称、文号，仅指常年项目）</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69B31F4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16FB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741F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593" w:type="dxa"/>
            <w:gridSpan w:val="3"/>
            <w:tcBorders>
              <w:top w:val="single" w:color="000000" w:sz="4" w:space="0"/>
              <w:left w:val="single" w:color="000000" w:sz="4" w:space="0"/>
              <w:bottom w:val="single" w:color="000000" w:sz="4" w:space="0"/>
              <w:right w:val="single" w:color="000000" w:sz="4" w:space="0"/>
            </w:tcBorders>
            <w:noWrap w:val="0"/>
            <w:vAlign w:val="center"/>
          </w:tcPr>
          <w:p w14:paraId="561625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0C83F972">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18"/>
                <w:szCs w:val="18"/>
                <w:u w:val="none"/>
              </w:rPr>
              <w:t>中共松潘县委统战部2023年全州统一战线以铸牢中华民族共同体意识为主线•服务全州经济高质量发展工作现场会点位提升改造项目</w:t>
            </w:r>
            <w:r>
              <w:rPr>
                <w:rFonts w:hint="eastAsia" w:ascii="宋体" w:hAnsi="宋体" w:eastAsia="宋体" w:cs="宋体"/>
                <w:i w:val="0"/>
                <w:color w:val="000000"/>
                <w:sz w:val="18"/>
                <w:szCs w:val="18"/>
                <w:u w:val="none"/>
                <w:lang w:eastAsia="zh-CN"/>
              </w:rPr>
              <w:t>资金管理办法</w:t>
            </w:r>
          </w:p>
        </w:tc>
      </w:tr>
      <w:tr w14:paraId="4BA9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9CE0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593" w:type="dxa"/>
            <w:gridSpan w:val="3"/>
            <w:tcBorders>
              <w:top w:val="single" w:color="000000" w:sz="4" w:space="0"/>
              <w:left w:val="single" w:color="000000" w:sz="4" w:space="0"/>
              <w:bottom w:val="single" w:color="000000" w:sz="4" w:space="0"/>
              <w:right w:val="single" w:color="000000" w:sz="4" w:space="0"/>
            </w:tcBorders>
            <w:noWrap w:val="0"/>
            <w:vAlign w:val="center"/>
          </w:tcPr>
          <w:p w14:paraId="183625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7DF0D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084847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74D6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sym w:font="Wingdings 2" w:char="0052"/>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788A3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因素法与项目法相结合</w:t>
            </w:r>
          </w:p>
        </w:tc>
      </w:tr>
      <w:tr w14:paraId="7EE0A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CF51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593" w:type="dxa"/>
            <w:gridSpan w:val="3"/>
            <w:tcBorders>
              <w:top w:val="single" w:color="000000" w:sz="4" w:space="0"/>
              <w:left w:val="single" w:color="000000" w:sz="4" w:space="0"/>
              <w:bottom w:val="single" w:color="000000" w:sz="4" w:space="0"/>
              <w:right w:val="single" w:color="000000" w:sz="4" w:space="0"/>
            </w:tcBorders>
            <w:noWrap w:val="0"/>
            <w:vAlign w:val="center"/>
          </w:tcPr>
          <w:p w14:paraId="11FAFD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立项依据</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51A18EF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阿州财行﹝2023﹞57号</w:t>
            </w:r>
          </w:p>
        </w:tc>
      </w:tr>
      <w:tr w14:paraId="6C7AC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7A84D">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593" w:type="dxa"/>
            <w:gridSpan w:val="3"/>
            <w:tcBorders>
              <w:top w:val="single" w:color="000000" w:sz="4" w:space="0"/>
              <w:left w:val="single" w:color="000000" w:sz="4" w:space="0"/>
              <w:bottom w:val="single" w:color="000000" w:sz="4" w:space="0"/>
              <w:right w:val="single" w:color="000000" w:sz="4" w:space="0"/>
            </w:tcBorders>
            <w:noWrap w:val="0"/>
            <w:vAlign w:val="center"/>
          </w:tcPr>
          <w:p w14:paraId="7FA59A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4B4B2FCF">
            <w:pPr>
              <w:keepNext w:val="0"/>
              <w:keepLines w:val="0"/>
              <w:pageBreakBefore w:val="0"/>
              <w:kinsoku/>
              <w:wordWrap/>
              <w:overflowPunct/>
              <w:topLinePunct w:val="0"/>
              <w:autoSpaceDE/>
              <w:autoSpaceDN/>
              <w:bidi w:val="0"/>
              <w:adjustRightInd/>
              <w:snapToGrid/>
              <w:spacing w:line="240" w:lineRule="auto"/>
              <w:ind w:left="0" w:leftChars="0"/>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0"/>
                <w:szCs w:val="20"/>
                <w:u w:val="none"/>
              </w:rPr>
              <w:t>松潘县麦吉村、松潘县“五十六间房”、松潘县牟尼后寺、松潘县青藏高原农畜产品加工集中区、松潘县清真北寺、松潘县红军长征纪念馆、松潘县岷江源国家湿地公园</w:t>
            </w:r>
            <w:r>
              <w:rPr>
                <w:rFonts w:hint="eastAsia" w:ascii="宋体" w:hAnsi="宋体" w:eastAsia="宋体" w:cs="宋体"/>
                <w:i w:val="0"/>
                <w:color w:val="000000"/>
                <w:sz w:val="20"/>
                <w:szCs w:val="20"/>
                <w:u w:val="none"/>
                <w:lang w:val="en-US" w:eastAsia="zh-CN"/>
              </w:rPr>
              <w:t>7</w:t>
            </w:r>
            <w:r>
              <w:rPr>
                <w:rFonts w:hint="eastAsia" w:ascii="宋体" w:hAnsi="宋体" w:cs="宋体"/>
                <w:i w:val="0"/>
                <w:color w:val="000000"/>
                <w:sz w:val="20"/>
                <w:szCs w:val="20"/>
                <w:u w:val="none"/>
                <w:lang w:val="en-US" w:eastAsia="zh-CN"/>
              </w:rPr>
              <w:t>个</w:t>
            </w:r>
            <w:r>
              <w:rPr>
                <w:rFonts w:hint="eastAsia" w:ascii="宋体" w:hAnsi="宋体" w:eastAsia="宋体" w:cs="宋体"/>
                <w:i w:val="0"/>
                <w:color w:val="000000"/>
                <w:sz w:val="20"/>
                <w:szCs w:val="20"/>
                <w:u w:val="none"/>
                <w:lang w:val="en-US" w:eastAsia="zh-CN"/>
              </w:rPr>
              <w:t>点位的提升改造</w:t>
            </w:r>
          </w:p>
        </w:tc>
      </w:tr>
      <w:tr w14:paraId="1644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30FD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593" w:type="dxa"/>
            <w:gridSpan w:val="3"/>
            <w:tcBorders>
              <w:top w:val="single" w:color="000000" w:sz="4" w:space="0"/>
              <w:left w:val="single" w:color="000000" w:sz="4" w:space="0"/>
              <w:bottom w:val="single" w:color="000000" w:sz="4" w:space="0"/>
              <w:right w:val="single" w:color="000000" w:sz="4" w:space="0"/>
            </w:tcBorders>
            <w:noWrap w:val="0"/>
            <w:vAlign w:val="center"/>
          </w:tcPr>
          <w:p w14:paraId="060DC4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2F96A0B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eastAsia="zh-CN"/>
              </w:rPr>
            </w:pPr>
          </w:p>
        </w:tc>
      </w:tr>
      <w:tr w14:paraId="5F90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7E49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593" w:type="dxa"/>
            <w:gridSpan w:val="3"/>
            <w:tcBorders>
              <w:top w:val="single" w:color="000000" w:sz="4" w:space="0"/>
              <w:left w:val="single" w:color="000000" w:sz="4" w:space="0"/>
              <w:bottom w:val="single" w:color="000000" w:sz="4" w:space="0"/>
              <w:right w:val="single" w:color="000000" w:sz="4" w:space="0"/>
            </w:tcBorders>
            <w:noWrap w:val="0"/>
            <w:vAlign w:val="center"/>
          </w:tcPr>
          <w:p w14:paraId="28C66C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0FABF60B">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2023年1月至2023年5月30日</w:t>
            </w:r>
          </w:p>
        </w:tc>
      </w:tr>
      <w:tr w14:paraId="51B2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586E8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7CDDBE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512" w:type="dxa"/>
            <w:gridSpan w:val="2"/>
            <w:tcBorders>
              <w:top w:val="single" w:color="000000" w:sz="4" w:space="0"/>
              <w:left w:val="single" w:color="000000" w:sz="4" w:space="0"/>
              <w:bottom w:val="single" w:color="000000" w:sz="4" w:space="0"/>
              <w:right w:val="single" w:color="000000" w:sz="4" w:space="0"/>
            </w:tcBorders>
            <w:noWrap w:val="0"/>
            <w:vAlign w:val="center"/>
          </w:tcPr>
          <w:p w14:paraId="0CF302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52E7079B">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80000元（捌万元整）</w:t>
            </w:r>
          </w:p>
        </w:tc>
      </w:tr>
      <w:tr w14:paraId="3D8B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8CAF1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12" w:type="dxa"/>
            <w:gridSpan w:val="2"/>
            <w:tcBorders>
              <w:top w:val="single" w:color="000000" w:sz="4" w:space="0"/>
              <w:left w:val="single" w:color="000000" w:sz="4" w:space="0"/>
              <w:bottom w:val="single" w:color="000000" w:sz="4" w:space="0"/>
              <w:right w:val="single" w:color="000000" w:sz="4" w:space="0"/>
            </w:tcBorders>
            <w:noWrap w:val="0"/>
            <w:vAlign w:val="center"/>
          </w:tcPr>
          <w:p w14:paraId="6DBC81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3BD6000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80000元（捌万元整）</w:t>
            </w:r>
          </w:p>
        </w:tc>
      </w:tr>
      <w:tr w14:paraId="7472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314F97">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512" w:type="dxa"/>
            <w:gridSpan w:val="2"/>
            <w:tcBorders>
              <w:top w:val="single" w:color="000000" w:sz="4" w:space="0"/>
              <w:left w:val="single" w:color="000000" w:sz="4" w:space="0"/>
              <w:bottom w:val="single" w:color="000000" w:sz="4" w:space="0"/>
              <w:right w:val="single" w:color="000000" w:sz="4" w:space="0"/>
            </w:tcBorders>
            <w:noWrap w:val="0"/>
            <w:vAlign w:val="center"/>
          </w:tcPr>
          <w:p w14:paraId="7F76E5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988" w:type="dxa"/>
            <w:gridSpan w:val="5"/>
            <w:tcBorders>
              <w:top w:val="single" w:color="000000" w:sz="4" w:space="0"/>
              <w:left w:val="single" w:color="000000" w:sz="4" w:space="0"/>
              <w:bottom w:val="single" w:color="000000" w:sz="4" w:space="0"/>
              <w:right w:val="single" w:color="000000" w:sz="4" w:space="0"/>
            </w:tcBorders>
            <w:noWrap w:val="0"/>
            <w:vAlign w:val="center"/>
          </w:tcPr>
          <w:p w14:paraId="6DB794A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7720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53D1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3B432C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2"/>
                <w:szCs w:val="22"/>
                <w:u w:val="none"/>
                <w:lang w:val="en-US" w:eastAsia="zh-CN" w:bidi="ar"/>
              </w:rPr>
              <w:t>年度目标</w:t>
            </w:r>
          </w:p>
        </w:tc>
      </w:tr>
      <w:tr w14:paraId="48AE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A062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7C3C961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r>
      <w:tr w14:paraId="62D1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4F7BB3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20A92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5D395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二级指标</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4E0D9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三级指标</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A6D57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7EE7C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088DD5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0AD9D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ADCD5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实际完成指标值</w:t>
            </w:r>
          </w:p>
        </w:tc>
      </w:tr>
      <w:tr w14:paraId="0CAAD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D55FA6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C61C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761BC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时效指标</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4EAD597">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按时完成项目内容</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219DE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7B30B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B347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859698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C91B7BF">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6EE1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4"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C62FB4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A9AF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7165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质量指标</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9E0D3AB">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质量合格</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50551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25EC3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71CFF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144F4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10F8E4E">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0368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ADDA67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5D67A">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7A328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数量指标</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F266E3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3"/>
                <w:szCs w:val="13"/>
                <w:u w:val="none"/>
                <w:lang w:val="en-US" w:eastAsia="zh-CN" w:bidi="ar"/>
              </w:rPr>
              <w:t>按数量完成项目内容</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F6A2F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D5906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A1D62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B1141A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2FF8296">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3909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EB68F8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51521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FB397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社会效益指标</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5E825819">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满意度</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4ADAE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CB43D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B7042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BCB0EB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2877898">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0BE0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4CB253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right w:val="single" w:color="000000" w:sz="4" w:space="0"/>
            </w:tcBorders>
            <w:noWrap w:val="0"/>
            <w:vAlign w:val="center"/>
          </w:tcPr>
          <w:p w14:paraId="2E98AD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满意度指标</w:t>
            </w:r>
          </w:p>
        </w:tc>
        <w:tc>
          <w:tcPr>
            <w:tcW w:w="1250" w:type="dxa"/>
            <w:tcBorders>
              <w:top w:val="single" w:color="000000" w:sz="4" w:space="0"/>
              <w:left w:val="single" w:color="000000" w:sz="4" w:space="0"/>
              <w:right w:val="single" w:color="000000" w:sz="4" w:space="0"/>
            </w:tcBorders>
            <w:noWrap w:val="0"/>
            <w:vAlign w:val="center"/>
          </w:tcPr>
          <w:p w14:paraId="238839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u w:val="none"/>
              </w:rPr>
            </w:pPr>
            <w:r>
              <w:rPr>
                <w:rFonts w:ascii="宋体" w:hAnsi="宋体" w:eastAsia="宋体" w:cs="宋体"/>
                <w:i w:val="0"/>
                <w:iCs w:val="0"/>
                <w:color w:val="000000"/>
                <w:kern w:val="0"/>
                <w:sz w:val="13"/>
                <w:szCs w:val="13"/>
                <w:u w:val="none"/>
                <w:lang w:val="en-US" w:eastAsia="zh-CN" w:bidi="ar"/>
              </w:rPr>
              <w:t>服务对象满意度指标</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7F62F3F">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服务对象满意度</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144FE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FC801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0A20E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8BC6C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FC7B10F">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61F6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8BAFCF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73457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1"/>
                <w:szCs w:val="21"/>
                <w:u w:val="none"/>
              </w:rPr>
            </w:pPr>
            <w:r>
              <w:rPr>
                <w:rFonts w:ascii="宋体" w:hAnsi="宋体" w:eastAsia="宋体" w:cs="宋体"/>
                <w:i w:val="0"/>
                <w:color w:val="000000"/>
                <w:kern w:val="0"/>
                <w:sz w:val="21"/>
                <w:szCs w:val="21"/>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80FEB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经济成本指标</w:t>
            </w:r>
          </w:p>
        </w:tc>
        <w:tc>
          <w:tcPr>
            <w:tcW w:w="1262" w:type="dxa"/>
            <w:tcBorders>
              <w:top w:val="single" w:color="000000" w:sz="4" w:space="0"/>
              <w:bottom w:val="single" w:color="000000" w:sz="4" w:space="0"/>
              <w:right w:val="single" w:color="000000" w:sz="4" w:space="0"/>
            </w:tcBorders>
            <w:noWrap w:val="0"/>
            <w:vAlign w:val="center"/>
          </w:tcPr>
          <w:p w14:paraId="2CD3575D">
            <w:pPr>
              <w:keepNext w:val="0"/>
              <w:keepLines w:val="0"/>
              <w:pageBreakBefore w:val="0"/>
              <w:widowControl/>
              <w:suppressLineNumbers w:val="0"/>
              <w:kinsoku/>
              <w:wordWrap/>
              <w:overflowPunct/>
              <w:topLinePunct w:val="0"/>
              <w:autoSpaceDE/>
              <w:autoSpaceDN/>
              <w:bidi w:val="0"/>
              <w:adjustRightInd/>
              <w:snapToGrid/>
              <w:spacing w:line="15"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成本指标控制率</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04B29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98502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0CC7D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5"/>
                <w:szCs w:val="15"/>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C7306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8484212">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bl>
    <w:p w14:paraId="627BC9EF">
      <w:pPr>
        <w:rPr>
          <w:rFonts w:hint="eastAsia" w:ascii="黑体" w:hAnsi="黑体" w:eastAsia="黑体"/>
          <w:color w:val="auto"/>
          <w:sz w:val="44"/>
          <w:szCs w:val="44"/>
          <w:highlight w:val="none"/>
        </w:rPr>
      </w:pPr>
      <w:r>
        <w:rPr>
          <w:rFonts w:hint="eastAsia" w:ascii="Times New Roman" w:hAnsi="Times New Roman" w:eastAsia="仿宋_GB2312" w:cs="Times New Roman"/>
          <w:kern w:val="2"/>
          <w:sz w:val="32"/>
          <w:szCs w:val="24"/>
          <w:highlight w:val="none"/>
          <w:lang w:val="en-US" w:eastAsia="zh-CN" w:bidi="ar-SA"/>
        </w:rPr>
        <w:br w:type="page"/>
      </w:r>
      <w:bookmarkStart w:id="67" w:name="_Toc15396618"/>
    </w:p>
    <w:p w14:paraId="2D1FDC71">
      <w:pPr>
        <w:widowControl/>
        <w:jc w:val="center"/>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bookmarkEnd w:id="64"/>
      <w:bookmarkEnd w:id="67"/>
      <w:bookmarkStart w:id="68" w:name="_Toc15396619"/>
    </w:p>
    <w:p w14:paraId="004EAEFA">
      <w:pPr>
        <w:pStyle w:val="3"/>
        <w:rPr>
          <w:rFonts w:ascii="仿宋" w:hAnsi="仿宋" w:eastAsia="仿宋"/>
          <w:color w:val="auto"/>
          <w:highlight w:val="none"/>
        </w:rPr>
      </w:pPr>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68"/>
    </w:p>
    <w:p w14:paraId="7BC991F5">
      <w:pPr>
        <w:pStyle w:val="3"/>
        <w:rPr>
          <w:rFonts w:ascii="仿宋" w:hAnsi="仿宋" w:eastAsia="仿宋"/>
          <w:color w:val="auto"/>
          <w:highlight w:val="none"/>
        </w:rPr>
      </w:pPr>
      <w:bookmarkStart w:id="69" w:name="_Toc15396620"/>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69"/>
    </w:p>
    <w:p w14:paraId="4F2FDCCE">
      <w:pPr>
        <w:pStyle w:val="3"/>
        <w:rPr>
          <w:rFonts w:ascii="仿宋" w:hAnsi="仿宋" w:eastAsia="仿宋"/>
          <w:color w:val="auto"/>
          <w:highlight w:val="none"/>
        </w:rPr>
      </w:pPr>
      <w:bookmarkStart w:id="70" w:name="_Toc15396621"/>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70"/>
    </w:p>
    <w:p w14:paraId="00662362">
      <w:pPr>
        <w:pStyle w:val="3"/>
        <w:rPr>
          <w:rFonts w:ascii="仿宋" w:hAnsi="仿宋" w:eastAsia="仿宋"/>
          <w:b w:val="0"/>
          <w:color w:val="auto"/>
          <w:highlight w:val="none"/>
        </w:rPr>
      </w:pPr>
      <w:bookmarkStart w:id="71" w:name="_Toc15396622"/>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71"/>
    </w:p>
    <w:p w14:paraId="0F7B1CC5">
      <w:pPr>
        <w:pStyle w:val="3"/>
        <w:rPr>
          <w:rStyle w:val="20"/>
          <w:rFonts w:ascii="仿宋" w:hAnsi="仿宋" w:eastAsia="仿宋"/>
          <w:b w:val="0"/>
          <w:bCs w:val="0"/>
          <w:color w:val="auto"/>
          <w:highlight w:val="none"/>
        </w:rPr>
      </w:pPr>
      <w:bookmarkStart w:id="72" w:name="_Toc15396623"/>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72"/>
      <w:bookmarkStart w:id="73" w:name="_Toc15396624"/>
    </w:p>
    <w:p w14:paraId="6539A7FF">
      <w:pPr>
        <w:pStyle w:val="3"/>
        <w:rPr>
          <w:rFonts w:ascii="仿宋" w:hAnsi="仿宋" w:eastAsia="仿宋"/>
          <w:color w:val="auto"/>
          <w:highlight w:val="none"/>
        </w:rPr>
      </w:pPr>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73"/>
    </w:p>
    <w:p w14:paraId="1551E484">
      <w:pPr>
        <w:pStyle w:val="3"/>
        <w:rPr>
          <w:rFonts w:ascii="仿宋" w:hAnsi="仿宋" w:eastAsia="仿宋"/>
          <w:color w:val="auto"/>
          <w:highlight w:val="none"/>
        </w:rPr>
      </w:pPr>
      <w:bookmarkStart w:id="74" w:name="_Toc15396625"/>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74"/>
    </w:p>
    <w:p w14:paraId="4B199DD7">
      <w:pPr>
        <w:pStyle w:val="3"/>
        <w:rPr>
          <w:rFonts w:ascii="仿宋" w:hAnsi="仿宋" w:eastAsia="仿宋"/>
          <w:color w:val="auto"/>
          <w:highlight w:val="none"/>
        </w:rPr>
      </w:pPr>
      <w:bookmarkStart w:id="75" w:name="_Toc15396626"/>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75"/>
    </w:p>
    <w:p w14:paraId="57186589">
      <w:pPr>
        <w:pStyle w:val="3"/>
        <w:rPr>
          <w:rFonts w:ascii="仿宋" w:hAnsi="仿宋" w:eastAsia="仿宋"/>
          <w:color w:val="auto"/>
          <w:highlight w:val="none"/>
        </w:rPr>
      </w:pPr>
      <w:bookmarkStart w:id="76" w:name="_Toc15396627"/>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76"/>
    </w:p>
    <w:p w14:paraId="6C9C6820">
      <w:pPr>
        <w:pStyle w:val="3"/>
        <w:rPr>
          <w:rFonts w:ascii="仿宋" w:hAnsi="仿宋" w:eastAsia="仿宋"/>
          <w:color w:val="auto"/>
          <w:highlight w:val="none"/>
        </w:rPr>
      </w:pPr>
      <w:bookmarkStart w:id="77" w:name="_Toc15396628"/>
      <w:r>
        <w:rPr>
          <w:rStyle w:val="20"/>
          <w:rFonts w:hint="eastAsia" w:ascii="仿宋" w:hAnsi="仿宋" w:eastAsia="仿宋"/>
          <w:b w:val="0"/>
          <w:bCs w:val="0"/>
          <w:color w:val="auto"/>
          <w:highlight w:val="none"/>
        </w:rPr>
        <w:t>十、</w:t>
      </w:r>
      <w:bookmarkEnd w:id="77"/>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p>
    <w:p w14:paraId="33EB78C4">
      <w:pPr>
        <w:pStyle w:val="3"/>
        <w:rPr>
          <w:rFonts w:ascii="仿宋" w:hAnsi="仿宋" w:eastAsia="仿宋"/>
          <w:color w:val="auto"/>
          <w:highlight w:val="none"/>
        </w:rPr>
      </w:pPr>
      <w:bookmarkStart w:id="78" w:name="_Toc15396629"/>
      <w:r>
        <w:rPr>
          <w:rStyle w:val="20"/>
          <w:rFonts w:hint="eastAsia" w:ascii="仿宋" w:hAnsi="仿宋" w:eastAsia="仿宋"/>
          <w:b w:val="0"/>
          <w:bCs w:val="0"/>
          <w:color w:val="auto"/>
          <w:highlight w:val="none"/>
        </w:rPr>
        <w:t>十一、</w:t>
      </w:r>
      <w:bookmarkEnd w:id="78"/>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p>
    <w:p w14:paraId="0782AF8A">
      <w:pPr>
        <w:pStyle w:val="3"/>
        <w:rPr>
          <w:rFonts w:ascii="仿宋" w:hAnsi="仿宋" w:eastAsia="仿宋"/>
          <w:color w:val="auto"/>
          <w:highlight w:val="none"/>
        </w:rPr>
      </w:pPr>
      <w:bookmarkStart w:id="79" w:name="_Toc15396630"/>
      <w:r>
        <w:rPr>
          <w:rStyle w:val="20"/>
          <w:rFonts w:hint="eastAsia" w:ascii="仿宋" w:hAnsi="仿宋" w:eastAsia="仿宋"/>
          <w:b w:val="0"/>
          <w:bCs w:val="0"/>
          <w:color w:val="auto"/>
          <w:highlight w:val="none"/>
        </w:rPr>
        <w:t>十二、</w:t>
      </w:r>
      <w:bookmarkEnd w:id="79"/>
      <w:r>
        <w:rPr>
          <w:rStyle w:val="20"/>
          <w:rFonts w:hint="eastAsia" w:ascii="仿宋" w:hAnsi="仿宋" w:eastAsia="仿宋"/>
          <w:b w:val="0"/>
          <w:bCs w:val="0"/>
          <w:color w:val="auto"/>
          <w:highlight w:val="none"/>
          <w:lang w:eastAsia="zh-CN"/>
        </w:rPr>
        <w:t>国有资本经营预算财政拨款支出决算表</w:t>
      </w:r>
    </w:p>
    <w:p w14:paraId="6DE7C09A">
      <w:pPr>
        <w:pStyle w:val="3"/>
        <w:rPr>
          <w:rStyle w:val="20"/>
          <w:rFonts w:hint="eastAsia" w:ascii="仿宋" w:hAnsi="仿宋" w:eastAsia="仿宋"/>
          <w:b w:val="0"/>
          <w:bCs w:val="0"/>
          <w:color w:val="auto"/>
          <w:highlight w:val="none"/>
          <w:lang w:eastAsia="zh-CN"/>
        </w:rPr>
      </w:pPr>
      <w:bookmarkStart w:id="80" w:name="_Toc15396631"/>
      <w:r>
        <w:rPr>
          <w:rStyle w:val="20"/>
          <w:rFonts w:hint="eastAsia" w:ascii="仿宋" w:hAnsi="仿宋" w:eastAsia="仿宋"/>
          <w:b w:val="0"/>
          <w:bCs w:val="0"/>
          <w:color w:val="auto"/>
          <w:highlight w:val="none"/>
        </w:rPr>
        <w:t>十三、</w:t>
      </w:r>
      <w:bookmarkEnd w:id="80"/>
      <w:r>
        <w:rPr>
          <w:rStyle w:val="20"/>
          <w:rFonts w:hint="eastAsia" w:ascii="仿宋" w:hAnsi="仿宋" w:eastAsia="仿宋"/>
          <w:b w:val="0"/>
          <w:bCs w:val="0"/>
          <w:color w:val="auto"/>
          <w:highlight w:val="none"/>
          <w:lang w:eastAsia="zh-CN"/>
        </w:rPr>
        <w:t>财政拨款“三公”经费支出决算表</w:t>
      </w:r>
    </w:p>
    <w:p w14:paraId="7161A151"/>
    <w:sectPr>
      <w:footerReference r:id="rId5" w:type="default"/>
      <w:pgSz w:w="11906" w:h="16838"/>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611A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107B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73B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4C214">
                          <w:pPr>
                            <w:pStyle w:val="7"/>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34C214">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NTUwMGM4MjA3OTY5NGU5YWQ3OWJmNTYyYTVmYzEifQ=="/>
  </w:docVars>
  <w:rsids>
    <w:rsidRoot w:val="00000000"/>
    <w:rsid w:val="0636392C"/>
    <w:rsid w:val="0A03621B"/>
    <w:rsid w:val="0AE70F49"/>
    <w:rsid w:val="0FAB4043"/>
    <w:rsid w:val="154335D1"/>
    <w:rsid w:val="16E24FBD"/>
    <w:rsid w:val="1F7A63A0"/>
    <w:rsid w:val="20F25A40"/>
    <w:rsid w:val="282C66F4"/>
    <w:rsid w:val="2C940BB2"/>
    <w:rsid w:val="2EAC0FE5"/>
    <w:rsid w:val="2F3169AB"/>
    <w:rsid w:val="2FCE5C85"/>
    <w:rsid w:val="311C7A3E"/>
    <w:rsid w:val="32BD2BA4"/>
    <w:rsid w:val="34C63970"/>
    <w:rsid w:val="35D040D7"/>
    <w:rsid w:val="36E856B3"/>
    <w:rsid w:val="3D917DD1"/>
    <w:rsid w:val="41662610"/>
    <w:rsid w:val="498F5D52"/>
    <w:rsid w:val="4FAB2A57"/>
    <w:rsid w:val="50C47D0B"/>
    <w:rsid w:val="56A14B05"/>
    <w:rsid w:val="57E9269E"/>
    <w:rsid w:val="58E971B2"/>
    <w:rsid w:val="5EED70A3"/>
    <w:rsid w:val="67817174"/>
    <w:rsid w:val="AFEF86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autoRedefine/>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Body Text Indent"/>
    <w:basedOn w:val="1"/>
    <w:qFormat/>
    <w:uiPriority w:val="0"/>
    <w:pPr>
      <w:spacing w:after="120"/>
      <w:ind w:leftChars="200"/>
    </w:pPr>
    <w:rPr>
      <w:rFonts w:ascii="仿宋_GB2312"/>
      <w:szCs w:val="32"/>
    </w:rPr>
  </w:style>
  <w:style w:type="paragraph" w:styleId="7">
    <w:name w:val="footer"/>
    <w:basedOn w:val="1"/>
    <w:autoRedefine/>
    <w:unhideWhenUsed/>
    <w:qFormat/>
    <w:uiPriority w:val="99"/>
    <w:pPr>
      <w:tabs>
        <w:tab w:val="center" w:pos="4153"/>
        <w:tab w:val="right" w:pos="8306"/>
      </w:tabs>
      <w:snapToGrid w:val="0"/>
      <w:jc w:val="left"/>
    </w:pPr>
    <w:rPr>
      <w:sz w:val="18"/>
      <w:szCs w:val="18"/>
      <w:lang w:val="zh-CN" w:eastAsia="zh-CN"/>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0">
    <w:name w:val="List"/>
    <w:basedOn w:val="5"/>
    <w:autoRedefine/>
    <w:qFormat/>
    <w:uiPriority w:val="0"/>
  </w:style>
  <w:style w:type="paragraph" w:styleId="11">
    <w:name w:val="footnote text"/>
    <w:basedOn w:val="1"/>
    <w:next w:val="12"/>
    <w:autoRedefine/>
    <w:semiHidden/>
    <w:qFormat/>
    <w:uiPriority w:val="0"/>
    <w:pPr>
      <w:snapToGrid w:val="0"/>
      <w:jc w:val="left"/>
    </w:pPr>
    <w:rPr>
      <w:sz w:val="18"/>
      <w:szCs w:val="18"/>
    </w:rPr>
  </w:style>
  <w:style w:type="paragraph" w:styleId="12">
    <w:name w:val="Body Text First Indent 2"/>
    <w:basedOn w:val="6"/>
    <w:autoRedefine/>
    <w:unhideWhenUsed/>
    <w:qFormat/>
    <w:uiPriority w:val="99"/>
    <w:pPr>
      <w:ind w:firstLine="420" w:firstLineChars="200"/>
    </w:pPr>
  </w:style>
  <w:style w:type="paragraph" w:styleId="13">
    <w:name w:val="toc 2"/>
    <w:basedOn w:val="1"/>
    <w:next w:val="1"/>
    <w:autoRedefine/>
    <w:unhideWhenUsed/>
    <w:qFormat/>
    <w:uiPriority w:val="39"/>
    <w:pPr>
      <w:tabs>
        <w:tab w:val="right" w:leader="dot" w:pos="8296"/>
      </w:tabs>
      <w:ind w:left="420" w:left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99"/>
    <w:rPr>
      <w:b/>
    </w:rPr>
  </w:style>
  <w:style w:type="character" w:styleId="18">
    <w:name w:val="Hyperlink"/>
    <w:basedOn w:val="16"/>
    <w:autoRedefine/>
    <w:unhideWhenUsed/>
    <w:qFormat/>
    <w:uiPriority w:val="99"/>
    <w:rPr>
      <w:color w:val="0000FF"/>
      <w:u w:val="single"/>
    </w:rPr>
  </w:style>
  <w:style w:type="character" w:customStyle="1" w:styleId="19">
    <w:name w:val="标题 1 Char"/>
    <w:basedOn w:val="16"/>
    <w:link w:val="2"/>
    <w:autoRedefine/>
    <w:qFormat/>
    <w:uiPriority w:val="9"/>
    <w:rPr>
      <w:b/>
      <w:bCs/>
      <w:kern w:val="44"/>
      <w:sz w:val="44"/>
      <w:szCs w:val="44"/>
    </w:rPr>
  </w:style>
  <w:style w:type="character" w:customStyle="1" w:styleId="20">
    <w:name w:val="标题 2 Char"/>
    <w:basedOn w:val="16"/>
    <w:link w:val="3"/>
    <w:autoRedefine/>
    <w:qFormat/>
    <w:uiPriority w:val="9"/>
    <w:rPr>
      <w:rFonts w:ascii="Cambria" w:hAnsi="Cambria" w:eastAsia="宋体" w:cs="Times New Roman"/>
      <w:b/>
      <w:bCs/>
      <w:sz w:val="32"/>
      <w:szCs w:val="32"/>
    </w:rPr>
  </w:style>
  <w:style w:type="character" w:customStyle="1" w:styleId="21">
    <w:name w:val="默认段落字体1"/>
    <w:autoRedefine/>
    <w:qFormat/>
    <w:uiPriority w:val="0"/>
  </w:style>
  <w:style w:type="paragraph" w:customStyle="1" w:styleId="22">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23">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Heading"/>
    <w:basedOn w:val="1"/>
    <w:next w:val="5"/>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5">
    <w:name w:val="Index"/>
    <w:basedOn w:val="1"/>
    <w:autoRedefine/>
    <w:qFormat/>
    <w:uiPriority w:val="0"/>
    <w:pPr>
      <w:widowControl w:val="0"/>
      <w:suppressLineNumbers/>
      <w:suppressAutoHyphens/>
    </w:pPr>
  </w:style>
  <w:style w:type="paragraph" w:styleId="26">
    <w:name w:val="List Paragraph"/>
    <w:basedOn w:val="1"/>
    <w:autoRedefine/>
    <w:qFormat/>
    <w:uiPriority w:val="34"/>
    <w:pPr>
      <w:ind w:firstLine="420" w:firstLineChars="200"/>
    </w:pPr>
  </w:style>
  <w:style w:type="paragraph" w:customStyle="1" w:styleId="27">
    <w:name w:val="称呼1"/>
    <w:basedOn w:val="1"/>
    <w:next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image" Target="../media/image2.png"/><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图1：收支决算总计变动情况图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收入</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innerShdw blurRad="63500" dist="50800" dir="8100000">
                <a:prstClr val="black">
                  <a:alpha val="50000"/>
                </a:prstClr>
              </a:inn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2023年度决算数</c:v>
                </c:pt>
                <c:pt idx="1">
                  <c:v>2022年度决算数</c:v>
                </c:pt>
              </c:strCache>
            </c:strRef>
          </c:cat>
          <c:val>
            <c:numRef>
              <c:f>Sheet1!$B$2:$C$2</c:f>
              <c:numCache>
                <c:formatCode>General</c:formatCode>
                <c:ptCount val="2"/>
                <c:pt idx="0">
                  <c:v>651.84</c:v>
                </c:pt>
                <c:pt idx="1">
                  <c:v>531.99</c:v>
                </c:pt>
              </c:numCache>
            </c:numRef>
          </c:val>
        </c:ser>
        <c:ser>
          <c:idx val="1"/>
          <c:order val="1"/>
          <c:tx>
            <c:strRef>
              <c:f>Sheet1!$A$3</c:f>
              <c:strCache>
                <c:ptCount val="1"/>
                <c:pt idx="0">
                  <c:v>支出</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innerShdw blurRad="63500" dist="50800" dir="8100000">
                <a:prstClr val="black">
                  <a:alpha val="50000"/>
                </a:prstClr>
              </a:inn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2023年度决算数</c:v>
                </c:pt>
                <c:pt idx="1">
                  <c:v>2022年度决算数</c:v>
                </c:pt>
              </c:strCache>
            </c:strRef>
          </c:cat>
          <c:val>
            <c:numRef>
              <c:f>Sheet1!$B$3:$C$3</c:f>
              <c:numCache>
                <c:formatCode>General</c:formatCode>
                <c:ptCount val="2"/>
                <c:pt idx="0">
                  <c:v>651.84</c:v>
                </c:pt>
                <c:pt idx="1">
                  <c:v>531.99</c:v>
                </c:pt>
              </c:numCache>
            </c:numRef>
          </c:val>
        </c:ser>
        <c:dLbls>
          <c:showLegendKey val="0"/>
          <c:showVal val="1"/>
          <c:showCatName val="0"/>
          <c:showSerName val="0"/>
          <c:showPercent val="0"/>
          <c:showBubbleSize val="0"/>
        </c:dLbls>
        <c:gapWidth val="246"/>
        <c:overlap val="-28"/>
        <c:axId val="512425939"/>
        <c:axId val="459410571"/>
      </c:barChart>
      <c:catAx>
        <c:axId val="512425939"/>
        <c:scaling>
          <c:orientation val="minMax"/>
        </c:scaling>
        <c:delete val="0"/>
        <c:axPos val="b"/>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459410571"/>
        <c:crosses val="autoZero"/>
        <c:auto val="1"/>
        <c:lblAlgn val="ctr"/>
        <c:lblOffset val="100"/>
        <c:noMultiLvlLbl val="0"/>
      </c:catAx>
      <c:valAx>
        <c:axId val="459410571"/>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1242593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6350" cap="flat" cmpd="sng" algn="ctr">
      <a:solidFill>
        <a:schemeClr val="tx1">
          <a:lumMod val="50000"/>
          <a:lumOff val="50000"/>
          <a:alpha val="25000"/>
        </a:schemeClr>
      </a:solidFill>
      <a:round/>
    </a:ln>
    <a:effectLst>
      <a:innerShdw blurRad="63500" dist="50800" dir="8100000">
        <a:prstClr val="black">
          <a:alpha val="50000"/>
        </a:prstClr>
      </a:inn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图2：收入决算结构图</a:t>
            </a:r>
          </a:p>
        </c:rich>
      </c:tx>
      <c:layout/>
      <c:overlay val="0"/>
      <c:spPr>
        <a:noFill/>
        <a:ln>
          <a:noFill/>
        </a:ln>
        <a:effectLst/>
      </c:spPr>
    </c:title>
    <c:autoTitleDeleted val="0"/>
    <c:view3D>
      <c:rotX val="50"/>
      <c:rotY val="0"/>
      <c:depthPercent val="170"/>
      <c:rAngAx val="0"/>
    </c:view3D>
    <c:floor>
      <c:thickness val="0"/>
    </c:floor>
    <c:sideWall>
      <c:thickness val="0"/>
    </c:sideWall>
    <c:backWall>
      <c:thickness val="0"/>
    </c:backWall>
    <c:plotArea>
      <c:layout>
        <c:manualLayout>
          <c:layoutTarget val="inner"/>
          <c:xMode val="edge"/>
          <c:yMode val="edge"/>
          <c:x val="0.020906833921338"/>
          <c:y val="0.145534729878721"/>
          <c:w val="0.955180974781132"/>
          <c:h val="0.727673649393605"/>
        </c:manualLayout>
      </c:layout>
      <c:pie3DChart>
        <c:varyColors val="1"/>
        <c:ser>
          <c:idx val="0"/>
          <c:order val="0"/>
          <c:tx>
            <c:strRef>
              <c:f>Sheet1!$B$1</c:f>
              <c:strCache>
                <c:ptCount val="1"/>
                <c:pt idx="0">
                  <c:v>2023年度收入</c:v>
                </c:pt>
              </c:strCache>
            </c:strRef>
          </c:tx>
          <c:spPr>
            <a:ln w="12700">
              <a:solidFill>
                <a:schemeClr val="bg1">
                  <a:lumMod val="95000"/>
                </a:schemeClr>
              </a:solidFill>
            </a:ln>
            <a:scene3d>
              <a:camera prst="orthographicFront"/>
              <a:lightRig rig="threePt" dir="t"/>
            </a:scene3d>
            <a:sp3d contourW="12700"/>
          </c:spPr>
          <c:explosion val="0"/>
          <c:dPt>
            <c:idx val="0"/>
            <c:bubble3D val="0"/>
            <c:spPr>
              <a:gradFill>
                <a:gsLst>
                  <a:gs pos="0">
                    <a:schemeClr val="accent1">
                      <a:lumMod val="88000"/>
                      <a:lumOff val="12000"/>
                    </a:schemeClr>
                  </a:gs>
                  <a:gs pos="57000">
                    <a:schemeClr val="accent1">
                      <a:lumMod val="45000"/>
                      <a:lumOff val="55000"/>
                    </a:schemeClr>
                  </a:gs>
                  <a:gs pos="67000">
                    <a:schemeClr val="accent1">
                      <a:lumMod val="45000"/>
                      <a:lumOff val="55000"/>
                    </a:schemeClr>
                  </a:gs>
                  <a:gs pos="100000">
                    <a:schemeClr val="accent1">
                      <a:lumMod val="30000"/>
                      <a:lumOff val="70000"/>
                    </a:schemeClr>
                  </a:gs>
                </a:gsLst>
                <a:path path="rect">
                  <a:fillToRect l="50000" t="50000" r="50000" b="50000"/>
                </a:path>
                <a:tileRect/>
              </a:gradFill>
              <a:ln w="12700">
                <a:solidFill>
                  <a:schemeClr val="bg1">
                    <a:lumMod val="95000"/>
                  </a:schemeClr>
                </a:solidFill>
              </a:ln>
              <a:effectLst>
                <a:innerShdw blurRad="63500" dist="50800" dir="10800000">
                  <a:prstClr val="black">
                    <a:alpha val="50000"/>
                  </a:prstClr>
                </a:innerShdw>
              </a:effectLst>
              <a:scene3d>
                <a:camera prst="orthographicFront"/>
                <a:lightRig rig="threePt" dir="t"/>
              </a:scene3d>
              <a:sp3d contourW="12700"/>
            </c:spPr>
          </c:dPt>
          <c:dPt>
            <c:idx val="1"/>
            <c:bubble3D val="0"/>
            <c:spPr>
              <a:solidFill>
                <a:schemeClr val="accent2"/>
              </a:solidFill>
              <a:ln w="12700">
                <a:solidFill>
                  <a:schemeClr val="bg1">
                    <a:lumMod val="95000"/>
                  </a:schemeClr>
                </a:solidFill>
              </a:ln>
              <a:effectLst/>
              <a:scene3d>
                <a:camera prst="orthographicFront"/>
                <a:lightRig rig="threePt" dir="t"/>
              </a:scene3d>
              <a:sp3d contourW="12700"/>
            </c:spPr>
          </c:dPt>
          <c:dPt>
            <c:idx val="2"/>
            <c:bubble3D val="0"/>
            <c:spPr>
              <a:solidFill>
                <a:schemeClr val="accent3"/>
              </a:solidFill>
              <a:ln w="12700">
                <a:solidFill>
                  <a:schemeClr val="bg1">
                    <a:lumMod val="95000"/>
                  </a:schemeClr>
                </a:solidFill>
              </a:ln>
              <a:effectLst/>
              <a:scene3d>
                <a:camera prst="orthographicFront"/>
                <a:lightRig rig="threePt" dir="t"/>
              </a:scene3d>
              <a:sp3d contourW="12700"/>
            </c:spPr>
          </c:dPt>
          <c:dPt>
            <c:idx val="3"/>
            <c:bubble3D val="0"/>
            <c:spPr>
              <a:solidFill>
                <a:schemeClr val="accent4"/>
              </a:solidFill>
              <a:ln w="12700">
                <a:solidFill>
                  <a:schemeClr val="bg1">
                    <a:lumMod val="95000"/>
                  </a:schemeClr>
                </a:solidFill>
              </a:ln>
              <a:effectLst/>
              <a:scene3d>
                <a:camera prst="orthographicFront"/>
                <a:lightRig rig="threePt" dir="t"/>
              </a:scene3d>
              <a:sp3d contourW="12700"/>
            </c:spPr>
          </c:dPt>
          <c:dPt>
            <c:idx val="4"/>
            <c:bubble3D val="0"/>
            <c:spPr>
              <a:solidFill>
                <a:schemeClr val="accent5">
                  <a:shade val="76667"/>
                </a:schemeClr>
              </a:solidFill>
              <a:ln w="12700">
                <a:solidFill>
                  <a:schemeClr val="bg1">
                    <a:lumMod val="95000"/>
                  </a:schemeClr>
                </a:solidFill>
              </a:ln>
              <a:effectLst/>
              <a:scene3d>
                <a:camera prst="orthographicFront"/>
                <a:lightRig rig="threePt" dir="t"/>
              </a:scene3d>
              <a:sp3d contourW="12700"/>
            </c:spPr>
          </c:dPt>
          <c:dPt>
            <c:idx val="5"/>
            <c:bubble3D val="0"/>
            <c:spPr>
              <a:solidFill>
                <a:schemeClr val="accent6"/>
              </a:solidFill>
              <a:ln w="12700">
                <a:solidFill>
                  <a:schemeClr val="bg1">
                    <a:lumMod val="95000"/>
                  </a:schemeClr>
                </a:solidFill>
              </a:ln>
              <a:effectLst/>
              <a:scene3d>
                <a:camera prst="orthographicFront"/>
                <a:lightRig rig="threePt" dir="t"/>
              </a:scene3d>
              <a:sp3d contourW="12700"/>
            </c:spPr>
          </c:dPt>
          <c:dPt>
            <c:idx val="6"/>
            <c:bubble3D val="0"/>
            <c:spPr>
              <a:ln w="12700">
                <a:solidFill>
                  <a:schemeClr val="bg1">
                    <a:lumMod val="95000"/>
                  </a:schemeClr>
                </a:solidFill>
              </a:ln>
              <a:scene3d>
                <a:camera prst="orthographicFront"/>
                <a:lightRig rig="threePt" dir="t"/>
              </a:scene3d>
              <a:sp3d contourW="12700"/>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Sheet1!$A$2:$A$8</c:f>
              <c:strCache>
                <c:ptCount val="7"/>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strCache>
            </c:strRef>
          </c:cat>
          <c:val>
            <c:numRef>
              <c:f>Sheet1!$B$2:$B$8</c:f>
              <c:numCache>
                <c:formatCode>General</c:formatCode>
                <c:ptCount val="7"/>
                <c:pt idx="0">
                  <c:v>651.84</c:v>
                </c:pt>
                <c:pt idx="1">
                  <c:v>0</c:v>
                </c:pt>
                <c:pt idx="2">
                  <c:v>0</c:v>
                </c:pt>
                <c:pt idx="3">
                  <c:v>0</c:v>
                </c:pt>
                <c:pt idx="4">
                  <c:v>0</c:v>
                </c:pt>
                <c:pt idx="5">
                  <c:v>0</c:v>
                </c:pt>
                <c:pt idx="6">
                  <c:v>0</c:v>
                </c:pt>
              </c:numCache>
            </c:numRef>
          </c:val>
        </c:ser>
        <c:dLbls>
          <c:showLegendKey val="0"/>
          <c:showVal val="0"/>
          <c:showCatName val="0"/>
          <c:showSerName val="0"/>
          <c:showPercent val="1"/>
          <c:showBubbleSize val="0"/>
        </c:dLbls>
      </c:pie3DChart>
      <c:spPr>
        <a:noFill/>
        <a:ln>
          <a:noFill/>
        </a:ln>
        <a:effectLst/>
      </c:spPr>
    </c:plotArea>
    <c:legend>
      <c:legendPos val="b"/>
      <c:layout>
        <c:manualLayout>
          <c:xMode val="edge"/>
          <c:yMode val="edge"/>
          <c:x val="0.00362406378352259"/>
          <c:y val="0.878468368479467"/>
          <c:w val="0.992751872432955"/>
          <c:h val="0.115982241953385"/>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gradFill>
      <a:gsLst>
        <a:gs pos="0">
          <a:schemeClr val="accent1">
            <a:lumMod val="13000"/>
            <a:lumOff val="87000"/>
          </a:schemeClr>
        </a:gs>
        <a:gs pos="57000">
          <a:schemeClr val="accent1">
            <a:lumMod val="45000"/>
            <a:lumOff val="55000"/>
          </a:schemeClr>
        </a:gs>
        <a:gs pos="67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prstDash val="solid"/>
      <a:round/>
    </a:ln>
    <a:effectLst>
      <a:innerShdw blurRad="63500" dist="50800" dir="10800000">
        <a:prstClr val="black">
          <a:alpha val="50000"/>
        </a:prstClr>
      </a:inn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图</a:t>
            </a:r>
            <a:r>
              <a:rPr lang="en-US" altLang="zh-CN"/>
              <a:t>3</a:t>
            </a:r>
            <a:r>
              <a:rPr altLang="en-US"/>
              <a:t>：</a:t>
            </a:r>
            <a:r>
              <a:t>2023年支出决算结构图</a:t>
            </a:r>
          </a:p>
        </c:rich>
      </c:tx>
      <c:layout>
        <c:manualLayout>
          <c:xMode val="edge"/>
          <c:yMode val="edge"/>
          <c:x val="0.268543126359024"/>
          <c:y val="0.0388865278368041"/>
        </c:manualLayout>
      </c:layout>
      <c:overlay val="0"/>
      <c:spPr>
        <a:noFill/>
        <a:ln>
          <a:noFill/>
        </a:ln>
        <a:effectLst/>
      </c:spPr>
    </c:title>
    <c:autoTitleDeleted val="0"/>
    <c:view3D>
      <c:rotX val="50"/>
      <c:rotY val="28"/>
      <c:depthPercent val="100"/>
      <c:rAngAx val="0"/>
    </c:view3D>
    <c:floor>
      <c:thickness val="0"/>
    </c:floor>
    <c:sideWall>
      <c:thickness val="0"/>
    </c:sideWall>
    <c:backWall>
      <c:thickness val="0"/>
    </c:backWall>
    <c:plotArea>
      <c:layout/>
      <c:pie3DChart>
        <c:varyColors val="1"/>
        <c:ser>
          <c:idx val="0"/>
          <c:order val="0"/>
          <c:tx>
            <c:strRef>
              <c:f>Sheet1!$B$1</c:f>
              <c:strCache>
                <c:ptCount val="1"/>
                <c:pt idx="0">
                  <c:v>2023年支出决算结构图</c:v>
                </c:pt>
              </c:strCache>
            </c:strRef>
          </c:tx>
          <c:spPr>
            <a:scene3d>
              <a:camera prst="orthographicFront"/>
              <a:lightRig rig="threePt" dir="t"/>
            </a:scene3d>
            <a:sp3d contourW="9525"/>
          </c:spPr>
          <c:explosion val="0"/>
          <c:dPt>
            <c:idx val="0"/>
            <c:bubble3D val="0"/>
            <c:spPr>
              <a:gradFill>
                <a:gsLst>
                  <a:gs pos="0">
                    <a:schemeClr val="accent1">
                      <a:shade val="76667"/>
                      <a:lumMod val="40000"/>
                      <a:lumOff val="60000"/>
                    </a:schemeClr>
                  </a:gs>
                  <a:gs pos="90000">
                    <a:schemeClr val="accent1">
                      <a:shade val="76667"/>
                    </a:schemeClr>
                  </a:gs>
                </a:gsLst>
                <a:path path="rect">
                  <a:fillToRect t="100000" r="100000"/>
                </a:path>
                <a:tileRect l="-100000" b="-100000"/>
              </a:gradFill>
              <a:ln>
                <a:gradFill>
                  <a:gsLst>
                    <a:gs pos="0">
                      <a:schemeClr val="accent1">
                        <a:shade val="76667"/>
                      </a:schemeClr>
                    </a:gs>
                    <a:gs pos="100000">
                      <a:schemeClr val="accent1">
                        <a:shade val="76667"/>
                        <a:lumMod val="75000"/>
                      </a:schemeClr>
                    </a:gs>
                  </a:gsLst>
                  <a:lin ang="5400000" scaled="1"/>
                </a:gradFill>
              </a:ln>
              <a:effectLst>
                <a:innerShdw blurRad="63500" dist="50800" dir="10800000">
                  <a:prstClr val="black">
                    <a:alpha val="50000"/>
                  </a:prstClr>
                </a:innerShdw>
              </a:effectLst>
            </c:spPr>
          </c:dPt>
          <c:dPt>
            <c:idx val="1"/>
            <c:bubble3D val="0"/>
            <c:spPr>
              <a:gradFill>
                <a:gsLst>
                  <a:gs pos="0">
                    <a:schemeClr val="accent2">
                      <a:shade val="76667"/>
                      <a:lumMod val="40000"/>
                      <a:lumOff val="60000"/>
                    </a:schemeClr>
                  </a:gs>
                  <a:gs pos="90000">
                    <a:schemeClr val="accent2">
                      <a:shade val="76667"/>
                    </a:schemeClr>
                  </a:gs>
                </a:gsLst>
                <a:path path="rect">
                  <a:fillToRect t="100000" r="100000"/>
                </a:path>
                <a:tileRect l="-100000" b="-100000"/>
              </a:gradFill>
              <a:ln>
                <a:gradFill>
                  <a:gsLst>
                    <a:gs pos="0">
                      <a:schemeClr val="accent2">
                        <a:shade val="76667"/>
                      </a:schemeClr>
                    </a:gs>
                    <a:gs pos="100000">
                      <a:schemeClr val="accent2">
                        <a:shade val="76667"/>
                        <a:lumMod val="75000"/>
                      </a:schemeClr>
                    </a:gs>
                  </a:gsLst>
                  <a:lin ang="5400000" scaled="1"/>
                </a:gradFill>
              </a:ln>
              <a:effectLst>
                <a:innerShdw blurRad="63500" dist="50800" dir="10800000">
                  <a:prstClr val="black">
                    <a:alpha val="50000"/>
                  </a:prstClr>
                </a:innerShdw>
              </a:effectLst>
            </c:spPr>
          </c:dPt>
          <c:dPt>
            <c:idx val="2"/>
            <c:bubble3D val="0"/>
            <c:spPr>
              <a:gradFill>
                <a:gsLst>
                  <a:gs pos="0">
                    <a:schemeClr val="accent3">
                      <a:shade val="76667"/>
                      <a:lumMod val="40000"/>
                      <a:lumOff val="60000"/>
                    </a:schemeClr>
                  </a:gs>
                  <a:gs pos="90000">
                    <a:schemeClr val="accent3">
                      <a:shade val="76667"/>
                    </a:schemeClr>
                  </a:gs>
                </a:gsLst>
                <a:lin ang="5400000" scaled="0"/>
              </a:gradFill>
              <a:ln>
                <a:gradFill>
                  <a:gsLst>
                    <a:gs pos="0">
                      <a:schemeClr val="accent3">
                        <a:shade val="76667"/>
                      </a:schemeClr>
                    </a:gs>
                    <a:gs pos="100000">
                      <a:schemeClr val="accent3">
                        <a:shade val="76667"/>
                        <a:lumMod val="75000"/>
                      </a:schemeClr>
                    </a:gs>
                  </a:gsLst>
                  <a:lin ang="5400000" scaled="1"/>
                </a:gradFill>
              </a:ln>
              <a:effectLst/>
            </c:spPr>
          </c:dPt>
          <c:dPt>
            <c:idx val="3"/>
            <c:bubble3D val="0"/>
            <c:spPr>
              <a:gradFill>
                <a:gsLst>
                  <a:gs pos="0">
                    <a:schemeClr val="accent4">
                      <a:shade val="76667"/>
                      <a:lumMod val="40000"/>
                      <a:lumOff val="60000"/>
                    </a:schemeClr>
                  </a:gs>
                  <a:gs pos="90000">
                    <a:schemeClr val="accent4">
                      <a:shade val="76667"/>
                    </a:schemeClr>
                  </a:gs>
                </a:gsLst>
                <a:lin ang="5400000" scaled="0"/>
              </a:gradFill>
              <a:ln>
                <a:gradFill>
                  <a:gsLst>
                    <a:gs pos="0">
                      <a:schemeClr val="accent4">
                        <a:shade val="76667"/>
                      </a:schemeClr>
                    </a:gs>
                    <a:gs pos="100000">
                      <a:schemeClr val="accent4">
                        <a:shade val="76667"/>
                        <a:lumMod val="75000"/>
                      </a:schemeClr>
                    </a:gs>
                  </a:gsLst>
                  <a:lin ang="5400000" scaled="1"/>
                </a:gradFill>
              </a:ln>
              <a:effectLst/>
            </c:spPr>
          </c:dPt>
          <c:dLbls>
            <c:dLbl>
              <c:idx val="0"/>
              <c:layout>
                <c:manualLayout>
                  <c:x val="-0.430417975356366"/>
                  <c:y val="-0.159158521036974"/>
                </c:manualLayout>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hade val="76667"/>
                        </a:schemeClr>
                      </a:solidFill>
                      <a:effectLst>
                        <a:outerShdw blurRad="50800" dist="38100" algn="l" rotWithShape="0">
                          <a:prstClr val="black">
                            <a:alpha val="10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68905532737376"/>
                  <c:y val="0.0318742031449214"/>
                </c:manualLayout>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2">
                          <a:shade val="76667"/>
                        </a:schemeClr>
                      </a:solidFill>
                      <a:effectLst>
                        <a:outerShdw blurRad="50800" dist="38100" algn="l" rotWithShape="0">
                          <a:prstClr val="black">
                            <a:alpha val="10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44745107513892"/>
                  <c:y val="0.23905652358691"/>
                </c:manualLayout>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3">
                          <a:shade val="76667"/>
                        </a:schemeClr>
                      </a:solidFill>
                      <a:effectLst>
                        <a:outerShdw blurRad="50800" dist="38100" algn="l" rotWithShape="0">
                          <a:prstClr val="black">
                            <a:alpha val="10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38584199081904"/>
                  <c:y val="-0.0344241393965151"/>
                </c:manualLayout>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4">
                          <a:shade val="76667"/>
                        </a:schemeClr>
                      </a:solidFill>
                      <a:effectLst>
                        <a:outerShdw blurRad="50800" dist="38100" algn="l" rotWithShape="0">
                          <a:prstClr val="black">
                            <a:alpha val="10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spc="0" baseline="0">
                    <a:solidFill>
                      <a:schemeClr val="accent1"/>
                    </a:solidFill>
                    <a:effectLst>
                      <a:outerShdw blurRad="50800" dist="38100" algn="l" rotWithShape="0">
                        <a:prstClr val="black">
                          <a:alpha val="100000"/>
                        </a:prstClr>
                      </a:out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基本支出</c:v>
                </c:pt>
                <c:pt idx="1">
                  <c:v>项目支出</c:v>
                </c:pt>
                <c:pt idx="2">
                  <c:v>上缴上级支出</c:v>
                </c:pt>
                <c:pt idx="3">
                  <c:v>经营支出</c:v>
                </c:pt>
              </c:strCache>
            </c:strRef>
          </c:cat>
          <c:val>
            <c:numRef>
              <c:f>Sheet1!$B$2:$B$5</c:f>
              <c:numCache>
                <c:formatCode>General</c:formatCode>
                <c:ptCount val="4"/>
                <c:pt idx="0">
                  <c:v>498.64</c:v>
                </c:pt>
                <c:pt idx="1">
                  <c:v>153.2</c:v>
                </c:pt>
                <c:pt idx="2">
                  <c:v>0</c:v>
                </c:pt>
                <c:pt idx="3">
                  <c:v>0</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blipFill>
      <a:blip xmlns:r="http://schemas.openxmlformats.org/officeDocument/2006/relationships" r:embed="rId2">
        <a:alphaModFix amt="63000"/>
      </a:blip>
      <a:tile tx="0" ty="0" sx="100000" sy="100000" flip="none" algn="tl"/>
    </a:blipFill>
    <a:ln w="6350" cap="flat" cmpd="sng" algn="ctr">
      <a:solidFill>
        <a:schemeClr val="tx1">
          <a:lumMod val="50000"/>
          <a:lumOff val="50000"/>
          <a:alpha val="25000"/>
        </a:schemeClr>
      </a:solidFill>
      <a:prstDash val="solid"/>
      <a:round/>
    </a:ln>
    <a:effectLst>
      <a:innerShdw blurRad="63500" dist="50800" dir="10800000">
        <a:prstClr val="black">
          <a:alpha val="50000"/>
        </a:prstClr>
      </a:inn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effectLst>
                  <a:innerShdw blurRad="63500" dist="50800">
                    <a:prstClr val="black">
                      <a:alpha val="50000"/>
                    </a:prstClr>
                  </a:innerShdw>
                </a:effectLst>
              </a:rPr>
              <a:t>图</a:t>
            </a:r>
            <a:r>
              <a:rPr lang="en-US" altLang="zh-CN">
                <a:effectLst>
                  <a:innerShdw blurRad="63500" dist="50800">
                    <a:prstClr val="black">
                      <a:alpha val="50000"/>
                    </a:prstClr>
                  </a:innerShdw>
                </a:effectLst>
              </a:rPr>
              <a:t>4</a:t>
            </a:r>
            <a:r>
              <a:rPr altLang="en-US">
                <a:effectLst>
                  <a:innerShdw blurRad="63500" dist="50800">
                    <a:prstClr val="black">
                      <a:alpha val="50000"/>
                    </a:prstClr>
                  </a:innerShdw>
                </a:effectLst>
              </a:rPr>
              <a:t>：</a:t>
            </a:r>
            <a:r>
              <a:rPr>
                <a:effectLst>
                  <a:innerShdw blurRad="63500" dist="50800">
                    <a:prstClr val="black">
                      <a:alpha val="50000"/>
                    </a:prstClr>
                  </a:innerShdw>
                </a:effectLst>
              </a:rPr>
              <a:t>财政拨款收、支决算总计变动情况</a:t>
            </a:r>
            <a:endParaRPr>
              <a:effectLst>
                <a:innerShdw blurRad="63500" dist="50800">
                  <a:prstClr val="black">
                    <a:alpha val="50000"/>
                  </a:prstClr>
                </a:innerShdw>
              </a:effectLst>
            </a:endParaRP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tx>
            <c:strRef>
              <c:f>Sheet1!$B$1</c:f>
              <c:strCache>
                <c:ptCount val="1"/>
                <c:pt idx="0">
                  <c:v>收入决算数</c:v>
                </c:pt>
              </c:strCache>
            </c:strRef>
          </c:tx>
          <c:spPr>
            <a:gradFill>
              <a:gsLst>
                <a:gs pos="0">
                  <a:srgbClr val="EE5596"/>
                </a:gs>
                <a:gs pos="100000">
                  <a:srgbClr val="F9B621"/>
                </a:gs>
              </a:gsLst>
              <a:lin ang="5400000" scaled="0"/>
            </a:gradFill>
            <a:ln>
              <a:noFill/>
            </a:ln>
            <a:effectLst>
              <a:innerShdw blurRad="63500" dist="50800">
                <a:prstClr val="black">
                  <a:alpha val="50000"/>
                </a:prstClr>
              </a:innerShdw>
            </a:effectLst>
          </c:spPr>
          <c:invertIfNegative val="0"/>
          <c:dLbls>
            <c:delete val="1"/>
          </c:dLbls>
          <c:cat>
            <c:strRef>
              <c:f>Sheet1!$A$2:$A$3</c:f>
              <c:strCache>
                <c:ptCount val="2"/>
                <c:pt idx="0">
                  <c:v>2022年收支决算</c:v>
                </c:pt>
                <c:pt idx="1">
                  <c:v>2023年收支决算</c:v>
                </c:pt>
              </c:strCache>
            </c:strRef>
          </c:cat>
          <c:val>
            <c:numRef>
              <c:f>Sheet1!$B$2:$B$3</c:f>
              <c:numCache>
                <c:formatCode>General</c:formatCode>
                <c:ptCount val="2"/>
                <c:pt idx="0">
                  <c:v>531.99</c:v>
                </c:pt>
                <c:pt idx="1">
                  <c:v>651.84</c:v>
                </c:pt>
              </c:numCache>
            </c:numRef>
          </c:val>
        </c:ser>
        <c:ser>
          <c:idx val="1"/>
          <c:order val="1"/>
          <c:tx>
            <c:strRef>
              <c:f>Sheet1!$C$1</c:f>
              <c:strCache>
                <c:ptCount val="1"/>
                <c:pt idx="0">
                  <c:v>支出决算数</c:v>
                </c:pt>
              </c:strCache>
            </c:strRef>
          </c:tx>
          <c:spPr>
            <a:gradFill>
              <a:gsLst>
                <a:gs pos="0">
                  <a:srgbClr val="6E6FFA"/>
                </a:gs>
                <a:gs pos="100000">
                  <a:srgbClr val="07E3EE"/>
                </a:gs>
              </a:gsLst>
              <a:lin ang="5400000" scaled="0"/>
            </a:gradFill>
            <a:ln>
              <a:noFill/>
            </a:ln>
            <a:effectLst>
              <a:innerShdw blurRad="63500" dist="50800">
                <a:prstClr val="black">
                  <a:alpha val="50000"/>
                </a:prstClr>
              </a:innerShdw>
            </a:effectLst>
          </c:spPr>
          <c:invertIfNegative val="0"/>
          <c:dLbls>
            <c:delete val="1"/>
          </c:dLbls>
          <c:cat>
            <c:strRef>
              <c:f>Sheet1!$A$2:$A$3</c:f>
              <c:strCache>
                <c:ptCount val="2"/>
                <c:pt idx="0">
                  <c:v>2022年收支决算</c:v>
                </c:pt>
                <c:pt idx="1">
                  <c:v>2023年收支决算</c:v>
                </c:pt>
              </c:strCache>
            </c:strRef>
          </c:cat>
          <c:val>
            <c:numRef>
              <c:f>Sheet1!$C$2:$C$3</c:f>
              <c:numCache>
                <c:formatCode>General</c:formatCode>
                <c:ptCount val="2"/>
                <c:pt idx="0">
                  <c:v>531.99</c:v>
                </c:pt>
                <c:pt idx="1">
                  <c:v>651.84</c:v>
                </c:pt>
              </c:numCache>
            </c:numRef>
          </c:val>
        </c:ser>
        <c:dLbls>
          <c:showLegendKey val="0"/>
          <c:showVal val="0"/>
          <c:showCatName val="0"/>
          <c:showSerName val="0"/>
          <c:showPercent val="0"/>
          <c:showBubbleSize val="0"/>
        </c:dLbls>
        <c:gapWidth val="219"/>
        <c:overlap val="-27"/>
        <c:axId val="950454468"/>
        <c:axId val="83275791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gradFill>
                    <a:gsLst>
                      <a:gs pos="0">
                        <a:srgbClr val="8DDE03"/>
                      </a:gs>
                      <a:gs pos="100000">
                        <a:srgbClr val="DCDB06"/>
                      </a:gs>
                    </a:gsLst>
                    <a:lin ang="5400000" scaled="0"/>
                  </a:gra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2022年收支决算</c:v>
                      </c:pt>
                      <c:pt idx="1">
                        <c:v>2023年收支决算</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950454468"/>
        <c:scaling>
          <c:orientation val="minMax"/>
        </c:scaling>
        <c:delete val="0"/>
        <c:axPos val="b"/>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32757910"/>
        <c:crosses val="autoZero"/>
        <c:auto val="1"/>
        <c:lblAlgn val="ctr"/>
        <c:lblOffset val="100"/>
        <c:noMultiLvlLbl val="0"/>
      </c:catAx>
      <c:valAx>
        <c:axId val="832757910"/>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50454468"/>
        <c:crosses val="autoZero"/>
        <c:crossBetween val="between"/>
      </c:valAx>
      <c:spPr>
        <a:noFill/>
        <a:ln>
          <a:solidFill>
            <a:schemeClr val="bg1">
              <a:lumMod val="85000"/>
            </a:schemeClr>
          </a:solid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blipFill rotWithShape="1">
      <a:blip xmlns:r="http://schemas.openxmlformats.org/officeDocument/2006/relationships" r:embed="rId2">
        <a:alphaModFix amt="69000"/>
      </a:blip>
      <a:tile tx="0" ty="0" sx="100000" sy="100000" flip="none" algn="tl"/>
    </a:blipFill>
    <a:ln w="9525" cap="flat" cmpd="sng" algn="ctr">
      <a:solidFill>
        <a:schemeClr val="tx1">
          <a:lumMod val="15000"/>
          <a:lumOff val="85000"/>
        </a:schemeClr>
      </a:solidFill>
      <a:round/>
    </a:ln>
    <a:effectLst>
      <a:innerShdw blurRad="63500" dist="50800">
        <a:prstClr val="black">
          <a:alpha val="50000"/>
        </a:prstClr>
      </a:innerShdw>
    </a:effectLst>
  </c:spPr>
  <c:txPr>
    <a:bodyPr/>
    <a:lstStyle/>
    <a:p>
      <a:pPr>
        <a:defRPr lang="zh-CN">
          <a:solidFill>
            <a:schemeClr val="tx1">
              <a:lumMod val="75000"/>
              <a:lumOff val="25000"/>
            </a:schemeClr>
          </a:solidFill>
          <a:effectLst>
            <a:innerShdw blurRad="63500" dist="50800">
              <a:prstClr val="black">
                <a:alpha val="5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effectLst>
                  <a:innerShdw blurRad="63500" dist="50800">
                    <a:prstClr val="black">
                      <a:alpha val="100000"/>
                    </a:prstClr>
                  </a:innerShdw>
                </a:effectLst>
              </a:rPr>
              <a:t>图5：一般公共预算财政拨款支出</a:t>
            </a:r>
            <a:endParaRPr>
              <a:effectLst>
                <a:innerShdw blurRad="63500" dist="50800">
                  <a:prstClr val="black">
                    <a:alpha val="100000"/>
                  </a:prstClr>
                </a:innerShdw>
              </a:effectLst>
            </a:endParaRP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tx>
            <c:strRef>
              <c:f>Sheet1!$B$1</c:f>
              <c:strCache>
                <c:ptCount val="1"/>
                <c:pt idx="0">
                  <c:v>一般公共预算财政拨款支出</c:v>
                </c:pt>
              </c:strCache>
            </c:strRef>
          </c:tx>
          <c:spPr>
            <a:gradFill>
              <a:gsLst>
                <a:gs pos="0">
                  <a:srgbClr val="EE5596"/>
                </a:gs>
                <a:gs pos="100000">
                  <a:srgbClr val="F9B621"/>
                </a:gs>
              </a:gsLst>
              <a:lin ang="5400000" scaled="0"/>
            </a:gradFill>
            <a:ln>
              <a:noFill/>
            </a:ln>
            <a:effectLst>
              <a:innerShdw blurRad="114300">
                <a:prstClr val="black"/>
              </a:innerShdw>
            </a:effectLst>
          </c:spPr>
          <c:invertIfNegative val="0"/>
          <c:dLbls>
            <c:delete val="1"/>
          </c:dLbls>
          <c:cat>
            <c:strRef>
              <c:f>Sheet1!$A$2:$A$3</c:f>
              <c:strCache>
                <c:ptCount val="2"/>
                <c:pt idx="0">
                  <c:v>2022年度一般公共预算财政拨款支出</c:v>
                </c:pt>
                <c:pt idx="1">
                  <c:v>2023年度一般公共预算财政拨款支出</c:v>
                </c:pt>
              </c:strCache>
            </c:strRef>
          </c:cat>
          <c:val>
            <c:numRef>
              <c:f>Sheet1!$B$2:$B$3</c:f>
              <c:numCache>
                <c:formatCode>General</c:formatCode>
                <c:ptCount val="2"/>
                <c:pt idx="0">
                  <c:v>531.99</c:v>
                </c:pt>
                <c:pt idx="1">
                  <c:v>651.84</c:v>
                </c:pt>
              </c:numCache>
            </c:numRef>
          </c:val>
        </c:ser>
        <c:dLbls>
          <c:showLegendKey val="0"/>
          <c:showVal val="0"/>
          <c:showCatName val="0"/>
          <c:showSerName val="0"/>
          <c:showPercent val="0"/>
          <c:showBubbleSize val="0"/>
        </c:dLbls>
        <c:gapWidth val="219"/>
        <c:overlap val="-27"/>
        <c:axId val="238019940"/>
        <c:axId val="51089728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一般公共预算财政拨款支出</c:v>
                      </c:pt>
                    </c:strCache>
                  </c:strRef>
                </c:tx>
                <c:spPr>
                  <a:gradFill>
                    <a:gsLst>
                      <a:gs pos="0">
                        <a:srgbClr val="6E6FFA"/>
                      </a:gs>
                      <a:gs pos="100000">
                        <a:srgbClr val="07E3EE"/>
                      </a:gs>
                    </a:gsLst>
                    <a:lin ang="5400000" scaled="0"/>
                  </a:gra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2022年度一般公共预算财政拨款支出</c:v>
                      </c:pt>
                      <c:pt idx="1">
                        <c:v>2023年度一般公共预算财政拨款支出</c:v>
                      </c:pt>
                    </c:strCache>
                  </c:strRef>
                </c:cat>
                <c:val>
                  <c:numRef>
                    <c:extLst>
                      <c:ext uri="{02D57815-91ED-43cb-92C2-25804820EDAC}">
                        <c15:formulaRef>
                          <c15:sqref>Sheet1!$C$2:$C$3</c15:sqref>
                        </c15:formulaRef>
                      </c:ext>
                    </c:extLst>
                    <c:numCache>
                      <c:formatCode>General</c:formatCode>
                      <c:ptCount val="2"/>
                      <c:pt idx="0">
                        <c:v>2.4</c:v>
                      </c:pt>
                      <c:pt idx="1">
                        <c:v>4.4</c:v>
                      </c:pt>
                    </c:numCache>
                  </c:numRef>
                </c:val>
              </c15:ser>
            </c15:filteredBarSeries>
          </c:ext>
        </c:extLst>
      </c:barChart>
      <c:catAx>
        <c:axId val="238019940"/>
        <c:scaling>
          <c:orientation val="minMax"/>
        </c:scaling>
        <c:delete val="0"/>
        <c:axPos val="b"/>
        <c:majorGridlines>
          <c:spPr>
            <a:ln w="9525" cap="flat" cmpd="sng" algn="ctr">
              <a:solidFill>
                <a:schemeClr val="bg1">
                  <a:lumMod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10897288"/>
        <c:crosses val="autoZero"/>
        <c:auto val="1"/>
        <c:lblAlgn val="ctr"/>
        <c:lblOffset val="100"/>
        <c:noMultiLvlLbl val="0"/>
      </c:catAx>
      <c:valAx>
        <c:axId val="51089728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38019940"/>
        <c:crosses val="autoZero"/>
        <c:crossBetween val="between"/>
      </c:valAx>
      <c:spPr>
        <a:noFill/>
        <a:ln>
          <a:solidFill>
            <a:schemeClr val="bg1">
              <a:lumMod val="85000"/>
            </a:schemeClr>
          </a:solid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gradFill>
      <a:gsLst>
        <a:gs pos="99000">
          <a:schemeClr val="accent1">
            <a:lumMod val="75000"/>
            <a:lumOff val="25000"/>
          </a:schemeClr>
        </a:gs>
        <a:gs pos="0">
          <a:schemeClr val="accent1">
            <a:lumMod val="25000"/>
            <a:lumOff val="75000"/>
          </a:schemeClr>
        </a:gs>
        <a:gs pos="100000">
          <a:schemeClr val="accent1">
            <a:lumMod val="85000"/>
          </a:schemeClr>
        </a:gs>
      </a:gsLst>
      <a:lin ang="5400000" scaled="1"/>
    </a:gradFill>
    <a:ln w="9525" cap="flat" cmpd="sng" algn="ctr">
      <a:solidFill>
        <a:schemeClr val="tx1">
          <a:lumMod val="15000"/>
          <a:lumOff val="85000"/>
        </a:schemeClr>
      </a:solidFill>
      <a:round/>
    </a:ln>
    <a:effectLst>
      <a:innerShdw blurRad="114300">
        <a:prstClr val="black"/>
      </a:innerShdw>
    </a:effectLst>
  </c:spPr>
  <c:txPr>
    <a:bodyPr/>
    <a:lstStyle/>
    <a:p>
      <a:pPr>
        <a:defRPr lang="zh-CN">
          <a:solidFill>
            <a:schemeClr val="tx1">
              <a:lumMod val="75000"/>
              <a:lumOff val="25000"/>
            </a:schemeClr>
          </a:solidFill>
          <a:effectLst>
            <a:innerShdw blurRad="63500" dist="50800">
              <a:prstClr val="black">
                <a:alpha val="100000"/>
              </a:prstClr>
            </a:innerShdw>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0705484416526"/>
          <c:y val="0.00956226094347641"/>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一般公共预算财政拨款支出决算结构</c:v>
                </c:pt>
              </c:strCache>
            </c:strRef>
          </c:tx>
          <c:spPr>
            <a:effectLst>
              <a:innerShdw blurRad="114300">
                <a:schemeClr val="accent1">
                  <a:lumMod val="75000"/>
                </a:schemeClr>
              </a:innerShdw>
            </a:effectLst>
          </c:spPr>
          <c:explosion val="0"/>
          <c:dPt>
            <c:idx val="0"/>
            <c:bubble3D val="0"/>
            <c:spPr>
              <a:solidFill>
                <a:schemeClr val="accent1"/>
              </a:solidFill>
              <a:ln w="25400">
                <a:solidFill>
                  <a:schemeClr val="lt1"/>
                </a:solidFill>
              </a:ln>
              <a:effectLst>
                <a:innerShdw blurRad="114300">
                  <a:schemeClr val="accent1">
                    <a:lumMod val="75000"/>
                  </a:schemeClr>
                </a:innerShdw>
              </a:effectLst>
            </c:spPr>
          </c:dPt>
          <c:dPt>
            <c:idx val="1"/>
            <c:bubble3D val="0"/>
            <c:spPr>
              <a:solidFill>
                <a:schemeClr val="accent2"/>
              </a:solidFill>
              <a:ln w="25400">
                <a:solidFill>
                  <a:schemeClr val="lt1"/>
                </a:solidFill>
              </a:ln>
              <a:effectLst>
                <a:innerShdw blurRad="114300">
                  <a:schemeClr val="accent1">
                    <a:lumMod val="75000"/>
                  </a:schemeClr>
                </a:innerShdw>
              </a:effectLst>
            </c:spPr>
          </c:dPt>
          <c:dPt>
            <c:idx val="2"/>
            <c:bubble3D val="0"/>
            <c:spPr>
              <a:solidFill>
                <a:schemeClr val="accent3"/>
              </a:solidFill>
              <a:ln w="25400">
                <a:solidFill>
                  <a:schemeClr val="lt1"/>
                </a:solidFill>
              </a:ln>
              <a:effectLst>
                <a:innerShdw blurRad="114300">
                  <a:schemeClr val="accent1">
                    <a:lumMod val="75000"/>
                  </a:schemeClr>
                </a:innerShdw>
              </a:effectLst>
            </c:spPr>
          </c:dPt>
          <c:dPt>
            <c:idx val="3"/>
            <c:bubble3D val="0"/>
            <c:spPr>
              <a:solidFill>
                <a:schemeClr val="accent4"/>
              </a:solidFill>
              <a:ln w="25400">
                <a:solidFill>
                  <a:schemeClr val="lt1"/>
                </a:solidFill>
              </a:ln>
              <a:effectLst>
                <a:innerShdw blurRad="114300">
                  <a:schemeClr val="accent1">
                    <a:lumMod val="75000"/>
                  </a:schemeClr>
                </a:innerShdw>
              </a:effectLst>
            </c:spPr>
          </c:dPt>
          <c:dPt>
            <c:idx val="4"/>
            <c:bubble3D val="0"/>
            <c:spPr>
              <a:solidFill>
                <a:schemeClr val="accent5"/>
              </a:solidFill>
              <a:ln w="25400">
                <a:solidFill>
                  <a:schemeClr val="lt1"/>
                </a:solidFill>
              </a:ln>
              <a:effectLst>
                <a:innerShdw blurRad="114300">
                  <a:schemeClr val="accent1">
                    <a:lumMod val="75000"/>
                  </a:schemeClr>
                </a:innerShdw>
              </a:effectLst>
            </c:spPr>
          </c:dPt>
          <c:dPt>
            <c:idx val="5"/>
            <c:bubble3D val="0"/>
            <c:spPr>
              <a:solidFill>
                <a:schemeClr val="accent6"/>
              </a:solidFill>
              <a:ln w="25400">
                <a:solidFill>
                  <a:schemeClr val="lt1"/>
                </a:solidFill>
              </a:ln>
              <a:effectLst>
                <a:innerShdw blurRad="114300">
                  <a:schemeClr val="accent1">
                    <a:lumMod val="75000"/>
                  </a:schemeClr>
                </a:innerShdw>
              </a:effectLst>
            </c:spPr>
          </c:dPt>
          <c:dPt>
            <c:idx val="6"/>
            <c:bubble3D val="0"/>
            <c:spPr>
              <a:solidFill>
                <a:schemeClr val="accent1">
                  <a:lumMod val="60000"/>
                </a:schemeClr>
              </a:solidFill>
              <a:ln w="25400">
                <a:solidFill>
                  <a:schemeClr val="lt1"/>
                </a:solidFill>
              </a:ln>
              <a:effectLst>
                <a:innerShdw blurRad="114300">
                  <a:schemeClr val="accent1">
                    <a:lumMod val="75000"/>
                  </a:schemeClr>
                </a:innerShdw>
              </a:effectLst>
            </c:spPr>
          </c:dPt>
          <c:dPt>
            <c:idx val="7"/>
            <c:bubble3D val="0"/>
            <c:spPr>
              <a:solidFill>
                <a:schemeClr val="accent2">
                  <a:lumMod val="60000"/>
                </a:schemeClr>
              </a:solidFill>
              <a:ln w="25400">
                <a:solidFill>
                  <a:schemeClr val="lt1"/>
                </a:solidFill>
              </a:ln>
              <a:effectLst>
                <a:innerShdw blurRad="114300">
                  <a:schemeClr val="accent1">
                    <a:lumMod val="75000"/>
                  </a:schemeClr>
                </a:innerShdw>
              </a:effectLst>
            </c:spPr>
          </c:dPt>
          <c:dLbls>
            <c:dLbl>
              <c:idx val="0"/>
              <c:layout>
                <c:manualLayout>
                  <c:x val="0.131432713215753"/>
                  <c:y val="-0.11155971100722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25392606909882"/>
                  <c:y val="0.14343391415214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04252234839333"/>
                  <c:y val="0.28963025924351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13021148672228"/>
                  <c:y val="-0.031661708457288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78303938149311"/>
                  <c:y val="-0.11432214194645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21019569944431"/>
                  <c:y val="-0.021036974075648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6"/>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82652814689539"/>
                      <c:h val="0.114747131321717"/>
                    </c:manualLayout>
                  </c15:layout>
                </c:ext>
              </c:extLst>
            </c:dLbl>
            <c:dLbl>
              <c:idx val="6"/>
              <c:layout>
                <c:manualLayout>
                  <c:x val="0.282193766610292"/>
                  <c:y val="0.01062473438164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lumMod val="60000"/>
                        </a:schemeClr>
                      </a:solidFill>
                      <a:effectLst>
                        <a:innerShdw blurRad="63500" dist="50800" dir="18900000">
                          <a:prstClr val="black">
                            <a:alpha val="100000"/>
                          </a:prstClr>
                        </a:innerShdw>
                      </a:effectLst>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lumMod val="60000"/>
                        </a:schemeClr>
                      </a:solidFill>
                      <a:effectLst>
                        <a:innerShdw blurRad="63500" dist="50800" dir="18900000">
                          <a:prstClr val="black">
                            <a:alpha val="100000"/>
                          </a:prstClr>
                        </a:innerShdw>
                      </a:effectLst>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effectLst>
                      <a:innerShdw blurRad="63500" dist="50800" dir="18900000">
                        <a:prstClr val="black">
                          <a:alpha val="100000"/>
                        </a:prstClr>
                      </a:innerShdw>
                    </a:effectLst>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Sheet1!$A$2:$A$9</c:f>
              <c:strCache>
                <c:ptCount val="8"/>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Sheet1!$B$2:$B$9</c:f>
              <c:numCache>
                <c:formatCode>General</c:formatCode>
                <c:ptCount val="8"/>
                <c:pt idx="0">
                  <c:v>539.93</c:v>
                </c:pt>
                <c:pt idx="1">
                  <c:v>0</c:v>
                </c:pt>
                <c:pt idx="2">
                  <c:v>0</c:v>
                </c:pt>
                <c:pt idx="3">
                  <c:v>0</c:v>
                </c:pt>
                <c:pt idx="4">
                  <c:v>59.25</c:v>
                </c:pt>
                <c:pt idx="5">
                  <c:v>22.73</c:v>
                </c:pt>
                <c:pt idx="6">
                  <c:v>29.93</c:v>
                </c:pt>
              </c:numCache>
            </c:numRef>
          </c:val>
        </c:ser>
        <c:dLbls>
          <c:showLegendKey val="0"/>
          <c:showVal val="0"/>
          <c:showCatName val="1"/>
          <c:showSerName val="0"/>
          <c:showPercent val="1"/>
          <c:showBubbleSize val="0"/>
        </c:dLbls>
      </c:pie3DChart>
      <c:spPr>
        <a:noFill/>
        <a:ln>
          <a:noFill/>
        </a:ln>
        <a:effectLst/>
      </c:spPr>
    </c:plotArea>
    <c:plotVisOnly val="1"/>
    <c:dispBlanksAs val="gap"/>
    <c:showDLblsOverMax val="0"/>
  </c:chart>
  <c:spPr>
    <a:gradFill>
      <a:gsLst>
        <a:gs pos="76000">
          <a:schemeClr val="accent3"/>
        </a:gs>
        <a:gs pos="0">
          <a:schemeClr val="accent3">
            <a:lumMod val="25000"/>
            <a:lumOff val="75000"/>
          </a:schemeClr>
        </a:gs>
        <a:gs pos="88000">
          <a:schemeClr val="accent3">
            <a:lumMod val="85000"/>
          </a:schemeClr>
        </a:gs>
      </a:gsLst>
      <a:path path="circle">
        <a:fillToRect l="50000" t="50000" r="50000" b="50000"/>
      </a:path>
      <a:tileRect/>
    </a:gradFill>
    <a:ln w="9525" cap="flat" cmpd="sng" algn="ctr">
      <a:solidFill>
        <a:schemeClr val="tx1">
          <a:lumMod val="15000"/>
          <a:lumOff val="85000"/>
        </a:schemeClr>
      </a:solidFill>
      <a:round/>
    </a:ln>
    <a:effectLst>
      <a:innerShdw blurRad="114300">
        <a:prstClr val="black"/>
      </a:innerShdw>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图7：“三公”经费财政拨款支出结构</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Pt>
            <c:idx val="1"/>
            <c:bubble3D val="0"/>
            <c:spPr>
              <a:solidFill>
                <a:schemeClr val="accent2"/>
              </a:solidFill>
              <a:ln>
                <a:solidFill>
                  <a:schemeClr val="bg1"/>
                </a:solidFill>
              </a:ln>
              <a:effectLst/>
              <a:scene3d>
                <a:camera prst="orthographicFront"/>
                <a:lightRig rig="threePt" dir="t"/>
              </a:scene3d>
              <a:sp3d contourW="9525"/>
            </c:spPr>
          </c:dPt>
          <c:dPt>
            <c:idx val="2"/>
            <c:bubble3D val="0"/>
            <c:spPr>
              <a:solidFill>
                <a:schemeClr val="accent3"/>
              </a:solidFill>
              <a:ln>
                <a:solidFill>
                  <a:schemeClr val="bg1"/>
                </a:solidFill>
              </a:ln>
              <a:effectLst/>
              <a:scene3d>
                <a:camera prst="orthographicFront"/>
                <a:lightRig rig="threePt" dir="t"/>
              </a:scene3d>
              <a:sp3d contourW="9525"/>
            </c:spPr>
          </c:dPt>
          <c:dLbls>
            <c:dLbl>
              <c:idx val="0"/>
              <c:layout>
                <c:manualLayout>
                  <c:x val="0.253620826820474"/>
                  <c:y val="0.07914684300999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352338922712001"/>
                  <c:y val="-0.12590669129579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0.227931920994075"/>
                  <c:y val="0.046975125045806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13.98</c:v>
                </c:pt>
                <c:pt idx="2">
                  <c:v>0.33</c:v>
                </c:pt>
              </c:numCache>
            </c:numRef>
          </c:val>
        </c:ser>
        <c:dLbls>
          <c:showLegendKey val="0"/>
          <c:showVal val="0"/>
          <c:showCatName val="1"/>
          <c:showSerName val="0"/>
          <c:showPercent val="0"/>
          <c:showBubbleSize val="0"/>
        </c:dLbls>
      </c:pie3DChart>
      <c:spPr>
        <a:noFill/>
        <a:ln>
          <a:noFill/>
        </a:ln>
        <a:effectLst/>
      </c:spPr>
    </c:plotArea>
    <c:plotVisOnly val="1"/>
    <c:dispBlanksAs val="gap"/>
    <c:showDLblsOverMax val="0"/>
  </c:chart>
  <c:spPr>
    <a:gradFill>
      <a:gsLst>
        <a:gs pos="0">
          <a:srgbClr val="9EE256">
            <a:alpha val="100000"/>
            <a:lumMod val="0"/>
            <a:lumOff val="100000"/>
          </a:srgbClr>
        </a:gs>
        <a:gs pos="100000">
          <a:srgbClr val="52762D"/>
        </a:gs>
      </a:gsLst>
      <a:path path="shape">
        <a:fillToRect l="50000" t="50000" r="50000" b="50000"/>
      </a:path>
      <a:tileRect/>
    </a:gradFill>
    <a:ln w="9525" cap="flat" cmpd="sng" algn="ctr">
      <a:solidFill>
        <a:schemeClr val="tx1">
          <a:lumMod val="15000"/>
          <a:lumOff val="85000"/>
        </a:schemeClr>
      </a:solidFill>
      <a:round/>
    </a:ln>
    <a:effectLst>
      <a:innerShdw blurRad="63500" dist="50800" dir="5400000">
        <a:prstClr val="black">
          <a:alpha val="50000"/>
        </a:prstClr>
      </a:inn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9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1">
      <cs:styleClr val="auto"/>
    </cs:fillRef>
    <cs:effectRef idx="0"/>
    <cs:fontRef idx="minor">
      <a:schemeClr val="dk1"/>
    </cs:fontRef>
    <cs:spPr>
      <a:ln>
        <a:solidFill>
          <a:schemeClr val="bg1"/>
        </a:soli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18046</Words>
  <Characters>18909</Characters>
  <TotalTime>5</TotalTime>
  <ScaleCrop>false</ScaleCrop>
  <LinksUpToDate>false</LinksUpToDate>
  <CharactersWithSpaces>18961</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user</dc:creator>
  <cp:lastModifiedBy>奕夕^_^</cp:lastModifiedBy>
  <cp:lastPrinted>2024-09-20T01:51:00Z</cp:lastPrinted>
  <dcterms:modified xsi:type="dcterms:W3CDTF">2024-09-20T03:30:13Z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C79A9B3D69FA4E5EA23449CBFFBAD28A_13</vt:lpwstr>
  </property>
</Properties>
</file>