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ACC87">
      <w:pPr>
        <w:spacing w:line="600" w:lineRule="exact"/>
        <w:jc w:val="center"/>
        <w:outlineLvl w:val="0"/>
        <w:rPr>
          <w:rFonts w:ascii="方正小标宋简体" w:hAnsi="宋体" w:eastAsia="方正小标宋简体"/>
          <w:color w:val="000000"/>
          <w:sz w:val="72"/>
          <w:szCs w:val="72"/>
        </w:rPr>
      </w:pPr>
      <w:bookmarkStart w:id="0" w:name="_Toc15306267"/>
    </w:p>
    <w:p w14:paraId="377910F7">
      <w:pPr>
        <w:spacing w:line="600" w:lineRule="exact"/>
        <w:jc w:val="center"/>
        <w:outlineLvl w:val="0"/>
        <w:rPr>
          <w:rFonts w:ascii="方正小标宋简体" w:hAnsi="宋体" w:eastAsia="方正小标宋简体"/>
          <w:color w:val="000000"/>
          <w:sz w:val="72"/>
          <w:szCs w:val="72"/>
        </w:rPr>
      </w:pPr>
    </w:p>
    <w:p w14:paraId="128DCA89">
      <w:pPr>
        <w:spacing w:line="600" w:lineRule="exact"/>
        <w:jc w:val="center"/>
        <w:outlineLvl w:val="0"/>
        <w:rPr>
          <w:rFonts w:ascii="方正小标宋简体" w:hAnsi="宋体" w:eastAsia="方正小标宋简体"/>
          <w:color w:val="000000"/>
          <w:sz w:val="72"/>
          <w:szCs w:val="72"/>
        </w:rPr>
      </w:pPr>
    </w:p>
    <w:p w14:paraId="22955E33">
      <w:pPr>
        <w:spacing w:line="600" w:lineRule="exact"/>
        <w:jc w:val="center"/>
        <w:outlineLvl w:val="0"/>
        <w:rPr>
          <w:rFonts w:ascii="方正小标宋简体" w:hAnsi="宋体" w:eastAsia="方正小标宋简体"/>
          <w:color w:val="000000"/>
          <w:sz w:val="72"/>
          <w:szCs w:val="72"/>
        </w:rPr>
      </w:pPr>
    </w:p>
    <w:p w14:paraId="6ED01FC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77425"/>
      <w:bookmarkStart w:id="5" w:name="_Toc15396597"/>
      <w:r>
        <w:rPr>
          <w:rFonts w:hint="eastAsia" w:ascii="方正小标宋简体" w:hAnsi="宋体" w:eastAsia="方正小标宋简体"/>
          <w:color w:val="000000"/>
          <w:sz w:val="72"/>
          <w:szCs w:val="72"/>
          <w:lang w:val="en-US" w:eastAsia="zh-CN"/>
        </w:rPr>
        <w:t>2024</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2671CED0">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476"/>
      <w:bookmarkStart w:id="7" w:name="_Toc15377194"/>
      <w:bookmarkStart w:id="8" w:name="_Toc15377426"/>
      <w:bookmarkStart w:id="9" w:name="_Toc15378442"/>
      <w:bookmarkStart w:id="10" w:name="_Toc15396598"/>
      <w:bookmarkStart w:id="11" w:name="_Toc15306268"/>
      <w:r>
        <w:rPr>
          <w:rFonts w:hint="eastAsia" w:ascii="方正小标宋简体" w:hAnsi="宋体" w:eastAsia="方正小标宋简体"/>
          <w:color w:val="000000"/>
          <w:sz w:val="72"/>
          <w:szCs w:val="72"/>
          <w:lang w:eastAsia="zh-CN"/>
        </w:rPr>
        <w:t>中共松潘县委宣传部</w:t>
      </w:r>
    </w:p>
    <w:p w14:paraId="7D9F1538">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44445EBB">
      <w:pPr>
        <w:widowControl/>
        <w:jc w:val="center"/>
        <w:rPr>
          <w:rFonts w:ascii="方正小标宋简体" w:hAnsi="宋体" w:eastAsia="方正小标宋简体"/>
          <w:color w:val="000000"/>
          <w:sz w:val="36"/>
          <w:szCs w:val="36"/>
        </w:rPr>
      </w:pPr>
    </w:p>
    <w:p w14:paraId="3F4ED14A">
      <w:pPr>
        <w:rPr>
          <w:rFonts w:ascii="方正小标宋简体" w:hAnsi="宋体" w:eastAsia="方正小标宋简体"/>
          <w:sz w:val="36"/>
          <w:szCs w:val="36"/>
        </w:rPr>
      </w:pPr>
    </w:p>
    <w:p w14:paraId="5B17AB9A">
      <w:pPr>
        <w:rPr>
          <w:rFonts w:ascii="方正小标宋简体" w:hAnsi="宋体" w:eastAsia="方正小标宋简体"/>
          <w:sz w:val="36"/>
          <w:szCs w:val="36"/>
        </w:rPr>
      </w:pPr>
    </w:p>
    <w:p w14:paraId="3D86B482">
      <w:pPr>
        <w:rPr>
          <w:rFonts w:ascii="方正小标宋简体" w:hAnsi="宋体" w:eastAsia="方正小标宋简体"/>
          <w:sz w:val="36"/>
          <w:szCs w:val="36"/>
        </w:rPr>
      </w:pPr>
    </w:p>
    <w:p w14:paraId="4A2638E9">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E658AE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7C1515B7">
      <w:pPr>
        <w:widowControl/>
        <w:jc w:val="center"/>
        <w:rPr>
          <w:rFonts w:ascii="方正小标宋简体" w:hAnsi="宋体" w:eastAsia="方正小标宋简体"/>
          <w:sz w:val="36"/>
          <w:szCs w:val="36"/>
        </w:rPr>
      </w:pPr>
    </w:p>
    <w:p w14:paraId="10BDEEB8">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BDF9D11">
      <w:pPr>
        <w:widowControl/>
        <w:jc w:val="center"/>
        <w:rPr>
          <w:rFonts w:ascii="黑体" w:hAnsi="黑体" w:eastAsia="黑体" w:cstheme="minorBidi"/>
          <w:sz w:val="28"/>
          <w:szCs w:val="28"/>
        </w:rPr>
      </w:pPr>
    </w:p>
    <w:p w14:paraId="5A2FAA85">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w:t>
      </w:r>
    </w:p>
    <w:p w14:paraId="5B07CFEE"/>
    <w:p w14:paraId="5FBBAAE6">
      <w:pPr>
        <w:pStyle w:val="11"/>
        <w:rPr>
          <w:rFonts w:cstheme="minorBidi"/>
          <w:color w:val="auto"/>
          <w:u w:val="none"/>
        </w:rPr>
      </w:pPr>
      <w:bookmarkStart w:id="12" w:name="_Toc15396599"/>
      <w:bookmarkStart w:id="13" w:name="_Toc15377196"/>
      <w:r>
        <w:rPr>
          <w:color w:val="auto"/>
          <w:u w:val="none"/>
        </w:rPr>
        <w:fldChar w:fldCharType="begin"/>
      </w:r>
      <w:r>
        <w:rPr>
          <w:color w:val="auto"/>
          <w:u w:val="none"/>
        </w:rPr>
        <w:instrText xml:space="preserve"> HYPERLINK \l "_Toc15396599" </w:instrText>
      </w:r>
      <w:r>
        <w:rPr>
          <w:color w:val="auto"/>
          <w:u w:val="none"/>
        </w:rPr>
        <w:fldChar w:fldCharType="separate"/>
      </w:r>
      <w:r>
        <w:rPr>
          <w:rStyle w:val="20"/>
          <w:rFonts w:hint="eastAsia" w:ascii="Times New Roman" w:hAnsi="Times New Roman" w:eastAsia="宋体"/>
          <w:color w:val="auto"/>
          <w:u w:val="none"/>
        </w:rPr>
        <w:t>第一部分</w:t>
      </w:r>
      <w:r>
        <w:rPr>
          <w:rStyle w:val="20"/>
          <w:rFonts w:ascii="Times New Roman" w:hAnsi="Times New Roman" w:eastAsia="宋体"/>
          <w:color w:val="auto"/>
          <w:u w:val="none"/>
        </w:rPr>
        <w:t xml:space="preserve"> </w:t>
      </w:r>
      <w:r>
        <w:rPr>
          <w:rStyle w:val="20"/>
          <w:rFonts w:hint="eastAsia" w:ascii="Times New Roman" w:hAnsi="Times New Roman" w:eastAsia="宋体"/>
          <w:color w:val="auto"/>
          <w:u w:val="none"/>
        </w:rPr>
        <w:t>部门概况</w:t>
      </w:r>
      <w:r>
        <w:rPr>
          <w:color w:val="auto"/>
          <w:u w:val="none"/>
        </w:rPr>
        <w:tab/>
      </w:r>
      <w:r>
        <w:rPr>
          <w:rFonts w:hint="eastAsia"/>
          <w:color w:val="auto"/>
          <w:u w:val="none"/>
        </w:rPr>
        <w:t>4</w:t>
      </w:r>
      <w:r>
        <w:rPr>
          <w:rFonts w:hint="eastAsia"/>
          <w:color w:val="auto"/>
          <w:u w:val="none"/>
        </w:rPr>
        <w:fldChar w:fldCharType="end"/>
      </w:r>
    </w:p>
    <w:p w14:paraId="511FACD4">
      <w:pPr>
        <w:pStyle w:val="13"/>
        <w:rPr>
          <w:rFonts w:ascii="仿宋" w:hAnsi="仿宋" w:eastAsia="仿宋" w:cstheme="minorBidi"/>
          <w:color w:val="auto"/>
          <w:sz w:val="28"/>
          <w:szCs w:val="28"/>
          <w:u w:val="none"/>
        </w:rPr>
      </w:pPr>
      <w:r>
        <w:rPr>
          <w:color w:val="auto"/>
          <w:u w:val="none"/>
        </w:rPr>
        <w:fldChar w:fldCharType="begin"/>
      </w:r>
      <w:r>
        <w:rPr>
          <w:color w:val="auto"/>
          <w:u w:val="none"/>
        </w:rPr>
        <w:instrText xml:space="preserve"> HYPERLINK \l "_Toc15396600" </w:instrText>
      </w:r>
      <w:r>
        <w:rPr>
          <w:color w:val="auto"/>
          <w:u w:val="none"/>
        </w:rPr>
        <w:fldChar w:fldCharType="separate"/>
      </w:r>
      <w:r>
        <w:rPr>
          <w:rStyle w:val="20"/>
          <w:rFonts w:hint="eastAsia" w:ascii="仿宋" w:hAnsi="仿宋" w:eastAsia="仿宋"/>
          <w:color w:val="auto"/>
          <w:sz w:val="28"/>
          <w:szCs w:val="28"/>
          <w:u w:val="none"/>
        </w:rPr>
        <w:t>一、基本职能及主要工作</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5</w:t>
      </w:r>
      <w:r>
        <w:rPr>
          <w:rFonts w:hint="eastAsia" w:ascii="仿宋" w:hAnsi="仿宋" w:eastAsia="仿宋"/>
          <w:color w:val="auto"/>
          <w:sz w:val="28"/>
          <w:szCs w:val="28"/>
          <w:u w:val="none"/>
        </w:rPr>
        <w:fldChar w:fldCharType="end"/>
      </w:r>
    </w:p>
    <w:p w14:paraId="69B94443">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"_Toc15396601" </w:instrText>
      </w:r>
      <w:r>
        <w:rPr>
          <w:color w:val="auto"/>
          <w:u w:val="none"/>
        </w:rPr>
        <w:fldChar w:fldCharType="separate"/>
      </w:r>
      <w:r>
        <w:rPr>
          <w:rStyle w:val="20"/>
          <w:rFonts w:hint="eastAsia" w:ascii="仿宋" w:hAnsi="仿宋" w:eastAsia="仿宋"/>
          <w:color w:val="auto"/>
          <w:sz w:val="28"/>
          <w:szCs w:val="28"/>
          <w:u w:val="none"/>
        </w:rPr>
        <w:t>二、机构设置</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3</w:t>
      </w:r>
    </w:p>
    <w:p w14:paraId="0702378C">
      <w:pPr>
        <w:pStyle w:val="11"/>
        <w:rPr>
          <w:rFonts w:hint="eastAsia" w:eastAsia="仿宋"/>
          <w:color w:val="auto"/>
          <w:u w:val="none"/>
          <w:lang w:val="en-US" w:eastAsia="zh-CN"/>
        </w:rPr>
      </w:pPr>
      <w:r>
        <w:rPr>
          <w:color w:val="auto"/>
          <w:u w:val="none"/>
        </w:rPr>
        <w:fldChar w:fldCharType="begin"/>
      </w:r>
      <w:r>
        <w:rPr>
          <w:color w:val="auto"/>
          <w:u w:val="none"/>
        </w:rPr>
        <w:instrText xml:space="preserve"> HYPERLINK \l "_Toc15396602" </w:instrText>
      </w:r>
      <w:r>
        <w:rPr>
          <w:color w:val="auto"/>
          <w:u w:val="none"/>
        </w:rPr>
        <w:fldChar w:fldCharType="separate"/>
      </w:r>
      <w:r>
        <w:rPr>
          <w:rStyle w:val="20"/>
          <w:rFonts w:hint="eastAsia" w:ascii="Times New Roman" w:hAnsi="Times New Roman" w:eastAsia="宋体"/>
          <w:color w:val="auto"/>
          <w:u w:val="none"/>
        </w:rPr>
        <w:t>第二部分</w:t>
      </w:r>
      <w:r>
        <w:rPr>
          <w:rStyle w:val="20"/>
          <w:rFonts w:ascii="Times New Roman" w:hAnsi="Times New Roman" w:eastAsia="宋体"/>
          <w:color w:val="auto"/>
          <w:u w:val="none"/>
        </w:rPr>
        <w:t xml:space="preserve"> 20</w:t>
      </w:r>
      <w:r>
        <w:rPr>
          <w:rStyle w:val="20"/>
          <w:rFonts w:hint="eastAsia" w:ascii="Times New Roman" w:hAnsi="Times New Roman" w:eastAsia="宋体"/>
          <w:color w:val="auto"/>
          <w:u w:val="none"/>
          <w:lang w:val="en-US" w:eastAsia="zh-CN"/>
        </w:rPr>
        <w:t>21</w:t>
      </w:r>
      <w:r>
        <w:rPr>
          <w:rStyle w:val="20"/>
          <w:rFonts w:hint="eastAsia" w:ascii="Times New Roman" w:hAnsi="Times New Roman" w:eastAsia="宋体"/>
          <w:color w:val="auto"/>
          <w:u w:val="none"/>
        </w:rPr>
        <w:t>年度部门决算情况说明</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6</w:t>
      </w:r>
    </w:p>
    <w:p w14:paraId="33B5120B">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"_Toc15396603" </w:instrText>
      </w:r>
      <w:r>
        <w:rPr>
          <w:color w:val="auto"/>
          <w:u w:val="none"/>
        </w:rPr>
        <w:fldChar w:fldCharType="separate"/>
      </w:r>
      <w:r>
        <w:rPr>
          <w:rStyle w:val="20"/>
          <w:rFonts w:hint="eastAsia" w:ascii="仿宋" w:hAnsi="仿宋" w:eastAsia="仿宋" w:cstheme="majorBidi"/>
          <w:bCs/>
          <w:color w:val="auto"/>
          <w:sz w:val="28"/>
          <w:szCs w:val="28"/>
          <w:u w:val="none"/>
        </w:rPr>
        <w:t>一、</w:t>
      </w:r>
      <w:r>
        <w:rPr>
          <w:rStyle w:val="20"/>
          <w:rFonts w:hint="eastAsia" w:ascii="仿宋" w:hAnsi="仿宋" w:eastAsia="仿宋"/>
          <w:color w:val="auto"/>
          <w:sz w:val="28"/>
          <w:szCs w:val="28"/>
          <w:u w:val="none"/>
        </w:rPr>
        <w:t>收</w:t>
      </w:r>
      <w:r>
        <w:rPr>
          <w:rStyle w:val="20"/>
          <w:rFonts w:hint="eastAsia" w:ascii="仿宋" w:hAnsi="仿宋" w:eastAsia="仿宋" w:cstheme="majorBidi"/>
          <w:bCs/>
          <w:color w:val="auto"/>
          <w:sz w:val="28"/>
          <w:szCs w:val="28"/>
          <w:u w:val="none"/>
        </w:rPr>
        <w:t>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6737B259">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"_Toc15396604" </w:instrText>
      </w:r>
      <w:r>
        <w:rPr>
          <w:color w:val="auto"/>
          <w:u w:val="none"/>
        </w:rPr>
        <w:fldChar w:fldCharType="separate"/>
      </w:r>
      <w:r>
        <w:rPr>
          <w:rStyle w:val="20"/>
          <w:rFonts w:hint="eastAsia" w:ascii="仿宋" w:hAnsi="仿宋" w:eastAsia="仿宋" w:cstheme="majorBidi"/>
          <w:bCs/>
          <w:color w:val="auto"/>
          <w:sz w:val="28"/>
          <w:szCs w:val="28"/>
          <w:u w:val="none"/>
        </w:rPr>
        <w:t>二、</w:t>
      </w:r>
      <w:r>
        <w:rPr>
          <w:rStyle w:val="20"/>
          <w:rFonts w:hint="eastAsia" w:ascii="仿宋" w:hAnsi="仿宋" w:eastAsia="仿宋"/>
          <w:color w:val="auto"/>
          <w:sz w:val="28"/>
          <w:szCs w:val="28"/>
          <w:u w:val="none"/>
        </w:rPr>
        <w:t>收</w:t>
      </w:r>
      <w:r>
        <w:rPr>
          <w:rStyle w:val="20"/>
          <w:rFonts w:hint="eastAsia" w:ascii="仿宋" w:hAnsi="仿宋" w:eastAsia="仿宋" w:cstheme="majorBidi"/>
          <w:bCs/>
          <w:color w:val="auto"/>
          <w:sz w:val="28"/>
          <w:szCs w:val="28"/>
          <w:u w:val="none"/>
        </w:rPr>
        <w:t>入决算情况说明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5D54E257">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"_Toc15396605" </w:instrText>
      </w:r>
      <w:r>
        <w:rPr>
          <w:color w:val="auto"/>
          <w:u w:val="none"/>
        </w:rPr>
        <w:fldChar w:fldCharType="separate"/>
      </w:r>
      <w:r>
        <w:rPr>
          <w:rStyle w:val="20"/>
          <w:rFonts w:hint="eastAsia" w:ascii="仿宋" w:hAnsi="仿宋" w:eastAsia="仿宋" w:cstheme="majorBidi"/>
          <w:bCs/>
          <w:color w:val="auto"/>
          <w:sz w:val="28"/>
          <w:szCs w:val="28"/>
          <w:u w:val="none"/>
        </w:rPr>
        <w:t>三、</w:t>
      </w:r>
      <w:r>
        <w:rPr>
          <w:rStyle w:val="20"/>
          <w:rFonts w:hint="eastAsia" w:ascii="仿宋" w:hAnsi="仿宋" w:eastAsia="仿宋"/>
          <w:color w:val="auto"/>
          <w:sz w:val="28"/>
          <w:szCs w:val="28"/>
          <w:u w:val="none"/>
        </w:rPr>
        <w:t>支</w:t>
      </w:r>
      <w:r>
        <w:rPr>
          <w:rStyle w:val="20"/>
          <w:rFonts w:hint="eastAsia" w:ascii="仿宋" w:hAnsi="仿宋" w:eastAsia="仿宋" w:cstheme="majorBidi"/>
          <w:bCs/>
          <w:color w:val="auto"/>
          <w:sz w:val="28"/>
          <w:szCs w:val="28"/>
          <w:u w:val="none"/>
        </w:rPr>
        <w:t>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3C04FE05">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"_Toc15396606" </w:instrText>
      </w:r>
      <w:r>
        <w:rPr>
          <w:color w:val="auto"/>
          <w:u w:val="none"/>
        </w:rPr>
        <w:fldChar w:fldCharType="separate"/>
      </w:r>
      <w:r>
        <w:rPr>
          <w:rStyle w:val="20"/>
          <w:rFonts w:hint="eastAsia" w:ascii="仿宋" w:hAnsi="仿宋" w:eastAsia="仿宋"/>
          <w:color w:val="auto"/>
          <w:sz w:val="28"/>
          <w:szCs w:val="28"/>
          <w:u w:val="none"/>
        </w:rPr>
        <w:t>四、财</w:t>
      </w:r>
      <w:r>
        <w:rPr>
          <w:rStyle w:val="20"/>
          <w:rFonts w:hint="eastAsia" w:ascii="仿宋" w:hAnsi="仿宋" w:eastAsia="仿宋" w:cstheme="majorBidi"/>
          <w:bCs/>
          <w:color w:val="auto"/>
          <w:sz w:val="28"/>
          <w:szCs w:val="28"/>
          <w:u w:val="none"/>
        </w:rPr>
        <w:t>政拨款收入支出决算总体情况说明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12F33723">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"_Toc15396607" </w:instrText>
      </w:r>
      <w:r>
        <w:rPr>
          <w:color w:val="auto"/>
          <w:u w:val="none"/>
        </w:rPr>
        <w:fldChar w:fldCharType="separate"/>
      </w:r>
      <w:r>
        <w:rPr>
          <w:rStyle w:val="20"/>
          <w:rFonts w:hint="eastAsia" w:ascii="仿宋" w:hAnsi="仿宋" w:eastAsia="仿宋"/>
          <w:color w:val="auto"/>
          <w:sz w:val="28"/>
          <w:szCs w:val="28"/>
          <w:u w:val="none"/>
        </w:rPr>
        <w:t>五、一</w:t>
      </w:r>
      <w:r>
        <w:rPr>
          <w:rStyle w:val="20"/>
          <w:rFonts w:hint="eastAsia" w:ascii="仿宋" w:hAnsi="仿宋" w:eastAsia="仿宋" w:cstheme="majorBidi"/>
          <w:bCs/>
          <w:color w:val="auto"/>
          <w:sz w:val="28"/>
          <w:szCs w:val="28"/>
          <w:u w:val="none"/>
        </w:rPr>
        <w:t>般公共预算财政拨款支出决算情况说明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7</w:t>
      </w:r>
    </w:p>
    <w:p w14:paraId="4A1F26A0">
      <w:pPr>
        <w:pStyle w:val="13"/>
        <w:rPr>
          <w:rFonts w:hint="default"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"_Toc15396608" </w:instrText>
      </w:r>
      <w:r>
        <w:rPr>
          <w:color w:val="auto"/>
          <w:u w:val="none"/>
        </w:rPr>
        <w:fldChar w:fldCharType="separate"/>
      </w:r>
      <w:r>
        <w:rPr>
          <w:rStyle w:val="20"/>
          <w:rFonts w:hint="eastAsia" w:ascii="仿宋" w:hAnsi="仿宋" w:eastAsia="仿宋"/>
          <w:color w:val="auto"/>
          <w:sz w:val="28"/>
          <w:szCs w:val="28"/>
          <w:u w:val="none"/>
        </w:rPr>
        <w:t>六、一</w:t>
      </w:r>
      <w:r>
        <w:rPr>
          <w:rStyle w:val="20"/>
          <w:rFonts w:hint="eastAsia" w:ascii="仿宋" w:hAnsi="仿宋" w:eastAsia="仿宋" w:cstheme="majorBidi"/>
          <w:bCs/>
          <w:color w:val="auto"/>
          <w:sz w:val="28"/>
          <w:szCs w:val="28"/>
          <w:u w:val="none"/>
        </w:rPr>
        <w:t>般公共预算财政拨款基本支出决算情况说明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14:paraId="56AC6BAC">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"_Toc15396609" </w:instrText>
      </w:r>
      <w:r>
        <w:rPr>
          <w:color w:val="auto"/>
          <w:u w:val="none"/>
        </w:rPr>
        <w:fldChar w:fldCharType="separate"/>
      </w:r>
      <w:r>
        <w:rPr>
          <w:rStyle w:val="20"/>
          <w:rFonts w:hint="eastAsia" w:ascii="仿宋" w:hAnsi="仿宋" w:eastAsia="仿宋"/>
          <w:color w:val="auto"/>
          <w:sz w:val="28"/>
          <w:szCs w:val="28"/>
          <w:u w:val="none"/>
        </w:rPr>
        <w:t>七、</w:t>
      </w:r>
      <w:r>
        <w:rPr>
          <w:rStyle w:val="20"/>
          <w:rFonts w:ascii="仿宋" w:hAnsi="仿宋" w:eastAsia="仿宋"/>
          <w:color w:val="auto"/>
          <w:sz w:val="28"/>
          <w:szCs w:val="28"/>
          <w:u w:val="none"/>
        </w:rPr>
        <w:t>“</w:t>
      </w:r>
      <w:r>
        <w:rPr>
          <w:rStyle w:val="20"/>
          <w:rFonts w:hint="eastAsia" w:ascii="仿宋" w:hAnsi="仿宋" w:eastAsia="仿宋" w:cstheme="majorBidi"/>
          <w:bCs/>
          <w:color w:val="auto"/>
          <w:sz w:val="28"/>
          <w:szCs w:val="28"/>
          <w:u w:val="none"/>
        </w:rPr>
        <w:t>三公”经费财政拨款支出决算情况说明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9</w:t>
      </w:r>
    </w:p>
    <w:p w14:paraId="31B6ECC3">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"_Toc15396610" </w:instrText>
      </w:r>
      <w:r>
        <w:rPr>
          <w:color w:val="auto"/>
          <w:u w:val="none"/>
        </w:rPr>
        <w:fldChar w:fldCharType="separate"/>
      </w:r>
      <w:r>
        <w:rPr>
          <w:rStyle w:val="20"/>
          <w:rFonts w:hint="eastAsia" w:ascii="仿宋" w:hAnsi="仿宋" w:eastAsia="仿宋"/>
          <w:color w:val="auto"/>
          <w:sz w:val="28"/>
          <w:szCs w:val="28"/>
          <w:u w:val="none"/>
        </w:rPr>
        <w:t>八、</w:t>
      </w:r>
      <w:r>
        <w:rPr>
          <w:rStyle w:val="20"/>
          <w:rFonts w:hint="eastAsia" w:ascii="仿宋" w:hAnsi="仿宋" w:eastAsia="仿宋" w:cstheme="majorBidi"/>
          <w:bCs/>
          <w:color w:val="auto"/>
          <w:sz w:val="28"/>
          <w:szCs w:val="28"/>
          <w:u w:val="none"/>
        </w:rPr>
        <w:t>政府性基金预算支出决算情况说明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14:paraId="6E1FE50B">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"_Toc15396611" </w:instrText>
      </w:r>
      <w:r>
        <w:rPr>
          <w:color w:val="auto"/>
          <w:u w:val="none"/>
        </w:rPr>
        <w:fldChar w:fldCharType="separate"/>
      </w:r>
      <w:r>
        <w:rPr>
          <w:rStyle w:val="20"/>
          <w:rFonts w:hint="eastAsia" w:ascii="仿宋" w:hAnsi="仿宋" w:eastAsia="仿宋" w:cstheme="majorBidi"/>
          <w:bCs/>
          <w:color w:val="auto"/>
          <w:sz w:val="28"/>
          <w:szCs w:val="28"/>
          <w:u w:val="none"/>
        </w:rPr>
        <w:t>九、</w:t>
      </w:r>
      <w:r>
        <w:rPr>
          <w:rStyle w:val="20"/>
          <w:rFonts w:hint="eastAsia" w:ascii="仿宋" w:hAnsi="仿宋" w:eastAsia="仿宋"/>
          <w:color w:val="auto"/>
          <w:sz w:val="28"/>
          <w:szCs w:val="28"/>
          <w:u w:val="none"/>
        </w:rPr>
        <w:t xml:space="preserve"> 国</w:t>
      </w:r>
      <w:r>
        <w:rPr>
          <w:rStyle w:val="20"/>
          <w:rFonts w:hint="eastAsia" w:ascii="仿宋" w:hAnsi="仿宋" w:eastAsia="仿宋" w:cstheme="majorBidi"/>
          <w:bCs/>
          <w:color w:val="auto"/>
          <w:sz w:val="28"/>
          <w:szCs w:val="28"/>
          <w:u w:val="none"/>
        </w:rPr>
        <w:t>有资本经营预算支出决算情况说明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14:paraId="5495A49B">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"_Toc15396612" </w:instrText>
      </w:r>
      <w:r>
        <w:rPr>
          <w:color w:val="auto"/>
          <w:u w:val="none"/>
        </w:rPr>
        <w:fldChar w:fldCharType="separate"/>
      </w:r>
      <w:r>
        <w:rPr>
          <w:rStyle w:val="20"/>
          <w:rFonts w:hint="eastAsia" w:ascii="仿宋" w:hAnsi="仿宋" w:eastAsia="仿宋"/>
          <w:color w:val="auto"/>
          <w:sz w:val="28"/>
          <w:szCs w:val="28"/>
          <w:u w:val="none"/>
        </w:rPr>
        <w:t>十</w:t>
      </w:r>
      <w:r>
        <w:rPr>
          <w:rStyle w:val="20"/>
          <w:rFonts w:hint="eastAsia" w:ascii="仿宋" w:hAnsi="仿宋" w:eastAsia="仿宋" w:cstheme="majorBidi"/>
          <w:bCs/>
          <w:color w:val="auto"/>
          <w:sz w:val="28"/>
          <w:szCs w:val="28"/>
          <w:u w:val="none"/>
        </w:rPr>
        <w:t>、其他重要事项的情况说明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1</w:t>
      </w:r>
    </w:p>
    <w:p w14:paraId="3673E696">
      <w:pPr>
        <w:pStyle w:val="11"/>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"_Toc15396613" </w:instrText>
      </w:r>
      <w:r>
        <w:rPr>
          <w:color w:val="auto"/>
          <w:u w:val="none"/>
        </w:rPr>
        <w:fldChar w:fldCharType="separate"/>
      </w:r>
      <w:r>
        <w:rPr>
          <w:rStyle w:val="20"/>
          <w:rFonts w:hint="eastAsia" w:ascii="Times New Roman" w:hAnsi="Times New Roman" w:eastAsia="宋体"/>
          <w:bCs/>
          <w:color w:val="auto"/>
          <w:kern w:val="44"/>
          <w:u w:val="none"/>
        </w:rPr>
        <w:t>第三部分</w:t>
      </w:r>
      <w:r>
        <w:rPr>
          <w:rStyle w:val="20"/>
          <w:rFonts w:hint="eastAsia" w:ascii="Times New Roman" w:hAnsi="Times New Roman" w:eastAsia="宋体"/>
          <w:color w:val="auto"/>
          <w:u w:val="none"/>
        </w:rPr>
        <w:t xml:space="preserve"> 名</w:t>
      </w:r>
      <w:r>
        <w:rPr>
          <w:rStyle w:val="20"/>
          <w:rFonts w:hint="eastAsia" w:ascii="Times New Roman" w:hAnsi="Times New Roman" w:eastAsia="宋体"/>
          <w:bCs/>
          <w:color w:val="auto"/>
          <w:kern w:val="44"/>
          <w:u w:val="none"/>
        </w:rPr>
        <w:t>词解释</w:t>
      </w:r>
      <w:r>
        <w:rPr>
          <w:color w:val="auto"/>
          <w:u w:val="none"/>
        </w:rPr>
        <w:tab/>
      </w:r>
      <w:r>
        <w:rPr>
          <w:rFonts w:hint="eastAsia"/>
          <w:color w:val="auto"/>
          <w:u w:val="none"/>
          <w:lang w:val="en-US" w:eastAsia="zh-CN"/>
        </w:rPr>
        <w:t>2</w:t>
      </w:r>
      <w:r>
        <w:rPr>
          <w:color w:val="auto"/>
          <w:u w:val="none"/>
        </w:rPr>
        <w:fldChar w:fldCharType="end"/>
      </w:r>
      <w:r>
        <w:rPr>
          <w:rFonts w:hint="eastAsia"/>
          <w:color w:val="auto"/>
          <w:u w:val="none"/>
          <w:lang w:val="en-US" w:eastAsia="zh-CN"/>
        </w:rPr>
        <w:t>2</w:t>
      </w:r>
    </w:p>
    <w:p w14:paraId="4B59FCB1">
      <w:pPr>
        <w:pStyle w:val="11"/>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"_Toc15396614" </w:instrText>
      </w:r>
      <w:r>
        <w:rPr>
          <w:color w:val="auto"/>
          <w:u w:val="none"/>
        </w:rPr>
        <w:fldChar w:fldCharType="separate"/>
      </w:r>
      <w:r>
        <w:rPr>
          <w:rStyle w:val="20"/>
          <w:rFonts w:hint="eastAsia" w:ascii="Times New Roman" w:hAnsi="Times New Roman" w:eastAsia="宋体"/>
          <w:color w:val="auto"/>
          <w:u w:val="none"/>
        </w:rPr>
        <w:t>第</w:t>
      </w:r>
      <w:r>
        <w:rPr>
          <w:rStyle w:val="20"/>
          <w:rFonts w:hint="eastAsia" w:ascii="Times New Roman" w:hAnsi="Times New Roman" w:eastAsia="宋体"/>
          <w:bCs/>
          <w:color w:val="auto"/>
          <w:kern w:val="44"/>
          <w:u w:val="none"/>
        </w:rPr>
        <w:t>四部分</w:t>
      </w:r>
      <w:r>
        <w:rPr>
          <w:rStyle w:val="20"/>
          <w:rFonts w:ascii="Times New Roman" w:hAnsi="Times New Roman" w:eastAsia="宋体"/>
          <w:bCs/>
          <w:color w:val="auto"/>
          <w:kern w:val="44"/>
          <w:u w:val="none"/>
        </w:rPr>
        <w:t xml:space="preserve"> </w:t>
      </w:r>
      <w:r>
        <w:rPr>
          <w:rStyle w:val="20"/>
          <w:rFonts w:hint="eastAsia" w:ascii="Times New Roman" w:hAnsi="Times New Roman" w:eastAsia="宋体"/>
          <w:bCs/>
          <w:color w:val="auto"/>
          <w:kern w:val="44"/>
          <w:u w:val="none"/>
        </w:rPr>
        <w:t>附件</w:t>
      </w:r>
      <w:r>
        <w:rPr>
          <w:color w:val="auto"/>
          <w:u w:val="none"/>
        </w:rPr>
        <w:tab/>
      </w:r>
      <w:r>
        <w:rPr>
          <w:rFonts w:hint="eastAsia"/>
          <w:color w:val="auto"/>
          <w:u w:val="none"/>
          <w:lang w:val="en-US" w:eastAsia="zh-CN"/>
        </w:rPr>
        <w:t>2</w:t>
      </w:r>
      <w:r>
        <w:rPr>
          <w:color w:val="auto"/>
          <w:u w:val="none"/>
        </w:rPr>
        <w:fldChar w:fldCharType="end"/>
      </w:r>
      <w:r>
        <w:rPr>
          <w:rFonts w:hint="eastAsia"/>
          <w:color w:val="auto"/>
          <w:u w:val="none"/>
          <w:lang w:val="en-US" w:eastAsia="zh-CN"/>
        </w:rPr>
        <w:t>5</w:t>
      </w:r>
    </w:p>
    <w:p w14:paraId="40EE3F93">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"_Toc15396615" </w:instrText>
      </w:r>
      <w:r>
        <w:rPr>
          <w:color w:val="auto"/>
          <w:u w:val="none"/>
        </w:rPr>
        <w:fldChar w:fldCharType="separate"/>
      </w:r>
      <w:r>
        <w:rPr>
          <w:rStyle w:val="20"/>
          <w:rFonts w:hint="eastAsia" w:ascii="仿宋" w:hAnsi="仿宋" w:eastAsia="仿宋"/>
          <w:color w:val="auto"/>
          <w:kern w:val="44"/>
          <w:sz w:val="28"/>
          <w:szCs w:val="28"/>
          <w:u w:val="none"/>
        </w:rPr>
        <w:t>附件</w:t>
      </w:r>
      <w:r>
        <w:rPr>
          <w:rStyle w:val="20"/>
          <w:rFonts w:ascii="仿宋" w:hAnsi="仿宋" w:eastAsia="仿宋"/>
          <w:color w:val="auto"/>
          <w:kern w:val="44"/>
          <w:sz w:val="28"/>
          <w:szCs w:val="28"/>
          <w:u w:val="none"/>
        </w:rPr>
        <w:t>1</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5</w:t>
      </w:r>
    </w:p>
    <w:p w14:paraId="2E45DE87">
      <w:pPr>
        <w:pStyle w:val="13"/>
        <w:ind w:left="0" w:leftChars="0" w:firstLine="0" w:firstLineChars="0"/>
        <w:rPr>
          <w:rFonts w:ascii="仿宋" w:hAnsi="仿宋" w:eastAsia="仿宋" w:cstheme="minorBidi"/>
          <w:color w:val="auto"/>
          <w:sz w:val="28"/>
          <w:szCs w:val="28"/>
          <w:u w:val="none"/>
        </w:rPr>
      </w:pPr>
    </w:p>
    <w:p w14:paraId="046AAE4C">
      <w:pPr>
        <w:pStyle w:val="11"/>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"_Toc15396618" </w:instrText>
      </w:r>
      <w:r>
        <w:rPr>
          <w:color w:val="auto"/>
          <w:u w:val="none"/>
        </w:rPr>
        <w:fldChar w:fldCharType="separate"/>
      </w:r>
      <w:r>
        <w:rPr>
          <w:rStyle w:val="20"/>
          <w:rFonts w:hint="eastAsia" w:ascii="Times New Roman" w:hAnsi="Times New Roman" w:eastAsia="宋体"/>
          <w:color w:val="auto"/>
          <w:u w:val="none"/>
        </w:rPr>
        <w:t>第</w:t>
      </w:r>
      <w:r>
        <w:rPr>
          <w:rStyle w:val="20"/>
          <w:rFonts w:hint="eastAsia" w:ascii="Times New Roman" w:hAnsi="Times New Roman" w:eastAsia="宋体"/>
          <w:bCs/>
          <w:color w:val="auto"/>
          <w:kern w:val="44"/>
          <w:u w:val="none"/>
        </w:rPr>
        <w:t>五部分</w:t>
      </w:r>
      <w:r>
        <w:rPr>
          <w:rStyle w:val="20"/>
          <w:rFonts w:ascii="Times New Roman" w:hAnsi="Times New Roman" w:eastAsia="宋体"/>
          <w:bCs/>
          <w:color w:val="auto"/>
          <w:kern w:val="44"/>
          <w:u w:val="none"/>
        </w:rPr>
        <w:t xml:space="preserve"> </w:t>
      </w:r>
      <w:r>
        <w:rPr>
          <w:rStyle w:val="20"/>
          <w:rFonts w:hint="eastAsia" w:ascii="Times New Roman" w:hAnsi="Times New Roman" w:eastAsia="宋体"/>
          <w:bCs/>
          <w:color w:val="auto"/>
          <w:kern w:val="44"/>
          <w:u w:val="none"/>
        </w:rPr>
        <w:t>附表</w:t>
      </w:r>
      <w:r>
        <w:rPr>
          <w:color w:val="auto"/>
          <w:u w:val="none"/>
        </w:rPr>
        <w:tab/>
      </w:r>
      <w:r>
        <w:rPr>
          <w:rFonts w:hint="eastAsia"/>
          <w:color w:val="auto"/>
          <w:u w:val="none"/>
          <w:lang w:val="en-US" w:eastAsia="zh-CN"/>
        </w:rPr>
        <w:t>3</w:t>
      </w:r>
      <w:r>
        <w:rPr>
          <w:color w:val="auto"/>
          <w:u w:val="none"/>
        </w:rPr>
        <w:fldChar w:fldCharType="end"/>
      </w:r>
      <w:r>
        <w:rPr>
          <w:rFonts w:hint="eastAsia"/>
          <w:color w:val="auto"/>
          <w:u w:val="none"/>
          <w:lang w:val="en-US" w:eastAsia="zh-CN"/>
        </w:rPr>
        <w:t>4</w:t>
      </w:r>
    </w:p>
    <w:p w14:paraId="00C2BDA8">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一、</w:t>
      </w:r>
      <w:r>
        <w:rPr>
          <w:color w:val="auto"/>
          <w:u w:val="none"/>
        </w:rPr>
        <w:fldChar w:fldCharType="begin"/>
      </w:r>
      <w:r>
        <w:rPr>
          <w:color w:val="auto"/>
          <w:u w:val="none"/>
        </w:rPr>
        <w:instrText xml:space="preserve"> HYPERLINK \l "_Toc15396619" </w:instrText>
      </w:r>
      <w:r>
        <w:rPr>
          <w:color w:val="auto"/>
          <w:u w:val="none"/>
        </w:rPr>
        <w:fldChar w:fldCharType="separate"/>
      </w:r>
      <w:r>
        <w:rPr>
          <w:rStyle w:val="20"/>
          <w:rFonts w:hint="eastAsia" w:ascii="仿宋" w:hAnsi="仿宋" w:eastAsia="仿宋"/>
          <w:color w:val="auto"/>
          <w:sz w:val="28"/>
          <w:szCs w:val="28"/>
          <w:u w:val="none"/>
        </w:rPr>
        <w:t>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97139E5">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二、</w:t>
      </w:r>
      <w:r>
        <w:rPr>
          <w:color w:val="auto"/>
          <w:u w:val="none"/>
        </w:rPr>
        <w:fldChar w:fldCharType="begin"/>
      </w:r>
      <w:r>
        <w:rPr>
          <w:color w:val="auto"/>
          <w:u w:val="none"/>
        </w:rPr>
        <w:instrText xml:space="preserve"> HYPERLINK \l "_Toc15396620" </w:instrText>
      </w:r>
      <w:r>
        <w:rPr>
          <w:color w:val="auto"/>
          <w:u w:val="none"/>
        </w:rPr>
        <w:fldChar w:fldCharType="separate"/>
      </w:r>
      <w:r>
        <w:rPr>
          <w:rStyle w:val="20"/>
          <w:rFonts w:hint="eastAsia" w:ascii="仿宋" w:hAnsi="仿宋" w:eastAsia="仿宋"/>
          <w:color w:val="auto"/>
          <w:sz w:val="28"/>
          <w:szCs w:val="28"/>
          <w:u w:val="none"/>
        </w:rPr>
        <w:t>收入总表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2CFAE425">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三、</w:t>
      </w:r>
      <w:r>
        <w:rPr>
          <w:color w:val="auto"/>
          <w:u w:val="none"/>
        </w:rPr>
        <w:fldChar w:fldCharType="begin"/>
      </w:r>
      <w:r>
        <w:rPr>
          <w:color w:val="auto"/>
          <w:u w:val="none"/>
        </w:rPr>
        <w:instrText xml:space="preserve"> HYPERLINK \l "_Toc15396621" </w:instrText>
      </w:r>
      <w:r>
        <w:rPr>
          <w:color w:val="auto"/>
          <w:u w:val="none"/>
        </w:rPr>
        <w:fldChar w:fldCharType="separate"/>
      </w:r>
      <w:r>
        <w:rPr>
          <w:rStyle w:val="20"/>
          <w:rFonts w:hint="eastAsia" w:ascii="仿宋" w:hAnsi="仿宋" w:eastAsia="仿宋"/>
          <w:color w:val="auto"/>
          <w:sz w:val="28"/>
          <w:szCs w:val="28"/>
          <w:u w:val="none"/>
        </w:rPr>
        <w:t>支出总表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E083527">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四、</w:t>
      </w:r>
      <w:r>
        <w:rPr>
          <w:color w:val="auto"/>
          <w:u w:val="none"/>
        </w:rPr>
        <w:fldChar w:fldCharType="begin"/>
      </w:r>
      <w:r>
        <w:rPr>
          <w:color w:val="auto"/>
          <w:u w:val="none"/>
        </w:rPr>
        <w:instrText xml:space="preserve"> HYPERLINK \l "_Toc15396622" </w:instrText>
      </w:r>
      <w:r>
        <w:rPr>
          <w:color w:val="auto"/>
          <w:u w:val="none"/>
        </w:rPr>
        <w:fldChar w:fldCharType="separate"/>
      </w:r>
      <w:r>
        <w:rPr>
          <w:rStyle w:val="20"/>
          <w:rFonts w:hint="eastAsia" w:ascii="仿宋" w:hAnsi="仿宋" w:eastAsia="仿宋"/>
          <w:color w:val="auto"/>
          <w:sz w:val="28"/>
          <w:szCs w:val="28"/>
          <w:u w:val="none"/>
        </w:rPr>
        <w:t>财政拨款收入支出决算总表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692C5371">
      <w:pPr>
        <w:pStyle w:val="13"/>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rPr>
        <w:t>五、</w:t>
      </w:r>
      <w:r>
        <w:rPr>
          <w:color w:val="auto"/>
          <w:u w:val="none"/>
        </w:rPr>
        <w:fldChar w:fldCharType="begin"/>
      </w:r>
      <w:r>
        <w:rPr>
          <w:color w:val="auto"/>
          <w:u w:val="none"/>
        </w:rPr>
        <w:instrText xml:space="preserve"> HYPERLINK \l "_Toc15396623" </w:instrText>
      </w:r>
      <w:r>
        <w:rPr>
          <w:color w:val="auto"/>
          <w:u w:val="none"/>
        </w:rPr>
        <w:fldChar w:fldCharType="separate"/>
      </w:r>
      <w:r>
        <w:rPr>
          <w:rFonts w:hint="eastAsia" w:ascii="仿宋" w:hAnsi="仿宋" w:eastAsia="仿宋"/>
          <w:color w:val="auto"/>
          <w:sz w:val="28"/>
          <w:szCs w:val="28"/>
          <w:u w:val="none"/>
        </w:rPr>
        <w:t>财政拨款支出决算明细表（政府经济分类科目）</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0E6715A6">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六、</w:t>
      </w:r>
      <w:r>
        <w:rPr>
          <w:color w:val="auto"/>
          <w:u w:val="none"/>
        </w:rPr>
        <w:fldChar w:fldCharType="begin"/>
      </w:r>
      <w:r>
        <w:rPr>
          <w:color w:val="auto"/>
          <w:u w:val="none"/>
        </w:rPr>
        <w:instrText xml:space="preserve"> HYPERLINK \l "_Toc15396624" </w:instrText>
      </w:r>
      <w:r>
        <w:rPr>
          <w:color w:val="auto"/>
          <w:u w:val="none"/>
        </w:rPr>
        <w:fldChar w:fldCharType="separate"/>
      </w:r>
      <w:r>
        <w:rPr>
          <w:rStyle w:val="20"/>
          <w:rFonts w:hint="eastAsia" w:ascii="仿宋" w:hAnsi="仿宋" w:eastAsia="仿宋"/>
          <w:color w:val="auto"/>
          <w:sz w:val="28"/>
          <w:szCs w:val="28"/>
          <w:u w:val="none"/>
        </w:rPr>
        <w:t>一般公共预算财政拨款支出决算表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57690F45">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七、</w:t>
      </w:r>
      <w:r>
        <w:rPr>
          <w:color w:val="auto"/>
          <w:u w:val="none"/>
        </w:rPr>
        <w:fldChar w:fldCharType="begin"/>
      </w:r>
      <w:r>
        <w:rPr>
          <w:color w:val="auto"/>
          <w:u w:val="none"/>
        </w:rPr>
        <w:instrText xml:space="preserve"> HYPERLINK \l "_Toc15396625" </w:instrText>
      </w:r>
      <w:r>
        <w:rPr>
          <w:color w:val="auto"/>
          <w:u w:val="none"/>
        </w:rPr>
        <w:fldChar w:fldCharType="separate"/>
      </w:r>
      <w:r>
        <w:rPr>
          <w:rStyle w:val="20"/>
          <w:rFonts w:hint="eastAsia" w:ascii="仿宋" w:hAnsi="仿宋" w:eastAsia="仿宋"/>
          <w:color w:val="auto"/>
          <w:sz w:val="28"/>
          <w:szCs w:val="28"/>
          <w:u w:val="none"/>
        </w:rPr>
        <w:t>一般公共预算财政拨款支出决算明细表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7B2E432D">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八、</w:t>
      </w:r>
      <w:r>
        <w:rPr>
          <w:color w:val="auto"/>
          <w:u w:val="none"/>
        </w:rPr>
        <w:fldChar w:fldCharType="begin"/>
      </w:r>
      <w:r>
        <w:rPr>
          <w:color w:val="auto"/>
          <w:u w:val="none"/>
        </w:rPr>
        <w:instrText xml:space="preserve"> HYPERLINK \l "_Toc15396626" </w:instrText>
      </w:r>
      <w:r>
        <w:rPr>
          <w:color w:val="auto"/>
          <w:u w:val="none"/>
        </w:rPr>
        <w:fldChar w:fldCharType="separate"/>
      </w:r>
      <w:r>
        <w:rPr>
          <w:rStyle w:val="20"/>
          <w:rFonts w:hint="eastAsia" w:ascii="仿宋" w:hAnsi="仿宋" w:eastAsia="仿宋"/>
          <w:color w:val="auto"/>
          <w:sz w:val="28"/>
          <w:szCs w:val="28"/>
          <w:u w:val="none"/>
        </w:rPr>
        <w:t>一般公共预算财政拨款基本支出决算表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07233DC0">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九、</w:t>
      </w:r>
      <w:r>
        <w:rPr>
          <w:color w:val="auto"/>
          <w:u w:val="none"/>
        </w:rPr>
        <w:fldChar w:fldCharType="begin"/>
      </w:r>
      <w:r>
        <w:rPr>
          <w:color w:val="auto"/>
          <w:u w:val="none"/>
        </w:rPr>
        <w:instrText xml:space="preserve"> HYPERLINK \l "_Toc15396627" </w:instrText>
      </w:r>
      <w:r>
        <w:rPr>
          <w:color w:val="auto"/>
          <w:u w:val="none"/>
        </w:rPr>
        <w:fldChar w:fldCharType="separate"/>
      </w:r>
      <w:r>
        <w:rPr>
          <w:rStyle w:val="20"/>
          <w:rFonts w:hint="eastAsia" w:ascii="仿宋" w:hAnsi="仿宋" w:eastAsia="仿宋"/>
          <w:color w:val="auto"/>
          <w:sz w:val="28"/>
          <w:szCs w:val="28"/>
          <w:u w:val="none"/>
        </w:rPr>
        <w:t>一般公共预算财政拨款项目支出决算表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6C2E6DDB">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w:t>
      </w:r>
      <w:r>
        <w:rPr>
          <w:color w:val="auto"/>
          <w:u w:val="none"/>
        </w:rPr>
        <w:fldChar w:fldCharType="begin"/>
      </w:r>
      <w:r>
        <w:rPr>
          <w:color w:val="auto"/>
          <w:u w:val="none"/>
        </w:rPr>
        <w:instrText xml:space="preserve"> HYPERLINK \l "_Toc15396628" </w:instrText>
      </w:r>
      <w:r>
        <w:rPr>
          <w:color w:val="auto"/>
          <w:u w:val="none"/>
        </w:rPr>
        <w:fldChar w:fldCharType="separate"/>
      </w:r>
      <w:r>
        <w:rPr>
          <w:rStyle w:val="20"/>
          <w:rFonts w:hint="eastAsia" w:ascii="仿宋" w:hAnsi="仿宋" w:eastAsia="仿宋"/>
          <w:color w:val="auto"/>
          <w:sz w:val="28"/>
          <w:szCs w:val="28"/>
          <w:u w:val="none"/>
        </w:rPr>
        <w:t>一般公共预算财政拨款“三公”经费支出决算表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1BE4D1EF">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十一、</w:t>
      </w:r>
      <w:r>
        <w:rPr>
          <w:color w:val="auto"/>
          <w:u w:val="none"/>
        </w:rPr>
        <w:fldChar w:fldCharType="begin"/>
      </w:r>
      <w:r>
        <w:rPr>
          <w:color w:val="auto"/>
          <w:u w:val="none"/>
        </w:rPr>
        <w:instrText xml:space="preserve"> HYPERLINK \l "_Toc15396629" </w:instrText>
      </w:r>
      <w:r>
        <w:rPr>
          <w:color w:val="auto"/>
          <w:u w:val="none"/>
        </w:rPr>
        <w:fldChar w:fldCharType="separate"/>
      </w:r>
      <w:r>
        <w:rPr>
          <w:rStyle w:val="20"/>
          <w:rFonts w:hint="eastAsia" w:ascii="仿宋" w:hAnsi="仿宋" w:eastAsia="仿宋"/>
          <w:color w:val="auto"/>
          <w:sz w:val="28"/>
          <w:szCs w:val="28"/>
          <w:u w:val="none"/>
        </w:rPr>
        <w:t>政府性基金预算财政拨款收入支出决算表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6CAE3068">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十二、</w:t>
      </w:r>
      <w:r>
        <w:rPr>
          <w:color w:val="auto"/>
          <w:u w:val="none"/>
        </w:rPr>
        <w:fldChar w:fldCharType="begin"/>
      </w:r>
      <w:r>
        <w:rPr>
          <w:color w:val="auto"/>
          <w:u w:val="none"/>
        </w:rPr>
        <w:instrText xml:space="preserve"> HYPERLINK \l "_Toc15396630" </w:instrText>
      </w:r>
      <w:r>
        <w:rPr>
          <w:color w:val="auto"/>
          <w:u w:val="none"/>
        </w:rPr>
        <w:fldChar w:fldCharType="separate"/>
      </w:r>
      <w:r>
        <w:rPr>
          <w:rStyle w:val="20"/>
          <w:rFonts w:hint="eastAsia" w:ascii="仿宋" w:hAnsi="仿宋" w:eastAsia="仿宋"/>
          <w:color w:val="auto"/>
          <w:sz w:val="28"/>
          <w:szCs w:val="28"/>
          <w:u w:val="none"/>
        </w:rPr>
        <w:t>政府性基金预算财政拨款“三公”经费支出决算表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25258336">
      <w:pPr>
        <w:pStyle w:val="13"/>
        <w:rPr>
          <w:rFonts w:ascii="仿宋" w:hAnsi="仿宋" w:eastAsia="仿宋"/>
          <w:bCs/>
          <w:kern w:val="44"/>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20"/>
          <w:rFonts w:hint="eastAsia" w:ascii="仿宋" w:hAnsi="仿宋" w:eastAsia="仿宋"/>
          <w:color w:val="auto"/>
          <w:sz w:val="28"/>
          <w:szCs w:val="28"/>
          <w:u w:val="none"/>
        </w:rPr>
        <w:t>国有资本经营预算支出决算表</w:t>
      </w:r>
      <w:r>
        <w:rPr>
          <w:rFonts w:ascii="仿宋" w:hAnsi="仿宋" w:eastAsia="仿宋"/>
          <w:color w:val="auto"/>
          <w:sz w:val="28"/>
          <w:szCs w:val="28"/>
          <w:u w:val="none"/>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4</w:t>
      </w:r>
      <w:r>
        <w:rPr>
          <w:rFonts w:ascii="仿宋" w:hAnsi="仿宋" w:eastAsia="仿宋"/>
          <w:b/>
          <w:sz w:val="24"/>
        </w:rPr>
        <w:br w:type="page"/>
      </w:r>
    </w:p>
    <w:p w14:paraId="65A0E4AF">
      <w:pPr>
        <w:pStyle w:val="2"/>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14:paraId="34CBB4B0">
      <w:pPr>
        <w:widowControl/>
        <w:jc w:val="left"/>
        <w:rPr>
          <w:rFonts w:ascii="黑体" w:eastAsia="黑体"/>
          <w:color w:val="000000"/>
          <w:sz w:val="32"/>
          <w:szCs w:val="32"/>
        </w:rPr>
      </w:pPr>
    </w:p>
    <w:p w14:paraId="69CC4EB2">
      <w:pPr>
        <w:pStyle w:val="3"/>
        <w:rPr>
          <w:rStyle w:val="3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14:paraId="4EEE2F7F">
      <w:pPr>
        <w:pStyle w:val="5"/>
        <w:adjustRightInd w:val="0"/>
        <w:snapToGrid w:val="0"/>
        <w:spacing w:before="93" w:line="600" w:lineRule="exact"/>
        <w:ind w:firstLine="675" w:firstLineChars="210"/>
        <w:outlineLvl w:val="2"/>
        <w:rPr>
          <w:rFonts w:hint="eastAsia" w:ascii="仿宋" w:hAnsi="仿宋" w:eastAsia="仿宋"/>
          <w:b/>
          <w:bCs w:val="0"/>
          <w:color w:val="000000"/>
          <w:sz w:val="32"/>
          <w:szCs w:val="32"/>
        </w:rPr>
      </w:pPr>
      <w:bookmarkStart w:id="16" w:name="_Toc15378445"/>
      <w:bookmarkStart w:id="17" w:name="_Toc15377198"/>
      <w:r>
        <w:rPr>
          <w:rFonts w:hint="eastAsia" w:ascii="仿宋" w:hAnsi="仿宋" w:eastAsia="仿宋"/>
          <w:b/>
          <w:bCs w:val="0"/>
          <w:color w:val="000000"/>
          <w:sz w:val="32"/>
          <w:szCs w:val="32"/>
        </w:rPr>
        <w:t>（一）主要职能。</w:t>
      </w:r>
      <w:bookmarkEnd w:id="16"/>
      <w:bookmarkEnd w:id="17"/>
    </w:p>
    <w:p w14:paraId="47D5D633">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8" w:name="_Toc15377199"/>
      <w:bookmarkStart w:id="19" w:name="_Toc1537844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1.负责组织、指导全县的理论研究、理论学习和理论宣传工作。</w:t>
      </w:r>
    </w:p>
    <w:p w14:paraId="59F0C93C">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2.负责引导社会舆论，指导、协调新闻、出版等部门的工作。对县广播电视、文化、体育事业单位和全县新闻工作实施方针、政策的指导。</w:t>
      </w:r>
    </w:p>
    <w:p w14:paraId="38819007">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3.负责从宏观上指导、协调精神产品的生产和文化市场的管理。指导县文广新局的工作，代管县文联以及县文学、新闻、摄影、书法、舞蹈、音乐、美术、戏剧等协会，并在政治方向和方针、政策方面实施领导。</w:t>
      </w:r>
    </w:p>
    <w:p w14:paraId="2DF53A7B">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4.负责规划、部署全局性的思想政治工作；研究和改进经常性的群众思想教育工作；配合县委组织部做好党员教育，负责编审、征订党员教育材料；指导全县党员学习。</w:t>
      </w:r>
    </w:p>
    <w:p w14:paraId="618D780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5.负责指导全县精神文明建设活动广泛、深入、持久地开展。</w:t>
      </w:r>
    </w:p>
    <w:p w14:paraId="6FE53FAC">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6.负责从宏观上指导全县各中小学校的德育、政治理论教学和思想政治工作。</w:t>
      </w:r>
    </w:p>
    <w:p w14:paraId="332235E3">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7.负责全县对外宣传工作；指导协调全县对外文化交流工作。</w:t>
      </w:r>
    </w:p>
    <w:p w14:paraId="13E15A64">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8.配合有关部门做好知识分子工作和理论、新闻、出版、文艺等方面优秀人物的选拔、培训工作。</w:t>
      </w:r>
    </w:p>
    <w:p w14:paraId="539F2674">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9.负责提出全县宣传文化事业发展规划、指导宣传文化系统制定发展目标；协调宣传文化系统各部门之间的工作关系。</w:t>
      </w:r>
    </w:p>
    <w:p w14:paraId="71F2E1E0">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10.负责松潘县互联网环境净化、清理和网络建设与管理工作。</w:t>
      </w:r>
    </w:p>
    <w:p w14:paraId="08F3D033">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11.完成县委和州委宣传部交办的其他任务。</w:t>
      </w:r>
    </w:p>
    <w:p w14:paraId="1123A5C3">
      <w:pPr>
        <w:pStyle w:val="12"/>
        <w:rPr>
          <w:rFonts w:hint="eastAsia"/>
          <w:lang w:val="en-US" w:eastAsia="zh-CN"/>
        </w:rPr>
      </w:pPr>
    </w:p>
    <w:p w14:paraId="65A5D481">
      <w:pPr>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（二）2024年重点工作完成情况。</w:t>
      </w:r>
      <w:bookmarkEnd w:id="18"/>
      <w:bookmarkEnd w:id="19"/>
    </w:p>
    <w:p w14:paraId="73850E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eastAsia="仿宋_GB2312" w:cs="Times New Roman"/>
          <w:b w:val="0"/>
          <w:bCs w:val="0"/>
          <w:color w:val="auto"/>
          <w:kern w:val="2"/>
          <w:sz w:val="32"/>
          <w:szCs w:val="32"/>
          <w:highlight w:val="none"/>
          <w:lang w:val="en-US" w:eastAsia="zh-CN"/>
        </w:rPr>
        <w:t>2024</w:t>
      </w:r>
      <w:r>
        <w:rPr>
          <w:rFonts w:hint="default" w:ascii="Times New Roman" w:hAnsi="Times New Roman" w:eastAsia="仿宋_GB2312" w:cs="Times New Roman"/>
          <w:b w:val="0"/>
          <w:bCs w:val="0"/>
          <w:color w:val="auto"/>
          <w:kern w:val="2"/>
          <w:sz w:val="32"/>
          <w:szCs w:val="32"/>
          <w:highlight w:val="none"/>
          <w:lang w:val="en-US" w:eastAsia="zh-CN"/>
        </w:rPr>
        <w:t>年以来，县委宣传部在</w:t>
      </w:r>
      <w:r>
        <w:rPr>
          <w:rFonts w:hint="eastAsia" w:eastAsia="仿宋_GB2312" w:cs="Times New Roman"/>
          <w:b w:val="0"/>
          <w:bCs w:val="0"/>
          <w:color w:val="auto"/>
          <w:kern w:val="2"/>
          <w:sz w:val="32"/>
          <w:szCs w:val="32"/>
          <w:highlight w:val="none"/>
          <w:lang w:val="en-US" w:eastAsia="zh-CN"/>
        </w:rPr>
        <w:t>县委、县政府</w:t>
      </w:r>
      <w:r>
        <w:rPr>
          <w:rFonts w:hint="default" w:ascii="Times New Roman" w:hAnsi="Times New Roman" w:eastAsia="仿宋_GB2312" w:cs="Times New Roman"/>
          <w:b w:val="0"/>
          <w:bCs w:val="0"/>
          <w:color w:val="auto"/>
          <w:kern w:val="2"/>
          <w:sz w:val="32"/>
          <w:szCs w:val="32"/>
          <w:highlight w:val="none"/>
          <w:lang w:val="en-US" w:eastAsia="zh-CN"/>
        </w:rPr>
        <w:t>的坚强领导下，在州委宣传部的</w:t>
      </w:r>
      <w:r>
        <w:rPr>
          <w:rFonts w:hint="eastAsia" w:ascii="Times New Roman" w:hAnsi="Times New Roman" w:eastAsia="仿宋_GB2312" w:cs="Times New Roman"/>
          <w:b w:val="0"/>
          <w:bCs w:val="0"/>
          <w:color w:val="auto"/>
          <w:kern w:val="2"/>
          <w:sz w:val="32"/>
          <w:szCs w:val="32"/>
          <w:highlight w:val="none"/>
          <w:lang w:val="en-US" w:eastAsia="zh-CN"/>
        </w:rPr>
        <w:t>正确</w:t>
      </w:r>
      <w:r>
        <w:rPr>
          <w:rFonts w:hint="default" w:ascii="Times New Roman" w:hAnsi="Times New Roman" w:eastAsia="仿宋_GB2312" w:cs="Times New Roman"/>
          <w:b w:val="0"/>
          <w:bCs w:val="0"/>
          <w:color w:val="auto"/>
          <w:kern w:val="2"/>
          <w:sz w:val="32"/>
          <w:szCs w:val="32"/>
          <w:highlight w:val="none"/>
          <w:lang w:val="en-US" w:eastAsia="zh-CN"/>
        </w:rPr>
        <w:t>指导下，坚持以习近平新时代中国特色社会主义思想为指导，全面贯彻落实党的二十大精神、习近平文化思想和来川视察重要讲话指示精神，坚持守正创新，自觉承担举旗帜、聚民心、育新人、兴文化、展形象的使命任务，为深化拓展“一城两心三地”发展战略，全力构建“四片”发展布局</w:t>
      </w:r>
      <w:r>
        <w:rPr>
          <w:rFonts w:hint="eastAsia" w:eastAsia="仿宋_GB2312" w:cs="Times New Roman"/>
          <w:b w:val="0"/>
          <w:bCs w:val="0"/>
          <w:color w:val="auto"/>
          <w:kern w:val="2"/>
          <w:sz w:val="32"/>
          <w:szCs w:val="32"/>
          <w:highlight w:val="none"/>
          <w:lang w:val="en-US" w:eastAsia="zh-CN"/>
        </w:rPr>
        <w:t>，为</w:t>
      </w:r>
      <w:r>
        <w:rPr>
          <w:rFonts w:hint="default" w:ascii="Times New Roman" w:hAnsi="Times New Roman" w:eastAsia="仿宋_GB2312" w:cs="Times New Roman"/>
          <w:b w:val="0"/>
          <w:bCs w:val="0"/>
          <w:color w:val="auto"/>
          <w:kern w:val="2"/>
          <w:sz w:val="32"/>
          <w:szCs w:val="32"/>
          <w:highlight w:val="none"/>
          <w:lang w:val="en-US" w:eastAsia="zh-CN"/>
        </w:rPr>
        <w:t>努力推动“五个松潘”建设提供坚强的思想保证、强大的精神力量和有利的文化条件。</w:t>
      </w:r>
    </w:p>
    <w:p w14:paraId="7A9EEA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一</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做实理论学习武装，铸造永跟党走的“主心骨”</w:t>
      </w:r>
    </w:p>
    <w:p w14:paraId="42069E6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val="0"/>
          <w:bCs w:val="0"/>
          <w:color w:val="auto"/>
          <w:kern w:val="2"/>
          <w:sz w:val="32"/>
          <w:szCs w:val="32"/>
          <w:highlight w:val="none"/>
        </w:rPr>
        <w:t>制发《</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年全县党委（党组）理论学习中心组专题学习重点内容安排》，明确全年学习总体思路，14个学习重点，提出工作要求，促进全县各级党组织理论学习的规范化、制度化、多样化</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rPr>
        <w:t>围绕学习党的创新理论、党的二十大精神、习近平新时代中国特色社会主义思想、习近平总书记来川视察重要指示精神和省委、州委、县委全会精神、国家安全观等重要内容，召开县委</w:t>
      </w:r>
      <w:r>
        <w:rPr>
          <w:rFonts w:hint="eastAsia" w:eastAsia="仿宋_GB2312" w:cs="Times New Roman"/>
          <w:b w:val="0"/>
          <w:bCs w:val="0"/>
          <w:color w:val="auto"/>
          <w:kern w:val="2"/>
          <w:sz w:val="32"/>
          <w:szCs w:val="32"/>
          <w:highlight w:val="none"/>
          <w:lang w:val="en-US" w:eastAsia="zh-CN"/>
        </w:rPr>
        <w:t>理论学习中心组</w:t>
      </w:r>
      <w:r>
        <w:rPr>
          <w:rFonts w:hint="default" w:ascii="Times New Roman" w:hAnsi="Times New Roman" w:eastAsia="仿宋_GB2312" w:cs="Times New Roman"/>
          <w:b w:val="0"/>
          <w:bCs w:val="0"/>
          <w:color w:val="auto"/>
          <w:kern w:val="2"/>
          <w:sz w:val="32"/>
          <w:szCs w:val="32"/>
          <w:highlight w:val="none"/>
          <w:lang w:val="en-US" w:eastAsia="zh-CN"/>
        </w:rPr>
        <w:t>集中学习会11次</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扎实开展中心组列席旁听工作，对12个党委（党组）中心组学习开展列席旁听工作</w:t>
      </w:r>
      <w:r>
        <w:rPr>
          <w:rFonts w:hint="default"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bCs/>
          <w:color w:val="auto"/>
          <w:kern w:val="2"/>
          <w:sz w:val="32"/>
          <w:szCs w:val="32"/>
          <w:highlight w:val="none"/>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rPr>
        <w:t>深化宣讲品牌，县委政策理论宣讲团、五支宣讲队、各乡（镇）和县级各部门开展形式多样的宣讲活动，推动党的最新政策和重要指示精神进基层、进寺庙、进群众，截至目前，宣讲730余场次，覆盖干部群众4.5万人次，其中县级领导带头宣讲60余场次。</w:t>
      </w:r>
    </w:p>
    <w:p w14:paraId="254CBDB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二</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做严意识形态管控，筑牢思想安全的“防火墙”</w:t>
      </w:r>
    </w:p>
    <w:p w14:paraId="58C88AD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val="0"/>
          <w:bCs w:val="0"/>
          <w:color w:val="auto"/>
          <w:kern w:val="2"/>
          <w:sz w:val="32"/>
          <w:szCs w:val="32"/>
          <w:highlight w:val="none"/>
        </w:rPr>
        <w:t>研究制定《松潘县关于落实</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年党委（党组）意识形态工作责任制要点》，细化8个大项</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28个小项具体工作任务</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bCs/>
          <w:color w:val="auto"/>
          <w:kern w:val="2"/>
          <w:sz w:val="32"/>
          <w:szCs w:val="32"/>
          <w:highlight w:val="none"/>
        </w:rPr>
        <w:t>二是</w:t>
      </w:r>
      <w:r>
        <w:rPr>
          <w:rFonts w:hint="default" w:ascii="Times New Roman" w:hAnsi="Times New Roman" w:eastAsia="仿宋_GB2312" w:cs="Times New Roman"/>
          <w:b w:val="0"/>
          <w:bCs w:val="0"/>
          <w:color w:val="auto"/>
          <w:kern w:val="2"/>
          <w:sz w:val="32"/>
          <w:szCs w:val="32"/>
          <w:highlight w:val="none"/>
          <w:lang w:val="en-US" w:eastAsia="zh-CN"/>
        </w:rPr>
        <w:t>在县委常委会上</w:t>
      </w:r>
      <w:r>
        <w:rPr>
          <w:rFonts w:hint="default" w:ascii="Times New Roman" w:hAnsi="Times New Roman" w:eastAsia="仿宋_GB2312" w:cs="Times New Roman"/>
          <w:b w:val="0"/>
          <w:bCs w:val="0"/>
          <w:color w:val="auto"/>
          <w:kern w:val="2"/>
          <w:sz w:val="32"/>
          <w:szCs w:val="32"/>
          <w:highlight w:val="none"/>
        </w:rPr>
        <w:t>专题研究意识形态工作</w:t>
      </w:r>
      <w:r>
        <w:rPr>
          <w:rFonts w:hint="default" w:ascii="Times New Roman" w:hAnsi="Times New Roman" w:eastAsia="仿宋_GB2312" w:cs="Times New Roman"/>
          <w:b w:val="0"/>
          <w:bCs w:val="0"/>
          <w:color w:val="auto"/>
          <w:kern w:val="2"/>
          <w:sz w:val="32"/>
          <w:szCs w:val="32"/>
          <w:highlight w:val="none"/>
          <w:lang w:val="en-US" w:eastAsia="zh-CN"/>
        </w:rPr>
        <w:t>2次</w:t>
      </w:r>
      <w:r>
        <w:rPr>
          <w:rFonts w:hint="default" w:ascii="Times New Roman" w:hAnsi="Times New Roman" w:eastAsia="仿宋_GB2312" w:cs="Times New Roman"/>
          <w:b w:val="0"/>
          <w:bCs w:val="0"/>
          <w:color w:val="auto"/>
          <w:kern w:val="2"/>
          <w:sz w:val="32"/>
          <w:szCs w:val="32"/>
          <w:highlight w:val="none"/>
        </w:rPr>
        <w:t>，召开</w:t>
      </w:r>
      <w:r>
        <w:rPr>
          <w:rFonts w:hint="default" w:ascii="Times New Roman" w:hAnsi="Times New Roman" w:eastAsia="仿宋_GB2312" w:cs="Times New Roman"/>
          <w:b w:val="0"/>
          <w:bCs w:val="0"/>
          <w:color w:val="auto"/>
          <w:kern w:val="2"/>
          <w:sz w:val="32"/>
          <w:szCs w:val="32"/>
          <w:highlight w:val="none"/>
          <w:lang w:val="en-US" w:eastAsia="zh-CN"/>
        </w:rPr>
        <w:t>专题会议</w:t>
      </w:r>
      <w:r>
        <w:rPr>
          <w:rFonts w:hint="eastAsia" w:ascii="Times New Roman" w:hAnsi="Times New Roman" w:eastAsia="仿宋_GB2312" w:cs="Times New Roman"/>
          <w:b w:val="0"/>
          <w:bCs w:val="0"/>
          <w:color w:val="auto"/>
          <w:kern w:val="2"/>
          <w:sz w:val="32"/>
          <w:szCs w:val="32"/>
          <w:highlight w:val="none"/>
          <w:lang w:val="en-US" w:eastAsia="zh-CN"/>
        </w:rPr>
        <w:t>4</w:t>
      </w:r>
      <w:r>
        <w:rPr>
          <w:rFonts w:hint="default" w:ascii="Times New Roman" w:hAnsi="Times New Roman" w:eastAsia="仿宋_GB2312" w:cs="Times New Roman"/>
          <w:b w:val="0"/>
          <w:bCs w:val="0"/>
          <w:color w:val="auto"/>
          <w:kern w:val="2"/>
          <w:sz w:val="32"/>
          <w:szCs w:val="32"/>
          <w:highlight w:val="none"/>
        </w:rPr>
        <w:t>次</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分析研判会</w:t>
      </w:r>
      <w:r>
        <w:rPr>
          <w:rFonts w:hint="eastAsia" w:ascii="Times New Roman" w:hAnsi="Times New Roman" w:eastAsia="仿宋_GB2312" w:cs="Times New Roman"/>
          <w:b w:val="0"/>
          <w:bCs w:val="0"/>
          <w:color w:val="auto"/>
          <w:kern w:val="2"/>
          <w:sz w:val="32"/>
          <w:szCs w:val="32"/>
          <w:highlight w:val="none"/>
          <w:lang w:val="en-US" w:eastAsia="zh-CN"/>
        </w:rPr>
        <w:t>4</w:t>
      </w:r>
      <w:r>
        <w:rPr>
          <w:rFonts w:hint="default" w:ascii="Times New Roman" w:hAnsi="Times New Roman" w:eastAsia="仿宋_GB2312" w:cs="Times New Roman"/>
          <w:b w:val="0"/>
          <w:bCs w:val="0"/>
          <w:color w:val="auto"/>
          <w:kern w:val="2"/>
          <w:sz w:val="32"/>
          <w:szCs w:val="32"/>
          <w:highlight w:val="none"/>
        </w:rPr>
        <w:t>次，重点关注</w:t>
      </w:r>
      <w:r>
        <w:rPr>
          <w:rFonts w:hint="eastAsia" w:eastAsia="仿宋_GB2312" w:cs="Times New Roman"/>
          <w:b w:val="0"/>
          <w:bCs w:val="0"/>
          <w:color w:val="auto"/>
          <w:kern w:val="2"/>
          <w:sz w:val="32"/>
          <w:szCs w:val="32"/>
          <w:highlight w:val="none"/>
          <w:lang w:eastAsia="zh-CN"/>
        </w:rPr>
        <w:t>意识形态工作责任制</w:t>
      </w:r>
      <w:r>
        <w:rPr>
          <w:rFonts w:hint="default" w:ascii="Times New Roman" w:hAnsi="Times New Roman" w:eastAsia="仿宋_GB2312" w:cs="Times New Roman"/>
          <w:b w:val="0"/>
          <w:bCs w:val="0"/>
          <w:color w:val="auto"/>
          <w:kern w:val="2"/>
          <w:sz w:val="32"/>
          <w:szCs w:val="32"/>
          <w:highlight w:val="none"/>
        </w:rPr>
        <w:t>落实和阵地管理等突出问题，排查化解全县意识形态领域风险隐患3个。</w:t>
      </w:r>
      <w:r>
        <w:rPr>
          <w:rFonts w:hint="default" w:ascii="Times New Roman" w:hAnsi="Times New Roman" w:eastAsia="仿宋_GB2312" w:cs="Times New Roman"/>
          <w:b/>
          <w:bCs/>
          <w:color w:val="auto"/>
          <w:kern w:val="2"/>
          <w:sz w:val="32"/>
          <w:szCs w:val="32"/>
          <w:highlight w:val="none"/>
          <w:lang w:val="en-US" w:eastAsia="zh-CN"/>
        </w:rPr>
        <w:t>三</w:t>
      </w:r>
      <w:r>
        <w:rPr>
          <w:rFonts w:hint="default" w:ascii="Times New Roman" w:hAnsi="Times New Roman" w:eastAsia="仿宋_GB2312" w:cs="Times New Roman"/>
          <w:b/>
          <w:bCs/>
          <w:color w:val="auto"/>
          <w:kern w:val="2"/>
          <w:sz w:val="32"/>
          <w:szCs w:val="32"/>
          <w:highlight w:val="none"/>
        </w:rPr>
        <w:t>是</w:t>
      </w:r>
      <w:r>
        <w:rPr>
          <w:rFonts w:hint="default" w:ascii="Times New Roman" w:hAnsi="Times New Roman" w:eastAsia="仿宋_GB2312" w:cs="Times New Roman"/>
          <w:b w:val="0"/>
          <w:bCs w:val="0"/>
          <w:color w:val="auto"/>
          <w:kern w:val="2"/>
          <w:sz w:val="32"/>
          <w:szCs w:val="32"/>
          <w:highlight w:val="none"/>
          <w:lang w:val="en-US" w:eastAsia="zh-CN"/>
        </w:rPr>
        <w:t>成立</w:t>
      </w:r>
      <w:r>
        <w:rPr>
          <w:rFonts w:hint="default" w:ascii="Times New Roman" w:hAnsi="Times New Roman" w:eastAsia="仿宋_GB2312" w:cs="Times New Roman"/>
          <w:b w:val="0"/>
          <w:bCs w:val="0"/>
          <w:color w:val="auto"/>
          <w:kern w:val="2"/>
          <w:sz w:val="32"/>
          <w:szCs w:val="32"/>
          <w:highlight w:val="none"/>
        </w:rPr>
        <w:t>专项检查组，对全县17个乡镇党委及县级各单位进行拉网式检查，现场反馈个性问题19个，通报共性问题5个。</w:t>
      </w:r>
      <w:r>
        <w:rPr>
          <w:rFonts w:hint="default" w:ascii="Times New Roman" w:hAnsi="Times New Roman" w:eastAsia="仿宋_GB2312" w:cs="Times New Roman"/>
          <w:b w:val="0"/>
          <w:bCs w:val="0"/>
          <w:color w:val="auto"/>
          <w:kern w:val="2"/>
          <w:sz w:val="32"/>
          <w:szCs w:val="32"/>
          <w:highlight w:val="none"/>
          <w:lang w:val="en-US" w:eastAsia="zh-CN"/>
        </w:rPr>
        <w:t>同时与网安大队联合对涉疫数据进行安全监督检查，查处有害信息200余条，预警整改风险漏洞459个，关闭封堵违法违规网站2个，</w:t>
      </w:r>
      <w:r>
        <w:rPr>
          <w:rFonts w:hint="default" w:ascii="Times New Roman" w:hAnsi="Times New Roman" w:eastAsia="仿宋_GB2312" w:cs="Times New Roman"/>
          <w:b w:val="0"/>
          <w:bCs w:val="0"/>
          <w:color w:val="auto"/>
          <w:kern w:val="2"/>
          <w:sz w:val="32"/>
          <w:szCs w:val="32"/>
          <w:highlight w:val="none"/>
        </w:rPr>
        <w:t>切实做到立行立改</w:t>
      </w:r>
      <w:r>
        <w:rPr>
          <w:rFonts w:hint="default"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bCs/>
          <w:color w:val="auto"/>
          <w:kern w:val="2"/>
          <w:sz w:val="32"/>
          <w:szCs w:val="32"/>
          <w:highlight w:val="none"/>
          <w:lang w:val="en-US" w:eastAsia="zh-CN"/>
        </w:rPr>
        <w:t>四是</w:t>
      </w:r>
      <w:r>
        <w:rPr>
          <w:rFonts w:hint="default" w:ascii="Times New Roman" w:hAnsi="Times New Roman" w:eastAsia="仿宋_GB2312" w:cs="Times New Roman"/>
          <w:b w:val="0"/>
          <w:bCs w:val="0"/>
          <w:color w:val="auto"/>
          <w:kern w:val="2"/>
          <w:sz w:val="32"/>
          <w:szCs w:val="32"/>
          <w:highlight w:val="none"/>
          <w:lang w:val="en-US" w:eastAsia="zh-CN"/>
        </w:rPr>
        <w:t>坚决维护网络阵地安全，持续开展</w:t>
      </w:r>
      <w:r>
        <w:rPr>
          <w:rFonts w:hint="default" w:ascii="Times New Roman" w:hAnsi="Times New Roman" w:eastAsia="仿宋_GB2312" w:cs="Times New Roman"/>
          <w:b w:val="0"/>
          <w:bCs w:val="0"/>
          <w:color w:val="auto"/>
          <w:kern w:val="2"/>
          <w:sz w:val="32"/>
          <w:szCs w:val="32"/>
          <w:highlight w:val="none"/>
          <w:u w:val="none"/>
          <w:lang w:val="en-US" w:eastAsia="zh-CN"/>
        </w:rPr>
        <w:t>“清朗”“天府清风”等网络生态治理工作，强化舆情监测、预警、处置工作，共监测涉及松潘县网络信息</w:t>
      </w:r>
      <w:r>
        <w:rPr>
          <w:rFonts w:hint="eastAsia" w:ascii="Times New Roman" w:hAnsi="Times New Roman" w:eastAsia="仿宋_GB2312" w:cs="Times New Roman"/>
          <w:b w:val="0"/>
          <w:bCs w:val="0"/>
          <w:color w:val="auto"/>
          <w:kern w:val="2"/>
          <w:sz w:val="32"/>
          <w:szCs w:val="32"/>
          <w:highlight w:val="none"/>
          <w:u w:val="none"/>
          <w:lang w:val="en-US" w:eastAsia="zh-CN"/>
        </w:rPr>
        <w:t>9541</w:t>
      </w:r>
      <w:r>
        <w:rPr>
          <w:rFonts w:hint="default" w:ascii="Times New Roman" w:hAnsi="Times New Roman" w:eastAsia="仿宋_GB2312" w:cs="Times New Roman"/>
          <w:b w:val="0"/>
          <w:bCs w:val="0"/>
          <w:color w:val="auto"/>
          <w:kern w:val="2"/>
          <w:sz w:val="32"/>
          <w:szCs w:val="32"/>
          <w:highlight w:val="none"/>
          <w:u w:val="none"/>
          <w:lang w:val="en-US" w:eastAsia="zh-CN"/>
        </w:rPr>
        <w:t>条，梳理负面信息</w:t>
      </w:r>
      <w:r>
        <w:rPr>
          <w:rFonts w:hint="eastAsia" w:ascii="Times New Roman" w:hAnsi="Times New Roman" w:eastAsia="仿宋_GB2312" w:cs="Times New Roman"/>
          <w:b w:val="0"/>
          <w:bCs w:val="0"/>
          <w:color w:val="auto"/>
          <w:kern w:val="2"/>
          <w:sz w:val="32"/>
          <w:szCs w:val="32"/>
          <w:highlight w:val="none"/>
          <w:u w:val="none"/>
          <w:lang w:val="en-US" w:eastAsia="zh-CN"/>
        </w:rPr>
        <w:t>948</w:t>
      </w:r>
      <w:r>
        <w:rPr>
          <w:rFonts w:hint="default" w:ascii="Times New Roman" w:hAnsi="Times New Roman" w:eastAsia="仿宋_GB2312" w:cs="Times New Roman"/>
          <w:b w:val="0"/>
          <w:bCs w:val="0"/>
          <w:color w:val="auto"/>
          <w:kern w:val="2"/>
          <w:sz w:val="32"/>
          <w:szCs w:val="32"/>
          <w:highlight w:val="none"/>
          <w:u w:val="none"/>
          <w:lang w:val="en-US" w:eastAsia="zh-CN"/>
        </w:rPr>
        <w:t>条，下发舆情通报5</w:t>
      </w:r>
      <w:r>
        <w:rPr>
          <w:rFonts w:hint="eastAsia" w:ascii="Times New Roman" w:hAnsi="Times New Roman" w:eastAsia="仿宋_GB2312" w:cs="Times New Roman"/>
          <w:b w:val="0"/>
          <w:bCs w:val="0"/>
          <w:color w:val="auto"/>
          <w:kern w:val="2"/>
          <w:sz w:val="32"/>
          <w:szCs w:val="32"/>
          <w:highlight w:val="none"/>
          <w:u w:val="none"/>
          <w:lang w:val="en-US" w:eastAsia="zh-CN"/>
        </w:rPr>
        <w:t>2</w:t>
      </w:r>
      <w:r>
        <w:rPr>
          <w:rFonts w:hint="default" w:ascii="Times New Roman" w:hAnsi="Times New Roman" w:eastAsia="仿宋_GB2312" w:cs="Times New Roman"/>
          <w:b w:val="0"/>
          <w:bCs w:val="0"/>
          <w:color w:val="auto"/>
          <w:kern w:val="2"/>
          <w:sz w:val="32"/>
          <w:szCs w:val="32"/>
          <w:highlight w:val="none"/>
          <w:u w:val="none"/>
          <w:lang w:val="en-US" w:eastAsia="zh-CN"/>
        </w:rPr>
        <w:t>期，负面信息均得到妥善处置。</w:t>
      </w:r>
      <w:r>
        <w:rPr>
          <w:rFonts w:hint="default" w:ascii="Times New Roman" w:hAnsi="Times New Roman" w:eastAsia="仿宋_GB2312" w:cs="Times New Roman"/>
          <w:b/>
          <w:bCs/>
          <w:color w:val="auto"/>
          <w:kern w:val="2"/>
          <w:sz w:val="32"/>
          <w:szCs w:val="32"/>
          <w:u w:val="none"/>
          <w:lang w:val="en-US" w:eastAsia="zh-CN"/>
        </w:rPr>
        <w:t>五</w:t>
      </w:r>
      <w:r>
        <w:rPr>
          <w:rFonts w:hint="default" w:ascii="Times New Roman" w:hAnsi="Times New Roman" w:eastAsia="仿宋_GB2312" w:cs="Times New Roman"/>
          <w:b/>
          <w:bCs/>
          <w:color w:val="auto"/>
          <w:kern w:val="2"/>
          <w:sz w:val="32"/>
          <w:szCs w:val="32"/>
          <w:highlight w:val="none"/>
          <w:lang w:eastAsia="zh-CN"/>
        </w:rPr>
        <w:t>是</w:t>
      </w:r>
      <w:r>
        <w:rPr>
          <w:rFonts w:hint="default" w:ascii="Times New Roman" w:hAnsi="Times New Roman" w:eastAsia="仿宋_GB2312" w:cs="Times New Roman"/>
          <w:b w:val="0"/>
          <w:bCs w:val="0"/>
          <w:color w:val="auto"/>
          <w:kern w:val="2"/>
          <w:sz w:val="32"/>
          <w:szCs w:val="32"/>
          <w:highlight w:val="none"/>
          <w:lang w:val="en-US" w:eastAsia="zh-CN"/>
        </w:rPr>
        <w:t>提高网络舆论引导水平，依托</w:t>
      </w:r>
      <w:r>
        <w:rPr>
          <w:rFonts w:hint="default" w:ascii="Times New Roman" w:hAnsi="Times New Roman" w:eastAsia="仿宋_GB2312" w:cs="Times New Roman"/>
          <w:b w:val="0"/>
          <w:bCs w:val="0"/>
          <w:color w:val="auto"/>
          <w:kern w:val="2"/>
          <w:sz w:val="32"/>
          <w:szCs w:val="32"/>
          <w:highlight w:val="none"/>
          <w:u w:val="none"/>
          <w:lang w:val="en-US" w:eastAsia="zh-CN"/>
        </w:rPr>
        <w:t>网信队伍，</w:t>
      </w:r>
      <w:r>
        <w:rPr>
          <w:rFonts w:hint="default" w:ascii="Times New Roman" w:hAnsi="Times New Roman" w:eastAsia="仿宋_GB2312" w:cs="Times New Roman"/>
          <w:color w:val="auto"/>
          <w:kern w:val="2"/>
          <w:sz w:val="32"/>
          <w:szCs w:val="32"/>
          <w:highlight w:val="none"/>
          <w:lang w:val="en-US" w:eastAsia="zh-CN"/>
        </w:rPr>
        <w:t>开展转发、评论、点赞1000余次</w:t>
      </w:r>
      <w:r>
        <w:rPr>
          <w:rFonts w:hint="default" w:ascii="Times New Roman" w:hAnsi="Times New Roman" w:eastAsia="仿宋_GB2312" w:cs="Times New Roman"/>
          <w:b w:val="0"/>
          <w:bCs w:val="0"/>
          <w:color w:val="auto"/>
          <w:kern w:val="2"/>
          <w:sz w:val="32"/>
          <w:szCs w:val="32"/>
          <w:highlight w:val="none"/>
          <w:u w:val="none"/>
          <w:lang w:val="en-US" w:eastAsia="zh-CN"/>
        </w:rPr>
        <w:t>，报送社会热点信息800余篇，主动关注热点信息，巧妙回应不实言论，有针对</w:t>
      </w:r>
      <w:r>
        <w:rPr>
          <w:rFonts w:hint="eastAsia" w:eastAsia="仿宋_GB2312" w:cs="Times New Roman"/>
          <w:b w:val="0"/>
          <w:bCs w:val="0"/>
          <w:color w:val="auto"/>
          <w:kern w:val="2"/>
          <w:sz w:val="32"/>
          <w:szCs w:val="32"/>
          <w:highlight w:val="none"/>
          <w:u w:val="none"/>
          <w:lang w:val="en-US" w:eastAsia="zh-CN"/>
        </w:rPr>
        <w:t>地</w:t>
      </w:r>
      <w:r>
        <w:rPr>
          <w:rFonts w:hint="default" w:ascii="Times New Roman" w:hAnsi="Times New Roman" w:eastAsia="仿宋_GB2312" w:cs="Times New Roman"/>
          <w:b w:val="0"/>
          <w:bCs w:val="0"/>
          <w:color w:val="auto"/>
          <w:kern w:val="2"/>
          <w:sz w:val="32"/>
          <w:szCs w:val="32"/>
          <w:highlight w:val="none"/>
          <w:u w:val="none"/>
          <w:lang w:val="en-US" w:eastAsia="zh-CN"/>
        </w:rPr>
        <w:t>疏导、引导网上舆论。</w:t>
      </w:r>
    </w:p>
    <w:p w14:paraId="3BD256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三</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做深精神文明建设，涵育向上向善的“软实力”</w:t>
      </w:r>
    </w:p>
    <w:p w14:paraId="4D1174A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rPr>
        <w:t>一是</w:t>
      </w:r>
      <w:r>
        <w:rPr>
          <w:rFonts w:hint="default" w:ascii="Times New Roman" w:hAnsi="Times New Roman" w:eastAsia="仿宋_GB2312" w:cs="Times New Roman"/>
          <w:b w:val="0"/>
          <w:bCs w:val="0"/>
          <w:color w:val="auto"/>
          <w:kern w:val="2"/>
          <w:sz w:val="32"/>
          <w:szCs w:val="32"/>
          <w:highlight w:val="none"/>
        </w:rPr>
        <w:t>积极推荐各类身边好人，累计推荐扎得、李小平等20余人参加“四川好人”“感动阿坝年度人物”等评选，其中扎得入选第五届“感动阿坝年度人物”、</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年第一季度“四川好人榜”，李小平荣登全国</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年第三季度见义勇为勇士榜。</w:t>
      </w:r>
      <w:r>
        <w:rPr>
          <w:rFonts w:hint="default" w:ascii="Times New Roman" w:hAnsi="Times New Roman" w:eastAsia="仿宋_GB2312" w:cs="Times New Roman"/>
          <w:b/>
          <w:bCs/>
          <w:color w:val="auto"/>
          <w:kern w:val="2"/>
          <w:sz w:val="32"/>
          <w:szCs w:val="32"/>
          <w:highlight w:val="none"/>
        </w:rPr>
        <w:t>二是</w:t>
      </w:r>
      <w:r>
        <w:rPr>
          <w:rFonts w:hint="default" w:ascii="Times New Roman" w:hAnsi="Times New Roman" w:eastAsia="仿宋_GB2312" w:cs="Times New Roman"/>
          <w:b w:val="0"/>
          <w:bCs w:val="0"/>
          <w:color w:val="auto"/>
          <w:kern w:val="2"/>
          <w:sz w:val="32"/>
          <w:szCs w:val="32"/>
          <w:highlight w:val="none"/>
        </w:rPr>
        <w:t>做好精神文明“五大创建”工作</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开辟“文明创建红黑榜”等专栏，积极做好全国、省级文明村镇和单位创建指导工作，川主寺镇八十沟村、松潘县人民法院分别创建为省级文明村镇和省级文明单位。</w:t>
      </w:r>
      <w:r>
        <w:rPr>
          <w:rFonts w:hint="default" w:ascii="Times New Roman" w:hAnsi="Times New Roman" w:eastAsia="仿宋_GB2312" w:cs="Times New Roman"/>
          <w:b/>
          <w:bCs/>
          <w:color w:val="auto"/>
          <w:kern w:val="2"/>
          <w:sz w:val="32"/>
          <w:szCs w:val="32"/>
          <w:highlight w:val="none"/>
        </w:rPr>
        <w:t>三是</w:t>
      </w:r>
      <w:r>
        <w:rPr>
          <w:rFonts w:hint="default" w:ascii="Times New Roman" w:hAnsi="Times New Roman" w:eastAsia="仿宋_GB2312" w:cs="Times New Roman"/>
          <w:b w:val="0"/>
          <w:bCs w:val="0"/>
          <w:color w:val="auto"/>
          <w:kern w:val="2"/>
          <w:sz w:val="32"/>
          <w:szCs w:val="32"/>
          <w:highlight w:val="none"/>
        </w:rPr>
        <w:t>依托新时代文明实践中心，推出“松州云讲堂”微宣讲项目，建成松潘县志愿服务中心，开展各类志愿服务活动600余次，参与人数12000余人。松潘县文明实践中心重点孵化项目“飞翔”公益艺术培训志愿服务项目入选第十一届“四川志愿·携手圆梦”学雷锋志愿服务先进典型宣传推选活动，松潘县镇坪乡麦吉村新时代文明实践站入选四川省新时代文明实践示范站。</w:t>
      </w:r>
      <w:r>
        <w:rPr>
          <w:rFonts w:hint="default" w:ascii="Times New Roman" w:hAnsi="Times New Roman" w:eastAsia="仿宋_GB2312" w:cs="Times New Roman"/>
          <w:b/>
          <w:bCs/>
          <w:color w:val="auto"/>
          <w:kern w:val="2"/>
          <w:sz w:val="32"/>
          <w:szCs w:val="32"/>
          <w:highlight w:val="none"/>
        </w:rPr>
        <w:t>四是</w:t>
      </w:r>
      <w:r>
        <w:rPr>
          <w:rFonts w:hint="default" w:ascii="Times New Roman" w:hAnsi="Times New Roman" w:eastAsia="仿宋_GB2312" w:cs="Times New Roman"/>
          <w:b w:val="0"/>
          <w:bCs w:val="0"/>
          <w:color w:val="auto"/>
          <w:kern w:val="2"/>
          <w:sz w:val="32"/>
          <w:szCs w:val="32"/>
          <w:highlight w:val="none"/>
        </w:rPr>
        <w:t>建设乡村复兴少年宫18所，广泛开展经典诵读等各类活动</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城关小学杨承皓宇同学的童谣作品《跟谁走？》进入四川省</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年优秀童谣征集评选活动网络展播。</w:t>
      </w:r>
      <w:r>
        <w:rPr>
          <w:rFonts w:hint="default" w:ascii="Times New Roman" w:hAnsi="Times New Roman" w:eastAsia="仿宋_GB2312" w:cs="Times New Roman"/>
          <w:b/>
          <w:bCs/>
          <w:color w:val="auto"/>
          <w:kern w:val="2"/>
          <w:sz w:val="32"/>
          <w:szCs w:val="32"/>
          <w:highlight w:val="none"/>
        </w:rPr>
        <w:t>五是</w:t>
      </w:r>
      <w:r>
        <w:rPr>
          <w:rFonts w:hint="default" w:ascii="Times New Roman" w:hAnsi="Times New Roman" w:eastAsia="仿宋_GB2312" w:cs="Times New Roman"/>
          <w:b w:val="0"/>
          <w:bCs w:val="0"/>
          <w:color w:val="auto"/>
          <w:kern w:val="2"/>
          <w:sz w:val="32"/>
          <w:szCs w:val="32"/>
          <w:highlight w:val="none"/>
        </w:rPr>
        <w:t>深化乡风文明建设“十大行动”，围绕春节、清明等传统节日</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广泛组织节日民俗、文化娱乐和体育健身活动，组织开展“</w:t>
      </w:r>
      <w:r>
        <w:rPr>
          <w:rFonts w:hint="eastAsia" w:eastAsia="仿宋_GB2312" w:cs="Times New Roman"/>
          <w:b w:val="0"/>
          <w:bCs w:val="0"/>
          <w:color w:val="auto"/>
          <w:kern w:val="2"/>
          <w:sz w:val="32"/>
          <w:szCs w:val="32"/>
          <w:highlight w:val="none"/>
          <w:lang w:eastAsia="zh-CN"/>
        </w:rPr>
        <w:t>2024</w:t>
      </w:r>
      <w:r>
        <w:rPr>
          <w:rFonts w:hint="default" w:ascii="Times New Roman" w:hAnsi="Times New Roman" w:eastAsia="仿宋_GB2312" w:cs="Times New Roman"/>
          <w:b w:val="0"/>
          <w:bCs w:val="0"/>
          <w:color w:val="auto"/>
          <w:kern w:val="2"/>
          <w:sz w:val="32"/>
          <w:szCs w:val="32"/>
          <w:highlight w:val="none"/>
        </w:rPr>
        <w:t>·崇尚·清明祭英烈”“九九重阳·和美小河”等活动50余场次，参与人数3000余人次。</w:t>
      </w:r>
    </w:p>
    <w:p w14:paraId="316EEC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四</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做活文化文艺工作，提升城乡居民的“幸福感”</w:t>
      </w:r>
    </w:p>
    <w:p w14:paraId="25D4792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val="0"/>
          <w:bCs w:val="0"/>
          <w:color w:val="auto"/>
          <w:kern w:val="2"/>
          <w:sz w:val="32"/>
          <w:szCs w:val="32"/>
          <w:highlight w:val="none"/>
        </w:rPr>
        <w:t>在《民族文学》《四川文学》《草地》等刊物发表小说、诗歌散文；编纂纯文学季刊《松州韵》、第六届古城花灯会画册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撰写《松州史话》</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出版</w:t>
      </w:r>
      <w:r>
        <w:rPr>
          <w:rFonts w:hint="default" w:ascii="Times New Roman" w:hAnsi="Times New Roman" w:eastAsia="仿宋_GB2312" w:cs="Times New Roman"/>
          <w:b w:val="0"/>
          <w:bCs w:val="0"/>
          <w:color w:val="auto"/>
          <w:kern w:val="2"/>
          <w:sz w:val="32"/>
          <w:szCs w:val="32"/>
          <w:highlight w:val="none"/>
          <w:lang w:eastAsia="zh-CN"/>
        </w:rPr>
        <w:t>松潘</w:t>
      </w:r>
      <w:r>
        <w:rPr>
          <w:rFonts w:hint="default" w:ascii="Times New Roman" w:hAnsi="Times New Roman" w:eastAsia="仿宋_GB2312" w:cs="Times New Roman"/>
          <w:b w:val="0"/>
          <w:bCs w:val="0"/>
          <w:color w:val="auto"/>
          <w:kern w:val="2"/>
          <w:sz w:val="32"/>
          <w:szCs w:val="32"/>
          <w:highlight w:val="none"/>
        </w:rPr>
        <w:t>系列丛书之《光影松州》；拍摄上映微电影《赎》</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rPr>
        <w:t>举办成立70周年老干部回访历史成就展、松潘县第七届古城花灯会摄影漫画展、</w:t>
      </w:r>
      <w:r>
        <w:rPr>
          <w:rFonts w:hint="eastAsia" w:eastAsia="仿宋_GB2312" w:cs="Times New Roman"/>
          <w:b w:val="0"/>
          <w:bCs w:val="0"/>
          <w:color w:val="auto"/>
          <w:kern w:val="2"/>
          <w:sz w:val="32"/>
          <w:szCs w:val="32"/>
          <w:highlight w:val="none"/>
          <w:lang w:val="en-US" w:eastAsia="zh-CN"/>
        </w:rPr>
        <w:t>“5·12”</w:t>
      </w:r>
      <w:r>
        <w:rPr>
          <w:rFonts w:hint="default" w:ascii="Times New Roman" w:hAnsi="Times New Roman" w:eastAsia="仿宋_GB2312" w:cs="Times New Roman"/>
          <w:b w:val="0"/>
          <w:bCs w:val="0"/>
          <w:color w:val="auto"/>
          <w:kern w:val="2"/>
          <w:sz w:val="32"/>
          <w:szCs w:val="32"/>
          <w:highlight w:val="none"/>
          <w:lang w:val="en-US" w:eastAsia="zh-CN"/>
        </w:rPr>
        <w:t>安徽感恩援建回访成就展等展、台湾媒体大陆巡游等展；开展名家画松潘活动，摄影采风2次；承办首届川渝当代少数民族诗歌研讨会、川主寺镇获省作协“深入活动、扎根人民”新时代文学实践点挂牌。</w:t>
      </w:r>
      <w:r>
        <w:rPr>
          <w:rFonts w:hint="default" w:ascii="Times New Roman" w:hAnsi="Times New Roman" w:eastAsia="仿宋_GB2312" w:cs="Times New Roman"/>
          <w:b/>
          <w:bCs/>
          <w:color w:val="auto"/>
          <w:kern w:val="2"/>
          <w:sz w:val="32"/>
          <w:szCs w:val="32"/>
          <w:highlight w:val="none"/>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rPr>
        <w:t>充分挖掘松潘本土红色资源，积极筹措专项资金，相继推动川西红谷水电移民后期扶持惠农中心、红军长征碑园纪念馆数字展厅、S516川主寺至九黄机场段等7个项目建设。</w:t>
      </w:r>
      <w:r>
        <w:rPr>
          <w:rFonts w:hint="default" w:ascii="Times New Roman" w:hAnsi="Times New Roman" w:eastAsia="仿宋_GB2312" w:cs="Times New Roman"/>
          <w:b/>
          <w:bCs/>
          <w:color w:val="auto"/>
          <w:kern w:val="2"/>
          <w:sz w:val="32"/>
          <w:szCs w:val="32"/>
          <w:highlight w:val="none"/>
          <w:lang w:val="en-US" w:eastAsia="zh-CN"/>
        </w:rPr>
        <w:t>四是</w:t>
      </w:r>
      <w:r>
        <w:rPr>
          <w:rFonts w:hint="default" w:ascii="Times New Roman" w:hAnsi="Times New Roman" w:eastAsia="仿宋_GB2312" w:cs="Times New Roman"/>
          <w:b w:val="0"/>
          <w:bCs w:val="0"/>
          <w:color w:val="auto"/>
          <w:kern w:val="2"/>
          <w:sz w:val="32"/>
          <w:szCs w:val="32"/>
          <w:highlight w:val="none"/>
          <w:lang w:val="en-US" w:eastAsia="zh-CN"/>
        </w:rPr>
        <w:t>加快编制《“文化松潘”建设总体方案》，举办古城花灯会暨岷江源音乐节、羌族多声部毕曼歌节等节庆活动，全力推进国家级全域旅游示范区、天府旅游名县创建，全力推进“文化松潘”建设。</w:t>
      </w:r>
      <w:r>
        <w:rPr>
          <w:rFonts w:hint="default" w:ascii="Times New Roman" w:hAnsi="Times New Roman" w:eastAsia="仿宋_GB2312" w:cs="Times New Roman"/>
          <w:b/>
          <w:bCs/>
          <w:color w:val="auto"/>
          <w:kern w:val="2"/>
          <w:sz w:val="32"/>
          <w:szCs w:val="32"/>
          <w:highlight w:val="none"/>
          <w:lang w:val="en-US" w:eastAsia="zh-CN"/>
        </w:rPr>
        <w:t>五是</w:t>
      </w:r>
      <w:r>
        <w:rPr>
          <w:rFonts w:hint="default" w:ascii="Times New Roman" w:hAnsi="Times New Roman" w:eastAsia="仿宋_GB2312" w:cs="Times New Roman"/>
          <w:b w:val="0"/>
          <w:bCs w:val="0"/>
          <w:color w:val="auto"/>
          <w:kern w:val="2"/>
          <w:sz w:val="32"/>
          <w:szCs w:val="32"/>
          <w:highlight w:val="none"/>
          <w:lang w:val="en-US" w:eastAsia="zh-CN"/>
        </w:rPr>
        <w:t>持续开展“扫黄打非”专项整治，出动执法人员964人次，检查网吧和打字复印店等经营单位393家次，卫星地面接收使用户18户，确保各类文化阵地和公共文化服务场所安全有序。</w:t>
      </w:r>
    </w:p>
    <w:p w14:paraId="760F89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五</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做大主流舆论宣传，展示松潘形象的“高颜值”</w:t>
      </w:r>
    </w:p>
    <w:p w14:paraId="4C5A6EF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color w:val="auto"/>
          <w:kern w:val="2"/>
          <w:sz w:val="32"/>
          <w:szCs w:val="32"/>
          <w:highlight w:val="none"/>
          <w:lang w:eastAsia="zh-CN"/>
        </w:rPr>
        <w:t>一是</w:t>
      </w:r>
      <w:r>
        <w:rPr>
          <w:rFonts w:hint="default" w:ascii="Times New Roman" w:hAnsi="Times New Roman" w:eastAsia="仿宋_GB2312" w:cs="Times New Roman"/>
          <w:b w:val="0"/>
          <w:bCs w:val="0"/>
          <w:color w:val="auto"/>
          <w:kern w:val="2"/>
          <w:sz w:val="32"/>
          <w:szCs w:val="32"/>
          <w:highlight w:val="none"/>
          <w:lang w:val="en-US" w:eastAsia="zh-CN"/>
        </w:rPr>
        <w:t>壮大主流媒体平台，</w:t>
      </w:r>
      <w:r>
        <w:rPr>
          <w:rFonts w:hint="default" w:ascii="Times New Roman" w:hAnsi="Times New Roman" w:eastAsia="仿宋_GB2312" w:cs="Times New Roman"/>
          <w:color w:val="auto"/>
          <w:kern w:val="2"/>
          <w:sz w:val="32"/>
          <w:szCs w:val="32"/>
          <w:highlight w:val="none"/>
          <w:lang w:val="en-US" w:eastAsia="zh-CN"/>
        </w:rPr>
        <w:t>围绕</w:t>
      </w:r>
      <w:r>
        <w:rPr>
          <w:rFonts w:hint="eastAsia" w:eastAsia="仿宋_GB2312" w:cs="Times New Roman"/>
          <w:color w:val="auto"/>
          <w:kern w:val="2"/>
          <w:sz w:val="32"/>
          <w:szCs w:val="32"/>
          <w:highlight w:val="none"/>
          <w:lang w:val="en-US" w:eastAsia="zh-CN"/>
        </w:rPr>
        <w:t>县委、县政府</w:t>
      </w:r>
      <w:r>
        <w:rPr>
          <w:rFonts w:hint="default" w:ascii="Times New Roman" w:hAnsi="Times New Roman" w:eastAsia="仿宋_GB2312" w:cs="Times New Roman"/>
          <w:color w:val="auto"/>
          <w:kern w:val="2"/>
          <w:sz w:val="32"/>
          <w:szCs w:val="32"/>
          <w:highlight w:val="none"/>
          <w:lang w:val="en-US" w:eastAsia="zh-CN"/>
        </w:rPr>
        <w:t>中心、重点工作，在微松潘、智慧松潘等“三微一端”县级媒体平台推出稿件2025条；在中国网、人民网、</w:t>
      </w:r>
      <w:r>
        <w:rPr>
          <w:rFonts w:hint="eastAsia" w:eastAsia="仿宋_GB2312" w:cs="Times New Roman"/>
          <w:color w:val="auto"/>
          <w:kern w:val="2"/>
          <w:sz w:val="32"/>
          <w:szCs w:val="32"/>
          <w:highlight w:val="none"/>
          <w:lang w:val="en-US" w:eastAsia="zh-CN"/>
        </w:rPr>
        <w:t>《人民日报》</w:t>
      </w:r>
      <w:r>
        <w:rPr>
          <w:rFonts w:hint="default" w:ascii="Times New Roman" w:hAnsi="Times New Roman" w:eastAsia="仿宋_GB2312" w:cs="Times New Roman"/>
          <w:color w:val="auto"/>
          <w:kern w:val="2"/>
          <w:sz w:val="32"/>
          <w:szCs w:val="32"/>
          <w:highlight w:val="none"/>
          <w:lang w:val="en-US" w:eastAsia="zh-CN"/>
        </w:rPr>
        <w:t>、四川日报、阿坝日报等中央、省级、州级媒体上以文字、图片、视频等共刊播稿件1250余条。</w:t>
      </w:r>
      <w:r>
        <w:rPr>
          <w:rFonts w:hint="default" w:ascii="Times New Roman" w:hAnsi="Times New Roman" w:eastAsia="仿宋_GB2312" w:cs="Times New Roman"/>
          <w:b w:val="0"/>
          <w:bCs w:val="0"/>
          <w:color w:val="auto"/>
          <w:kern w:val="2"/>
          <w:sz w:val="32"/>
          <w:szCs w:val="32"/>
          <w:highlight w:val="none"/>
          <w:lang w:val="en-US" w:eastAsia="zh-CN"/>
        </w:rPr>
        <w:t>配合央视做好阿坝州成立70周年庆祝大会直播报道工作、四川电视台关于阿坝州成立70年宣传片拍摄工作，围绕州庆文艺演出、非遗巡演、民俗文化体验等内容发布短视频120条、稿件500余条，点击量近80万人次。</w:t>
      </w:r>
      <w:r>
        <w:rPr>
          <w:rFonts w:hint="default"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rPr>
        <w:t>系统谋划专题新闻，开设《壮丽辉煌七十年 感恩奋进新阿坝》《辉煌70年 奋进新松潘》等15个专题专栏，在</w:t>
      </w:r>
      <w:r>
        <w:rPr>
          <w:rFonts w:hint="eastAsia" w:eastAsia="仿宋_GB2312" w:cs="Times New Roman"/>
          <w:b w:val="0"/>
          <w:bCs w:val="0"/>
          <w:color w:val="auto"/>
          <w:kern w:val="2"/>
          <w:sz w:val="32"/>
          <w:szCs w:val="32"/>
          <w:highlight w:val="none"/>
          <w:lang w:val="en-US" w:eastAsia="zh-CN"/>
        </w:rPr>
        <w:t>《人民日报》</w:t>
      </w:r>
      <w:r>
        <w:rPr>
          <w:rFonts w:hint="default" w:ascii="Times New Roman" w:hAnsi="Times New Roman" w:eastAsia="仿宋_GB2312" w:cs="Times New Roman"/>
          <w:b w:val="0"/>
          <w:bCs w:val="0"/>
          <w:color w:val="auto"/>
          <w:kern w:val="2"/>
          <w:sz w:val="32"/>
          <w:szCs w:val="32"/>
          <w:highlight w:val="none"/>
          <w:lang w:val="en-US" w:eastAsia="zh-CN"/>
        </w:rPr>
        <w:t>、四川日报、阿坝日报开设专刊展示松潘成就；举办四川红叶生态旅游节子活动暨松潘县第七届古城花灯红叶节和岷江源音乐季活动，联合岷江源音乐季官方+亚洲音乐电台+中国旅游TV直播观看量达到362.72w人次，围绕古城花灯会、非遗大舞台等系列活动</w:t>
      </w:r>
      <w:r>
        <w:rPr>
          <w:rFonts w:hint="default" w:ascii="Times New Roman" w:hAnsi="Times New Roman" w:eastAsia="仿宋_GB2312" w:cs="Times New Roman"/>
          <w:color w:val="auto"/>
          <w:kern w:val="2"/>
          <w:sz w:val="32"/>
          <w:szCs w:val="32"/>
          <w:lang w:val="en-US" w:eastAsia="zh-CN"/>
        </w:rPr>
        <w:t>，在抖音、视频号等平台上累计发布作品240余条，累计全网宣传曝光量近3亿+。协助做好和美四川·岷江行启动仪式、“行进涪江·川渝九地高质量发展媒体调研行”出征仪式、“《大江之韵 探寻岷江》松潘站等系列松潘专题新闻采访拍摄工作，展示松潘良好旅游形象。</w:t>
      </w:r>
      <w:r>
        <w:rPr>
          <w:rFonts w:hint="default" w:ascii="Times New Roman" w:hAnsi="Times New Roman" w:eastAsia="仿宋_GB2312" w:cs="Times New Roman"/>
          <w:b/>
          <w:bCs/>
          <w:color w:val="auto"/>
          <w:kern w:val="2"/>
          <w:sz w:val="32"/>
          <w:szCs w:val="32"/>
          <w:highlight w:val="none"/>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rPr>
        <w:t>持续做大宣传推介，举办</w:t>
      </w:r>
      <w:r>
        <w:rPr>
          <w:rFonts w:hint="eastAsia" w:eastAsia="仿宋_GB2312" w:cs="Times New Roman"/>
          <w:b w:val="0"/>
          <w:bCs w:val="0"/>
          <w:color w:val="auto"/>
          <w:kern w:val="2"/>
          <w:sz w:val="32"/>
          <w:szCs w:val="32"/>
          <w:highlight w:val="none"/>
          <w:lang w:val="en-US" w:eastAsia="zh-CN"/>
        </w:rPr>
        <w:t>2024</w:t>
      </w:r>
      <w:r>
        <w:rPr>
          <w:rFonts w:hint="default" w:ascii="Times New Roman" w:hAnsi="Times New Roman" w:eastAsia="仿宋_GB2312" w:cs="Times New Roman"/>
          <w:b w:val="0"/>
          <w:bCs w:val="0"/>
          <w:color w:val="auto"/>
          <w:kern w:val="2"/>
          <w:sz w:val="32"/>
          <w:szCs w:val="32"/>
          <w:highlight w:val="none"/>
          <w:lang w:val="en-US" w:eastAsia="zh-CN"/>
        </w:rPr>
        <w:t>四川红叶生态旅游节·松潘县第七届古城花灯会暨岷江源音乐季成都推介会，“壮丽辉煌七十年 感恩奋进新阿坝”松潘县发展成就主题新闻发布会，积极做好川藏队松潘雪宝顶元旦攀登活动、</w:t>
      </w:r>
      <w:r>
        <w:rPr>
          <w:rFonts w:hint="eastAsia" w:eastAsia="仿宋_GB2312" w:cs="Times New Roman"/>
          <w:b w:val="0"/>
          <w:bCs w:val="0"/>
          <w:color w:val="auto"/>
          <w:kern w:val="2"/>
          <w:sz w:val="32"/>
          <w:szCs w:val="32"/>
          <w:highlight w:val="none"/>
          <w:lang w:val="en-US" w:eastAsia="zh-CN"/>
        </w:rPr>
        <w:t>2024</w:t>
      </w:r>
      <w:r>
        <w:rPr>
          <w:rFonts w:hint="default" w:ascii="Times New Roman" w:hAnsi="Times New Roman" w:eastAsia="仿宋_GB2312" w:cs="Times New Roman"/>
          <w:b w:val="0"/>
          <w:bCs w:val="0"/>
          <w:color w:val="auto"/>
          <w:kern w:val="2"/>
          <w:sz w:val="32"/>
          <w:szCs w:val="32"/>
          <w:highlight w:val="none"/>
          <w:lang w:val="en-US" w:eastAsia="zh-CN"/>
        </w:rPr>
        <w:t>海南国际文创周、第二届文旅融合发展大会、首届岷山雪宝顶冰雪登山节、走进湿地逸运 寻根江源文化——岷江源科普馆开馆宣发工作，不断提升松潘文旅美誉度、影响力。</w:t>
      </w:r>
      <w:r>
        <w:rPr>
          <w:rFonts w:hint="default" w:ascii="Times New Roman" w:hAnsi="Times New Roman" w:eastAsia="仿宋_GB2312" w:cs="Times New Roman"/>
          <w:b/>
          <w:bCs/>
          <w:kern w:val="2"/>
          <w:sz w:val="32"/>
          <w:szCs w:val="32"/>
          <w:lang w:val="en-US" w:eastAsia="zh-CN"/>
        </w:rPr>
        <w:t>四是</w:t>
      </w:r>
      <w:r>
        <w:rPr>
          <w:rFonts w:hint="default" w:ascii="Times New Roman" w:hAnsi="Times New Roman" w:eastAsia="仿宋_GB2312" w:cs="Times New Roman"/>
          <w:kern w:val="2"/>
          <w:sz w:val="32"/>
          <w:szCs w:val="32"/>
          <w:lang w:val="en-US" w:eastAsia="zh-CN"/>
        </w:rPr>
        <w:t>围绕庆祝阿坝州成立70周年、争创天府旅游名县、主题教育等氛围营造，共制作单立柱广告70余面，道旗300面，张贴悬挂横幅海报130幅，组织各类LED户外显示屏滚动播放相关宣传标语。</w:t>
      </w:r>
    </w:p>
    <w:p w14:paraId="238020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六</w:t>
      </w:r>
      <w:r>
        <w:rPr>
          <w:rFonts w:hint="default" w:ascii="Times New Roman" w:hAnsi="Times New Roman" w:eastAsia="黑体" w:cs="Times New Roman"/>
          <w:b w:val="0"/>
          <w:bCs w:val="0"/>
          <w:color w:val="auto"/>
          <w:kern w:val="2"/>
          <w:sz w:val="32"/>
          <w:szCs w:val="32"/>
          <w:highlight w:val="none"/>
          <w:lang w:eastAsia="zh-CN"/>
        </w:rPr>
        <w:t>、</w:t>
      </w:r>
      <w:r>
        <w:rPr>
          <w:rFonts w:hint="default" w:ascii="Times New Roman" w:hAnsi="Times New Roman" w:eastAsia="黑体" w:cs="Times New Roman"/>
          <w:b w:val="0"/>
          <w:bCs w:val="0"/>
          <w:color w:val="auto"/>
          <w:kern w:val="2"/>
          <w:sz w:val="32"/>
          <w:szCs w:val="32"/>
          <w:highlight w:val="none"/>
        </w:rPr>
        <w:t>做优队伍能力提升，练就本领过硬的“金刚钻”</w:t>
      </w:r>
    </w:p>
    <w:p w14:paraId="62D779B2">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val="0"/>
          <w:bCs/>
          <w:color w:val="auto"/>
          <w:kern w:val="2"/>
          <w:sz w:val="32"/>
          <w:szCs w:val="24"/>
          <w:highlight w:val="none"/>
          <w:lang w:val="en-US" w:eastAsia="zh-CN" w:bidi="ar-SA"/>
        </w:rPr>
        <w:t>按照“引进来”与“走出去”相结合的方式开展专题培训，继续实施乡镇宣传委员、宣传专干跟岗学习制度，开展学习5人/次，</w:t>
      </w:r>
      <w:r>
        <w:rPr>
          <w:rFonts w:hint="default" w:ascii="Times New Roman" w:hAnsi="Times New Roman" w:eastAsia="仿宋_GB2312" w:cs="Times New Roman"/>
          <w:b w:val="0"/>
          <w:bCs w:val="0"/>
          <w:color w:val="auto"/>
          <w:kern w:val="2"/>
          <w:sz w:val="32"/>
          <w:szCs w:val="32"/>
          <w:highlight w:val="none"/>
          <w:u w:val="none"/>
          <w:lang w:val="en-US" w:eastAsia="zh-CN"/>
        </w:rPr>
        <w:t>开展网络舆情应对演练1次；组织开展业务能力提升专题培训2期，邀请省、州专家为全县90名宣传文化员就“意识形态”“舆情应对”“新闻稿件写作”等内容进行培训；开展</w:t>
      </w:r>
      <w:r>
        <w:rPr>
          <w:rFonts w:hint="default" w:ascii="Times New Roman" w:hAnsi="Times New Roman" w:eastAsia="仿宋_GB2312" w:cs="Times New Roman"/>
          <w:color w:val="auto"/>
          <w:kern w:val="2"/>
          <w:sz w:val="32"/>
          <w:szCs w:val="32"/>
          <w:highlight w:val="none"/>
          <w:lang w:val="en-US" w:eastAsia="zh-CN"/>
        </w:rPr>
        <w:t>宣传系统干部纪律作风大整顿，重点查摆整改抓工作落实不力等作风方面存在的6个突出问题，</w:t>
      </w:r>
      <w:r>
        <w:rPr>
          <w:rFonts w:hint="default" w:ascii="Times New Roman" w:hAnsi="Times New Roman" w:eastAsia="仿宋_GB2312" w:cs="Times New Roman"/>
          <w:b w:val="0"/>
          <w:bCs/>
          <w:color w:val="auto"/>
          <w:kern w:val="2"/>
          <w:sz w:val="32"/>
          <w:szCs w:val="24"/>
          <w:highlight w:val="none"/>
          <w:lang w:val="en-US" w:eastAsia="zh-CN" w:bidi="ar-SA"/>
        </w:rPr>
        <w:t>综合提升宣传思想战线干部“脚力、眼力、脑力、笔力”。</w:t>
      </w:r>
    </w:p>
    <w:p w14:paraId="4CA1EAF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202</w:t>
      </w:r>
      <w:r>
        <w:rPr>
          <w:rFonts w:hint="eastAsia" w:eastAsia="黑体" w:cs="Times New Roman"/>
          <w:sz w:val="32"/>
          <w:szCs w:val="32"/>
          <w:lang w:val="en-US" w:eastAsia="zh-CN"/>
        </w:rPr>
        <w:t>4</w:t>
      </w:r>
      <w:r>
        <w:rPr>
          <w:rFonts w:hint="default" w:ascii="Times New Roman" w:hAnsi="Times New Roman" w:eastAsia="黑体" w:cs="Times New Roman"/>
          <w:sz w:val="32"/>
          <w:szCs w:val="32"/>
          <w:lang w:val="en-US" w:eastAsia="zh-CN"/>
        </w:rPr>
        <w:t>年工作计划</w:t>
      </w:r>
    </w:p>
    <w:p w14:paraId="7997FCB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bookmarkStart w:id="20" w:name="_Toc15377200"/>
      <w:bookmarkStart w:id="21" w:name="_Toc15396601"/>
      <w:r>
        <w:rPr>
          <w:rFonts w:hint="default" w:ascii="Times New Roman" w:hAnsi="Times New Roman" w:eastAsia="仿宋_GB2312" w:cs="Times New Roman"/>
          <w:b/>
          <w:bCs/>
          <w:color w:val="auto"/>
          <w:kern w:val="2"/>
          <w:sz w:val="32"/>
          <w:szCs w:val="32"/>
          <w:highlight w:val="none"/>
          <w:lang w:val="en-US" w:eastAsia="zh-CN"/>
        </w:rPr>
        <w:t>一是</w:t>
      </w:r>
      <w:r>
        <w:rPr>
          <w:rFonts w:hint="default" w:ascii="Times New Roman" w:hAnsi="Times New Roman" w:eastAsia="仿宋_GB2312" w:cs="Times New Roman"/>
          <w:b w:val="0"/>
          <w:bCs w:val="0"/>
          <w:color w:val="auto"/>
          <w:kern w:val="2"/>
          <w:sz w:val="32"/>
          <w:szCs w:val="32"/>
          <w:highlight w:val="none"/>
          <w:lang w:val="en-US" w:eastAsia="zh-CN"/>
        </w:rPr>
        <w:t>继续推动党的二十大精神、习近平文化思想、习近平总书记来川视察重要指示精神进机关、进企事业单位、进城乡社区、进校园、进寺庙、进网站、进各类新经济组织和新社会组织。</w:t>
      </w:r>
    </w:p>
    <w:p w14:paraId="6D72BE1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rPr>
        <w:t>保质保量完成10次中心组学习。打响“松州新语”宣讲品牌，开展对象化分众化互动化，全方位全覆盖理论政策宣传宣讲。</w:t>
      </w:r>
    </w:p>
    <w:p w14:paraId="3498A6A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rPr>
        <w:t>依托“学习强国”“微松潘”“智慧松潘”等宣传媒介，精心组织重大主题宣传、形势政策宣传、成就宣传和典型宣传。</w:t>
      </w:r>
    </w:p>
    <w:p w14:paraId="6F0F98A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四是</w:t>
      </w:r>
      <w:r>
        <w:rPr>
          <w:rFonts w:hint="default" w:ascii="Times New Roman" w:hAnsi="Times New Roman" w:eastAsia="仿宋_GB2312" w:cs="Times New Roman"/>
          <w:b w:val="0"/>
          <w:bCs w:val="0"/>
          <w:color w:val="auto"/>
          <w:kern w:val="2"/>
          <w:sz w:val="32"/>
          <w:szCs w:val="32"/>
          <w:highlight w:val="none"/>
          <w:lang w:val="en-US" w:eastAsia="zh-CN"/>
        </w:rPr>
        <w:t>持续开展好“孝善和诚俭美”道德模范、“四川好人”“阿坝好人”“第五届感动阿坝年度人物”“新时代好少年”“最美松潘人”等推荐评选活动。</w:t>
      </w:r>
    </w:p>
    <w:p w14:paraId="23851E4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五是</w:t>
      </w:r>
      <w:r>
        <w:rPr>
          <w:rFonts w:hint="default" w:ascii="Times New Roman" w:hAnsi="Times New Roman" w:eastAsia="仿宋_GB2312" w:cs="Times New Roman"/>
          <w:b w:val="0"/>
          <w:bCs w:val="0"/>
          <w:color w:val="auto"/>
          <w:kern w:val="2"/>
          <w:sz w:val="32"/>
          <w:szCs w:val="32"/>
          <w:highlight w:val="none"/>
          <w:lang w:val="en-US" w:eastAsia="zh-CN"/>
        </w:rPr>
        <w:t>继续编纂发行纯文学刊物《松州韵》和“松州</w:t>
      </w:r>
      <w:r>
        <w:rPr>
          <w:rFonts w:hint="eastAsia" w:ascii="Times New Roman" w:hAnsi="Times New Roman" w:eastAsia="仿宋_GB2312" w:cs="Times New Roman"/>
          <w:b w:val="0"/>
          <w:bCs w:val="0"/>
          <w:color w:val="auto"/>
          <w:kern w:val="2"/>
          <w:sz w:val="32"/>
          <w:szCs w:val="32"/>
          <w:highlight w:val="none"/>
          <w:lang w:val="en-US" w:eastAsia="zh-CN"/>
        </w:rPr>
        <w:t>故事</w:t>
      </w:r>
      <w:r>
        <w:rPr>
          <w:rFonts w:hint="default" w:ascii="Times New Roman" w:hAnsi="Times New Roman" w:eastAsia="仿宋_GB2312" w:cs="Times New Roman"/>
          <w:b w:val="0"/>
          <w:bCs w:val="0"/>
          <w:color w:val="auto"/>
          <w:kern w:val="2"/>
          <w:sz w:val="32"/>
          <w:szCs w:val="32"/>
          <w:highlight w:val="none"/>
          <w:lang w:val="en-US" w:eastAsia="zh-CN"/>
        </w:rPr>
        <w:t>系列丛书”，创作一批群众喜闻乐见的文艺文化节目。</w:t>
      </w:r>
    </w:p>
    <w:p w14:paraId="44E48A7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六是</w:t>
      </w:r>
      <w:r>
        <w:rPr>
          <w:rFonts w:hint="default" w:ascii="Times New Roman" w:hAnsi="Times New Roman" w:eastAsia="仿宋_GB2312" w:cs="Times New Roman"/>
          <w:b w:val="0"/>
          <w:bCs w:val="0"/>
          <w:color w:val="auto"/>
          <w:kern w:val="2"/>
          <w:sz w:val="32"/>
          <w:szCs w:val="32"/>
          <w:highlight w:val="none"/>
          <w:lang w:val="en-US" w:eastAsia="zh-CN"/>
        </w:rPr>
        <w:t>坚持定期召开意识形态领域分析研判和舆情分</w:t>
      </w:r>
      <w:bookmarkStart w:id="74" w:name="_GoBack"/>
      <w:r>
        <w:rPr>
          <w:rFonts w:hint="eastAsia" w:eastAsia="仿宋_GB2312" w:cs="Times New Roman"/>
          <w:b w:val="0"/>
          <w:bCs w:val="0"/>
          <w:color w:val="auto"/>
          <w:kern w:val="2"/>
          <w:sz w:val="32"/>
          <w:szCs w:val="32"/>
          <w:highlight w:val="none"/>
          <w:lang w:val="en-US" w:eastAsia="zh-CN"/>
        </w:rPr>
        <w:t>析会</w:t>
      </w:r>
      <w:bookmarkEnd w:id="74"/>
      <w:r>
        <w:rPr>
          <w:rFonts w:hint="default" w:ascii="Times New Roman" w:hAnsi="Times New Roman" w:eastAsia="仿宋_GB2312" w:cs="Times New Roman"/>
          <w:b w:val="0"/>
          <w:bCs w:val="0"/>
          <w:color w:val="auto"/>
          <w:kern w:val="2"/>
          <w:sz w:val="32"/>
          <w:szCs w:val="32"/>
          <w:highlight w:val="none"/>
          <w:lang w:val="en-US" w:eastAsia="zh-CN"/>
        </w:rPr>
        <w:t>，严格落实网络意识形态工作责任制，持续开展“扫黄打非”专项整治，继续抓好全州、全县基层书记抓基层党建工作述职评议反馈意见问题整改和州委意识形态专项督查反馈问题整改。</w:t>
      </w:r>
    </w:p>
    <w:p w14:paraId="5CC47555">
      <w:pPr>
        <w:pStyle w:val="3"/>
        <w:ind w:firstLine="643" w:firstLineChars="200"/>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七是</w:t>
      </w:r>
      <w:r>
        <w:rPr>
          <w:rFonts w:hint="default" w:ascii="Times New Roman" w:hAnsi="Times New Roman" w:eastAsia="仿宋_GB2312" w:cs="Times New Roman"/>
          <w:b w:val="0"/>
          <w:bCs w:val="0"/>
          <w:color w:val="auto"/>
          <w:kern w:val="2"/>
          <w:sz w:val="32"/>
          <w:szCs w:val="32"/>
          <w:highlight w:val="none"/>
          <w:lang w:val="en-US" w:eastAsia="zh-CN"/>
        </w:rPr>
        <w:t>抓好县融媒体中心队伍、乡镇宣传委员队伍、文化专干队伍“三支队伍”建设。</w:t>
      </w:r>
    </w:p>
    <w:p w14:paraId="01EAFA1D">
      <w:pPr>
        <w:pStyle w:val="3"/>
        <w:ind w:firstLine="640" w:firstLineChars="200"/>
        <w:rPr>
          <w:rStyle w:val="30"/>
          <w:b w:val="0"/>
          <w:bCs w:val="0"/>
        </w:rPr>
      </w:pPr>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0"/>
      <w:bookmarkEnd w:id="21"/>
    </w:p>
    <w:p w14:paraId="553C8DCE">
      <w:pPr>
        <w:ind w:firstLine="640" w:firstLineChars="200"/>
        <w:rPr>
          <w:rFonts w:hint="eastAsia" w:ascii="仿宋" w:hAnsi="仿宋" w:eastAsia="仿宋"/>
          <w:sz w:val="32"/>
          <w:szCs w:val="32"/>
        </w:rPr>
      </w:pPr>
      <w:bookmarkStart w:id="22" w:name="_Toc15396602"/>
      <w:bookmarkStart w:id="23" w:name="_Toc1537720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根据县委批准的县委宣传部“三定”方案，各内设科室职责明确如下：</w:t>
      </w:r>
    </w:p>
    <w:p w14:paraId="1E113240">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（一）办公室</w:t>
      </w:r>
    </w:p>
    <w:p w14:paraId="386401EB">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负责承上启下，协调内外；接待来访，掌握工作动态，做好机关文秘和行政管理工作；协助起草部领导重要讲话及重要文件；做好信息收集和上报工作；抓好财务管理。</w:t>
      </w:r>
    </w:p>
    <w:p w14:paraId="273DA1A1">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（二）外宣办</w:t>
      </w:r>
    </w:p>
    <w:p w14:paraId="7B99DA77">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5C7BB4DE">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（三）理论教育科</w:t>
      </w:r>
    </w:p>
    <w:p w14:paraId="37D46183">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县委中心组理论学习的服务工作；负责理论学习、理论宣传、理论调研和理论队伍建设等方面的业务工作；起草并组织实施干部理论教育规划，了解、掌握全县党员干部和党委（党组）中心组理论学习情况；负责全县党员党的基本理论、基本路线、基本知识和党员先进性及时事、政策等方面的教育；会同有关部门做好先进基层党组织、优秀共产党员的典型宣传工作。</w:t>
      </w:r>
    </w:p>
    <w:p w14:paraId="3B94FDF6">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（四）精神文明办</w:t>
      </w:r>
    </w:p>
    <w:p w14:paraId="4A1DA41F">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制定全县精神文明建设工作规划，并组织实施；负责全县弘扬社会主义核心价值观相关工作，组织开展文明城市、文明村镇（社区）和文明行业的创建和评先创优工作；指导全县未成年人思想道德建设等群众性精神文明建设活动；对全县精神文明建设目标任务完成情况进行考核评比。</w:t>
      </w:r>
    </w:p>
    <w:p w14:paraId="6E6EE158">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（五）互联网信息办公室</w:t>
      </w:r>
    </w:p>
    <w:p w14:paraId="60FB37B6">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落实互联网信息传播方针政策和推动互联网信息传播法治建设，指导、协调、督促有关部门加强互联网信息内容管理；负责网络新闻的日常监管；协调有关部门做好网络文化阵地建设的规划和实施工作； 负责重点新闻网站的规划建设，组织协调网上宣传工作；在职责范围内指导各地互联网有关部门开展工作；做好松潘微博、“微松潘”（微信）的发布工作。</w:t>
      </w:r>
    </w:p>
    <w:p w14:paraId="470776F7">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（六）文联</w:t>
      </w:r>
    </w:p>
    <w:p w14:paraId="1CD264F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贯彻落实党的文艺方针，开展对县级文学艺术家协会的联络、协调、指导、服务工作，听取和反映文艺界的情况和意见；组织召开全县文学艺术界代表大会，组织和管理全县文联系统的各文艺家协会，推动文艺事业发展，繁荣本土文化；组织团体会员开展文艺创作、文艺评论、学术交流、调研工作；主办和协同有关部门组织文艺活动和文艺评奖 ，推出有地域特色的文艺精品；主办《松州韵》文艺季刊；做好团体会员服务工作，维护文艺社团和文艺家知识产权等合法权益。</w:t>
      </w:r>
    </w:p>
    <w:p w14:paraId="05853BE7">
      <w:pPr>
        <w:ind w:firstLine="640" w:firstLineChars="200"/>
        <w:rPr>
          <w:rFonts w:hint="eastAsia" w:ascii="仿宋" w:hAnsi="仿宋" w:eastAsia="仿宋"/>
          <w:sz w:val="32"/>
          <w:szCs w:val="32"/>
        </w:rPr>
      </w:pPr>
    </w:p>
    <w:p w14:paraId="74CE1F68">
      <w:pPr>
        <w:rPr>
          <w:rFonts w:hint="eastAsia"/>
        </w:rPr>
      </w:pPr>
    </w:p>
    <w:p w14:paraId="0F06BEAB">
      <w:pPr>
        <w:pStyle w:val="15"/>
        <w:rPr>
          <w:rFonts w:hint="eastAsia"/>
        </w:rPr>
      </w:pPr>
    </w:p>
    <w:p w14:paraId="4FF1AC8C">
      <w:pPr>
        <w:rPr>
          <w:rFonts w:hint="eastAsia"/>
        </w:rPr>
      </w:pPr>
    </w:p>
    <w:p w14:paraId="5B520D7F">
      <w:pPr>
        <w:pStyle w:val="15"/>
        <w:rPr>
          <w:rFonts w:hint="eastAsia"/>
        </w:rPr>
      </w:pPr>
    </w:p>
    <w:p w14:paraId="6B84897E">
      <w:pPr>
        <w:rPr>
          <w:rFonts w:hint="eastAsia"/>
        </w:rPr>
      </w:pPr>
    </w:p>
    <w:p w14:paraId="0ECD0B7E">
      <w:pPr>
        <w:pStyle w:val="15"/>
        <w:rPr>
          <w:rFonts w:hint="eastAsia"/>
        </w:rPr>
      </w:pPr>
    </w:p>
    <w:p w14:paraId="67941D57">
      <w:pPr>
        <w:rPr>
          <w:rFonts w:hint="eastAsia"/>
        </w:rPr>
      </w:pPr>
    </w:p>
    <w:p w14:paraId="31422FAC">
      <w:pPr>
        <w:pStyle w:val="15"/>
        <w:rPr>
          <w:rFonts w:hint="eastAsia"/>
        </w:rPr>
      </w:pPr>
    </w:p>
    <w:p w14:paraId="0409367E">
      <w:pPr>
        <w:rPr>
          <w:rFonts w:hint="eastAsia"/>
        </w:rPr>
      </w:pPr>
    </w:p>
    <w:p w14:paraId="06147751">
      <w:pPr>
        <w:pStyle w:val="12"/>
        <w:rPr>
          <w:rFonts w:hint="eastAsia"/>
        </w:rPr>
      </w:pPr>
    </w:p>
    <w:p w14:paraId="7C83912C">
      <w:pPr>
        <w:rPr>
          <w:rFonts w:hint="eastAsia"/>
        </w:rPr>
      </w:pPr>
    </w:p>
    <w:p w14:paraId="3A7CAF40">
      <w:pPr>
        <w:pStyle w:val="12"/>
        <w:rPr>
          <w:rFonts w:hint="eastAsia"/>
        </w:rPr>
      </w:pPr>
    </w:p>
    <w:p w14:paraId="1A1DE788">
      <w:pPr>
        <w:rPr>
          <w:rFonts w:hint="eastAsia"/>
        </w:rPr>
      </w:pPr>
    </w:p>
    <w:p w14:paraId="4108ADDD">
      <w:pPr>
        <w:pStyle w:val="2"/>
        <w:ind w:right="440"/>
        <w:jc w:val="center"/>
        <w:rPr>
          <w:rStyle w:val="29"/>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lang w:val="en-US" w:eastAsia="zh-CN"/>
        </w:rPr>
        <w:t>2024</w:t>
      </w:r>
      <w:r>
        <w:rPr>
          <w:rStyle w:val="29"/>
          <w:rFonts w:hint="eastAsia" w:ascii="黑体" w:hAnsi="黑体" w:eastAsia="黑体"/>
          <w:b w:val="0"/>
          <w:bCs w:val="0"/>
        </w:rPr>
        <w:t>年度部门决算情况说明</w:t>
      </w:r>
      <w:bookmarkEnd w:id="22"/>
      <w:bookmarkEnd w:id="23"/>
    </w:p>
    <w:p w14:paraId="6B9BE297"/>
    <w:p w14:paraId="58CB8609">
      <w:pPr>
        <w:pStyle w:val="28"/>
        <w:numPr>
          <w:ilvl w:val="0"/>
          <w:numId w:val="1"/>
        </w:numPr>
        <w:spacing w:line="600" w:lineRule="exact"/>
        <w:ind w:firstLineChars="0"/>
        <w:outlineLvl w:val="1"/>
        <w:rPr>
          <w:rStyle w:val="3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14:paraId="7FE626FF">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730.39万元，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770.17</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80.53万元，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12.39%；</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177.95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18.77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主要变动原因本年存量资金项目支出减少</w:t>
      </w:r>
      <w:r>
        <w:rPr>
          <w:rFonts w:hint="eastAsia" w:ascii="仿宋" w:hAnsi="仿宋" w:eastAsia="仿宋"/>
          <w:color w:val="000000"/>
          <w:sz w:val="32"/>
          <w:szCs w:val="32"/>
          <w:lang w:eastAsia="zh-CN"/>
        </w:rPr>
        <w:t>。</w:t>
      </w:r>
    </w:p>
    <w:p w14:paraId="0A7C57D3">
      <w:pPr>
        <w:spacing w:line="600" w:lineRule="exact"/>
        <w:ind w:firstLine="640" w:firstLineChars="200"/>
        <w:rPr>
          <w:rFonts w:hint="eastAsia" w:ascii="仿宋" w:hAnsi="仿宋" w:eastAsia="仿宋"/>
          <w:color w:val="000000"/>
          <w:sz w:val="32"/>
          <w:szCs w:val="32"/>
          <w:lang w:eastAsia="zh-CN"/>
        </w:rPr>
      </w:pPr>
    </w:p>
    <w:p w14:paraId="2A72CF27">
      <w:pPr>
        <w:pStyle w:val="28"/>
        <w:numPr>
          <w:ilvl w:val="0"/>
          <w:numId w:val="1"/>
        </w:numPr>
        <w:spacing w:line="600" w:lineRule="exact"/>
        <w:ind w:firstLineChars="0"/>
        <w:outlineLvl w:val="1"/>
        <w:rPr>
          <w:rStyle w:val="30"/>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14:paraId="16BAA959">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730.39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730.39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692FFDC2">
      <w:pPr>
        <w:spacing w:line="600" w:lineRule="exact"/>
        <w:ind w:firstLine="640" w:firstLineChars="200"/>
        <w:outlineLvl w:val="1"/>
        <w:rPr>
          <w:rFonts w:hint="eastAsia" w:ascii="仿宋" w:hAnsi="仿宋" w:eastAsia="仿宋"/>
          <w:color w:val="000000"/>
          <w:sz w:val="32"/>
          <w:szCs w:val="32"/>
        </w:rPr>
      </w:pPr>
    </w:p>
    <w:p w14:paraId="2AEB6379">
      <w:pPr>
        <w:pStyle w:val="28"/>
        <w:numPr>
          <w:ilvl w:val="0"/>
          <w:numId w:val="1"/>
        </w:numPr>
        <w:spacing w:line="60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14:paraId="5489E646">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770.17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233.36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536.81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73.2</w:t>
      </w:r>
      <w:r>
        <w:rPr>
          <w:rFonts w:ascii="仿宋" w:hAnsi="仿宋" w:eastAsia="仿宋"/>
          <w:color w:val="000000"/>
          <w:sz w:val="32"/>
          <w:szCs w:val="32"/>
        </w:rPr>
        <w:t>%</w:t>
      </w:r>
      <w:r>
        <w:rPr>
          <w:rFonts w:hint="eastAsia" w:ascii="仿宋" w:hAnsi="仿宋" w:eastAsia="仿宋"/>
          <w:color w:val="000000"/>
          <w:sz w:val="32"/>
          <w:szCs w:val="32"/>
        </w:rPr>
        <w:t>。</w:t>
      </w:r>
    </w:p>
    <w:p w14:paraId="704196D2">
      <w:pPr>
        <w:spacing w:line="600" w:lineRule="exact"/>
        <w:ind w:firstLine="640" w:firstLineChars="200"/>
        <w:outlineLvl w:val="1"/>
        <w:rPr>
          <w:rFonts w:hint="eastAsia" w:ascii="仿宋" w:hAnsi="仿宋" w:eastAsia="仿宋"/>
          <w:color w:val="000000"/>
          <w:sz w:val="32"/>
          <w:szCs w:val="32"/>
        </w:rPr>
      </w:pPr>
    </w:p>
    <w:p w14:paraId="642733AE">
      <w:pPr>
        <w:spacing w:line="600" w:lineRule="exact"/>
        <w:ind w:firstLine="640" w:firstLineChars="200"/>
        <w:outlineLvl w:val="1"/>
        <w:rPr>
          <w:rStyle w:val="3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14:paraId="35129AD1">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730.39万元，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770.17</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80.53万元，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12.39%；</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177.95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18.77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主要变动原因本年存量资金项目支出减少</w:t>
      </w:r>
      <w:r>
        <w:rPr>
          <w:rFonts w:hint="eastAsia" w:ascii="仿宋" w:hAnsi="仿宋" w:eastAsia="仿宋"/>
          <w:color w:val="000000"/>
          <w:sz w:val="32"/>
          <w:szCs w:val="32"/>
          <w:lang w:eastAsia="zh-CN"/>
        </w:rPr>
        <w:t>。</w:t>
      </w:r>
    </w:p>
    <w:p w14:paraId="6B1C579F">
      <w:pPr>
        <w:pStyle w:val="12"/>
        <w:ind w:left="0" w:leftChars="0" w:firstLine="0" w:firstLineChars="0"/>
      </w:pPr>
    </w:p>
    <w:p w14:paraId="18EE8BCE">
      <w:pPr>
        <w:spacing w:line="600" w:lineRule="exact"/>
        <w:ind w:firstLine="640" w:firstLineChars="200"/>
        <w:outlineLvl w:val="1"/>
        <w:rPr>
          <w:rStyle w:val="30"/>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14:paraId="0090E01F">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028123BF">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770.17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177.95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18.77</w:t>
      </w:r>
      <w:r>
        <w:rPr>
          <w:rFonts w:ascii="仿宋" w:hAnsi="仿宋" w:eastAsia="仿宋"/>
          <w:color w:val="000000"/>
          <w:sz w:val="32"/>
          <w:szCs w:val="32"/>
        </w:rPr>
        <w:t>%</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主要变动原因是本年存量资金项目支出减少</w:t>
      </w:r>
      <w:r>
        <w:rPr>
          <w:rFonts w:hint="eastAsia" w:ascii="仿宋" w:hAnsi="仿宋" w:eastAsia="仿宋"/>
          <w:color w:val="000000"/>
          <w:sz w:val="32"/>
          <w:szCs w:val="32"/>
          <w:lang w:eastAsia="zh-CN"/>
        </w:rPr>
        <w:t>。</w:t>
      </w:r>
    </w:p>
    <w:p w14:paraId="777B4711">
      <w:pPr>
        <w:pStyle w:val="12"/>
        <w:ind w:left="0" w:leftChars="0" w:firstLine="0" w:firstLineChars="0"/>
      </w:pPr>
    </w:p>
    <w:p w14:paraId="19D201AF">
      <w:pPr>
        <w:spacing w:line="600" w:lineRule="exact"/>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99C7C6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770.17</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sz w:val="32"/>
          <w:szCs w:val="32"/>
          <w:lang w:val="en-US" w:eastAsia="zh-CN"/>
        </w:rPr>
        <w:t>510.10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59.68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w:t>
      </w:r>
      <w:r>
        <w:rPr>
          <w:rFonts w:hint="eastAsia" w:ascii="仿宋" w:hAnsi="仿宋" w:eastAsia="仿宋"/>
          <w:color w:val="000000" w:themeColor="text1"/>
          <w:sz w:val="32"/>
          <w:szCs w:val="32"/>
          <w:lang w:val="en-US" w:eastAsia="zh-CN"/>
          <w14:textFill>
            <w14:solidFill>
              <w14:schemeClr w14:val="tx1"/>
            </w14:solidFill>
          </w14:textFill>
        </w:rPr>
        <w:t>支出199.90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34.43</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32.87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11.76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15.54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2A1D9E3F">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0F9786E8">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lang w:eastAsia="zh-CN"/>
          <w14:textFill>
            <w14:solidFill>
              <w14:schemeClr w14:val="tx1"/>
            </w14:solidFill>
          </w14:textFill>
        </w:rPr>
        <w:t>2024</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770.17</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w:t>
      </w:r>
      <w:r>
        <w:rPr>
          <w:rStyle w:val="19"/>
          <w:rFonts w:hint="eastAsia" w:ascii="仿宋" w:hAnsi="仿宋" w:eastAsia="仿宋"/>
          <w:bCs/>
          <w:color w:val="000000"/>
          <w:sz w:val="32"/>
          <w:szCs w:val="32"/>
        </w:rPr>
        <w:t>预算</w:t>
      </w:r>
      <w:r>
        <w:rPr>
          <w:rStyle w:val="19"/>
          <w:rFonts w:hint="eastAsia" w:ascii="仿宋" w:hAnsi="仿宋" w:eastAsia="仿宋"/>
          <w:bCs/>
          <w:color w:val="000000"/>
          <w:sz w:val="32"/>
          <w:szCs w:val="32"/>
          <w:lang w:val="en-US" w:eastAsia="zh-CN"/>
        </w:rPr>
        <w:t>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7"/>
      <w:bookmarkEnd w:id="38"/>
      <w:bookmarkEnd w:id="39"/>
    </w:p>
    <w:p w14:paraId="1937685E">
      <w:pPr>
        <w:numPr>
          <w:ilvl w:val="0"/>
          <w:numId w:val="2"/>
        </w:numPr>
        <w:spacing w:line="600" w:lineRule="exact"/>
        <w:ind w:firstLine="643" w:firstLineChars="200"/>
        <w:rPr>
          <w:rStyle w:val="19"/>
          <w:rFonts w:hint="eastAsia" w:ascii="仿宋" w:hAnsi="仿宋" w:eastAsia="仿宋"/>
          <w:b w:val="0"/>
          <w:bCs/>
          <w:color w:val="000000"/>
          <w:sz w:val="32"/>
          <w:szCs w:val="32"/>
          <w:lang w:val="en-US" w:eastAsia="zh-CN"/>
        </w:rPr>
      </w:pPr>
      <w:r>
        <w:rPr>
          <w:rStyle w:val="19"/>
          <w:rFonts w:hint="eastAsia" w:ascii="仿宋" w:hAnsi="仿宋" w:eastAsia="仿宋"/>
          <w:bCs/>
          <w:color w:val="000000"/>
          <w:sz w:val="32"/>
          <w:szCs w:val="32"/>
        </w:rPr>
        <w:t>一般公共服务</w:t>
      </w:r>
      <w:r>
        <w:rPr>
          <w:rStyle w:val="19"/>
          <w:rFonts w:hint="eastAsia" w:ascii="仿宋" w:hAnsi="仿宋" w:eastAsia="仿宋"/>
          <w:bCs/>
          <w:color w:val="000000"/>
          <w:sz w:val="32"/>
          <w:szCs w:val="32"/>
          <w:lang w:eastAsia="zh-CN"/>
        </w:rPr>
        <w:t>支出：</w:t>
      </w:r>
      <w:r>
        <w:rPr>
          <w:rStyle w:val="19"/>
          <w:rFonts w:ascii="仿宋" w:hAnsi="仿宋" w:eastAsia="仿宋"/>
          <w:b w:val="0"/>
          <w:bCs/>
          <w:color w:val="0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301行政运行</w:t>
      </w:r>
      <w:r>
        <w:rPr>
          <w:rStyle w:val="19"/>
          <w:rFonts w:hint="eastAsia" w:ascii="仿宋" w:hAnsi="仿宋" w:eastAsia="仿宋"/>
          <w:b w:val="0"/>
          <w:bCs/>
          <w:color w:val="000000"/>
          <w:sz w:val="32"/>
          <w:szCs w:val="32"/>
        </w:rPr>
        <w:t>支出决算</w:t>
      </w:r>
      <w:r>
        <w:rPr>
          <w:rStyle w:val="19"/>
          <w:rFonts w:hint="eastAsia" w:ascii="仿宋" w:hAnsi="仿宋" w:eastAsia="仿宋"/>
          <w:b w:val="0"/>
          <w:bCs/>
          <w:color w:val="000000"/>
          <w:sz w:val="32"/>
          <w:szCs w:val="32"/>
          <w:lang w:eastAsia="zh-CN"/>
        </w:rPr>
        <w:t>数</w:t>
      </w:r>
      <w:r>
        <w:rPr>
          <w:rStyle w:val="19"/>
          <w:rFonts w:hint="eastAsia" w:ascii="仿宋" w:hAnsi="仿宋" w:eastAsia="仿宋"/>
          <w:b w:val="0"/>
          <w:bCs/>
          <w:color w:val="000000"/>
          <w:sz w:val="32"/>
          <w:szCs w:val="32"/>
        </w:rPr>
        <w:t>为</w:t>
      </w:r>
      <w:r>
        <w:rPr>
          <w:rStyle w:val="19"/>
          <w:rFonts w:hint="eastAsia" w:ascii="仿宋" w:hAnsi="仿宋" w:eastAsia="仿宋"/>
          <w:b w:val="0"/>
          <w:bCs/>
          <w:color w:val="000000"/>
          <w:sz w:val="32"/>
          <w:szCs w:val="32"/>
          <w:lang w:val="en-US" w:eastAsia="zh-CN"/>
        </w:rPr>
        <w:t>173.19</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lang w:val="en-US" w:eastAsia="zh-CN"/>
        </w:rPr>
        <w:t>2013302一般行政管理事务支出决算数为53.97万元，完成预算100%；2013304宣传管理132.52万元，完成预算100%；2013399其他宣传事务支出决算数为150.42万元，完成预算100%。</w:t>
      </w:r>
    </w:p>
    <w:p w14:paraId="1111F530">
      <w:pPr>
        <w:numPr>
          <w:ilvl w:val="0"/>
          <w:numId w:val="2"/>
        </w:numPr>
        <w:spacing w:line="600" w:lineRule="exact"/>
        <w:ind w:left="0" w:leftChars="0"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color w:val="000000"/>
          <w:sz w:val="32"/>
          <w:szCs w:val="32"/>
        </w:rPr>
        <w:t>文化旅游体育与传媒</w:t>
      </w:r>
      <w:r>
        <w:rPr>
          <w:rStyle w:val="19"/>
          <w:rFonts w:hint="eastAsia" w:ascii="仿宋" w:hAnsi="仿宋" w:eastAsia="仿宋"/>
          <w:bCs/>
          <w:color w:val="000000"/>
          <w:sz w:val="32"/>
          <w:szCs w:val="32"/>
          <w:lang w:eastAsia="zh-CN"/>
        </w:rPr>
        <w:t>支出：</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lang w:val="en-US" w:eastAsia="zh-CN"/>
        </w:rPr>
        <w:t>2070199其他文化和旅游支出决算数为61.16万元，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p>
    <w:p w14:paraId="1991362B">
      <w:pPr>
        <w:numPr>
          <w:ilvl w:val="0"/>
          <w:numId w:val="2"/>
        </w:numPr>
        <w:spacing w:line="600" w:lineRule="exact"/>
        <w:ind w:left="0" w:leftChars="0" w:firstLine="643" w:firstLineChars="200"/>
        <w:rPr>
          <w:rFonts w:ascii="仿宋" w:hAnsi="仿宋" w:eastAsia="仿宋"/>
          <w:b/>
          <w:color w:val="000000"/>
          <w:sz w:val="32"/>
          <w:szCs w:val="32"/>
        </w:rPr>
      </w:pPr>
      <w:r>
        <w:rPr>
          <w:rStyle w:val="19"/>
          <w:rFonts w:hint="eastAsia" w:ascii="仿宋" w:hAnsi="仿宋" w:eastAsia="仿宋"/>
          <w:bCs/>
          <w:color w:val="000000"/>
          <w:sz w:val="32"/>
          <w:szCs w:val="32"/>
        </w:rPr>
        <w:t>社会保障和就业</w:t>
      </w:r>
      <w:r>
        <w:rPr>
          <w:rStyle w:val="19"/>
          <w:rFonts w:hint="eastAsia" w:ascii="仿宋" w:hAnsi="仿宋" w:eastAsia="仿宋"/>
          <w:bCs/>
          <w:color w:val="000000"/>
          <w:sz w:val="32"/>
          <w:szCs w:val="32"/>
          <w:lang w:eastAsia="zh-CN"/>
        </w:rPr>
        <w:t>支出：</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lang w:val="en-US" w:eastAsia="zh-CN"/>
        </w:rPr>
        <w:t>2080505机关事业单位基本养老保险缴费</w:t>
      </w:r>
      <w:r>
        <w:rPr>
          <w:rStyle w:val="19"/>
          <w:rFonts w:hint="eastAsia" w:ascii="仿宋" w:hAnsi="仿宋" w:eastAsia="仿宋"/>
          <w:b w:val="0"/>
          <w:bCs/>
          <w:color w:val="000000"/>
          <w:sz w:val="32"/>
          <w:szCs w:val="32"/>
        </w:rPr>
        <w:t>支出决算</w:t>
      </w:r>
      <w:r>
        <w:rPr>
          <w:rStyle w:val="19"/>
          <w:rFonts w:hint="eastAsia" w:ascii="仿宋" w:hAnsi="仿宋" w:eastAsia="仿宋"/>
          <w:b w:val="0"/>
          <w:bCs/>
          <w:color w:val="000000"/>
          <w:sz w:val="32"/>
          <w:szCs w:val="32"/>
          <w:lang w:eastAsia="zh-CN"/>
        </w:rPr>
        <w:t>数</w:t>
      </w:r>
      <w:r>
        <w:rPr>
          <w:rStyle w:val="19"/>
          <w:rFonts w:hint="eastAsia" w:ascii="仿宋" w:hAnsi="仿宋" w:eastAsia="仿宋"/>
          <w:b w:val="0"/>
          <w:bCs/>
          <w:color w:val="000000"/>
          <w:sz w:val="32"/>
          <w:szCs w:val="32"/>
        </w:rPr>
        <w:t>为</w:t>
      </w:r>
      <w:r>
        <w:rPr>
          <w:rStyle w:val="19"/>
          <w:rFonts w:hint="eastAsia" w:ascii="仿宋" w:hAnsi="仿宋" w:eastAsia="仿宋"/>
          <w:b w:val="0"/>
          <w:bCs/>
          <w:color w:val="000000"/>
          <w:sz w:val="32"/>
          <w:szCs w:val="32"/>
          <w:lang w:val="en-US" w:eastAsia="zh-CN"/>
        </w:rPr>
        <w:t>19.28</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Style w:val="19"/>
          <w:rFonts w:hint="eastAsia" w:ascii="仿宋" w:hAnsi="仿宋" w:eastAsia="仿宋"/>
          <w:b w:val="0"/>
          <w:bCs/>
          <w:color w:val="000000"/>
          <w:sz w:val="32"/>
          <w:szCs w:val="32"/>
          <w:lang w:val="en-US" w:eastAsia="zh-CN"/>
        </w:rPr>
        <w:t>2080506机关事业单位职业年金缴费支出13.59万元，完成预算100%。</w:t>
      </w:r>
    </w:p>
    <w:p w14:paraId="53BAA98D">
      <w:pPr>
        <w:spacing w:line="600" w:lineRule="exact"/>
        <w:ind w:firstLine="643" w:firstLineChars="200"/>
        <w:rPr>
          <w:rStyle w:val="19"/>
          <w:rFonts w:hint="eastAsia" w:ascii="仿宋" w:hAnsi="仿宋" w:eastAsia="仿宋"/>
          <w:b w:val="0"/>
          <w:bCs/>
          <w:color w:val="000000"/>
          <w:sz w:val="32"/>
          <w:szCs w:val="32"/>
          <w:lang w:val="en-US" w:eastAsia="zh-CN"/>
        </w:rPr>
      </w:pPr>
      <w:r>
        <w:rPr>
          <w:rStyle w:val="19"/>
          <w:rFonts w:hint="eastAsia" w:ascii="仿宋" w:hAnsi="仿宋" w:eastAsia="仿宋"/>
          <w:bCs/>
          <w:color w:val="000000"/>
          <w:sz w:val="32"/>
          <w:szCs w:val="32"/>
          <w:lang w:val="en-US" w:eastAsia="zh-CN"/>
        </w:rPr>
        <w:t>4</w:t>
      </w:r>
      <w:r>
        <w:rPr>
          <w:rStyle w:val="19"/>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9"/>
          <w:rFonts w:hint="eastAsia" w:ascii="仿宋" w:hAnsi="仿宋" w:eastAsia="仿宋"/>
          <w:bCs/>
          <w:color w:val="000000"/>
          <w:sz w:val="32"/>
          <w:szCs w:val="32"/>
          <w:lang w:eastAsia="zh-CN"/>
        </w:rPr>
        <w:t>支出：</w:t>
      </w:r>
      <w:r>
        <w:rPr>
          <w:rStyle w:val="19"/>
          <w:rFonts w:hint="eastAsia" w:ascii="仿宋" w:hAnsi="仿宋" w:eastAsia="仿宋"/>
          <w:b w:val="0"/>
          <w:bCs/>
          <w:color w:val="000000"/>
          <w:sz w:val="32"/>
          <w:szCs w:val="32"/>
          <w:lang w:val="en-US" w:eastAsia="zh-CN"/>
        </w:rPr>
        <w:t>2101101行政单位医疗</w:t>
      </w:r>
      <w:r>
        <w:rPr>
          <w:rStyle w:val="19"/>
          <w:rFonts w:hint="eastAsia" w:ascii="仿宋" w:hAnsi="仿宋" w:eastAsia="仿宋"/>
          <w:b w:val="0"/>
          <w:bCs/>
          <w:color w:val="000000"/>
          <w:sz w:val="32"/>
          <w:szCs w:val="32"/>
        </w:rPr>
        <w:t>支出决算</w:t>
      </w:r>
      <w:r>
        <w:rPr>
          <w:rStyle w:val="19"/>
          <w:rFonts w:hint="eastAsia" w:ascii="仿宋" w:hAnsi="仿宋" w:eastAsia="仿宋"/>
          <w:b w:val="0"/>
          <w:bCs/>
          <w:color w:val="000000"/>
          <w:sz w:val="32"/>
          <w:szCs w:val="32"/>
          <w:lang w:eastAsia="zh-CN"/>
        </w:rPr>
        <w:t>数</w:t>
      </w:r>
      <w:r>
        <w:rPr>
          <w:rStyle w:val="19"/>
          <w:rFonts w:hint="eastAsia" w:ascii="仿宋" w:hAnsi="仿宋" w:eastAsia="仿宋"/>
          <w:b w:val="0"/>
          <w:bCs/>
          <w:color w:val="000000"/>
          <w:sz w:val="32"/>
          <w:szCs w:val="32"/>
        </w:rPr>
        <w:t>为</w:t>
      </w:r>
      <w:r>
        <w:rPr>
          <w:rStyle w:val="19"/>
          <w:rFonts w:hint="eastAsia" w:ascii="仿宋" w:hAnsi="仿宋" w:eastAsia="仿宋"/>
          <w:b w:val="0"/>
          <w:bCs/>
          <w:color w:val="000000"/>
          <w:sz w:val="32"/>
          <w:szCs w:val="32"/>
          <w:lang w:val="en-US" w:eastAsia="zh-CN"/>
        </w:rPr>
        <w:t>9.16</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lang w:val="en-US" w:eastAsia="zh-CN"/>
        </w:rPr>
        <w:t>2101103公务员医疗补助支出决算数为2.60万元，完成预算100%。</w:t>
      </w:r>
    </w:p>
    <w:p w14:paraId="6E318A61">
      <w:pPr>
        <w:spacing w:line="600" w:lineRule="exact"/>
        <w:ind w:firstLine="643" w:firstLineChars="200"/>
        <w:rPr>
          <w:rStyle w:val="19"/>
          <w:rFonts w:hint="eastAsia" w:ascii="仿宋" w:hAnsi="仿宋" w:eastAsia="仿宋"/>
          <w:b w:val="0"/>
          <w:bCs/>
          <w:color w:val="000000"/>
          <w:sz w:val="32"/>
          <w:szCs w:val="32"/>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5.住房保障支出：</w:t>
      </w:r>
      <w:r>
        <w:rPr>
          <w:rStyle w:val="19"/>
          <w:rFonts w:hint="eastAsia" w:ascii="仿宋" w:hAnsi="仿宋" w:eastAsia="仿宋"/>
          <w:b w:val="0"/>
          <w:bCs/>
          <w:color w:val="000000"/>
          <w:sz w:val="32"/>
          <w:szCs w:val="32"/>
          <w:lang w:val="en-US" w:eastAsia="zh-CN"/>
        </w:rPr>
        <w:t>2210201住房公积金支出决算数为15.54万元，完成预算100%。</w:t>
      </w:r>
    </w:p>
    <w:p w14:paraId="137B7A40">
      <w:pPr>
        <w:spacing w:line="600" w:lineRule="exact"/>
        <w:ind w:firstLine="640" w:firstLineChars="200"/>
        <w:rPr>
          <w:rStyle w:val="19"/>
          <w:rFonts w:hint="eastAsia" w:ascii="仿宋" w:hAnsi="仿宋" w:eastAsia="仿宋"/>
          <w:b w:val="0"/>
          <w:bCs/>
          <w:color w:val="000000"/>
          <w:sz w:val="32"/>
          <w:szCs w:val="32"/>
          <w:lang w:val="en-US" w:eastAsia="zh-CN"/>
        </w:rPr>
      </w:pPr>
    </w:p>
    <w:p w14:paraId="63C7BE87">
      <w:pPr>
        <w:tabs>
          <w:tab w:val="right" w:pos="8306"/>
        </w:tabs>
        <w:spacing w:line="600" w:lineRule="exact"/>
        <w:ind w:firstLine="640"/>
        <w:outlineLvl w:val="1"/>
        <w:rPr>
          <w:rStyle w:val="30"/>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14:paraId="7189B06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770.17</w:t>
      </w:r>
      <w:r>
        <w:rPr>
          <w:rFonts w:hint="eastAsia" w:ascii="仿宋" w:hAnsi="仿宋" w:eastAsia="仿宋"/>
          <w:color w:val="000000"/>
          <w:sz w:val="32"/>
          <w:szCs w:val="32"/>
        </w:rPr>
        <w:t>万元，其中：</w:t>
      </w:r>
    </w:p>
    <w:p w14:paraId="6DB980B8">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200.89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80ED0A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32.47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010B419">
      <w:pPr>
        <w:spacing w:line="600" w:lineRule="exact"/>
        <w:ind w:firstLine="640"/>
        <w:outlineLvl w:val="1"/>
        <w:rPr>
          <w:rStyle w:val="30"/>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14:paraId="7A152BF6">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4C09ECC">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12.16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0AD104E7">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156413C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14.34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99.93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0.07%</w:t>
      </w:r>
      <w:r>
        <w:rPr>
          <w:rFonts w:hint="eastAsia" w:ascii="仿宋" w:hAnsi="仿宋" w:eastAsia="仿宋"/>
          <w:color w:val="000000"/>
          <w:sz w:val="32"/>
          <w:szCs w:val="32"/>
        </w:rPr>
        <w:t>。具体情况如下：</w:t>
      </w:r>
    </w:p>
    <w:p w14:paraId="1947FAD4">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25DEEA54">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3654DF8F">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p>
    <w:p w14:paraId="1F9BB3AC">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公务出差、下乡</w:t>
      </w:r>
      <w:r>
        <w:rPr>
          <w:rFonts w:hint="eastAsia" w:ascii="仿宋_GB2312" w:eastAsia="仿宋_GB2312"/>
          <w:color w:val="000000"/>
          <w:sz w:val="32"/>
          <w:szCs w:val="32"/>
        </w:rPr>
        <w:t>等所需的公务用车燃料费、维修费、过路过桥费、保险费等支出。</w:t>
      </w:r>
    </w:p>
    <w:p w14:paraId="50C89A6F">
      <w:pPr>
        <w:numPr>
          <w:ilvl w:val="0"/>
          <w:numId w:val="2"/>
        </w:numPr>
        <w:spacing w:line="600" w:lineRule="exact"/>
        <w:ind w:left="0" w:leftChars="0" w:firstLine="643" w:firstLineChars="20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0.16</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严格控制“三公”经费。</w:t>
      </w:r>
    </w:p>
    <w:p w14:paraId="7E45E1BC">
      <w:pPr>
        <w:numPr>
          <w:ilvl w:val="0"/>
          <w:numId w:val="2"/>
        </w:numPr>
        <w:spacing w:line="600" w:lineRule="exact"/>
        <w:ind w:left="0" w:leftChars="0" w:firstLine="640" w:firstLineChars="200"/>
        <w:rPr>
          <w:rFonts w:hint="eastAsia" w:ascii="仿宋_GB2312" w:eastAsia="仿宋_GB2312"/>
          <w:color w:val="000000"/>
          <w:sz w:val="32"/>
          <w:szCs w:val="32"/>
          <w:lang w:eastAsia="zh-CN"/>
        </w:rPr>
      </w:pPr>
    </w:p>
    <w:p w14:paraId="1CE66A30">
      <w:pPr>
        <w:numPr>
          <w:ilvl w:val="0"/>
          <w:numId w:val="0"/>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0.16</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0.16</w:t>
      </w:r>
      <w:r>
        <w:rPr>
          <w:rFonts w:hint="eastAsia" w:ascii="仿宋_GB2312" w:eastAsia="仿宋_GB2312"/>
          <w:color w:val="000000"/>
          <w:sz w:val="32"/>
          <w:szCs w:val="32"/>
        </w:rPr>
        <w:t>万元。</w:t>
      </w:r>
    </w:p>
    <w:p w14:paraId="5AE5C017">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77218"/>
      <w:bookmarkStart w:id="47" w:name="_Toc15396610"/>
    </w:p>
    <w:p w14:paraId="3E6E010C">
      <w:pPr>
        <w:spacing w:line="600" w:lineRule="exact"/>
        <w:ind w:firstLine="640"/>
        <w:outlineLvl w:val="1"/>
        <w:rPr>
          <w:rStyle w:val="30"/>
          <w:rFonts w:ascii="黑体" w:hAnsi="黑体" w:eastAsia="黑体"/>
        </w:rPr>
      </w:pPr>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46"/>
      <w:bookmarkEnd w:id="47"/>
    </w:p>
    <w:p w14:paraId="2479E7C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7ED3FB7">
      <w:pPr>
        <w:numPr>
          <w:ilvl w:val="0"/>
          <w:numId w:val="3"/>
        </w:numPr>
        <w:spacing w:line="600" w:lineRule="exact"/>
        <w:ind w:firstLine="640"/>
        <w:outlineLvl w:val="1"/>
        <w:rPr>
          <w:rStyle w:val="30"/>
          <w:rFonts w:ascii="黑体" w:hAnsi="黑体" w:eastAsia="黑体"/>
          <w:b w:val="0"/>
        </w:rPr>
      </w:pPr>
      <w:bookmarkStart w:id="48" w:name="_Toc15396611"/>
      <w:bookmarkStart w:id="49" w:name="_Toc15377219"/>
      <w:r>
        <w:rPr>
          <w:rStyle w:val="30"/>
          <w:rFonts w:hint="eastAsia" w:ascii="黑体" w:hAnsi="黑体" w:eastAsia="黑体"/>
          <w:b w:val="0"/>
        </w:rPr>
        <w:t>国有资本经营预算支出决算情况说明</w:t>
      </w:r>
      <w:bookmarkEnd w:id="48"/>
      <w:bookmarkEnd w:id="49"/>
    </w:p>
    <w:p w14:paraId="61846E12">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4751805">
      <w:pPr>
        <w:spacing w:line="600" w:lineRule="exact"/>
        <w:ind w:firstLine="800" w:firstLineChars="250"/>
        <w:outlineLvl w:val="1"/>
        <w:rPr>
          <w:rStyle w:val="30"/>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50"/>
      <w:bookmarkEnd w:id="51"/>
    </w:p>
    <w:p w14:paraId="24C98E28">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1785404B">
      <w:pPr>
        <w:spacing w:line="600" w:lineRule="exact"/>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32.47</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2023年减少</w:t>
      </w:r>
      <w:r>
        <w:rPr>
          <w:rFonts w:hint="eastAsia" w:ascii="仿宋_GB2312" w:eastAsia="仿宋_GB2312"/>
          <w:color w:val="000000"/>
          <w:sz w:val="32"/>
          <w:szCs w:val="32"/>
          <w:lang w:val="en-US" w:eastAsia="zh-CN"/>
        </w:rPr>
        <w:t>66.45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67.17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rPr>
        <w:t>主要变动原因是</w:t>
      </w:r>
      <w:r>
        <w:rPr>
          <w:rFonts w:hint="eastAsia" w:ascii="仿宋_GB2312" w:eastAsia="仿宋_GB2312" w:cs="Times New Roman"/>
          <w:color w:val="000000"/>
          <w:sz w:val="32"/>
          <w:szCs w:val="32"/>
          <w:lang w:eastAsia="zh-CN"/>
        </w:rPr>
        <w:t>日常公用经费减少。</w:t>
      </w:r>
    </w:p>
    <w:p w14:paraId="5D8AA237">
      <w:pPr>
        <w:spacing w:line="600" w:lineRule="exact"/>
        <w:ind w:firstLine="640" w:firstLineChars="200"/>
        <w:rPr>
          <w:rFonts w:hint="eastAsia" w:ascii="仿宋_GB2312" w:hAnsi="Times New Roman" w:eastAsia="仿宋_GB2312" w:cs="Times New Roman"/>
          <w:color w:val="000000"/>
          <w:sz w:val="32"/>
          <w:szCs w:val="32"/>
          <w:lang w:eastAsia="zh-CN"/>
        </w:rPr>
      </w:pPr>
    </w:p>
    <w:p w14:paraId="391B326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75EE4A0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lang w:val="en-US" w:eastAsia="zh-CN"/>
        </w:rPr>
        <w:t>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创天府旅游名县形象宣传片拍摄工作</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53D326C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23D9E417">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eastAsia="zh-CN"/>
          <w14:textFill>
            <w14:solidFill>
              <w14:schemeClr w14:val="tx1"/>
            </w14:solidFill>
          </w14:textFill>
        </w:rPr>
        <w:t>公务出差、下乡等。</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04A5B8B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8F9FEB3">
      <w:pPr>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预算绩效管理工作开展情况</w:t>
      </w:r>
    </w:p>
    <w:p w14:paraId="4A1D13EF">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根据预算绩效管理要求，本部门（单位）在年初预算编制阶段，未组织对预算事前绩效评估。</w:t>
      </w:r>
    </w:p>
    <w:p w14:paraId="1865CE29">
      <w:pPr>
        <w:numPr>
          <w:ilvl w:val="0"/>
          <w:numId w:val="0"/>
        </w:num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项目绩效目标完成情况。</w:t>
      </w:r>
    </w:p>
    <w:p w14:paraId="170A754B">
      <w:pPr>
        <w:spacing w:line="580" w:lineRule="exact"/>
        <w:ind w:firstLine="1280" w:firstLine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年未实施项目绩效目标。</w:t>
      </w:r>
    </w:p>
    <w:p w14:paraId="386DC97F">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2948425A">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573555E5">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71E3402B">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538DBF36">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343492C7">
      <w:pPr>
        <w:pStyle w:val="15"/>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030F759A">
      <w:pPr>
        <w:pStyle w:val="15"/>
        <w:rPr>
          <w:rFonts w:hint="eastAsia" w:ascii="仿宋_GB2312" w:hAnsi="仿宋_GB2312" w:eastAsia="仿宋_GB2312" w:cs="仿宋_GB2312"/>
          <w:color w:val="000000" w:themeColor="text1"/>
          <w:sz w:val="32"/>
          <w:szCs w:val="32"/>
          <w14:textFill>
            <w14:solidFill>
              <w14:schemeClr w14:val="tx1"/>
            </w14:solidFill>
          </w14:textFill>
        </w:rPr>
      </w:pPr>
    </w:p>
    <w:p w14:paraId="6110CB4D">
      <w:pPr>
        <w:numPr>
          <w:ilvl w:val="0"/>
          <w:numId w:val="4"/>
        </w:numPr>
        <w:spacing w:line="600" w:lineRule="exact"/>
        <w:ind w:firstLine="660" w:firstLineChars="150"/>
        <w:jc w:val="center"/>
        <w:outlineLvl w:val="0"/>
        <w:rPr>
          <w:rStyle w:val="29"/>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55"/>
      <w:bookmarkEnd w:id="56"/>
    </w:p>
    <w:p w14:paraId="4E6FA845">
      <w:pPr>
        <w:spacing w:line="600" w:lineRule="exact"/>
        <w:jc w:val="left"/>
        <w:rPr>
          <w:rFonts w:ascii="宋体"/>
          <w:b/>
          <w:color w:val="000000"/>
          <w:sz w:val="44"/>
          <w:szCs w:val="44"/>
        </w:rPr>
      </w:pPr>
    </w:p>
    <w:p w14:paraId="0D178C6B">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1.财政拨款收入：指县级财政当年拨付的资金。 </w:t>
      </w:r>
    </w:p>
    <w:p w14:paraId="3495FF42">
      <w:pPr>
        <w:rPr>
          <w:rFonts w:ascii="仿宋_GB2312" w:hAnsi="宋体" w:eastAsia="仿宋_GB2312"/>
          <w:sz w:val="28"/>
          <w:szCs w:val="28"/>
        </w:rPr>
      </w:pPr>
      <w:r>
        <w:rPr>
          <w:rFonts w:hint="eastAsia" w:ascii="仿宋_GB2312" w:hAnsi="宋体" w:eastAsia="仿宋_GB2312"/>
          <w:sz w:val="28"/>
          <w:szCs w:val="28"/>
        </w:rPr>
        <w:t xml:space="preserve">    2.年初结转和结余：指以前年度尚未完成、结转到本年按有关规定继续使用的资金。 </w:t>
      </w:r>
    </w:p>
    <w:p w14:paraId="1387E21A">
      <w:pPr>
        <w:rPr>
          <w:rFonts w:ascii="仿宋_GB2312" w:hAnsi="宋体" w:eastAsia="仿宋_GB2312"/>
          <w:sz w:val="28"/>
          <w:szCs w:val="28"/>
        </w:rPr>
      </w:pPr>
      <w:r>
        <w:rPr>
          <w:rFonts w:hint="eastAsia" w:ascii="仿宋_GB2312" w:hAnsi="宋体" w:eastAsia="仿宋_GB2312"/>
          <w:sz w:val="28"/>
          <w:szCs w:val="28"/>
        </w:rPr>
        <w:t>　  3.一般公共服务（类）204（款）06（项）01：指行政运行。（类）204（款）06（项）02：指一般行政管理</w:t>
      </w:r>
      <w:r>
        <w:rPr>
          <w:rFonts w:hint="eastAsia" w:ascii="仿宋_GB2312" w:hAnsi="宋体" w:eastAsia="仿宋_GB2312"/>
          <w:sz w:val="28"/>
          <w:szCs w:val="28"/>
          <w:lang w:eastAsia="zh-CN"/>
        </w:rPr>
        <w:t>事务</w:t>
      </w:r>
      <w:r>
        <w:rPr>
          <w:rFonts w:hint="eastAsia" w:ascii="仿宋_GB2312" w:hAnsi="宋体" w:eastAsia="仿宋_GB2312"/>
          <w:sz w:val="28"/>
          <w:szCs w:val="28"/>
        </w:rPr>
        <w:t xml:space="preserve">。（类）204（款）06（项）04：指基层司法业务。（类）204（款）06（项）05：指普法宣传。（类）204（款）06（项）07：指法律援助。（类）204（款）06（项）99：指其他司法支出。 </w:t>
      </w:r>
    </w:p>
    <w:p w14:paraId="6475F9E0">
      <w:pPr>
        <w:rPr>
          <w:rFonts w:ascii="仿宋_GB2312" w:hAnsi="宋体" w:eastAsia="仿宋_GB2312"/>
          <w:sz w:val="28"/>
          <w:szCs w:val="28"/>
        </w:rPr>
      </w:pPr>
      <w:r>
        <w:rPr>
          <w:rFonts w:hint="eastAsia" w:ascii="仿宋_GB2312" w:hAnsi="宋体" w:eastAsia="仿宋_GB2312"/>
          <w:sz w:val="28"/>
          <w:szCs w:val="28"/>
        </w:rPr>
        <w:t xml:space="preserve">    4.社会保障和就业（类）208（款）05（项）05：指机关事业单位基本养老保险。（类）208（款）08（项）01：指死亡抚恤。 </w:t>
      </w:r>
    </w:p>
    <w:p w14:paraId="5A679584">
      <w:pPr>
        <w:rPr>
          <w:rFonts w:ascii="仿宋_GB2312" w:hAnsi="宋体" w:eastAsia="仿宋_GB2312"/>
          <w:sz w:val="28"/>
          <w:szCs w:val="28"/>
        </w:rPr>
      </w:pPr>
      <w:r>
        <w:rPr>
          <w:rFonts w:hint="eastAsia" w:ascii="仿宋_GB2312" w:hAnsi="宋体" w:eastAsia="仿宋_GB2312"/>
          <w:sz w:val="28"/>
          <w:szCs w:val="28"/>
        </w:rPr>
        <w:t xml:space="preserve">    5.医疗卫生与计划生育（类）210（款）05（项）01：指行政单位医疗。 </w:t>
      </w:r>
    </w:p>
    <w:p w14:paraId="6B03298F">
      <w:pPr>
        <w:rPr>
          <w:rFonts w:ascii="仿宋_GB2312" w:hAnsi="宋体" w:eastAsia="仿宋_GB2312"/>
          <w:sz w:val="28"/>
          <w:szCs w:val="28"/>
        </w:rPr>
      </w:pPr>
      <w:r>
        <w:rPr>
          <w:rFonts w:hint="eastAsia" w:ascii="仿宋_GB2312" w:hAnsi="宋体" w:eastAsia="仿宋_GB2312"/>
          <w:sz w:val="28"/>
          <w:szCs w:val="28"/>
        </w:rPr>
        <w:t xml:space="preserve">    6.商业服务（类）216（款）05（项）99：指其他旅游业管理与服务支出。 </w:t>
      </w:r>
    </w:p>
    <w:p w14:paraId="4823CD6D">
      <w:pPr>
        <w:rPr>
          <w:rFonts w:ascii="仿宋_GB2312" w:hAnsi="宋体" w:eastAsia="仿宋_GB2312"/>
          <w:sz w:val="28"/>
          <w:szCs w:val="28"/>
        </w:rPr>
      </w:pPr>
      <w:r>
        <w:rPr>
          <w:rFonts w:hint="eastAsia" w:ascii="仿宋_GB2312" w:hAnsi="宋体" w:eastAsia="仿宋_GB2312"/>
          <w:sz w:val="28"/>
          <w:szCs w:val="28"/>
        </w:rPr>
        <w:t xml:space="preserve">　  7.住房保障（类）221（款）02（项）01：指住房公积金。 </w:t>
      </w:r>
    </w:p>
    <w:p w14:paraId="76312B55">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8.年末结转和结余：指本年度或以前年度预算安排、因客观条件发生变化无法按原计划实施，需延迟到以后年度按有关规定继续使用的资金。 </w:t>
      </w:r>
    </w:p>
    <w:p w14:paraId="7F818525">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9.基本支出：指为保障机构正常运转、完成日常工作任务而发生的人员支出和公用支出。 </w:t>
      </w:r>
    </w:p>
    <w:p w14:paraId="2BF59AFB">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10.项目支出：指在基本支出之外为完成特定行政任务和事业发展目标所发生的支出。 </w:t>
      </w:r>
    </w:p>
    <w:p w14:paraId="477838C7">
      <w:pPr>
        <w:ind w:firstLine="560" w:firstLineChars="200"/>
        <w:rPr>
          <w:rFonts w:ascii="仿宋_GB2312" w:hAnsi="宋体" w:eastAsia="仿宋_GB2312"/>
          <w:sz w:val="24"/>
          <w:szCs w:val="24"/>
        </w:rPr>
      </w:pPr>
      <w:r>
        <w:rPr>
          <w:rFonts w:hint="eastAsia" w:ascii="仿宋_GB2312" w:hAnsi="宋体" w:eastAsia="仿宋_GB2312"/>
          <w:sz w:val="28"/>
          <w:szCs w:val="28"/>
        </w:rPr>
        <w:t>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w:t>
      </w:r>
      <w:r>
        <w:rPr>
          <w:rFonts w:hint="eastAsia" w:ascii="仿宋_GB2312" w:hAnsi="宋体" w:eastAsia="仿宋_GB2312"/>
          <w:sz w:val="24"/>
          <w:szCs w:val="24"/>
        </w:rPr>
        <w:t xml:space="preserve">购置及运行费反映单位公务用车车辆购置支出（含车辆购置税）及租用费、燃料费、维修费、过路过桥费、保险费、安全奖励费用等支出；公务接待费反映单位按规定开支的各类公务接待（含外宾接待）支出。 </w:t>
      </w:r>
    </w:p>
    <w:p w14:paraId="4AE82A24">
      <w:pPr>
        <w:ind w:firstLine="48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hAnsi="宋体" w:eastAsia="仿宋_GB2312"/>
          <w:sz w:val="24"/>
          <w:szCs w:val="24"/>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253CF5">
      <w:pPr>
        <w:ind w:firstLine="480" w:firstLineChars="200"/>
        <w:rPr>
          <w:rFonts w:hint="eastAsia" w:ascii="仿宋_GB2312" w:hAnsi="宋体" w:eastAsia="仿宋_GB2312"/>
          <w:sz w:val="24"/>
          <w:szCs w:val="24"/>
        </w:rPr>
      </w:pPr>
      <w:r>
        <w:rPr>
          <w:rFonts w:hint="eastAsia" w:ascii="仿宋_GB2312" w:hAnsi="宋体" w:eastAsia="仿宋_GB2312"/>
          <w:sz w:val="24"/>
          <w:szCs w:val="24"/>
        </w:rPr>
        <w:t>13.基本支出：指为保障机构正常运转、完成日常工作任务而发生的人员支出和公用支出。</w:t>
      </w:r>
    </w:p>
    <w:p w14:paraId="02C7D234">
      <w:pPr>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14.项目支出：指在基本支出之外为完成特定行政任务和事业发展目标所发生的支出。 </w:t>
      </w:r>
    </w:p>
    <w:p w14:paraId="77276200">
      <w:pPr>
        <w:ind w:firstLine="480" w:firstLineChars="200"/>
        <w:rPr>
          <w:rFonts w:hint="eastAsia" w:ascii="仿宋_GB2312" w:hAnsi="宋体" w:eastAsia="仿宋_GB2312"/>
          <w:sz w:val="24"/>
          <w:szCs w:val="24"/>
        </w:rPr>
      </w:pPr>
      <w:r>
        <w:rPr>
          <w:rFonts w:hint="eastAsia" w:ascii="仿宋_GB2312" w:hAnsi="宋体" w:eastAsia="仿宋_GB2312"/>
          <w:sz w:val="24"/>
          <w:szCs w:val="24"/>
        </w:rPr>
        <w:t>15.经营支出：指事业单位在专业业务活动及其辅助活动之外开展非独立核算经营活动发生的支出。</w:t>
      </w:r>
    </w:p>
    <w:p w14:paraId="3EA10EDD">
      <w:pPr>
        <w:ind w:firstLine="480" w:firstLineChars="200"/>
        <w:rPr>
          <w:rFonts w:hint="eastAsia" w:ascii="仿宋_GB2312" w:hAnsi="宋体" w:eastAsia="仿宋_GB2312"/>
          <w:sz w:val="24"/>
          <w:szCs w:val="24"/>
        </w:rPr>
      </w:pPr>
      <w:r>
        <w:rPr>
          <w:rFonts w:hint="eastAsia" w:ascii="仿宋_GB2312" w:hAnsi="宋体" w:eastAsia="仿宋_GB2312"/>
          <w:sz w:val="24"/>
          <w:szCs w:val="24"/>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44E22B">
      <w:pPr>
        <w:ind w:firstLine="480" w:firstLineChars="200"/>
        <w:rPr>
          <w:rFonts w:hint="eastAsia" w:ascii="仿宋_GB2312" w:hAnsi="宋体" w:eastAsia="仿宋_GB2312"/>
          <w:sz w:val="24"/>
          <w:szCs w:val="24"/>
        </w:rPr>
      </w:pPr>
      <w:r>
        <w:rPr>
          <w:rFonts w:hint="eastAsia" w:ascii="仿宋_GB2312" w:hAnsi="宋体" w:eastAsia="仿宋_GB2312"/>
          <w:sz w:val="24"/>
          <w:szCs w:val="24"/>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64B455">
      <w:pPr>
        <w:ind w:firstLine="480" w:firstLineChars="200"/>
        <w:rPr>
          <w:rFonts w:hint="eastAsia" w:ascii="仿宋_GB2312" w:hAnsi="宋体" w:eastAsia="仿宋_GB2312"/>
          <w:sz w:val="24"/>
          <w:szCs w:val="24"/>
        </w:rPr>
      </w:pPr>
    </w:p>
    <w:p w14:paraId="688705CA">
      <w:pPr>
        <w:pStyle w:val="27"/>
        <w:spacing w:line="560" w:lineRule="exact"/>
        <w:rPr>
          <w:rFonts w:ascii="仿宋_GB2312" w:eastAsia="仿宋_GB2312"/>
          <w:sz w:val="28"/>
          <w:szCs w:val="28"/>
        </w:rPr>
      </w:pPr>
    </w:p>
    <w:p w14:paraId="1BF86B6A">
      <w:pPr>
        <w:pStyle w:val="27"/>
        <w:spacing w:line="560" w:lineRule="exact"/>
        <w:rPr>
          <w:rFonts w:ascii="仿宋_GB2312" w:eastAsia="仿宋_GB2312"/>
          <w:sz w:val="28"/>
          <w:szCs w:val="28"/>
        </w:rPr>
      </w:pPr>
    </w:p>
    <w:p w14:paraId="5FEACDE7">
      <w:pPr>
        <w:pStyle w:val="27"/>
        <w:spacing w:line="560" w:lineRule="exact"/>
        <w:rPr>
          <w:rFonts w:ascii="仿宋_GB2312" w:eastAsia="仿宋_GB2312"/>
          <w:sz w:val="28"/>
          <w:szCs w:val="28"/>
        </w:rPr>
      </w:pPr>
    </w:p>
    <w:p w14:paraId="47E3416B">
      <w:pPr>
        <w:pStyle w:val="27"/>
        <w:spacing w:line="560" w:lineRule="exact"/>
        <w:rPr>
          <w:rFonts w:ascii="仿宋_GB2312" w:eastAsia="仿宋_GB2312"/>
          <w:sz w:val="28"/>
          <w:szCs w:val="28"/>
        </w:rPr>
      </w:pPr>
    </w:p>
    <w:p w14:paraId="5742CC19">
      <w:pPr>
        <w:pStyle w:val="27"/>
        <w:spacing w:line="560" w:lineRule="exact"/>
        <w:rPr>
          <w:rFonts w:ascii="仿宋_GB2312" w:eastAsia="仿宋_GB2312"/>
          <w:sz w:val="28"/>
          <w:szCs w:val="28"/>
        </w:rPr>
      </w:pPr>
    </w:p>
    <w:p w14:paraId="11698383">
      <w:pPr>
        <w:pStyle w:val="27"/>
        <w:spacing w:line="560" w:lineRule="exact"/>
        <w:rPr>
          <w:rFonts w:ascii="仿宋_GB2312" w:eastAsia="仿宋_GB2312"/>
          <w:sz w:val="28"/>
          <w:szCs w:val="28"/>
        </w:rPr>
      </w:pPr>
    </w:p>
    <w:p w14:paraId="6DA54D78">
      <w:pPr>
        <w:pStyle w:val="27"/>
        <w:spacing w:line="560" w:lineRule="exact"/>
        <w:ind w:firstLine="560" w:firstLineChars="200"/>
        <w:rPr>
          <w:rFonts w:ascii="仿宋_GB2312" w:eastAsia="仿宋_GB2312"/>
          <w:sz w:val="28"/>
          <w:szCs w:val="28"/>
        </w:rPr>
      </w:pPr>
    </w:p>
    <w:p w14:paraId="61F1A480">
      <w:pPr>
        <w:pStyle w:val="27"/>
        <w:spacing w:line="560" w:lineRule="exact"/>
        <w:ind w:firstLine="560" w:firstLineChars="200"/>
        <w:rPr>
          <w:rFonts w:ascii="仿宋_GB2312" w:eastAsia="仿宋_GB2312" w:cs="黑体"/>
          <w:sz w:val="28"/>
          <w:szCs w:val="28"/>
        </w:rPr>
      </w:pPr>
    </w:p>
    <w:p w14:paraId="3F9029E3">
      <w:pPr>
        <w:spacing w:line="600" w:lineRule="exact"/>
        <w:jc w:val="center"/>
        <w:outlineLvl w:val="0"/>
        <w:rPr>
          <w:rFonts w:hint="eastAsia" w:ascii="黑体" w:hAnsi="黑体" w:eastAsia="黑体"/>
          <w:color w:val="000000"/>
          <w:sz w:val="40"/>
          <w:szCs w:val="40"/>
        </w:rPr>
      </w:pPr>
      <w:bookmarkStart w:id="57" w:name="_Toc15396614"/>
      <w:bookmarkStart w:id="58" w:name="_Toc15377226"/>
    </w:p>
    <w:p w14:paraId="172BD6B4">
      <w:pPr>
        <w:spacing w:line="600" w:lineRule="exact"/>
        <w:jc w:val="center"/>
        <w:outlineLvl w:val="0"/>
        <w:rPr>
          <w:rFonts w:hint="eastAsia" w:ascii="黑体" w:hAnsi="黑体" w:eastAsia="黑体"/>
          <w:color w:val="000000"/>
          <w:sz w:val="40"/>
          <w:szCs w:val="40"/>
        </w:rPr>
      </w:pPr>
    </w:p>
    <w:p w14:paraId="6271CFD1">
      <w:pPr>
        <w:spacing w:line="600" w:lineRule="exact"/>
        <w:jc w:val="center"/>
        <w:outlineLvl w:val="0"/>
        <w:rPr>
          <w:rFonts w:hint="eastAsia" w:ascii="黑体" w:hAnsi="黑体" w:eastAsia="黑体"/>
          <w:color w:val="000000"/>
          <w:sz w:val="40"/>
          <w:szCs w:val="40"/>
        </w:rPr>
      </w:pPr>
    </w:p>
    <w:p w14:paraId="20C35C10">
      <w:pPr>
        <w:spacing w:line="600" w:lineRule="exact"/>
        <w:jc w:val="center"/>
        <w:outlineLvl w:val="0"/>
        <w:rPr>
          <w:rFonts w:hint="eastAsia" w:ascii="黑体" w:hAnsi="黑体" w:eastAsia="黑体"/>
          <w:color w:val="000000"/>
          <w:sz w:val="40"/>
          <w:szCs w:val="40"/>
        </w:rPr>
      </w:pPr>
    </w:p>
    <w:p w14:paraId="6FDBBFCE">
      <w:pPr>
        <w:spacing w:line="600" w:lineRule="exact"/>
        <w:jc w:val="center"/>
        <w:outlineLvl w:val="0"/>
        <w:rPr>
          <w:rFonts w:hint="eastAsia" w:ascii="黑体" w:hAnsi="黑体" w:eastAsia="黑体"/>
          <w:color w:val="000000"/>
          <w:sz w:val="40"/>
          <w:szCs w:val="40"/>
        </w:rPr>
      </w:pPr>
    </w:p>
    <w:p w14:paraId="397CE41D">
      <w:pPr>
        <w:spacing w:line="600" w:lineRule="exact"/>
        <w:jc w:val="center"/>
        <w:outlineLvl w:val="0"/>
        <w:rPr>
          <w:rFonts w:hint="eastAsia" w:ascii="黑体" w:hAnsi="黑体" w:eastAsia="黑体"/>
          <w:color w:val="000000"/>
          <w:sz w:val="40"/>
          <w:szCs w:val="40"/>
        </w:rPr>
      </w:pPr>
    </w:p>
    <w:p w14:paraId="2993CE18">
      <w:pPr>
        <w:spacing w:line="600" w:lineRule="exact"/>
        <w:jc w:val="center"/>
        <w:outlineLvl w:val="0"/>
        <w:rPr>
          <w:rFonts w:hint="eastAsia" w:ascii="黑体" w:hAnsi="黑体" w:eastAsia="黑体"/>
          <w:color w:val="000000"/>
          <w:sz w:val="40"/>
          <w:szCs w:val="40"/>
        </w:rPr>
      </w:pPr>
    </w:p>
    <w:p w14:paraId="531C70A7">
      <w:pPr>
        <w:spacing w:line="600" w:lineRule="exact"/>
        <w:jc w:val="center"/>
        <w:outlineLvl w:val="0"/>
        <w:rPr>
          <w:rFonts w:hint="eastAsia" w:ascii="黑体" w:hAnsi="黑体" w:eastAsia="黑体"/>
          <w:color w:val="000000"/>
          <w:sz w:val="40"/>
          <w:szCs w:val="40"/>
        </w:rPr>
      </w:pPr>
    </w:p>
    <w:p w14:paraId="0560B553">
      <w:pPr>
        <w:spacing w:line="600" w:lineRule="exact"/>
        <w:jc w:val="center"/>
        <w:outlineLvl w:val="0"/>
        <w:rPr>
          <w:rFonts w:hint="eastAsia" w:ascii="黑体" w:hAnsi="黑体" w:eastAsia="黑体"/>
          <w:color w:val="000000"/>
          <w:sz w:val="40"/>
          <w:szCs w:val="40"/>
        </w:rPr>
      </w:pPr>
    </w:p>
    <w:p w14:paraId="5FAEC1F7">
      <w:pPr>
        <w:spacing w:line="600" w:lineRule="exact"/>
        <w:jc w:val="center"/>
        <w:outlineLvl w:val="0"/>
        <w:rPr>
          <w:rFonts w:hint="eastAsia" w:ascii="黑体" w:hAnsi="黑体" w:eastAsia="黑体"/>
          <w:color w:val="000000"/>
          <w:sz w:val="40"/>
          <w:szCs w:val="40"/>
        </w:rPr>
      </w:pPr>
    </w:p>
    <w:p w14:paraId="5F5677DC">
      <w:pPr>
        <w:spacing w:line="600" w:lineRule="exact"/>
        <w:jc w:val="center"/>
        <w:outlineLvl w:val="0"/>
        <w:rPr>
          <w:rStyle w:val="29"/>
          <w:rFonts w:ascii="黑体" w:hAnsi="黑体" w:eastAsia="黑体"/>
          <w:b w:val="0"/>
          <w:sz w:val="40"/>
          <w:szCs w:val="40"/>
        </w:rPr>
      </w:pPr>
      <w:r>
        <w:rPr>
          <w:rFonts w:hint="eastAsia" w:ascii="黑体" w:hAnsi="黑体" w:eastAsia="黑体"/>
          <w:color w:val="000000"/>
          <w:sz w:val="40"/>
          <w:szCs w:val="40"/>
        </w:rPr>
        <w:t>第</w:t>
      </w:r>
      <w:r>
        <w:rPr>
          <w:rStyle w:val="29"/>
          <w:rFonts w:hint="eastAsia" w:ascii="黑体" w:hAnsi="黑体" w:eastAsia="黑体"/>
          <w:b w:val="0"/>
          <w:sz w:val="40"/>
          <w:szCs w:val="40"/>
        </w:rPr>
        <w:t>四部分 附件</w:t>
      </w:r>
      <w:bookmarkEnd w:id="57"/>
    </w:p>
    <w:p w14:paraId="76BAEBD7">
      <w:pPr>
        <w:spacing w:line="600" w:lineRule="exact"/>
        <w:jc w:val="left"/>
        <w:outlineLvl w:val="0"/>
        <w:rPr>
          <w:rFonts w:ascii="方正小标宋简体" w:hAnsi="方正小标宋简体" w:eastAsia="方正小标宋简体" w:cs="方正小标宋简体"/>
          <w:sz w:val="28"/>
          <w:szCs w:val="28"/>
        </w:rPr>
      </w:pPr>
      <w:r>
        <w:rPr>
          <w:rFonts w:hint="eastAsia" w:ascii="黑体" w:hAnsi="黑体" w:eastAsia="黑体" w:cs="黑体"/>
          <w:sz w:val="28"/>
          <w:szCs w:val="28"/>
        </w:rPr>
        <w:t>附件1</w:t>
      </w:r>
    </w:p>
    <w:p w14:paraId="2B7E8EF7">
      <w:pPr>
        <w:spacing w:line="580" w:lineRule="exact"/>
        <w:jc w:val="center"/>
        <w:rPr>
          <w:rFonts w:ascii="方正小标宋简体" w:hAnsi="方正小标宋简体" w:eastAsia="方正小标宋简体" w:cs="方正小标宋简体"/>
          <w:sz w:val="40"/>
          <w:szCs w:val="40"/>
        </w:rPr>
      </w:pPr>
    </w:p>
    <w:p w14:paraId="0E204AA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0"/>
          <w:szCs w:val="40"/>
          <w:highlight w:val="none"/>
          <w:shd w:val="clear" w:color="auto" w:fill="FFFFFF"/>
          <w:lang w:val="en-US" w:eastAsia="zh-CN"/>
        </w:rPr>
      </w:pPr>
      <w:r>
        <w:rPr>
          <w:rFonts w:hint="eastAsia" w:eastAsia="方正小标宋简体" w:cs="Times New Roman"/>
          <w:b w:val="0"/>
          <w:bCs/>
          <w:sz w:val="40"/>
          <w:szCs w:val="40"/>
          <w:highlight w:val="none"/>
          <w:shd w:val="clear" w:color="auto" w:fill="FFFFFF"/>
          <w:lang w:val="en-US" w:eastAsia="zh-CN"/>
        </w:rPr>
        <w:t>中共阿坝州松潘县委宣传部</w:t>
      </w:r>
    </w:p>
    <w:p w14:paraId="6EFB864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0"/>
          <w:szCs w:val="40"/>
          <w:highlight w:val="none"/>
          <w:shd w:val="clear" w:color="auto" w:fill="FFFFFF"/>
        </w:rPr>
      </w:pPr>
      <w:r>
        <w:rPr>
          <w:rFonts w:hint="default" w:ascii="Times New Roman" w:hAnsi="Times New Roman" w:eastAsia="方正小标宋简体" w:cs="Times New Roman"/>
          <w:b w:val="0"/>
          <w:bCs/>
          <w:sz w:val="40"/>
          <w:szCs w:val="40"/>
          <w:highlight w:val="none"/>
          <w:shd w:val="clear" w:color="auto" w:fill="FFFFFF"/>
        </w:rPr>
        <w:t>部门</w:t>
      </w:r>
      <w:r>
        <w:rPr>
          <w:rFonts w:hint="default" w:ascii="Times New Roman" w:hAnsi="Times New Roman" w:eastAsia="方正小标宋简体" w:cs="Times New Roman"/>
          <w:b w:val="0"/>
          <w:bCs/>
          <w:sz w:val="40"/>
          <w:szCs w:val="40"/>
          <w:highlight w:val="none"/>
          <w:shd w:val="clear" w:color="auto" w:fill="FFFFFF"/>
          <w:lang w:eastAsia="zh-CN"/>
        </w:rPr>
        <w:t>预算</w:t>
      </w:r>
      <w:r>
        <w:rPr>
          <w:rFonts w:hint="default" w:ascii="Times New Roman" w:hAnsi="Times New Roman" w:eastAsia="方正小标宋简体" w:cs="Times New Roman"/>
          <w:b w:val="0"/>
          <w:bCs/>
          <w:sz w:val="40"/>
          <w:szCs w:val="40"/>
          <w:highlight w:val="none"/>
          <w:shd w:val="clear" w:color="auto" w:fill="FFFFFF"/>
        </w:rPr>
        <w:t>绩效</w:t>
      </w:r>
      <w:r>
        <w:rPr>
          <w:rFonts w:hint="eastAsia" w:ascii="Times New Roman" w:hAnsi="Times New Roman" w:eastAsia="方正小标宋简体" w:cs="Times New Roman"/>
          <w:b w:val="0"/>
          <w:bCs/>
          <w:sz w:val="40"/>
          <w:szCs w:val="40"/>
          <w:highlight w:val="none"/>
          <w:shd w:val="clear" w:color="auto" w:fill="FFFFFF"/>
          <w:lang w:eastAsia="zh-CN"/>
        </w:rPr>
        <w:t>评价</w:t>
      </w:r>
      <w:r>
        <w:rPr>
          <w:rFonts w:hint="default" w:ascii="Times New Roman" w:hAnsi="Times New Roman" w:eastAsia="方正小标宋简体" w:cs="Times New Roman"/>
          <w:b w:val="0"/>
          <w:bCs/>
          <w:sz w:val="40"/>
          <w:szCs w:val="40"/>
          <w:highlight w:val="none"/>
          <w:shd w:val="clear" w:color="auto" w:fill="FFFFFF"/>
        </w:rPr>
        <w:t>报告</w:t>
      </w:r>
    </w:p>
    <w:p w14:paraId="2F3743C1">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color w:val="000000"/>
          <w:kern w:val="0"/>
          <w:sz w:val="22"/>
          <w:szCs w:val="28"/>
          <w:highlight w:val="none"/>
          <w:shd w:val="clear" w:color="auto" w:fill="FFFFFF"/>
        </w:rPr>
      </w:pPr>
    </w:p>
    <w:p w14:paraId="1F71503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zh-CN"/>
        </w:rPr>
        <w:t>一、部门（单位）基本情况</w:t>
      </w:r>
    </w:p>
    <w:p w14:paraId="6844745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（一）机构组成。</w:t>
      </w:r>
    </w:p>
    <w:p w14:paraId="662CF4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中共阿坝州松潘县委宣传部（下称“我部门”）设下列内设机构：</w:t>
      </w:r>
    </w:p>
    <w:p w14:paraId="4B07AD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1.办公室。负责承上启下，协调内外；接待来访，掌握工作动态，做好机关文秘和行政管理工作；协助起草部领导重要讲话及重要文件；做好信息收集和上报工作；抓好财务管理。</w:t>
      </w:r>
    </w:p>
    <w:p w14:paraId="2BD1880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县委网络安全和信息化委员会办公室。落实互联网信息传播方针政策和推动互联网信息传播法治建设，指导、协调、督促有关部门加强互联网信息内容管理；负责网络新闻的日常监管；协调有关部门做好网络文化阵地建设的规划和实施工作； 负责重点新闻网站的规划建设，组织协调网上宣传工作；在职责范围内指导各地互联网有关部门开展工作。</w:t>
      </w:r>
    </w:p>
    <w:p w14:paraId="758F69C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县对外宣传和新闻办公室。负责新闻舆论导向、新闻舆论监督和新闻队伍建设方面的业务工作；从宏观上指导、管理和协调县新闻媒体的新闻舆论工作；负责组织好重大题材的宣传报道；负责与有关新闻单位的业务联系和来访记者的接待工作。负责组织协调全县对外宣传工作；负责境外常驻记者和来访记者的联系工作；负责外宣制品的制作、审核、发行等工作；负责对全县网络新闻宣传实施指导、监督和管理。</w:t>
      </w:r>
    </w:p>
    <w:p w14:paraId="099D18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精神文明和理论办公室。负责制定全县精神文明建设工作规划，并组织实施；负责全县弘扬社会主义核心价值观相关工作，组织开展文明城市、文明村镇（社区）和文明行业的创建和评先创优工作；负责县委中心组理论学习的服务工作；负责理论学习、理论宣传、理论调研和理论队伍建设方面的业务工作。</w:t>
      </w:r>
    </w:p>
    <w:p w14:paraId="3828BA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5.新闻出版和电影工作中心。负责全县出版物市场、印刷行业和著作权行政管理工作。负责电影制片、发行、放映单位和业务的监督管理工作，组织对电影内容进行审查。</w:t>
      </w:r>
    </w:p>
    <w:p w14:paraId="285C58A1">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机构职能。</w:t>
      </w:r>
    </w:p>
    <w:p w14:paraId="72ABDA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中共松潘县委宣传部是中共松潘县委主管宣传思想、意识形态方面工作的综合职能部门。松潘县委宣传部挂县精神文明建设办公室、县委外宣办、县互信办、县委网安办主要职责是：</w:t>
      </w:r>
    </w:p>
    <w:p w14:paraId="67C580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1.负责组织、指导全县的理论研究、理论学习和理论宣传工作。</w:t>
      </w:r>
    </w:p>
    <w:p w14:paraId="7D75A4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2.负责引导社会舆论，指导、协调新闻、出版等部门的工作。对县广播电视、文化、体育事业单位和全县新闻工作实施方针、政策的指导。</w:t>
      </w:r>
    </w:p>
    <w:p w14:paraId="017943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3.负责从宏观上指导、协调精神产品的生产和文化市场的管理。指导县文广新局的工作，代管县文联以及县文学、新闻、摄影、书法、舞蹈、音乐、美术、戏剧等协会，并在政治方向和方针、政策方面实施领导。</w:t>
      </w:r>
    </w:p>
    <w:p w14:paraId="5B0F6A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4.负责规划、部署全局性的思想政治工作；研究和改进经常性的群众思想教育工作；配合县委组织部做好党员教育，负责编审、征订党员教育材料；指导全县党员学习。</w:t>
      </w:r>
    </w:p>
    <w:p w14:paraId="3576FD5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5.负责指导全县精神文明建设活动广泛、深入、持久地开展。</w:t>
      </w:r>
    </w:p>
    <w:p w14:paraId="216802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6.负责从宏观上指导全县各中小学校的德育、政治理论教学和思想政治工作。</w:t>
      </w:r>
    </w:p>
    <w:p w14:paraId="1C8479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7.负责全县对外宣传工作；指导协调全县对外文化交流工作。</w:t>
      </w:r>
    </w:p>
    <w:p w14:paraId="47D9B7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8.配合有关部门做好知识分子工作和理论、新闻、出版、文艺等方面优秀人物的选拔、培训工作。</w:t>
      </w:r>
    </w:p>
    <w:p w14:paraId="017224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9.负责提出全县宣传文化事业发展规划、指导宣传文化系统制定发展目标；协调宣传文化系统各部门之间的工作关系。</w:t>
      </w:r>
    </w:p>
    <w:p w14:paraId="7ED8ED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10.负责松潘县互联网环境净化、清理和网络建设与管理工作。</w:t>
      </w:r>
    </w:p>
    <w:p w14:paraId="3734FA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11.完成县委和州委宣传部交办的其他任务。</w:t>
      </w:r>
    </w:p>
    <w:p w14:paraId="0C1D9B3A">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人员概况。</w:t>
      </w:r>
    </w:p>
    <w:p w14:paraId="4E9F92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宣传部行政编制7名，参公编制5名，事业编制9名。其中：常委部长1名，常务副部长1名（正科级），副部长2名（不含兼职），县委网络安全和信息化委员会办公室副主任1名，县精神文明和理论办公室副主任1名，县对外宣传和新闻办公室副主任1名，正科级领导职数1名，副科级领导职数5名、文学艺术界联合会事业编制4名。机关工勤编制（人员控制数）1名，2024年年末实有人数17人。</w:t>
      </w:r>
    </w:p>
    <w:p w14:paraId="357299A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w:t>
      </w:r>
      <w:r>
        <w:rPr>
          <w:rFonts w:hint="eastAsia" w:ascii="仿宋_GB2312" w:hAnsi="仿宋_GB2312" w:eastAsia="仿宋_GB2312" w:cs="仿宋_GB2312"/>
          <w:color w:val="000000"/>
          <w:kern w:val="0"/>
          <w:sz w:val="32"/>
          <w:szCs w:val="32"/>
          <w:highlight w:val="none"/>
          <w:shd w:val="clear" w:color="auto" w:fill="FFFFFF"/>
          <w:lang w:eastAsia="zh-CN"/>
        </w:rPr>
        <w:t>部门</w:t>
      </w:r>
      <w:r>
        <w:rPr>
          <w:rFonts w:hint="eastAsia" w:ascii="仿宋_GB2312" w:hAnsi="仿宋_GB2312" w:eastAsia="仿宋_GB2312" w:cs="仿宋_GB2312"/>
          <w:color w:val="000000"/>
          <w:kern w:val="0"/>
          <w:sz w:val="32"/>
          <w:szCs w:val="32"/>
          <w:highlight w:val="none"/>
          <w:shd w:val="clear" w:color="auto" w:fill="FFFFFF"/>
        </w:rPr>
        <w:t>资金收支情况</w:t>
      </w:r>
    </w:p>
    <w:p w14:paraId="6CB5231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p>
    <w:p w14:paraId="53C1890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sz w:val="32"/>
          <w:szCs w:val="32"/>
          <w:lang w:val="en-US" w:eastAsia="zh-CN"/>
        </w:rPr>
        <w:t>我部门2024年年初预算收入248.42万元，决算报表收入数948.12万元。其中：上年结转298.25万元，占31.46%。</w:t>
      </w:r>
    </w:p>
    <w:p w14:paraId="14F88B9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p>
    <w:p w14:paraId="23D0F5D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我部门2024年年初预算支出248.42万元，决算报表支出948.12万元。</w:t>
      </w:r>
    </w:p>
    <w:p w14:paraId="625EAD7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sz w:val="32"/>
          <w:szCs w:val="32"/>
        </w:rPr>
        <w:t>结余分配和结转结余情况</w:t>
      </w:r>
      <w:r>
        <w:rPr>
          <w:rFonts w:hint="eastAsia" w:ascii="仿宋_GB2312" w:hAnsi="仿宋_GB2312" w:eastAsia="仿宋_GB2312" w:cs="仿宋_GB2312"/>
          <w:b/>
          <w:sz w:val="32"/>
          <w:szCs w:val="32"/>
          <w:lang w:eastAsia="zh-CN"/>
        </w:rPr>
        <w:t>。</w:t>
      </w:r>
    </w:p>
    <w:p w14:paraId="3B79EDF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我部门2024年度决算报表无结转结余情况。</w:t>
      </w:r>
    </w:p>
    <w:p w14:paraId="6A1EF02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kern w:val="0"/>
          <w:sz w:val="32"/>
          <w:szCs w:val="32"/>
          <w:highlight w:val="none"/>
          <w:shd w:val="clear" w:color="auto" w:fill="FFFFFF"/>
        </w:rPr>
        <w:t>三、</w:t>
      </w:r>
      <w:r>
        <w:rPr>
          <w:rFonts w:hint="eastAsia" w:ascii="仿宋_GB2312" w:hAnsi="仿宋_GB2312" w:eastAsia="仿宋_GB2312" w:cs="仿宋_GB2312"/>
          <w:color w:val="000000"/>
          <w:kern w:val="0"/>
          <w:sz w:val="32"/>
          <w:szCs w:val="32"/>
          <w:highlight w:val="none"/>
          <w:u w:val="none"/>
          <w:shd w:val="clear" w:color="auto" w:fill="FFFFFF"/>
        </w:rPr>
        <w:t>部门</w:t>
      </w:r>
      <w:r>
        <w:rPr>
          <w:rFonts w:hint="eastAsia" w:ascii="仿宋_GB2312" w:hAnsi="仿宋_GB2312" w:eastAsia="仿宋_GB2312" w:cs="仿宋_GB2312"/>
          <w:color w:val="000000"/>
          <w:kern w:val="0"/>
          <w:sz w:val="32"/>
          <w:szCs w:val="32"/>
          <w:highlight w:val="none"/>
          <w:u w:val="none"/>
          <w:shd w:val="clear" w:color="auto" w:fill="FFFFFF"/>
          <w:lang w:eastAsia="zh-CN"/>
        </w:rPr>
        <w:t>预算</w:t>
      </w:r>
      <w:r>
        <w:rPr>
          <w:rFonts w:hint="eastAsia" w:ascii="仿宋_GB2312" w:hAnsi="仿宋_GB2312" w:eastAsia="仿宋_GB2312" w:cs="仿宋_GB2312"/>
          <w:color w:val="000000"/>
          <w:kern w:val="0"/>
          <w:sz w:val="32"/>
          <w:szCs w:val="32"/>
          <w:highlight w:val="none"/>
          <w:u w:val="none"/>
          <w:shd w:val="clear" w:color="auto" w:fill="FFFFFF"/>
        </w:rPr>
        <w:t>绩效</w:t>
      </w:r>
      <w:r>
        <w:rPr>
          <w:rFonts w:hint="eastAsia" w:ascii="仿宋_GB2312" w:hAnsi="仿宋_GB2312" w:eastAsia="仿宋_GB2312" w:cs="仿宋_GB2312"/>
          <w:color w:val="000000"/>
          <w:kern w:val="0"/>
          <w:sz w:val="32"/>
          <w:szCs w:val="32"/>
          <w:highlight w:val="none"/>
          <w:u w:val="none"/>
          <w:shd w:val="clear" w:color="auto" w:fill="FFFFFF"/>
          <w:lang w:eastAsia="zh-CN"/>
        </w:rPr>
        <w:t>分析</w:t>
      </w:r>
    </w:p>
    <w:p w14:paraId="2254AF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p>
    <w:p w14:paraId="14B20E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w:t>
      </w:r>
    </w:p>
    <w:p w14:paraId="371588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2024年以来，县委宣传部在县委、县政府的坚强领导下，在州委宣传部的指导下，坚持以习近平新时代中国特色社会主义思想为指导，全面贯彻落实党的二十大精神、习近平文化思想和来川视察重要讲话指示精神，坚持守正创新，自觉承担举旗帜、聚民心、育新人、兴文化、展形象的使命任务，为深化拓展“一城两心三地”发展战略，全力构建“四片”发展布局，为努力推动“五个松潘”建设提供坚强的思想保证、强大的精神力量和有利的文化条件。</w:t>
      </w:r>
    </w:p>
    <w:p w14:paraId="301EAFD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w:t>
      </w:r>
      <w:r>
        <w:rPr>
          <w:rFonts w:hint="eastAsia" w:ascii="仿宋_GB2312" w:hAnsi="仿宋_GB2312" w:eastAsia="仿宋_GB2312" w:cs="仿宋_GB2312"/>
          <w:color w:val="000000"/>
          <w:kern w:val="0"/>
          <w:sz w:val="32"/>
          <w:szCs w:val="32"/>
          <w:highlight w:val="none"/>
          <w:shd w:val="clear" w:color="auto" w:fill="FFFFFF"/>
          <w:lang w:val="zh-CN" w:eastAsia="zh-CN"/>
        </w:rPr>
        <w:t>2024年度我部门圆满完成了单位年度任务。故此项得15分。</w:t>
      </w:r>
    </w:p>
    <w:p w14:paraId="6B449F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w:t>
      </w:r>
    </w:p>
    <w:p w14:paraId="71498F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预算编制质量</w:t>
      </w:r>
    </w:p>
    <w:p w14:paraId="2878F5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财政拨款偏离度=|预算执行数1096.65万元-</w:t>
      </w:r>
      <w:r>
        <w:rPr>
          <w:rFonts w:hint="eastAsia" w:ascii="仿宋_GB2312" w:hAnsi="仿宋_GB2312" w:eastAsia="仿宋_GB2312" w:cs="仿宋_GB2312"/>
          <w:color w:val="000000"/>
          <w:kern w:val="0"/>
          <w:sz w:val="32"/>
          <w:szCs w:val="32"/>
          <w:highlight w:val="none"/>
          <w:shd w:val="clear" w:color="auto" w:fill="FFFFFF"/>
          <w:lang w:val="en-US" w:eastAsia="zh-CN"/>
        </w:rPr>
        <w:t>全年</w:t>
      </w:r>
      <w:r>
        <w:rPr>
          <w:rFonts w:hint="eastAsia" w:ascii="仿宋_GB2312" w:hAnsi="仿宋_GB2312" w:eastAsia="仿宋_GB2312" w:cs="仿宋_GB2312"/>
          <w:color w:val="000000"/>
          <w:kern w:val="0"/>
          <w:sz w:val="32"/>
          <w:szCs w:val="32"/>
          <w:highlight w:val="none"/>
          <w:shd w:val="clear" w:color="auto" w:fill="FFFFFF"/>
          <w:lang w:val="zh-CN"/>
        </w:rPr>
        <w:t>预算数</w:t>
      </w:r>
      <w:r>
        <w:rPr>
          <w:rFonts w:hint="eastAsia" w:ascii="仿宋_GB2312" w:hAnsi="仿宋_GB2312" w:eastAsia="仿宋_GB2312" w:cs="仿宋_GB2312"/>
          <w:color w:val="000000"/>
          <w:kern w:val="0"/>
          <w:sz w:val="32"/>
          <w:szCs w:val="32"/>
          <w:highlight w:val="none"/>
          <w:shd w:val="clear" w:color="auto" w:fill="FFFFFF"/>
          <w:lang w:val="en-US" w:eastAsia="zh-CN"/>
        </w:rPr>
        <w:t>948.12</w:t>
      </w:r>
      <w:r>
        <w:rPr>
          <w:rFonts w:hint="eastAsia" w:ascii="仿宋_GB2312" w:hAnsi="仿宋_GB2312" w:eastAsia="仿宋_GB2312" w:cs="仿宋_GB2312"/>
          <w:color w:val="000000"/>
          <w:kern w:val="0"/>
          <w:sz w:val="32"/>
          <w:szCs w:val="32"/>
          <w:highlight w:val="none"/>
          <w:shd w:val="clear" w:color="auto" w:fill="FFFFFF"/>
          <w:lang w:val="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全年</w:t>
      </w:r>
      <w:r>
        <w:rPr>
          <w:rFonts w:hint="eastAsia" w:ascii="仿宋_GB2312" w:hAnsi="仿宋_GB2312" w:eastAsia="仿宋_GB2312" w:cs="仿宋_GB2312"/>
          <w:color w:val="000000"/>
          <w:kern w:val="0"/>
          <w:sz w:val="32"/>
          <w:szCs w:val="32"/>
          <w:highlight w:val="none"/>
          <w:shd w:val="clear" w:color="auto" w:fill="FFFFFF"/>
          <w:lang w:val="zh-CN"/>
        </w:rPr>
        <w:t>预算数</w:t>
      </w:r>
      <w:r>
        <w:rPr>
          <w:rFonts w:hint="eastAsia" w:ascii="仿宋_GB2312" w:hAnsi="仿宋_GB2312" w:eastAsia="仿宋_GB2312" w:cs="仿宋_GB2312"/>
          <w:color w:val="000000"/>
          <w:kern w:val="0"/>
          <w:sz w:val="32"/>
          <w:szCs w:val="32"/>
          <w:highlight w:val="none"/>
          <w:shd w:val="clear" w:color="auto" w:fill="FFFFFF"/>
          <w:lang w:val="en-US" w:eastAsia="zh-CN"/>
        </w:rPr>
        <w:t>948.12</w:t>
      </w:r>
      <w:r>
        <w:rPr>
          <w:rFonts w:hint="eastAsia" w:ascii="仿宋_GB2312" w:hAnsi="仿宋_GB2312" w:eastAsia="仿宋_GB2312" w:cs="仿宋_GB2312"/>
          <w:color w:val="000000"/>
          <w:kern w:val="0"/>
          <w:sz w:val="32"/>
          <w:szCs w:val="32"/>
          <w:highlight w:val="none"/>
          <w:shd w:val="clear" w:color="auto" w:fill="FFFFFF"/>
          <w:lang w:val="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15.67%</w:t>
      </w:r>
      <w:r>
        <w:rPr>
          <w:rFonts w:hint="eastAsia" w:ascii="仿宋_GB2312" w:hAnsi="仿宋_GB2312" w:eastAsia="仿宋_GB2312" w:cs="仿宋_GB2312"/>
          <w:color w:val="000000"/>
          <w:kern w:val="0"/>
          <w:sz w:val="32"/>
          <w:szCs w:val="32"/>
          <w:highlight w:val="none"/>
          <w:shd w:val="clear" w:color="auto" w:fill="FFFFFF"/>
          <w:lang w:val="zh-CN"/>
        </w:rPr>
        <w:t>。</w:t>
      </w:r>
    </w:p>
    <w:p w14:paraId="390CF5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部门2024年未购置办公设备，不涉及资产配置偏离度，不扣分。</w:t>
      </w:r>
    </w:p>
    <w:p w14:paraId="56D7D1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政府采购偏离度=|预算执行数</w:t>
      </w:r>
      <w:r>
        <w:rPr>
          <w:rFonts w:hint="eastAsia" w:ascii="仿宋_GB2312" w:hAnsi="仿宋_GB2312" w:eastAsia="仿宋_GB2312" w:cs="仿宋_GB2312"/>
          <w:color w:val="000000"/>
          <w:kern w:val="0"/>
          <w:sz w:val="32"/>
          <w:szCs w:val="32"/>
          <w:highlight w:val="none"/>
          <w:shd w:val="clear" w:color="auto" w:fill="FFFFFF"/>
          <w:lang w:val="en-US" w:eastAsia="zh-CN"/>
        </w:rPr>
        <w:t>68</w:t>
      </w:r>
      <w:r>
        <w:rPr>
          <w:rFonts w:hint="eastAsia" w:ascii="仿宋_GB2312" w:hAnsi="仿宋_GB2312" w:eastAsia="仿宋_GB2312" w:cs="仿宋_GB2312"/>
          <w:color w:val="000000"/>
          <w:kern w:val="0"/>
          <w:sz w:val="32"/>
          <w:szCs w:val="32"/>
          <w:highlight w:val="none"/>
          <w:shd w:val="clear" w:color="auto" w:fill="FFFFFF"/>
          <w:lang w:val="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预算金额72</w:t>
      </w:r>
      <w:r>
        <w:rPr>
          <w:rFonts w:hint="eastAsia" w:ascii="仿宋_GB2312" w:hAnsi="仿宋_GB2312" w:eastAsia="仿宋_GB2312" w:cs="仿宋_GB2312"/>
          <w:color w:val="000000"/>
          <w:kern w:val="0"/>
          <w:sz w:val="32"/>
          <w:szCs w:val="32"/>
          <w:highlight w:val="none"/>
          <w:shd w:val="clear" w:color="auto" w:fill="FFFFFF"/>
          <w:lang w:val="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预算金额72</w:t>
      </w:r>
      <w:r>
        <w:rPr>
          <w:rFonts w:hint="eastAsia" w:ascii="仿宋_GB2312" w:hAnsi="仿宋_GB2312" w:eastAsia="仿宋_GB2312" w:cs="仿宋_GB2312"/>
          <w:color w:val="000000"/>
          <w:kern w:val="0"/>
          <w:sz w:val="32"/>
          <w:szCs w:val="32"/>
          <w:highlight w:val="none"/>
          <w:shd w:val="clear" w:color="auto" w:fill="FFFFFF"/>
          <w:lang w:val="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5.56</w:t>
      </w:r>
      <w:r>
        <w:rPr>
          <w:rFonts w:hint="eastAsia" w:ascii="仿宋_GB2312" w:hAnsi="仿宋_GB2312" w:eastAsia="仿宋_GB2312" w:cs="仿宋_GB2312"/>
          <w:color w:val="000000"/>
          <w:kern w:val="0"/>
          <w:sz w:val="32"/>
          <w:szCs w:val="32"/>
          <w:highlight w:val="none"/>
          <w:shd w:val="clear" w:color="auto" w:fill="FFFFFF"/>
          <w:lang w:val="zh-CN"/>
        </w:rPr>
        <w:t>%。</w:t>
      </w:r>
    </w:p>
    <w:p w14:paraId="1285CA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综上，根据评分标准，该项指标扣</w:t>
      </w:r>
      <w:r>
        <w:rPr>
          <w:rFonts w:hint="eastAsia" w:ascii="仿宋_GB2312" w:hAnsi="仿宋_GB2312" w:eastAsia="仿宋_GB2312" w:cs="仿宋_GB2312"/>
          <w:color w:val="000000"/>
          <w:kern w:val="0"/>
          <w:sz w:val="32"/>
          <w:szCs w:val="32"/>
          <w:highlight w:val="none"/>
          <w:shd w:val="clear" w:color="auto" w:fill="FFFFFF"/>
          <w:lang w:val="en-US" w:eastAsia="zh-CN"/>
        </w:rPr>
        <w:t>0.74</w:t>
      </w:r>
      <w:r>
        <w:rPr>
          <w:rFonts w:hint="eastAsia" w:ascii="仿宋_GB2312" w:hAnsi="仿宋_GB2312" w:eastAsia="仿宋_GB2312" w:cs="仿宋_GB2312"/>
          <w:color w:val="000000"/>
          <w:kern w:val="0"/>
          <w:sz w:val="32"/>
          <w:szCs w:val="32"/>
          <w:highlight w:val="none"/>
          <w:shd w:val="clear" w:color="auto" w:fill="FFFFFF"/>
          <w:lang w:val="zh-CN"/>
        </w:rPr>
        <w:t>分，得</w:t>
      </w:r>
      <w:r>
        <w:rPr>
          <w:rFonts w:hint="eastAsia" w:ascii="仿宋_GB2312" w:hAnsi="仿宋_GB2312" w:eastAsia="仿宋_GB2312" w:cs="仿宋_GB2312"/>
          <w:color w:val="000000"/>
          <w:kern w:val="0"/>
          <w:sz w:val="32"/>
          <w:szCs w:val="32"/>
          <w:highlight w:val="none"/>
          <w:shd w:val="clear" w:color="auto" w:fill="FFFFFF"/>
          <w:lang w:val="en-US" w:eastAsia="zh-CN"/>
        </w:rPr>
        <w:t>7.26</w:t>
      </w:r>
      <w:r>
        <w:rPr>
          <w:rFonts w:hint="eastAsia" w:ascii="仿宋_GB2312" w:hAnsi="仿宋_GB2312" w:eastAsia="仿宋_GB2312" w:cs="仿宋_GB2312"/>
          <w:color w:val="000000"/>
          <w:kern w:val="0"/>
          <w:sz w:val="32"/>
          <w:szCs w:val="32"/>
          <w:highlight w:val="none"/>
          <w:shd w:val="clear" w:color="auto" w:fill="FFFFFF"/>
          <w:lang w:val="zh-CN"/>
        </w:rPr>
        <w:t>分。</w:t>
      </w:r>
    </w:p>
    <w:p w14:paraId="56D0BE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）单位收入统筹</w:t>
      </w:r>
    </w:p>
    <w:p w14:paraId="2B2327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部门未有自有收入，不涉及单位收入统筹。</w:t>
      </w:r>
    </w:p>
    <w:p w14:paraId="5BC0CB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eastAsia="zh-CN"/>
        </w:rPr>
        <w:t>分。</w:t>
      </w:r>
    </w:p>
    <w:p w14:paraId="49600499">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支出执行进度</w:t>
      </w:r>
    </w:p>
    <w:p w14:paraId="3D543A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1至6月预算执行数为402.65万元，预算数为948.12万元，1至6月无支出预警金额和支出违规金额。</w:t>
      </w:r>
    </w:p>
    <w:p w14:paraId="3FE9F3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1至10月预算执行数为762.69万元，预算数为948.12万元，1至10月无支出预警金额和支出违规金额。</w:t>
      </w:r>
    </w:p>
    <w:p w14:paraId="3A2A6E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综上，根据评分标准，该项指标扣0.37分，得5.63分。</w:t>
      </w:r>
    </w:p>
    <w:p w14:paraId="230CB7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（4）预算年终结余</w:t>
      </w:r>
    </w:p>
    <w:p w14:paraId="30DD27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我部门预算总金额为0.00万元，年终部门预算注销金额为0.00万元，结转金额0.00万元。</w:t>
      </w:r>
    </w:p>
    <w:p w14:paraId="4A25CF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综上，根据评分标准，该项指标不扣分，得2分。</w:t>
      </w:r>
    </w:p>
    <w:p w14:paraId="51901E09">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严控一般性支出</w:t>
      </w:r>
    </w:p>
    <w:p w14:paraId="53C76E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本单位“三公”经费、会议、培训、差旅、办节办展、办公设备购置、信息网络及软件购置更新、课题经费等8项一般性支出情况详见下表3-1。</w:t>
      </w:r>
    </w:p>
    <w:p w14:paraId="7C539C1A">
      <w:pPr>
        <w:keepNext w:val="0"/>
        <w:keepLines w:val="0"/>
        <w:widowControl w:val="0"/>
        <w:suppressLineNumbers w:val="0"/>
        <w:autoSpaceDE w:val="0"/>
        <w:autoSpaceDN/>
        <w:adjustRightInd w:val="0"/>
        <w:snapToGrid w:val="0"/>
        <w:spacing w:before="0" w:beforeAutospacing="0" w:after="0" w:afterAutospacing="0" w:line="578" w:lineRule="exact"/>
        <w:ind w:left="0" w:right="0" w:firstLine="643" w:firstLineChars="200"/>
        <w:contextualSpacing/>
        <w:jc w:val="center"/>
        <w:rPr>
          <w:rFonts w:hint="eastAsia" w:ascii="仿宋_GB2312" w:hAnsi="仿宋_GB2312" w:eastAsia="仿宋_GB2312" w:cs="仿宋_GB2312"/>
          <w:b/>
          <w:bCs/>
          <w:color w:val="000000"/>
          <w:kern w:val="0"/>
          <w:sz w:val="32"/>
          <w:szCs w:val="32"/>
          <w:shd w:val="clear" w:fill="FFFFFF"/>
          <w:lang w:val="en-US" w:eastAsia="zh-CN" w:bidi="ar"/>
        </w:rPr>
      </w:pPr>
      <w:r>
        <w:rPr>
          <w:rFonts w:hint="eastAsia" w:ascii="仿宋_GB2312" w:hAnsi="仿宋_GB2312" w:eastAsia="仿宋_GB2312" w:cs="仿宋_GB2312"/>
          <w:b/>
          <w:bCs/>
          <w:color w:val="000000"/>
          <w:kern w:val="0"/>
          <w:sz w:val="32"/>
          <w:szCs w:val="32"/>
          <w:shd w:val="clear" w:fill="FFFFFF"/>
          <w:lang w:val="en-US" w:eastAsia="zh-CN" w:bidi="ar"/>
        </w:rPr>
        <w:t>表3-1 一般性支出情况表</w:t>
      </w:r>
    </w:p>
    <w:p w14:paraId="6595DF65">
      <w:pPr>
        <w:keepNext w:val="0"/>
        <w:keepLines w:val="0"/>
        <w:widowControl w:val="0"/>
        <w:suppressLineNumbers w:val="0"/>
        <w:autoSpaceDE w:val="0"/>
        <w:autoSpaceDN/>
        <w:adjustRightInd w:val="0"/>
        <w:snapToGrid w:val="0"/>
        <w:spacing w:before="0" w:beforeAutospacing="0" w:after="0" w:afterAutospacing="0" w:line="578" w:lineRule="exact"/>
        <w:ind w:left="0" w:right="0" w:firstLine="643" w:firstLineChars="200"/>
        <w:contextualSpacing/>
        <w:jc w:val="right"/>
        <w:rPr>
          <w:rFonts w:hint="eastAsia" w:ascii="仿宋_GB2312" w:hAnsi="仿宋_GB2312" w:eastAsia="仿宋_GB2312" w:cs="仿宋_GB2312"/>
          <w:b/>
          <w:bCs/>
          <w:color w:val="000000"/>
          <w:kern w:val="0"/>
          <w:sz w:val="32"/>
          <w:szCs w:val="32"/>
          <w:shd w:val="clear" w:fill="FFFFFF"/>
          <w:lang w:val="en-US" w:eastAsia="zh-CN" w:bidi="ar"/>
        </w:rPr>
      </w:pPr>
      <w:r>
        <w:rPr>
          <w:rFonts w:hint="eastAsia" w:ascii="仿宋_GB2312" w:hAnsi="仿宋_GB2312" w:eastAsia="仿宋_GB2312" w:cs="仿宋_GB2312"/>
          <w:b/>
          <w:bCs/>
          <w:color w:val="000000"/>
          <w:kern w:val="0"/>
          <w:sz w:val="32"/>
          <w:szCs w:val="32"/>
          <w:shd w:val="clear" w:fill="FFFFFF"/>
          <w:lang w:val="en-US" w:eastAsia="zh-CN" w:bidi="ar"/>
        </w:rPr>
        <w:t>单位：万元</w:t>
      </w:r>
    </w:p>
    <w:tbl>
      <w:tblPr>
        <w:tblStyle w:val="17"/>
        <w:tblW w:w="987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1"/>
        <w:gridCol w:w="1642"/>
        <w:gridCol w:w="1642"/>
        <w:gridCol w:w="1425"/>
        <w:gridCol w:w="1215"/>
        <w:gridCol w:w="1170"/>
        <w:gridCol w:w="1335"/>
        <w:gridCol w:w="870"/>
      </w:tblGrid>
      <w:tr w14:paraId="30AD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556F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序号</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9CF0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项目名称</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44FE67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2023年度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1D3AF1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2024年度</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A942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变动情况</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85405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2023年度</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CA40A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2024年度</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CDF2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变动情况</w:t>
            </w:r>
          </w:p>
        </w:tc>
      </w:tr>
      <w:tr w14:paraId="62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024FB8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769CD5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1099F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财政拨款年初预算数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F8FB1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财政拨款年初预算数</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C1D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FBBE9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财政拨款预算执行数</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661BF9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财政拨款预算执行数</w:t>
            </w:r>
          </w:p>
        </w:tc>
        <w:tc>
          <w:tcPr>
            <w:tcW w:w="870"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01544A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p>
        </w:tc>
      </w:tr>
      <w:tr w14:paraId="0362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426F8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A973D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“三公”经费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B9F39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14.86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13B53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14.56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614F7E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减少</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02B47F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14.82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9FC44C5">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14.35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B0F9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减少</w:t>
            </w:r>
          </w:p>
        </w:tc>
      </w:tr>
      <w:tr w14:paraId="01E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0BCC29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568F3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会议经费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B46F3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4AB6C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FA1A8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D8009A">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C40D342">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111DF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56BC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A16D3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3</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143F3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培训经费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E1F70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E0802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CEFE4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486A70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631352C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A698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4F6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03E88D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4</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D244B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差旅经费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4A8532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6.99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113C4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10.00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EFD68E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增加</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E8860B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6.99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07A652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25.19</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873ABC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减少</w:t>
            </w:r>
          </w:p>
        </w:tc>
      </w:tr>
      <w:tr w14:paraId="69D2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141129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5</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8D734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办节办展</w:t>
            </w:r>
          </w:p>
          <w:p w14:paraId="1CEAAB9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F591F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590154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C0BA2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4E61DF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0192BF7">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72CA1D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312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148AF9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6</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4F989E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办公设备</w:t>
            </w:r>
          </w:p>
          <w:p w14:paraId="6F3CE7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购置经费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536CA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76D7F7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ECED30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BDA11D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A7C1AC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5DA2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5B77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01813C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7</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09B6A3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信息网络及软件购置更新经费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B9E86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1416C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0C49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5B979D3">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01878E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11E4F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0BAE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21B108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8</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40C5F18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课题经费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B198A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51BE66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5EDA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186FA5">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0603BA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rightChars="0"/>
              <w:contextualSpacing w:val="0"/>
              <w:jc w:val="cente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shd w:val="clear" w:fill="FFFFFF"/>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4D68A0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持平</w:t>
            </w:r>
          </w:p>
        </w:tc>
      </w:tr>
      <w:tr w14:paraId="3D06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ED942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9</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508B9B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合计</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D5DF3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21.85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27D34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24.56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EDE83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增加</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DA7E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21.81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48AD78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39.54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6961B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contextualSpacing/>
              <w:jc w:val="center"/>
              <w:textAlignment w:val="auto"/>
              <w:outlineLvl w:val="9"/>
              <w:rPr>
                <w:rFonts w:hint="eastAsia" w:ascii="仿宋_GB2312" w:hAnsi="仿宋_GB2312" w:eastAsia="仿宋_GB2312" w:cs="仿宋_GB2312"/>
                <w:color w:val="000000"/>
                <w:kern w:val="0"/>
                <w:sz w:val="32"/>
                <w:szCs w:val="32"/>
                <w:highlight w:val="none"/>
                <w:shd w:val="clear" w:color="auto" w:fill="FFFFFF"/>
                <w:vertAlign w:val="baseline"/>
                <w:lang w:val="en-US" w:eastAsia="zh-CN"/>
              </w:rPr>
            </w:pPr>
            <w:r>
              <w:rPr>
                <w:rFonts w:hint="eastAsia" w:ascii="仿宋_GB2312" w:hAnsi="仿宋_GB2312" w:eastAsia="仿宋_GB2312" w:cs="仿宋_GB2312"/>
                <w:color w:val="000000"/>
                <w:kern w:val="0"/>
                <w:sz w:val="32"/>
                <w:szCs w:val="32"/>
                <w:highlight w:val="none"/>
                <w:shd w:val="clear" w:color="auto" w:fill="FFFFFF"/>
                <w:vertAlign w:val="baseline"/>
                <w:lang w:val="en-US" w:eastAsia="zh-CN"/>
              </w:rPr>
              <w:t>增加</w:t>
            </w:r>
          </w:p>
        </w:tc>
      </w:tr>
    </w:tbl>
    <w:p w14:paraId="71339FD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综上，根据评分标准，该项指标扣5分，得0分。</w:t>
      </w:r>
    </w:p>
    <w:p w14:paraId="0BC84B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财务管理。</w:t>
      </w:r>
    </w:p>
    <w:p w14:paraId="1A96D0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财务管理制度</w:t>
      </w:r>
    </w:p>
    <w:p w14:paraId="48133F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w:t>
      </w:r>
      <w:r>
        <w:rPr>
          <w:rFonts w:hint="eastAsia" w:ascii="仿宋_GB2312" w:hAnsi="仿宋_GB2312" w:eastAsia="仿宋_GB2312" w:cs="仿宋_GB2312"/>
          <w:color w:val="000000"/>
          <w:kern w:val="0"/>
          <w:sz w:val="32"/>
          <w:szCs w:val="32"/>
          <w:highlight w:val="none"/>
          <w:shd w:val="clear" w:color="auto" w:fill="FFFFFF"/>
          <w:lang w:val="zh-CN" w:eastAsia="zh-CN"/>
        </w:rPr>
        <w:t>不断完善财务运行机制，强化内控建设，规范会计行为，结合内控制度建设，紧盯核心业务和关键环节，加大对日常审批、预算管理、资金使用等重点领域、关键岗位、重要环节的风险排查，及时查漏补缺，强化制度约束。</w:t>
      </w:r>
    </w:p>
    <w:p w14:paraId="5C9F6A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建立相关财务管理制度，资产管理严格按照资产管理制度执行，严格执行法律法规和有关规章制度，与行政单位履行职能相适应并将制度严格落到实处。</w:t>
      </w:r>
    </w:p>
    <w:p w14:paraId="1DE729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综上，根据评分标准，该项指标不扣分，得4分。</w:t>
      </w:r>
    </w:p>
    <w:p w14:paraId="44D8D7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）财务岗位设置</w:t>
      </w:r>
    </w:p>
    <w:p w14:paraId="6FC2BC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w:t>
      </w:r>
      <w:r>
        <w:rPr>
          <w:rFonts w:hint="eastAsia" w:ascii="仿宋_GB2312" w:hAnsi="仿宋_GB2312" w:eastAsia="仿宋_GB2312" w:cs="仿宋_GB2312"/>
          <w:color w:val="000000"/>
          <w:kern w:val="0"/>
          <w:sz w:val="32"/>
          <w:szCs w:val="32"/>
          <w:highlight w:val="none"/>
          <w:shd w:val="clear" w:color="auto" w:fill="FFFFFF"/>
          <w:lang w:val="zh-CN" w:eastAsia="zh-CN"/>
        </w:rPr>
        <w:t>已科学设置财务岗位，严格实行不相容岗位分离，明确财务岗位设置，严格落实定员定岗，建立健全岗位责任制，审核与支付分设，会计与出纳分立，对资金支付、票据审核等财务管理关键环节，建立明确责任制度，形成了有效的制约机制，严控岗位风险，提升工作效率。</w:t>
      </w:r>
    </w:p>
    <w:p w14:paraId="06C9E7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综上，根据评分标准，该项指标不扣分，得2分。</w:t>
      </w:r>
    </w:p>
    <w:p w14:paraId="4E52F15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（3）资金使用规范</w:t>
      </w:r>
    </w:p>
    <w:p w14:paraId="6C303F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我部门资金严格按照相关财务管理制度进行使用，坚持量入为出、确保重点、厉行节约、注重实效，保证资金使用合法合规。</w:t>
      </w:r>
    </w:p>
    <w:p w14:paraId="6CD117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综上，根据评分标准，该项指标不扣分，得4分。</w:t>
      </w:r>
    </w:p>
    <w:p w14:paraId="4E0FC7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资产管理。</w:t>
      </w:r>
    </w:p>
    <w:p w14:paraId="3A6924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人均资产变化率</w:t>
      </w:r>
    </w:p>
    <w:p w14:paraId="7D26E0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我部门2023年末实有人数为16人，固定资产和无形资产净值合计214.37万元；2024年末实有人数为17人，固定资产和无形资产净值合计255.35万元。</w:t>
      </w:r>
    </w:p>
    <w:p w14:paraId="24E2CD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部门人均资产变化率为（2024年人均占有资产15.02万元-2023年人均占有资产13.40万元）÷2023年人均占有资产13.40万元=12.09%，大于州直行政事业单位人均资产变化率N：2024年为-3.96%，得0.3分。</w:t>
      </w:r>
    </w:p>
    <w:p w14:paraId="409BE5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yellow"/>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部门人均资产增长率为（2024年人均占有资产15.02万元-2023年人均占有资产13.40万元）÷2023年人均占有资产13.40万元=12.09%，小于同期州级财政收入增长率N：2024年为54.2%，得0.9分。</w:t>
      </w:r>
    </w:p>
    <w:p w14:paraId="642837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综上，根据评分标准，该指标扣1.8分，得1.2分。</w:t>
      </w:r>
    </w:p>
    <w:p w14:paraId="2517545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（2）资产利用率</w:t>
      </w:r>
    </w:p>
    <w:p w14:paraId="2A41C2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我部门超最低使用年限的办公家具账面价值为1.24万元，办公家具账面价值为5.03万元，办公家具超最低使用年限资产利用率为24.65%，大于州直行政事业单位平均值（办公家具）N：2024年为14.48%，得1.5分。</w:t>
      </w:r>
    </w:p>
    <w:p w14:paraId="3C75A7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2024年办公设备超最低使用年限账面价值为39.35万元，办公设备账面价值为49.47万元，办公设备超最低使用年限资产利用率为79.54%，大于州直行政事业单位平均值（办公设备）N：2024年为50.74%，得1.5分。</w:t>
      </w:r>
    </w:p>
    <w:p w14:paraId="4DA888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综上，根据评分标准，该项指标不扣分，得3分。</w:t>
      </w:r>
    </w:p>
    <w:p w14:paraId="198E1F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（3）资产盘活率</w:t>
      </w:r>
    </w:p>
    <w:p w14:paraId="3FF570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我部门2023年、2024年均无闲置资产。</w:t>
      </w:r>
    </w:p>
    <w:p w14:paraId="1841B2B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综上，根据评分标准，该项指标不扣分，得3分。</w:t>
      </w:r>
    </w:p>
    <w:p w14:paraId="457B9F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w:t>
      </w:r>
    </w:p>
    <w:p w14:paraId="01CD5CE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）支持中小企业发展</w:t>
      </w:r>
    </w:p>
    <w:p w14:paraId="1C788C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2024年严格执行政府采购促进中小企业发展相关管理办法，对适宜由中小企业提供的采购项目和采购包，预留采购份额专门面向中小企业采购，并在采购预算中单独列示。</w:t>
      </w:r>
    </w:p>
    <w:p w14:paraId="16FA5AD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综上，根据评分标准，该项指标不扣分，得3分。</w:t>
      </w:r>
    </w:p>
    <w:p w14:paraId="16BD0D0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）采购执行率</w:t>
      </w:r>
    </w:p>
    <w:p w14:paraId="3F79BA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2024年“松潘综合形象宣传片”实际支付总金额68万元，当年政府采购追加预算金额72万元</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2E3EE3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该项指标得分=当年政府采购实际支付总金额68万元÷（当年政府采购预算金额72万元-当年已完成采购项目节约金额</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eastAsia="zh-CN"/>
        </w:rPr>
        <w:t>万元）×100%×3=3</w:t>
      </w:r>
      <w:r>
        <w:rPr>
          <w:rFonts w:hint="eastAsia" w:ascii="仿宋_GB2312" w:hAnsi="仿宋_GB2312" w:eastAsia="仿宋_GB2312" w:cs="仿宋_GB2312"/>
          <w:color w:val="000000"/>
          <w:kern w:val="0"/>
          <w:sz w:val="32"/>
          <w:szCs w:val="32"/>
          <w:highlight w:val="none"/>
          <w:shd w:val="clear" w:color="auto" w:fill="FFFFFF"/>
          <w:lang w:val="en-US" w:eastAsia="zh-CN"/>
        </w:rPr>
        <w:t>分。</w:t>
      </w:r>
    </w:p>
    <w:p w14:paraId="4F01E8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综上，根据评分标准，该项指标不扣分，该项指标得3分。</w:t>
      </w:r>
    </w:p>
    <w:p w14:paraId="728FEC7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7A8938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18</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   826.81</w:t>
      </w:r>
      <w:r>
        <w:rPr>
          <w:rFonts w:hint="eastAsia" w:ascii="仿宋_GB2312" w:hAnsi="仿宋_GB2312" w:eastAsia="仿宋_GB2312" w:cs="仿宋_GB2312"/>
          <w:color w:val="000000"/>
          <w:kern w:val="0"/>
          <w:sz w:val="32"/>
          <w:szCs w:val="32"/>
          <w:highlight w:val="none"/>
          <w:shd w:val="clear" w:color="auto" w:fill="FFFFFF"/>
          <w:lang w:val="zh-CN" w:eastAsia="zh-CN"/>
        </w:rPr>
        <w:t>万元，1—12月预算执行数521.22</w:t>
      </w:r>
      <w:r>
        <w:rPr>
          <w:rFonts w:hint="eastAsia" w:ascii="仿宋_GB2312" w:hAnsi="仿宋_GB2312" w:eastAsia="仿宋_GB2312" w:cs="仿宋_GB2312"/>
          <w:color w:val="000000"/>
          <w:kern w:val="0"/>
          <w:sz w:val="32"/>
          <w:szCs w:val="32"/>
          <w:highlight w:val="none"/>
          <w:shd w:val="clear" w:color="auto" w:fill="FFFFFF"/>
          <w:lang w:val="en-US" w:eastAsia="zh-CN"/>
        </w:rPr>
        <w:t>万元</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63.04</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个：松潘县天府旅游名县宣传推广和氛围营造工作经费、中央支持地方公共文化服务体系建设补助资金、联办宣传合作经费。常年项目汇总表如下：</w:t>
      </w:r>
    </w:p>
    <w:p w14:paraId="1F86AC4E">
      <w:pPr>
        <w:keepNext w:val="0"/>
        <w:keepLines w:val="0"/>
        <w:widowControl w:val="0"/>
        <w:suppressLineNumbers w:val="0"/>
        <w:autoSpaceDE w:val="0"/>
        <w:autoSpaceDN/>
        <w:adjustRightInd w:val="0"/>
        <w:snapToGrid w:val="0"/>
        <w:spacing w:before="0" w:beforeAutospacing="0" w:after="0" w:afterAutospacing="0" w:line="578" w:lineRule="exact"/>
        <w:ind w:left="0" w:right="0" w:firstLine="643" w:firstLineChars="200"/>
        <w:contextualSpacing/>
        <w:jc w:val="center"/>
        <w:rPr>
          <w:rFonts w:hint="eastAsia" w:ascii="仿宋_GB2312" w:hAnsi="仿宋_GB2312" w:eastAsia="仿宋_GB2312" w:cs="仿宋_GB2312"/>
          <w:b/>
          <w:bCs/>
          <w:color w:val="000000"/>
          <w:kern w:val="0"/>
          <w:sz w:val="32"/>
          <w:szCs w:val="32"/>
          <w:shd w:val="clear" w:fill="FFFFFF"/>
        </w:rPr>
      </w:pPr>
      <w:r>
        <w:rPr>
          <w:rFonts w:hint="eastAsia" w:ascii="仿宋_GB2312" w:hAnsi="仿宋_GB2312" w:eastAsia="仿宋_GB2312" w:cs="仿宋_GB2312"/>
          <w:b/>
          <w:bCs/>
          <w:color w:val="000000"/>
          <w:kern w:val="0"/>
          <w:sz w:val="32"/>
          <w:szCs w:val="32"/>
          <w:shd w:val="clear" w:fill="FFFFFF"/>
          <w:lang w:val="en-US" w:eastAsia="zh-CN" w:bidi="ar"/>
        </w:rPr>
        <w:t>常年项目汇总表</w:t>
      </w:r>
    </w:p>
    <w:p w14:paraId="1A03BAA0">
      <w:pPr>
        <w:keepNext w:val="0"/>
        <w:keepLines w:val="0"/>
        <w:widowControl w:val="0"/>
        <w:suppressLineNumbers w:val="0"/>
        <w:autoSpaceDE w:val="0"/>
        <w:autoSpaceDN/>
        <w:adjustRightInd w:val="0"/>
        <w:snapToGrid w:val="0"/>
        <w:spacing w:before="0" w:beforeAutospacing="0" w:after="0" w:afterAutospacing="0" w:line="578" w:lineRule="exact"/>
        <w:ind w:left="0" w:right="0" w:firstLine="643" w:firstLineChars="200"/>
        <w:contextualSpacing/>
        <w:jc w:val="right"/>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shd w:val="clear" w:fill="FFFFFF"/>
          <w:lang w:val="en-US" w:eastAsia="zh-CN" w:bidi="ar"/>
        </w:rPr>
        <w:t>单位：万元</w:t>
      </w:r>
    </w:p>
    <w:tbl>
      <w:tblPr>
        <w:tblStyle w:val="16"/>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4956"/>
        <w:gridCol w:w="1344"/>
        <w:gridCol w:w="1022"/>
        <w:gridCol w:w="1054"/>
      </w:tblGrid>
      <w:tr w14:paraId="52D1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B0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预算项目</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634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C18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完成数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A8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执行率</w:t>
            </w:r>
          </w:p>
        </w:tc>
      </w:tr>
      <w:tr w14:paraId="3F41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A9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88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部门工作经费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07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10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5DB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C12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D7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9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大型户外广告经费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BC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8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B4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B04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9B8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0D0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季刊《松州韵》制作及稿费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17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18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11.97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A3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99.75%</w:t>
            </w:r>
          </w:p>
        </w:tc>
      </w:tr>
      <w:tr w14:paraId="33F8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6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0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社科联调研经费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C1E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7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47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98.50%</w:t>
            </w:r>
          </w:p>
        </w:tc>
      </w:tr>
      <w:tr w14:paraId="7D3A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4C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E7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外宣经费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C0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CA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19.99</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3A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99.95%</w:t>
            </w:r>
          </w:p>
        </w:tc>
      </w:tr>
      <w:tr w14:paraId="44D5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DF3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F8C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未成年人思想道德建设经费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D8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B4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7.50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6F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0C88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69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66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文联工作经费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05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BCD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7.75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9C0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96.88%</w:t>
            </w:r>
          </w:p>
        </w:tc>
      </w:tr>
      <w:tr w14:paraId="1C60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1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F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县委中心组学习经费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7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17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61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75F4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FE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85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省级文明城市创建及新时代文明实践志愿服务活动经费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7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09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70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5B20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5AB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225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新闻出版及电影放映工作经费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6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03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E5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99.60%</w:t>
            </w:r>
          </w:p>
        </w:tc>
      </w:tr>
      <w:tr w14:paraId="689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874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C3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舆情监控工作经费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75C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A4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60C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A4E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7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5E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中华视觉形象规范金经费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F4B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99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35AE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A0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68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宣传业务费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8D0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22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F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6B8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AF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F1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松潘县天府旅游名县宣传推广和氛围营造工作经费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6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479.05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F6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285.78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F8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59.66%</w:t>
            </w:r>
          </w:p>
        </w:tc>
      </w:tr>
      <w:tr w14:paraId="5AE5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6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5B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中央支持地方公共文化服务体系建设补助资金</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256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F4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68.82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91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45.64%</w:t>
            </w:r>
          </w:p>
        </w:tc>
      </w:tr>
      <w:tr w14:paraId="5F14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7F9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9A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联办宣传合作经费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64E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184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4A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0.00%</w:t>
            </w:r>
          </w:p>
        </w:tc>
      </w:tr>
      <w:tr w14:paraId="3850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A1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C2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四川省宣传文化事业发展专项资金</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BF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D97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29.96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DB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BC3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C3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4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00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2023年度州社科资金项目结项课题资助经费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4F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5C6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0.50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D6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202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9D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0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826.81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C0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521.22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7F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63.04%</w:t>
            </w:r>
          </w:p>
        </w:tc>
      </w:tr>
    </w:tbl>
    <w:p w14:paraId="39AE8C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阶段（一次性）项目绩效分析。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232.07</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w:t>
      </w:r>
      <w:r>
        <w:rPr>
          <w:rFonts w:hint="eastAsia" w:ascii="仿宋_GB2312" w:hAnsi="仿宋_GB2312" w:eastAsia="仿宋_GB2312" w:cs="仿宋_GB2312"/>
          <w:color w:val="000000"/>
          <w:kern w:val="0"/>
          <w:sz w:val="32"/>
          <w:szCs w:val="32"/>
          <w:highlight w:val="none"/>
          <w:shd w:val="clear" w:color="auto" w:fill="FFFFFF"/>
          <w:lang w:val="en-US" w:eastAsia="zh-CN"/>
        </w:rPr>
        <w:t>数190.87万元，1-12月预算执行</w:t>
      </w:r>
      <w:r>
        <w:rPr>
          <w:rFonts w:hint="eastAsia" w:ascii="仿宋_GB2312" w:hAnsi="仿宋_GB2312" w:eastAsia="仿宋_GB2312" w:cs="仿宋_GB2312"/>
          <w:color w:val="000000"/>
          <w:kern w:val="0"/>
          <w:sz w:val="32"/>
          <w:szCs w:val="32"/>
          <w:highlight w:val="none"/>
          <w:shd w:val="clear" w:color="auto" w:fill="FFFFFF"/>
          <w:lang w:val="zh-CN"/>
        </w:rPr>
        <w:t>总体进度为</w:t>
      </w:r>
      <w:r>
        <w:rPr>
          <w:rFonts w:hint="eastAsia" w:ascii="仿宋_GB2312" w:hAnsi="仿宋_GB2312" w:eastAsia="仿宋_GB2312" w:cs="仿宋_GB2312"/>
          <w:color w:val="000000"/>
          <w:kern w:val="0"/>
          <w:sz w:val="32"/>
          <w:szCs w:val="32"/>
          <w:highlight w:val="none"/>
          <w:shd w:val="clear" w:color="auto" w:fill="FFFFFF"/>
          <w:lang w:val="en-US" w:eastAsia="zh-CN"/>
        </w:rPr>
        <w:t>82.25%</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个：松潘县2023年度“最美松潘人”“最美村寨”颁奖典礼工作经费。阶段（一次性）项目汇总表如下：</w:t>
      </w:r>
    </w:p>
    <w:p w14:paraId="6E67F745">
      <w:pPr>
        <w:keepNext w:val="0"/>
        <w:keepLines w:val="0"/>
        <w:widowControl w:val="0"/>
        <w:suppressLineNumbers w:val="0"/>
        <w:autoSpaceDE w:val="0"/>
        <w:autoSpaceDN/>
        <w:adjustRightInd w:val="0"/>
        <w:snapToGrid w:val="0"/>
        <w:spacing w:before="0" w:beforeAutospacing="0" w:after="0" w:afterAutospacing="0" w:line="578" w:lineRule="exact"/>
        <w:ind w:left="0" w:right="0" w:firstLine="643" w:firstLineChars="200"/>
        <w:contextualSpacing/>
        <w:jc w:val="center"/>
        <w:rPr>
          <w:rFonts w:hint="eastAsia" w:ascii="仿宋_GB2312" w:hAnsi="仿宋_GB2312" w:eastAsia="仿宋_GB2312" w:cs="仿宋_GB2312"/>
          <w:b/>
          <w:bCs/>
          <w:color w:val="000000"/>
          <w:kern w:val="0"/>
          <w:sz w:val="32"/>
          <w:szCs w:val="32"/>
          <w:shd w:val="clear" w:fill="FFFFFF"/>
        </w:rPr>
      </w:pPr>
      <w:r>
        <w:rPr>
          <w:rFonts w:hint="eastAsia" w:ascii="仿宋_GB2312" w:hAnsi="仿宋_GB2312" w:eastAsia="仿宋_GB2312" w:cs="仿宋_GB2312"/>
          <w:b/>
          <w:bCs/>
          <w:color w:val="000000"/>
          <w:kern w:val="0"/>
          <w:sz w:val="32"/>
          <w:szCs w:val="32"/>
          <w:shd w:val="clear" w:fill="FFFFFF"/>
          <w:lang w:val="en-US" w:eastAsia="zh-CN" w:bidi="ar"/>
        </w:rPr>
        <w:t>阶段（一次性）项目汇总表</w:t>
      </w:r>
    </w:p>
    <w:p w14:paraId="2F618433">
      <w:pPr>
        <w:keepNext w:val="0"/>
        <w:keepLines w:val="0"/>
        <w:widowControl w:val="0"/>
        <w:suppressLineNumbers w:val="0"/>
        <w:spacing w:before="0" w:beforeAutospacing="0" w:after="0" w:afterAutospacing="0" w:line="578" w:lineRule="exact"/>
        <w:ind w:left="0" w:right="0" w:firstLine="643" w:firstLineChars="200"/>
        <w:jc w:val="right"/>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shd w:val="clear" w:fill="FFFFFF"/>
          <w:lang w:val="en-US" w:eastAsia="zh-CN" w:bidi="ar"/>
        </w:rPr>
        <w:t>单位：万元</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5178"/>
        <w:gridCol w:w="978"/>
        <w:gridCol w:w="989"/>
        <w:gridCol w:w="1109"/>
      </w:tblGrid>
      <w:tr w14:paraId="0AF5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B1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24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预算项目</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E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预算数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0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完成数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50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执行率</w:t>
            </w:r>
          </w:p>
        </w:tc>
      </w:tr>
      <w:tr w14:paraId="7DF0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F6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A5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党报党刊杂志征订费（各单位转宣传部）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75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69.12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E94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69.12</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74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5B8F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323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75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《美丽中华行》纪录片拍摄工作经费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3D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11.67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7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11.67</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05C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0E01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9E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E03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《名家画松潘》工作经费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6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17.45</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7C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17.45</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24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7162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1B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5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松潘县2023年度“最美松潘人”“最美村寨”颁奖典礼工作经费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55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82.02</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80A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41.01</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C4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50.00%</w:t>
            </w:r>
          </w:p>
        </w:tc>
      </w:tr>
      <w:tr w14:paraId="19F0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B2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B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学习宣传贯彻党的二十大精神宣讲氛围营造工作经费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71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21.71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A6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21.54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87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99.22%</w:t>
            </w:r>
          </w:p>
        </w:tc>
      </w:tr>
      <w:tr w14:paraId="4AE5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D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AFB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庆祝阿坝州成立70周年社会氛围营造工作经费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0C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18.26</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56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18.26</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0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100.00%</w:t>
            </w:r>
          </w:p>
        </w:tc>
      </w:tr>
      <w:tr w14:paraId="1129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BB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8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《光影松州》编制出版工作经费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62E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11.84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82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11.82</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899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99.83%</w:t>
            </w:r>
          </w:p>
        </w:tc>
      </w:tr>
      <w:tr w14:paraId="2432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0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8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232.07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02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190.87</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4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82.25%</w:t>
            </w:r>
          </w:p>
        </w:tc>
      </w:tr>
    </w:tbl>
    <w:p w14:paraId="7C6FCC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项目决策。</w:t>
      </w:r>
    </w:p>
    <w:p w14:paraId="3DAA8D9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决策程序</w:t>
      </w:r>
    </w:p>
    <w:p w14:paraId="5EE117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我部门预算阶段项目（含一次性项目）总数为7个，无未履行事前评估程序的部门预算阶段项目。</w:t>
      </w:r>
    </w:p>
    <w:p w14:paraId="1DD07E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综上，根据评分标准，该项指标不扣分，得4分。</w:t>
      </w:r>
    </w:p>
    <w:p w14:paraId="792129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（2）目标设置</w:t>
      </w:r>
    </w:p>
    <w:p w14:paraId="2C6B1F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预算阶段项目（含一次性项目）7个均未设置绩效目标，不涉及该项指标。</w:t>
      </w:r>
    </w:p>
    <w:p w14:paraId="584438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综上，根据评分标准，该项指标不扣分，得4分。</w:t>
      </w:r>
    </w:p>
    <w:p w14:paraId="20129CE2">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项目入库</w:t>
      </w:r>
    </w:p>
    <w:p w14:paraId="0ED4AE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本部门预算阶段项目（含一次性项目）总数为7个，均已在规定时间内入财政库。</w:t>
      </w:r>
    </w:p>
    <w:p w14:paraId="323F1D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综上，根据评分标准，该项指标不扣分，得4分。</w:t>
      </w:r>
    </w:p>
    <w:p w14:paraId="11D8F0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2.项目执行</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062662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）资金执行同向</w:t>
      </w:r>
    </w:p>
    <w:p w14:paraId="41FE372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本部门7个预算阶段项目（含一次性项目）均未设置绩效目标，不涉及部门预算项目实际列支内容是否与绩效目标设置方向相符的部门预算阶段项目（含一次性项目）。</w:t>
      </w:r>
    </w:p>
    <w:p w14:paraId="0B7E01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综上，根据评分标准，该项指标不扣分，得4分。</w:t>
      </w:r>
    </w:p>
    <w:p w14:paraId="70F8326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）项目调整</w:t>
      </w:r>
    </w:p>
    <w:p w14:paraId="35B859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不涉及应采取收回预算、调整目标等处置措施的部门预算阶段项目（含一次性项目）。</w:t>
      </w:r>
    </w:p>
    <w:p w14:paraId="5F49AA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综上，根据评分标准，该项指标不扣分，得4分。</w:t>
      </w:r>
    </w:p>
    <w:p w14:paraId="5D6B7D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）执行结果</w:t>
      </w:r>
    </w:p>
    <w:p w14:paraId="13161F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预算结余率小于10%的常年项目数量为</w:t>
      </w:r>
      <w:r>
        <w:rPr>
          <w:rFonts w:hint="eastAsia" w:ascii="仿宋_GB2312" w:hAnsi="仿宋_GB2312" w:eastAsia="仿宋_GB2312" w:cs="仿宋_GB2312"/>
          <w:color w:val="000000"/>
          <w:kern w:val="0"/>
          <w:sz w:val="32"/>
          <w:szCs w:val="32"/>
          <w:highlight w:val="none"/>
          <w:shd w:val="clear" w:color="auto" w:fill="FFFFFF"/>
          <w:lang w:val="en-US" w:eastAsia="zh-CN"/>
        </w:rPr>
        <w:t>15</w:t>
      </w:r>
      <w:r>
        <w:rPr>
          <w:rFonts w:hint="eastAsia" w:ascii="仿宋_GB2312" w:hAnsi="仿宋_GB2312" w:eastAsia="仿宋_GB2312" w:cs="仿宋_GB2312"/>
          <w:color w:val="000000"/>
          <w:kern w:val="0"/>
          <w:sz w:val="32"/>
          <w:szCs w:val="32"/>
          <w:highlight w:val="none"/>
          <w:shd w:val="clear" w:color="auto" w:fill="FFFFFF"/>
          <w:lang w:val="zh-CN" w:eastAsia="zh-CN"/>
        </w:rPr>
        <w:t>个，部门预算常年项目总数为</w:t>
      </w:r>
      <w:r>
        <w:rPr>
          <w:rFonts w:hint="eastAsia" w:ascii="仿宋_GB2312" w:hAnsi="仿宋_GB2312" w:eastAsia="仿宋_GB2312" w:cs="仿宋_GB2312"/>
          <w:color w:val="000000"/>
          <w:kern w:val="0"/>
          <w:sz w:val="32"/>
          <w:szCs w:val="32"/>
          <w:highlight w:val="none"/>
          <w:shd w:val="clear" w:color="auto" w:fill="FFFFFF"/>
          <w:lang w:val="en-US" w:eastAsia="zh-CN"/>
        </w:rPr>
        <w:t>18</w:t>
      </w:r>
      <w:r>
        <w:rPr>
          <w:rFonts w:hint="eastAsia" w:ascii="仿宋_GB2312" w:hAnsi="仿宋_GB2312" w:eastAsia="仿宋_GB2312" w:cs="仿宋_GB2312"/>
          <w:color w:val="000000"/>
          <w:kern w:val="0"/>
          <w:sz w:val="32"/>
          <w:szCs w:val="32"/>
          <w:highlight w:val="none"/>
          <w:shd w:val="clear" w:color="auto" w:fill="FFFFFF"/>
          <w:lang w:val="zh-CN" w:eastAsia="zh-CN"/>
        </w:rPr>
        <w:t>个，预算结余率小于10%的一次性项目和阶段项目数量为</w:t>
      </w:r>
      <w:r>
        <w:rPr>
          <w:rFonts w:hint="eastAsia" w:ascii="仿宋_GB2312" w:hAnsi="仿宋_GB2312" w:eastAsia="仿宋_GB2312" w:cs="仿宋_GB2312"/>
          <w:color w:val="000000"/>
          <w:kern w:val="0"/>
          <w:sz w:val="32"/>
          <w:szCs w:val="32"/>
          <w:highlight w:val="none"/>
          <w:shd w:val="clear" w:color="auto" w:fill="FFFFFF"/>
          <w:lang w:val="en-US" w:eastAsia="zh-CN"/>
        </w:rPr>
        <w:t>6</w:t>
      </w:r>
      <w:r>
        <w:rPr>
          <w:rFonts w:hint="eastAsia" w:ascii="仿宋_GB2312" w:hAnsi="仿宋_GB2312" w:eastAsia="仿宋_GB2312" w:cs="仿宋_GB2312"/>
          <w:color w:val="000000"/>
          <w:kern w:val="0"/>
          <w:sz w:val="32"/>
          <w:szCs w:val="32"/>
          <w:highlight w:val="none"/>
          <w:shd w:val="clear" w:color="auto" w:fill="FFFFFF"/>
          <w:lang w:val="zh-CN" w:eastAsia="zh-CN"/>
        </w:rPr>
        <w:t>个，部门预算一次性项目和阶段项目总数为</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4C1CC2C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w:t>
      </w:r>
      <w:r>
        <w:rPr>
          <w:rFonts w:hint="eastAsia" w:ascii="仿宋_GB2312" w:hAnsi="仿宋_GB2312" w:eastAsia="仿宋_GB2312" w:cs="仿宋_GB2312"/>
          <w:color w:val="000000"/>
          <w:kern w:val="0"/>
          <w:sz w:val="32"/>
          <w:szCs w:val="32"/>
          <w:highlight w:val="none"/>
          <w:shd w:val="clear" w:color="auto" w:fill="FFFFFF"/>
          <w:lang w:val="en-US" w:eastAsia="zh-CN"/>
        </w:rPr>
        <w:t>该指标扣0.62分，</w:t>
      </w:r>
      <w:r>
        <w:rPr>
          <w:rFonts w:hint="eastAsia" w:ascii="仿宋_GB2312" w:hAnsi="仿宋_GB2312" w:eastAsia="仿宋_GB2312" w:cs="仿宋_GB2312"/>
          <w:color w:val="000000"/>
          <w:kern w:val="0"/>
          <w:sz w:val="32"/>
          <w:szCs w:val="32"/>
          <w:highlight w:val="none"/>
          <w:shd w:val="clear" w:color="auto" w:fill="FFFFFF"/>
          <w:lang w:val="zh-CN" w:eastAsia="zh-CN"/>
        </w:rPr>
        <w:t>得</w:t>
      </w:r>
      <w:r>
        <w:rPr>
          <w:rFonts w:hint="eastAsia" w:ascii="仿宋_GB2312" w:hAnsi="仿宋_GB2312" w:eastAsia="仿宋_GB2312" w:cs="仿宋_GB2312"/>
          <w:color w:val="000000"/>
          <w:kern w:val="0"/>
          <w:sz w:val="32"/>
          <w:szCs w:val="32"/>
          <w:highlight w:val="none"/>
          <w:shd w:val="clear" w:color="auto" w:fill="FFFFFF"/>
          <w:lang w:val="en-US" w:eastAsia="zh-CN"/>
        </w:rPr>
        <w:t>3.38</w:t>
      </w:r>
      <w:r>
        <w:rPr>
          <w:rFonts w:hint="eastAsia" w:ascii="仿宋_GB2312" w:hAnsi="仿宋_GB2312" w:eastAsia="仿宋_GB2312" w:cs="仿宋_GB2312"/>
          <w:color w:val="000000"/>
          <w:kern w:val="0"/>
          <w:sz w:val="32"/>
          <w:szCs w:val="32"/>
          <w:highlight w:val="none"/>
          <w:shd w:val="clear" w:color="auto" w:fill="FFFFFF"/>
          <w:lang w:val="zh-CN" w:eastAsia="zh-CN"/>
        </w:rPr>
        <w:t>分。</w:t>
      </w:r>
    </w:p>
    <w:p w14:paraId="59635F4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目标实现。</w:t>
      </w:r>
    </w:p>
    <w:p w14:paraId="3F2A74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）目标完成</w:t>
      </w:r>
    </w:p>
    <w:p w14:paraId="7B3F17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预算阶段项目（含一次性项目）总数为</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val="zh-CN" w:eastAsia="zh-CN"/>
        </w:rPr>
        <w:t>个，已完成部门预算阶段项目（含一次性项目）数量为</w:t>
      </w:r>
      <w:r>
        <w:rPr>
          <w:rFonts w:hint="eastAsia" w:ascii="仿宋_GB2312" w:hAnsi="仿宋_GB2312" w:eastAsia="仿宋_GB2312" w:cs="仿宋_GB2312"/>
          <w:color w:val="000000"/>
          <w:kern w:val="0"/>
          <w:sz w:val="32"/>
          <w:szCs w:val="32"/>
          <w:highlight w:val="none"/>
          <w:shd w:val="clear" w:color="auto" w:fill="FFFFFF"/>
          <w:lang w:val="en-US" w:eastAsia="zh-CN"/>
        </w:rPr>
        <w:t>6</w:t>
      </w:r>
      <w:r>
        <w:rPr>
          <w:rFonts w:hint="eastAsia" w:ascii="仿宋_GB2312" w:hAnsi="仿宋_GB2312" w:eastAsia="仿宋_GB2312" w:cs="仿宋_GB2312"/>
          <w:color w:val="000000"/>
          <w:kern w:val="0"/>
          <w:sz w:val="32"/>
          <w:szCs w:val="32"/>
          <w:highlight w:val="none"/>
          <w:shd w:val="clear" w:color="auto" w:fill="FFFFFF"/>
          <w:lang w:val="zh-CN" w:eastAsia="zh-CN"/>
        </w:rPr>
        <w:t>个，松潘县2023年度“最美松潘人”“最美村寨”颁奖典礼工作经费</w:t>
      </w:r>
      <w:r>
        <w:rPr>
          <w:rFonts w:hint="eastAsia" w:ascii="仿宋_GB2312" w:hAnsi="仿宋_GB2312" w:eastAsia="仿宋_GB2312" w:cs="仿宋_GB2312"/>
          <w:color w:val="000000"/>
          <w:kern w:val="0"/>
          <w:sz w:val="32"/>
          <w:szCs w:val="32"/>
          <w:highlight w:val="none"/>
          <w:shd w:val="clear" w:color="auto" w:fill="FFFFFF"/>
          <w:lang w:val="en-US" w:eastAsia="zh-CN"/>
        </w:rPr>
        <w:t>项目未完成</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21497C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w:t>
      </w:r>
      <w:r>
        <w:rPr>
          <w:rFonts w:hint="eastAsia" w:ascii="仿宋_GB2312" w:hAnsi="仿宋_GB2312" w:eastAsia="仿宋_GB2312" w:cs="仿宋_GB2312"/>
          <w:color w:val="000000"/>
          <w:kern w:val="0"/>
          <w:sz w:val="32"/>
          <w:szCs w:val="32"/>
          <w:highlight w:val="none"/>
          <w:shd w:val="clear" w:color="auto" w:fill="FFFFFF"/>
          <w:lang w:val="en-US" w:eastAsia="zh-CN"/>
        </w:rPr>
        <w:t>扣0.57</w:t>
      </w:r>
      <w:r>
        <w:rPr>
          <w:rFonts w:hint="eastAsia" w:ascii="仿宋_GB2312" w:hAnsi="仿宋_GB2312" w:eastAsia="仿宋_GB2312" w:cs="仿宋_GB2312"/>
          <w:color w:val="000000"/>
          <w:kern w:val="0"/>
          <w:sz w:val="32"/>
          <w:szCs w:val="32"/>
          <w:highlight w:val="none"/>
          <w:shd w:val="clear" w:color="auto" w:fill="FFFFFF"/>
          <w:lang w:val="zh-CN" w:eastAsia="zh-CN"/>
        </w:rPr>
        <w:t>分，得</w:t>
      </w:r>
      <w:r>
        <w:rPr>
          <w:rFonts w:hint="eastAsia" w:ascii="仿宋_GB2312" w:hAnsi="仿宋_GB2312" w:eastAsia="仿宋_GB2312" w:cs="仿宋_GB2312"/>
          <w:color w:val="000000"/>
          <w:kern w:val="0"/>
          <w:sz w:val="32"/>
          <w:szCs w:val="32"/>
          <w:highlight w:val="none"/>
          <w:shd w:val="clear" w:color="auto" w:fill="FFFFFF"/>
          <w:lang w:val="en-US" w:eastAsia="zh-CN"/>
        </w:rPr>
        <w:t>3.43</w:t>
      </w:r>
      <w:r>
        <w:rPr>
          <w:rFonts w:hint="eastAsia" w:ascii="仿宋_GB2312" w:hAnsi="仿宋_GB2312" w:eastAsia="仿宋_GB2312" w:cs="仿宋_GB2312"/>
          <w:color w:val="000000"/>
          <w:kern w:val="0"/>
          <w:sz w:val="32"/>
          <w:szCs w:val="32"/>
          <w:highlight w:val="none"/>
          <w:shd w:val="clear" w:color="auto" w:fill="FFFFFF"/>
          <w:lang w:val="zh-CN" w:eastAsia="zh-CN"/>
        </w:rPr>
        <w:t>分。</w:t>
      </w:r>
    </w:p>
    <w:p w14:paraId="63BCE8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）目标偏离</w:t>
      </w:r>
    </w:p>
    <w:p w14:paraId="1EF5CF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预算阶段项目（含一次性项目）7个</w:t>
      </w:r>
      <w:r>
        <w:rPr>
          <w:rFonts w:hint="eastAsia" w:ascii="仿宋_GB2312" w:hAnsi="仿宋_GB2312" w:eastAsia="仿宋_GB2312" w:cs="仿宋_GB2312"/>
          <w:color w:val="000000"/>
          <w:kern w:val="0"/>
          <w:sz w:val="32"/>
          <w:szCs w:val="32"/>
          <w:highlight w:val="none"/>
          <w:shd w:val="clear" w:color="auto" w:fill="FFFFFF"/>
          <w:lang w:val="en-US" w:eastAsia="zh-CN"/>
        </w:rPr>
        <w:t>均未设置绩效目标，不涉及目标偏离的部门预算阶段项目（含一次性项目）。</w:t>
      </w:r>
    </w:p>
    <w:p w14:paraId="7CD7B5C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综上，根据评分标准，该项指标不扣分，得4分。</w:t>
      </w:r>
    </w:p>
    <w:p w14:paraId="6E256A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）实现</w:t>
      </w:r>
      <w:r>
        <w:rPr>
          <w:rFonts w:hint="eastAsia" w:ascii="仿宋_GB2312" w:hAnsi="仿宋_GB2312" w:eastAsia="仿宋_GB2312" w:cs="仿宋_GB2312"/>
          <w:color w:val="000000"/>
          <w:kern w:val="0"/>
          <w:sz w:val="32"/>
          <w:szCs w:val="32"/>
          <w:highlight w:val="none"/>
          <w:shd w:val="clear" w:color="auto" w:fill="FFFFFF"/>
          <w:lang w:val="en-US" w:eastAsia="zh-CN"/>
        </w:rPr>
        <w:t>效果</w:t>
      </w:r>
    </w:p>
    <w:p w14:paraId="24768D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预算阶段项目（含一次性项目）总数为</w:t>
      </w:r>
      <w:r>
        <w:rPr>
          <w:rFonts w:hint="eastAsia" w:ascii="仿宋_GB2312" w:hAnsi="仿宋_GB2312" w:eastAsia="仿宋_GB2312" w:cs="仿宋_GB2312"/>
          <w:color w:val="000000"/>
          <w:kern w:val="0"/>
          <w:sz w:val="32"/>
          <w:szCs w:val="32"/>
          <w:highlight w:val="none"/>
          <w:shd w:val="clear" w:color="auto" w:fill="FFFFFF"/>
          <w:lang w:val="en-US" w:eastAsia="zh-CN"/>
        </w:rPr>
        <w:t>7</w:t>
      </w:r>
      <w:r>
        <w:rPr>
          <w:rFonts w:hint="eastAsia" w:ascii="仿宋_GB2312" w:hAnsi="仿宋_GB2312" w:eastAsia="仿宋_GB2312" w:cs="仿宋_GB2312"/>
          <w:color w:val="000000"/>
          <w:kern w:val="0"/>
          <w:sz w:val="32"/>
          <w:szCs w:val="32"/>
          <w:highlight w:val="none"/>
          <w:shd w:val="clear" w:color="auto" w:fill="FFFFFF"/>
          <w:lang w:val="zh-CN" w:eastAsia="zh-CN"/>
        </w:rPr>
        <w:t>个，</w:t>
      </w:r>
      <w:r>
        <w:rPr>
          <w:rFonts w:hint="eastAsia" w:ascii="仿宋_GB2312" w:hAnsi="仿宋_GB2312" w:eastAsia="仿宋_GB2312" w:cs="仿宋_GB2312"/>
          <w:color w:val="000000"/>
          <w:kern w:val="0"/>
          <w:sz w:val="32"/>
          <w:szCs w:val="32"/>
          <w:highlight w:val="none"/>
          <w:shd w:val="clear" w:color="auto" w:fill="FFFFFF"/>
          <w:lang w:val="en-US" w:eastAsia="zh-CN"/>
        </w:rPr>
        <w:t>实际</w:t>
      </w:r>
      <w:r>
        <w:rPr>
          <w:rFonts w:hint="eastAsia" w:ascii="仿宋_GB2312" w:hAnsi="仿宋_GB2312" w:eastAsia="仿宋_GB2312" w:cs="仿宋_GB2312"/>
          <w:color w:val="000000"/>
          <w:kern w:val="0"/>
          <w:sz w:val="32"/>
          <w:szCs w:val="32"/>
          <w:highlight w:val="none"/>
          <w:shd w:val="clear" w:color="auto" w:fill="FFFFFF"/>
          <w:lang w:val="zh-CN" w:eastAsia="zh-CN"/>
        </w:rPr>
        <w:t>完成数量为</w:t>
      </w:r>
      <w:r>
        <w:rPr>
          <w:rFonts w:hint="eastAsia" w:ascii="仿宋_GB2312" w:hAnsi="仿宋_GB2312" w:eastAsia="仿宋_GB2312" w:cs="仿宋_GB2312"/>
          <w:color w:val="000000"/>
          <w:kern w:val="0"/>
          <w:sz w:val="32"/>
          <w:szCs w:val="32"/>
          <w:highlight w:val="none"/>
          <w:shd w:val="clear" w:color="auto" w:fill="FFFFFF"/>
          <w:lang w:val="en-US" w:eastAsia="zh-CN"/>
        </w:rPr>
        <w:t>6</w:t>
      </w:r>
      <w:r>
        <w:rPr>
          <w:rFonts w:hint="eastAsia" w:ascii="仿宋_GB2312" w:hAnsi="仿宋_GB2312" w:eastAsia="仿宋_GB2312" w:cs="仿宋_GB2312"/>
          <w:color w:val="000000"/>
          <w:kern w:val="0"/>
          <w:sz w:val="32"/>
          <w:szCs w:val="32"/>
          <w:highlight w:val="none"/>
          <w:shd w:val="clear" w:color="auto" w:fill="FFFFFF"/>
          <w:lang w:val="zh-CN" w:eastAsia="zh-CN"/>
        </w:rPr>
        <w:t>个，松潘县2023年度“最美松潘人”“最美村寨”颁奖典礼工作经费项目未完成。</w:t>
      </w:r>
    </w:p>
    <w:p w14:paraId="3B774C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综上，根据评分标准，该项指标</w:t>
      </w:r>
      <w:r>
        <w:rPr>
          <w:rFonts w:hint="eastAsia" w:ascii="仿宋_GB2312" w:hAnsi="仿宋_GB2312" w:eastAsia="仿宋_GB2312" w:cs="仿宋_GB2312"/>
          <w:color w:val="000000"/>
          <w:kern w:val="0"/>
          <w:sz w:val="32"/>
          <w:szCs w:val="32"/>
          <w:highlight w:val="none"/>
          <w:shd w:val="clear" w:color="auto" w:fill="FFFFFF"/>
          <w:lang w:val="en-US" w:eastAsia="zh-CN"/>
        </w:rPr>
        <w:t>扣0.43分，</w:t>
      </w:r>
      <w:r>
        <w:rPr>
          <w:rFonts w:hint="eastAsia" w:ascii="仿宋_GB2312" w:hAnsi="仿宋_GB2312" w:eastAsia="仿宋_GB2312" w:cs="仿宋_GB2312"/>
          <w:color w:val="000000"/>
          <w:kern w:val="0"/>
          <w:sz w:val="32"/>
          <w:szCs w:val="32"/>
          <w:highlight w:val="none"/>
          <w:shd w:val="clear" w:color="auto" w:fill="FFFFFF"/>
          <w:lang w:val="zh-CN" w:eastAsia="zh-CN"/>
        </w:rPr>
        <w:t>得</w:t>
      </w:r>
      <w:r>
        <w:rPr>
          <w:rFonts w:hint="eastAsia" w:ascii="仿宋_GB2312" w:hAnsi="仿宋_GB2312" w:eastAsia="仿宋_GB2312" w:cs="仿宋_GB2312"/>
          <w:color w:val="000000"/>
          <w:kern w:val="0"/>
          <w:sz w:val="32"/>
          <w:szCs w:val="32"/>
          <w:highlight w:val="none"/>
          <w:shd w:val="clear" w:color="auto" w:fill="FFFFFF"/>
          <w:lang w:val="en-US" w:eastAsia="zh-CN"/>
        </w:rPr>
        <w:t>2.57</w:t>
      </w:r>
      <w:r>
        <w:rPr>
          <w:rFonts w:hint="eastAsia" w:ascii="仿宋_GB2312" w:hAnsi="仿宋_GB2312" w:eastAsia="仿宋_GB2312" w:cs="仿宋_GB2312"/>
          <w:color w:val="000000"/>
          <w:kern w:val="0"/>
          <w:sz w:val="32"/>
          <w:szCs w:val="32"/>
          <w:highlight w:val="none"/>
          <w:shd w:val="clear" w:color="auto" w:fill="FFFFFF"/>
          <w:lang w:val="zh-CN" w:eastAsia="zh-CN"/>
        </w:rPr>
        <w:t>分。</w:t>
      </w:r>
    </w:p>
    <w:p w14:paraId="67C1F46D">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p>
    <w:p w14:paraId="031D9D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1.行政事业性国有资产绩效分析。</w:t>
      </w:r>
    </w:p>
    <w:p w14:paraId="2461CFE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严格按照相关工作要求，在四川省行政事业性国有资产管理信息系统中对国有资产进行管理，按时将新购、满足固定资产登记条件的资产进行资产卡片新增。每月按时填报资产月报，严格审核，确保数据准确、及时、完整性，有效夯实了行政事业性国有资产管理基础工作。</w:t>
      </w:r>
    </w:p>
    <w:p w14:paraId="12F8AD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2.政府采购绩效分析。</w:t>
      </w:r>
    </w:p>
    <w:p w14:paraId="7245CF8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2024年我部门严格按照政府采购程序进行采购，当年政府采购追加预算金额72万元，“松潘综合形象宣传片”实际支付总金额68万元。</w:t>
      </w:r>
    </w:p>
    <w:p w14:paraId="22D0E189">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（四）绩效结果应用情况。</w:t>
      </w:r>
    </w:p>
    <w:p w14:paraId="15E8737F">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部门在2024年圆满完成单位的年度任务，明确预算编制、预算分解、预算执行与分析、预算调整、决算管理、预算绩效管理及预决算信息公开管理等业务环节的管理要求，加强预算业务各环节的风险管控，并在日常的各个任务间提升我部门的自身素质，提升隧道运行维护能力，夯实责任，筑牢安全生产防线，加强财务制度落实，提升财务业务水平，做好资料管理，推动工作高效开展</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4030A80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lang w:eastAsia="zh-CN"/>
        </w:rPr>
        <w:t>四、</w:t>
      </w:r>
      <w:r>
        <w:rPr>
          <w:rFonts w:hint="eastAsia" w:ascii="仿宋_GB2312" w:hAnsi="仿宋_GB2312" w:eastAsia="仿宋_GB2312" w:cs="仿宋_GB2312"/>
          <w:color w:val="000000"/>
          <w:kern w:val="0"/>
          <w:sz w:val="32"/>
          <w:szCs w:val="32"/>
          <w:highlight w:val="none"/>
          <w:shd w:val="clear" w:color="auto" w:fill="FFFFFF"/>
        </w:rPr>
        <w:t>评价结论及建议</w:t>
      </w:r>
    </w:p>
    <w:p w14:paraId="6D7114F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p>
    <w:p w14:paraId="533F38D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b w:val="0"/>
          <w:bCs w:val="0"/>
          <w:kern w:val="0"/>
          <w:position w:val="0"/>
          <w:sz w:val="32"/>
          <w:szCs w:val="32"/>
          <w:highlight w:val="none"/>
          <w:lang w:val="en-US" w:eastAsia="zh-CN" w:bidi="ar-SA"/>
        </w:rPr>
        <w:t>我部门履职效果和预算管理效果较好，财务管理、资产管理、采购管理规范，项目决策程序严格，项目执行进度良好，绩效目标实现程度良好。根据《阿坝州财政局关于开展2024年州级部门绩效自评工作的通知》中部门整体支出绩效评价指标体系，2024年度自评得分90.47分。</w:t>
      </w:r>
    </w:p>
    <w:p w14:paraId="627EC006">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存在问题。</w:t>
      </w:r>
    </w:p>
    <w:p w14:paraId="5EDEBD5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1.一般性支出控制率较高</w:t>
      </w:r>
    </w:p>
    <w:p w14:paraId="3DE6CA6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2024年预算安排“三公”经费、会议、培训、差旅、办节办展、办公设备购置、信息网络及软件购置更新、课题经费等8项一般性支出总额24.56万元，实际支出39.54万元；2023年预算安排“三公”经费、会议、培训、差旅、办节办展、办公设备购置、信息网络及软件购置更新、课题经费等8项一般性支出总额21.85万元，实际支出21.81万元。一般性支出财政拨款年初预算和一般性支出财政拨款预算执行较上年均未实现压减。</w:t>
      </w:r>
    </w:p>
    <w:p w14:paraId="4670AE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资产管理工作有待提升</w:t>
      </w:r>
    </w:p>
    <w:p w14:paraId="3FD29D5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2024年部门</w:t>
      </w:r>
      <w:r>
        <w:rPr>
          <w:rFonts w:hint="eastAsia" w:ascii="仿宋_GB2312" w:hAnsi="仿宋_GB2312" w:eastAsia="仿宋_GB2312" w:cs="仿宋_GB2312"/>
          <w:color w:val="000000"/>
          <w:kern w:val="0"/>
          <w:sz w:val="32"/>
          <w:szCs w:val="32"/>
          <w:highlight w:val="none"/>
          <w:shd w:val="clear" w:color="auto" w:fill="FFFFFF"/>
          <w:lang w:val="zh-CN" w:eastAsia="zh-CN"/>
        </w:rPr>
        <w:t>资产利用率较低，部门人均资产变化率</w:t>
      </w:r>
      <w:r>
        <w:rPr>
          <w:rFonts w:hint="eastAsia" w:ascii="仿宋_GB2312" w:hAnsi="仿宋_GB2312" w:eastAsia="仿宋_GB2312" w:cs="仿宋_GB2312"/>
          <w:color w:val="000000"/>
          <w:kern w:val="0"/>
          <w:sz w:val="32"/>
          <w:szCs w:val="32"/>
          <w:highlight w:val="none"/>
          <w:shd w:val="clear" w:color="auto" w:fill="FFFFFF"/>
          <w:lang w:val="en-US" w:eastAsia="zh-CN"/>
        </w:rPr>
        <w:t>12.09%，</w:t>
      </w:r>
      <w:r>
        <w:rPr>
          <w:rFonts w:hint="eastAsia" w:ascii="仿宋_GB2312" w:hAnsi="仿宋_GB2312" w:eastAsia="仿宋_GB2312" w:cs="仿宋_GB2312"/>
          <w:color w:val="000000"/>
          <w:kern w:val="0"/>
          <w:sz w:val="32"/>
          <w:szCs w:val="32"/>
          <w:highlight w:val="none"/>
          <w:shd w:val="clear" w:color="auto" w:fill="FFFFFF"/>
          <w:lang w:val="zh-CN" w:eastAsia="zh-CN"/>
        </w:rPr>
        <w:t>大于州直行政事业单位人均资产变化率-3.96%；部门人均资产增长率</w:t>
      </w:r>
      <w:r>
        <w:rPr>
          <w:rFonts w:hint="eastAsia" w:ascii="仿宋_GB2312" w:hAnsi="仿宋_GB2312" w:eastAsia="仿宋_GB2312" w:cs="仿宋_GB2312"/>
          <w:color w:val="000000"/>
          <w:kern w:val="0"/>
          <w:sz w:val="32"/>
          <w:szCs w:val="32"/>
          <w:highlight w:val="none"/>
          <w:shd w:val="clear" w:color="auto" w:fill="FFFFFF"/>
          <w:lang w:val="en-US" w:eastAsia="zh-CN"/>
        </w:rPr>
        <w:t>12.09%，</w:t>
      </w:r>
      <w:r>
        <w:rPr>
          <w:rFonts w:hint="eastAsia" w:ascii="仿宋_GB2312" w:hAnsi="仿宋_GB2312" w:eastAsia="仿宋_GB2312" w:cs="仿宋_GB2312"/>
          <w:color w:val="000000"/>
          <w:kern w:val="0"/>
          <w:sz w:val="32"/>
          <w:szCs w:val="32"/>
          <w:highlight w:val="none"/>
          <w:shd w:val="clear" w:color="auto" w:fill="FFFFFF"/>
          <w:lang w:val="zh-CN" w:eastAsia="zh-CN"/>
        </w:rPr>
        <w:t>小于同期州级财政收入增长率54.2%。</w:t>
      </w:r>
    </w:p>
    <w:p w14:paraId="62A042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3.预算绩效管理工作开展不到位</w:t>
      </w:r>
    </w:p>
    <w:p w14:paraId="5B5E59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部门未完整填报2024年部门预算项目支出绩效目标表，2024年7个预算阶段项目（含一次性项目）的绩效目标均缺失。</w:t>
      </w:r>
    </w:p>
    <w:p w14:paraId="6A6BDA3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bookmarkStart w:id="59" w:name="_Hlk110546638"/>
    </w:p>
    <w:p w14:paraId="75FBD9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1.强化预算管理，提高部门预算编制准确性</w:t>
      </w:r>
    </w:p>
    <w:p w14:paraId="00DA17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一是细化预算编制。进一步完善基本支出、项目支出等各项支出标准，健全各项资产配备标准，完善公用经费管理的支出管理规范，从制度层面约束支出行为。</w:t>
      </w:r>
    </w:p>
    <w:p w14:paraId="193297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二是加强资金支付审核。强化预算刚性，对公用经费严格控制调整追加，坚持先有预算后有支出，不符合财政财务制度规定的支出，做到不予报销，减少压缩直接用于公务活动的支出。</w:t>
      </w:r>
    </w:p>
    <w:p w14:paraId="4E3ED0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三是健全预算公开制度。明确包括公用经费在内的部门预算支出情况，公开的时间、形式及细化程度应规范统一要求，细化公用经费的解释说明，逐步扩大公开范围。</w:t>
      </w:r>
    </w:p>
    <w:p w14:paraId="020236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2.加强资产管理基础</w:t>
      </w:r>
    </w:p>
    <w:p w14:paraId="068757F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 xml:space="preserve"> 一是优化管理流程。制定并执行资产从采购、使用、维护、到报废的全生命周期管理流程；定期对资产进行盘点，确保账实相符，及早发现并处理异常情况；建立和优化资产管理的标准流程，确保各环节有章可循，减少人为错误。</w:t>
      </w:r>
    </w:p>
    <w:p w14:paraId="459D4AF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二是加强人员培训。定期对资产管理人员进行专业培训，增强他们的工作技能和责任意识；编写详细的操作手册和指南，帮助员工了解和遵守资产管理的相关规定。</w:t>
      </w:r>
    </w:p>
    <w:p w14:paraId="03B1413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三是建立健全制度。明确各部门和岗位在资产管理中的职责，确保责任落实到人；制定合理的奖惩机制，激励员工积极参与资产管理工作，对违规行为进行有效约束。</w:t>
      </w:r>
      <w:bookmarkEnd w:id="59"/>
    </w:p>
    <w:p w14:paraId="686046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3.增强部门绩效管理意识，认真落实主体责任</w:t>
      </w:r>
    </w:p>
    <w:p w14:paraId="6CBDF8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建立完善的绩效目标审核机制。每年预算申报前按照财政预算编制要求对制定的绩效目标进行审核，对于绩效目标不符合要求的及时修改、完善，并将绩效目标作为项目实施单位项目遴选排序、安排项目实施单位预算申报资金的重要依据。</w:t>
      </w:r>
    </w:p>
    <w:p w14:paraId="1E7C7E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二是提高绩效目标编制人员水平。对编制绩效目标的人员进行培训，明确编制绩效目标审核的要求，并提供绩效目标编制模板，加深编制人员对绩效目标的理解，掌握编制方法，规范填写绩效目标、绩效指标、指标值、度量单位、指标类型等，切实提高绩效目标编制水平。</w:t>
      </w:r>
    </w:p>
    <w:p w14:paraId="4D3C5D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三是加强部门内部协调机制。落实部门内部预算绩效管理主体责任，提高部门内部财务人员以及业务人员的预算绩效管理意识，共同配合完成预算绩效管理工作，提高部门预算绩效管理水平。</w:t>
      </w:r>
    </w:p>
    <w:p w14:paraId="185A32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p>
    <w:p w14:paraId="69CB95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p>
    <w:p w14:paraId="3B8A53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p>
    <w:p w14:paraId="2F0DB7D3">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pPr>
      <w:r>
        <w:rPr>
          <w:rFonts w:hint="eastAsia" w:ascii="仿宋_GB2312" w:hAnsi="仿宋_GB2312" w:eastAsia="仿宋_GB2312" w:cs="仿宋_GB2312"/>
          <w:color w:val="000000"/>
          <w:kern w:val="0"/>
          <w:sz w:val="32"/>
          <w:szCs w:val="32"/>
          <w:highlight w:val="none"/>
          <w:shd w:val="clear" w:color="auto" w:fill="FFFFFF"/>
          <w:lang w:val="en-US" w:eastAsia="zh-CN"/>
        </w:rPr>
        <w:t>附表：部门整体支出绩效目标完成情况自评表</w:t>
      </w:r>
    </w:p>
    <w:p w14:paraId="1D71E96E">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p>
    <w:p w14:paraId="4E079F1A">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ascii="黑体" w:hAnsi="宋体" w:eastAsia="黑体" w:cs="黑体"/>
          <w:kern w:val="2"/>
          <w:sz w:val="32"/>
          <w:szCs w:val="32"/>
          <w:lang w:val="en-US" w:eastAsia="zh-CN" w:bidi="ar"/>
        </w:rPr>
        <w:t>附表</w:t>
      </w:r>
    </w:p>
    <w:tbl>
      <w:tblPr>
        <w:tblStyle w:val="16"/>
        <w:tblpPr w:leftFromText="180" w:rightFromText="180" w:vertAnchor="text" w:horzAnchor="page" w:tblpX="613" w:tblpY="442"/>
        <w:tblOverlap w:val="never"/>
        <w:tblW w:w="10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2"/>
        <w:gridCol w:w="765"/>
        <w:gridCol w:w="1027"/>
        <w:gridCol w:w="2355"/>
        <w:gridCol w:w="692"/>
        <w:gridCol w:w="1282"/>
        <w:gridCol w:w="1052"/>
        <w:gridCol w:w="921"/>
        <w:gridCol w:w="1108"/>
        <w:gridCol w:w="90"/>
      </w:tblGrid>
      <w:tr w14:paraId="69FF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762" w:hRule="atLeast"/>
        </w:trPr>
        <w:tc>
          <w:tcPr>
            <w:tcW w:w="10504" w:type="dxa"/>
            <w:gridSpan w:val="9"/>
            <w:tcBorders>
              <w:top w:val="nil"/>
              <w:left w:val="nil"/>
              <w:bottom w:val="nil"/>
              <w:right w:val="nil"/>
            </w:tcBorders>
            <w:shd w:val="clear" w:color="auto" w:fill="auto"/>
            <w:vAlign w:val="center"/>
          </w:tcPr>
          <w:p w14:paraId="47751C38">
            <w:pPr>
              <w:keepNext w:val="0"/>
              <w:keepLines w:val="0"/>
              <w:widowControl/>
              <w:suppressLineNumbers w:val="0"/>
              <w:autoSpaceDE w:val="0"/>
              <w:autoSpaceDN/>
              <w:spacing w:before="0" w:beforeAutospacing="0" w:after="0" w:afterAutospacing="0" w:line="600" w:lineRule="exact"/>
              <w:ind w:left="0" w:right="0"/>
              <w:jc w:val="center"/>
              <w:textAlignment w:val="center"/>
              <w:rPr>
                <w:rFonts w:hint="eastAsia" w:ascii="仿宋_GB2312" w:hAnsi="仿宋_GB2312" w:eastAsia="仿宋_GB2312" w:cs="仿宋_GB2312"/>
                <w:i w:val="0"/>
                <w:color w:val="000000"/>
                <w:kern w:val="2"/>
                <w:sz w:val="28"/>
                <w:szCs w:val="28"/>
              </w:rPr>
            </w:pPr>
            <w:r>
              <w:rPr>
                <w:rFonts w:hint="eastAsia" w:ascii="仿宋_GB2312" w:hAnsi="仿宋_GB2312" w:eastAsia="仿宋_GB2312" w:cs="仿宋_GB2312"/>
                <w:i w:val="0"/>
                <w:color w:val="000000"/>
                <w:kern w:val="0"/>
                <w:sz w:val="44"/>
                <w:szCs w:val="44"/>
                <w:lang w:val="en-US" w:eastAsia="zh-CN" w:bidi="ar"/>
              </w:rPr>
              <w:t>部门整体支出绩效目标完成情况自评表</w:t>
            </w:r>
          </w:p>
        </w:tc>
      </w:tr>
      <w:tr w14:paraId="41B8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0504" w:type="dxa"/>
            <w:gridSpan w:val="9"/>
            <w:tcBorders>
              <w:top w:val="nil"/>
              <w:left w:val="nil"/>
              <w:bottom w:val="nil"/>
              <w:right w:val="nil"/>
            </w:tcBorders>
            <w:shd w:val="clear" w:color="auto" w:fill="auto"/>
            <w:vAlign w:val="center"/>
          </w:tcPr>
          <w:p w14:paraId="1D845B6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kern w:val="2"/>
                <w:sz w:val="28"/>
                <w:szCs w:val="28"/>
              </w:rPr>
            </w:pPr>
            <w:r>
              <w:rPr>
                <w:rFonts w:hint="eastAsia" w:ascii="仿宋_GB2312" w:hAnsi="仿宋_GB2312" w:eastAsia="仿宋_GB2312" w:cs="仿宋_GB2312"/>
                <w:i w:val="0"/>
                <w:color w:val="000000"/>
                <w:kern w:val="0"/>
                <w:sz w:val="28"/>
                <w:szCs w:val="28"/>
                <w:lang w:val="en-US" w:eastAsia="zh-CN" w:bidi="ar"/>
              </w:rPr>
              <w:t>（2024年度）</w:t>
            </w:r>
          </w:p>
        </w:tc>
      </w:tr>
      <w:tr w14:paraId="2D2B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0504" w:type="dxa"/>
            <w:gridSpan w:val="9"/>
            <w:tcBorders>
              <w:top w:val="nil"/>
              <w:left w:val="nil"/>
              <w:bottom w:val="single" w:color="000000" w:sz="4" w:space="0"/>
              <w:right w:val="nil"/>
            </w:tcBorders>
            <w:shd w:val="clear" w:color="auto" w:fill="auto"/>
            <w:vAlign w:val="center"/>
          </w:tcPr>
          <w:p w14:paraId="7975C7F9">
            <w:pPr>
              <w:keepNext w:val="0"/>
              <w:keepLines w:val="0"/>
              <w:widowControl/>
              <w:suppressLineNumbers w:val="0"/>
              <w:autoSpaceDE w:val="0"/>
              <w:autoSpaceDN/>
              <w:spacing w:before="0" w:beforeAutospacing="0" w:after="0" w:afterAutospacing="0" w:line="300" w:lineRule="exact"/>
              <w:ind w:left="0" w:right="0"/>
              <w:jc w:val="right"/>
              <w:textAlignment w:val="center"/>
              <w:rPr>
                <w:rFonts w:hint="eastAsia" w:ascii="仿宋_GB2312" w:hAnsi="仿宋_GB2312" w:eastAsia="仿宋_GB2312" w:cs="仿宋_GB2312"/>
                <w:i w:val="0"/>
                <w:color w:val="000000"/>
                <w:kern w:val="2"/>
                <w:sz w:val="21"/>
                <w:szCs w:val="21"/>
              </w:rPr>
            </w:pPr>
            <w:r>
              <w:rPr>
                <w:rFonts w:hint="eastAsia" w:ascii="仿宋_GB2312" w:hAnsi="仿宋_GB2312" w:eastAsia="仿宋_GB2312" w:cs="仿宋_GB2312"/>
                <w:i w:val="0"/>
                <w:color w:val="000000"/>
                <w:kern w:val="0"/>
                <w:sz w:val="21"/>
                <w:szCs w:val="21"/>
                <w:lang w:val="en-US" w:eastAsia="zh-CN" w:bidi="ar"/>
              </w:rPr>
              <w:t>单位：万元</w:t>
            </w:r>
          </w:p>
        </w:tc>
      </w:tr>
      <w:tr w14:paraId="3111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20" w:hRule="atLeast"/>
        </w:trPr>
        <w:tc>
          <w:tcPr>
            <w:tcW w:w="3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9F1E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部门名称</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5FC60FA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中共阿坝州松潘县委宣传部本级</w:t>
            </w:r>
          </w:p>
        </w:tc>
      </w:tr>
      <w:tr w14:paraId="2D87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7" w:hRule="atLeast"/>
        </w:trPr>
        <w:tc>
          <w:tcPr>
            <w:tcW w:w="1302" w:type="dxa"/>
            <w:vMerge w:val="restart"/>
            <w:tcBorders>
              <w:top w:val="nil"/>
              <w:left w:val="single" w:color="000000" w:sz="4" w:space="0"/>
              <w:bottom w:val="single" w:color="000000" w:sz="4" w:space="0"/>
              <w:right w:val="single" w:color="000000" w:sz="4" w:space="0"/>
            </w:tcBorders>
            <w:shd w:val="clear" w:color="auto" w:fill="auto"/>
            <w:vAlign w:val="center"/>
          </w:tcPr>
          <w:p w14:paraId="6138531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年度部门整体支出预算</w:t>
            </w:r>
          </w:p>
        </w:tc>
        <w:tc>
          <w:tcPr>
            <w:tcW w:w="1792" w:type="dxa"/>
            <w:gridSpan w:val="2"/>
            <w:tcBorders>
              <w:top w:val="single" w:color="000000" w:sz="4" w:space="0"/>
              <w:left w:val="nil"/>
              <w:bottom w:val="single" w:color="000000" w:sz="4" w:space="0"/>
              <w:right w:val="single" w:color="000000" w:sz="4" w:space="0"/>
            </w:tcBorders>
            <w:shd w:val="clear" w:color="auto" w:fill="auto"/>
            <w:vAlign w:val="center"/>
          </w:tcPr>
          <w:p w14:paraId="39BCAB6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资金总额</w:t>
            </w:r>
          </w:p>
        </w:tc>
        <w:tc>
          <w:tcPr>
            <w:tcW w:w="3047" w:type="dxa"/>
            <w:gridSpan w:val="2"/>
            <w:tcBorders>
              <w:top w:val="single" w:color="000000" w:sz="4" w:space="0"/>
              <w:left w:val="nil"/>
              <w:bottom w:val="single" w:color="000000" w:sz="4" w:space="0"/>
              <w:right w:val="single" w:color="000000" w:sz="4" w:space="0"/>
            </w:tcBorders>
            <w:shd w:val="clear" w:color="auto" w:fill="auto"/>
            <w:vAlign w:val="center"/>
          </w:tcPr>
          <w:p w14:paraId="021B0F5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财政拨款</w:t>
            </w:r>
          </w:p>
        </w:tc>
        <w:tc>
          <w:tcPr>
            <w:tcW w:w="4363" w:type="dxa"/>
            <w:gridSpan w:val="4"/>
            <w:tcBorders>
              <w:top w:val="single" w:color="000000" w:sz="4" w:space="0"/>
              <w:left w:val="nil"/>
              <w:bottom w:val="single" w:color="000000" w:sz="4" w:space="0"/>
              <w:right w:val="single" w:color="000000" w:sz="4" w:space="0"/>
            </w:tcBorders>
            <w:shd w:val="clear" w:color="auto" w:fill="auto"/>
            <w:vAlign w:val="center"/>
          </w:tcPr>
          <w:p w14:paraId="00722EE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其他资金</w:t>
            </w:r>
          </w:p>
        </w:tc>
        <w:tc>
          <w:tcPr>
            <w:tcW w:w="90" w:type="dxa"/>
            <w:shd w:val="clear" w:color="auto" w:fill="auto"/>
            <w:vAlign w:val="center"/>
          </w:tcPr>
          <w:p w14:paraId="7D7CD7EB">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49E3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1302" w:type="dxa"/>
            <w:vMerge w:val="continue"/>
            <w:tcBorders>
              <w:top w:val="nil"/>
              <w:left w:val="single" w:color="000000" w:sz="4" w:space="0"/>
              <w:bottom w:val="single" w:color="000000" w:sz="4" w:space="0"/>
              <w:right w:val="single" w:color="000000" w:sz="4" w:space="0"/>
            </w:tcBorders>
            <w:shd w:val="clear" w:color="auto" w:fill="auto"/>
            <w:vAlign w:val="center"/>
          </w:tcPr>
          <w:p w14:paraId="520EBFBD">
            <w:pPr>
              <w:keepNext w:val="0"/>
              <w:keepLines w:val="0"/>
              <w:suppressLineNumbers w:val="0"/>
              <w:spacing w:before="0" w:beforeAutospacing="0" w:after="0" w:afterAutospacing="0"/>
              <w:ind w:left="0" w:right="0"/>
              <w:rPr>
                <w:rFonts w:hint="default" w:ascii="Times New Roman" w:hAnsi="Times New Roman" w:eastAsia="仿宋_GB2312" w:cs="Times New Roman"/>
                <w:sz w:val="21"/>
                <w:szCs w:val="21"/>
              </w:rPr>
            </w:pPr>
          </w:p>
        </w:tc>
        <w:tc>
          <w:tcPr>
            <w:tcW w:w="1792" w:type="dxa"/>
            <w:gridSpan w:val="2"/>
            <w:tcBorders>
              <w:top w:val="single" w:color="000000" w:sz="4" w:space="0"/>
              <w:left w:val="nil"/>
              <w:bottom w:val="single" w:color="000000" w:sz="4" w:space="0"/>
              <w:right w:val="single" w:color="000000" w:sz="4" w:space="0"/>
            </w:tcBorders>
            <w:shd w:val="clear" w:color="auto" w:fill="auto"/>
            <w:vAlign w:val="center"/>
          </w:tcPr>
          <w:p w14:paraId="7708976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rPr>
            </w:pPr>
            <w:r>
              <w:rPr>
                <w:rFonts w:hint="default" w:ascii="Times New Roman" w:hAnsi="Times New Roman" w:eastAsia="仿宋_GB2312" w:cs="Times New Roman"/>
                <w:i w:val="0"/>
                <w:color w:val="000000"/>
                <w:kern w:val="0"/>
                <w:sz w:val="21"/>
                <w:szCs w:val="21"/>
                <w:lang w:val="en-US" w:eastAsia="zh-CN" w:bidi="ar"/>
              </w:rPr>
              <w:t>430.12</w:t>
            </w:r>
          </w:p>
        </w:tc>
        <w:tc>
          <w:tcPr>
            <w:tcW w:w="3047" w:type="dxa"/>
            <w:gridSpan w:val="2"/>
            <w:tcBorders>
              <w:top w:val="single" w:color="000000" w:sz="4" w:space="0"/>
              <w:left w:val="nil"/>
              <w:bottom w:val="single" w:color="000000" w:sz="4" w:space="0"/>
              <w:right w:val="single" w:color="000000" w:sz="4" w:space="0"/>
            </w:tcBorders>
            <w:shd w:val="clear" w:color="auto" w:fill="auto"/>
            <w:vAlign w:val="center"/>
          </w:tcPr>
          <w:p w14:paraId="44A1648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rPr>
            </w:pPr>
            <w:r>
              <w:rPr>
                <w:rFonts w:hint="default" w:ascii="Times New Roman" w:hAnsi="Times New Roman" w:eastAsia="仿宋_GB2312" w:cs="Times New Roman"/>
                <w:i w:val="0"/>
                <w:color w:val="000000"/>
                <w:kern w:val="0"/>
                <w:sz w:val="21"/>
                <w:szCs w:val="21"/>
                <w:lang w:val="en-US" w:eastAsia="zh-CN" w:bidi="ar"/>
              </w:rPr>
              <w:t>430.12</w:t>
            </w:r>
          </w:p>
        </w:tc>
        <w:tc>
          <w:tcPr>
            <w:tcW w:w="4363" w:type="dxa"/>
            <w:gridSpan w:val="4"/>
            <w:tcBorders>
              <w:top w:val="single" w:color="000000" w:sz="4" w:space="0"/>
              <w:left w:val="nil"/>
              <w:bottom w:val="single" w:color="000000" w:sz="4" w:space="0"/>
              <w:right w:val="single" w:color="000000" w:sz="4" w:space="0"/>
            </w:tcBorders>
            <w:shd w:val="clear" w:color="auto" w:fill="auto"/>
            <w:vAlign w:val="center"/>
          </w:tcPr>
          <w:p w14:paraId="61818D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rPr>
            </w:pPr>
            <w:r>
              <w:rPr>
                <w:rFonts w:hint="default" w:ascii="Times New Roman" w:hAnsi="Times New Roman" w:eastAsia="仿宋_GB2312" w:cs="Times New Roman"/>
                <w:i w:val="0"/>
                <w:color w:val="000000"/>
                <w:kern w:val="0"/>
                <w:sz w:val="21"/>
                <w:szCs w:val="21"/>
                <w:lang w:val="en-US" w:eastAsia="zh-CN" w:bidi="ar"/>
              </w:rPr>
              <w:t>0.00</w:t>
            </w:r>
          </w:p>
        </w:tc>
        <w:tc>
          <w:tcPr>
            <w:tcW w:w="90" w:type="dxa"/>
            <w:shd w:val="clear" w:color="auto" w:fill="auto"/>
            <w:vAlign w:val="center"/>
          </w:tcPr>
          <w:p w14:paraId="3175097E">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5E7F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90" w:hRule="atLeast"/>
        </w:trPr>
        <w:tc>
          <w:tcPr>
            <w:tcW w:w="13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7EE967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rPr>
            </w:pPr>
            <w:r>
              <w:rPr>
                <w:rFonts w:hint="default" w:ascii="Times New Roman" w:hAnsi="Times New Roman" w:eastAsia="仿宋_GB2312" w:cs="Times New Roman"/>
                <w:i w:val="0"/>
                <w:color w:val="000000"/>
                <w:kern w:val="0"/>
                <w:sz w:val="21"/>
                <w:szCs w:val="21"/>
                <w:lang w:val="en-US" w:eastAsia="zh-CN" w:bidi="ar"/>
              </w:rPr>
              <w:t>年度总体</w:t>
            </w:r>
          </w:p>
          <w:p w14:paraId="4335A44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目标</w:t>
            </w:r>
          </w:p>
        </w:tc>
        <w:tc>
          <w:tcPr>
            <w:tcW w:w="9202" w:type="dxa"/>
            <w:gridSpan w:val="8"/>
            <w:tcBorders>
              <w:top w:val="single" w:color="000000" w:sz="4" w:space="0"/>
              <w:left w:val="nil"/>
              <w:bottom w:val="single" w:color="000000" w:sz="4" w:space="0"/>
              <w:right w:val="single" w:color="000000" w:sz="4" w:space="0"/>
            </w:tcBorders>
            <w:shd w:val="clear" w:color="auto" w:fill="auto"/>
            <w:vAlign w:val="center"/>
          </w:tcPr>
          <w:p w14:paraId="7AD4C188">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1.按照相关政策，保障工资及时、足额发放；</w:t>
            </w:r>
          </w:p>
          <w:p w14:paraId="4EE72695">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2.按照相关规定，提高预算编制质量，严格执行预算；</w:t>
            </w:r>
          </w:p>
          <w:p w14:paraId="31DC4BE6">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3.做好单位日常运转保障；</w:t>
            </w:r>
          </w:p>
          <w:p w14:paraId="4C96081C">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4.做好宣传文化事业工作的相关保障。</w:t>
            </w:r>
          </w:p>
        </w:tc>
      </w:tr>
      <w:tr w14:paraId="61D9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0D5D5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rPr>
            </w:pPr>
            <w:r>
              <w:rPr>
                <w:rFonts w:hint="default" w:ascii="Times New Roman" w:hAnsi="Times New Roman" w:eastAsia="仿宋_GB2312" w:cs="Times New Roman"/>
                <w:i w:val="0"/>
                <w:color w:val="000000"/>
                <w:kern w:val="0"/>
                <w:sz w:val="21"/>
                <w:szCs w:val="21"/>
                <w:lang w:val="en-US" w:eastAsia="zh-CN" w:bidi="ar"/>
              </w:rPr>
              <w:t>年度主要</w:t>
            </w:r>
          </w:p>
          <w:p w14:paraId="1C83ABE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任务</w:t>
            </w:r>
          </w:p>
        </w:tc>
        <w:tc>
          <w:tcPr>
            <w:tcW w:w="179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8DDB96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任务名称</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3DEEC73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主要内容</w:t>
            </w:r>
          </w:p>
        </w:tc>
      </w:tr>
      <w:tr w14:paraId="0EDA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DC173">
            <w:pPr>
              <w:keepNext w:val="0"/>
              <w:keepLines w:val="0"/>
              <w:suppressLineNumbers w:val="0"/>
              <w:spacing w:before="0" w:beforeAutospacing="0" w:after="0" w:afterAutospacing="0"/>
              <w:ind w:left="0" w:right="0"/>
              <w:rPr>
                <w:rFonts w:hint="default" w:ascii="Times New Roman" w:hAnsi="Times New Roman" w:eastAsia="仿宋_GB2312" w:cs="Times New Roman"/>
                <w:sz w:val="21"/>
                <w:szCs w:val="21"/>
              </w:rPr>
            </w:pPr>
          </w:p>
        </w:tc>
        <w:tc>
          <w:tcPr>
            <w:tcW w:w="179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B39D455">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工资性支出</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30D01A3C">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严格执行相关政策，保障工资及时发放、足额发放，预算编制科学合理，减少结余资金</w:t>
            </w:r>
          </w:p>
        </w:tc>
      </w:tr>
      <w:tr w14:paraId="5992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684"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3956A">
            <w:pPr>
              <w:keepNext w:val="0"/>
              <w:keepLines w:val="0"/>
              <w:suppressLineNumbers w:val="0"/>
              <w:spacing w:before="0" w:beforeAutospacing="0" w:after="0" w:afterAutospacing="0"/>
              <w:ind w:left="0" w:right="0"/>
              <w:rPr>
                <w:rFonts w:hint="default" w:ascii="Times New Roman" w:hAnsi="Times New Roman" w:eastAsia="仿宋_GB2312" w:cs="Times New Roman"/>
                <w:sz w:val="21"/>
                <w:szCs w:val="21"/>
              </w:rPr>
            </w:pPr>
          </w:p>
        </w:tc>
        <w:tc>
          <w:tcPr>
            <w:tcW w:w="179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1B2B687">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社会保障费</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191EC40A">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严格执行相关政策，保障五险的足</w:t>
            </w:r>
            <w:r>
              <w:rPr>
                <w:rFonts w:hint="eastAsia" w:cs="Times New Roman"/>
                <w:i w:val="0"/>
                <w:color w:val="000000"/>
                <w:kern w:val="0"/>
                <w:sz w:val="21"/>
                <w:szCs w:val="21"/>
                <w:lang w:val="en-US" w:eastAsia="zh-CN" w:bidi="ar"/>
              </w:rPr>
              <w:t>额</w:t>
            </w:r>
            <w:r>
              <w:rPr>
                <w:rFonts w:hint="default" w:ascii="Times New Roman" w:hAnsi="Times New Roman" w:eastAsia="仿宋_GB2312" w:cs="Times New Roman"/>
                <w:i w:val="0"/>
                <w:color w:val="000000"/>
                <w:kern w:val="0"/>
                <w:sz w:val="21"/>
                <w:szCs w:val="21"/>
                <w:lang w:val="en-US" w:eastAsia="zh-CN" w:bidi="ar"/>
              </w:rPr>
              <w:t>缴纳，预算编制科学合理，减少结余资金</w:t>
            </w:r>
          </w:p>
        </w:tc>
      </w:tr>
      <w:tr w14:paraId="4722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A01E3">
            <w:pPr>
              <w:keepNext w:val="0"/>
              <w:keepLines w:val="0"/>
              <w:suppressLineNumbers w:val="0"/>
              <w:spacing w:before="0" w:beforeAutospacing="0" w:after="0" w:afterAutospacing="0"/>
              <w:ind w:left="0" w:right="0"/>
              <w:rPr>
                <w:rFonts w:hint="default" w:ascii="Times New Roman" w:hAnsi="Times New Roman" w:eastAsia="仿宋_GB2312" w:cs="Times New Roman"/>
                <w:sz w:val="21"/>
                <w:szCs w:val="21"/>
              </w:rPr>
            </w:pPr>
          </w:p>
        </w:tc>
        <w:tc>
          <w:tcPr>
            <w:tcW w:w="179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FCA2300">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日常公用经费支出</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12FF5BDF">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严格执行相关政策，保障单位日常工作正常运行，预算编制科学合理，减少结余资金</w:t>
            </w:r>
          </w:p>
        </w:tc>
      </w:tr>
      <w:tr w14:paraId="3314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D9FE6">
            <w:pPr>
              <w:keepNext w:val="0"/>
              <w:keepLines w:val="0"/>
              <w:suppressLineNumbers w:val="0"/>
              <w:spacing w:before="0" w:beforeAutospacing="0" w:after="0" w:afterAutospacing="0"/>
              <w:ind w:left="0" w:right="0"/>
              <w:rPr>
                <w:rFonts w:hint="default" w:ascii="Times New Roman" w:hAnsi="Times New Roman" w:eastAsia="仿宋_GB2312" w:cs="Times New Roman"/>
                <w:sz w:val="21"/>
                <w:szCs w:val="21"/>
              </w:rPr>
            </w:pPr>
          </w:p>
        </w:tc>
        <w:tc>
          <w:tcPr>
            <w:tcW w:w="179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7BE50D5">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项目支出</w:t>
            </w:r>
          </w:p>
        </w:tc>
        <w:tc>
          <w:tcPr>
            <w:tcW w:w="7410" w:type="dxa"/>
            <w:gridSpan w:val="6"/>
            <w:tcBorders>
              <w:top w:val="single" w:color="000000" w:sz="4" w:space="0"/>
              <w:left w:val="nil"/>
              <w:bottom w:val="single" w:color="000000" w:sz="4" w:space="0"/>
              <w:right w:val="single" w:color="000000" w:sz="4" w:space="0"/>
            </w:tcBorders>
            <w:shd w:val="clear" w:color="auto" w:fill="auto"/>
            <w:vAlign w:val="center"/>
          </w:tcPr>
          <w:p w14:paraId="5A123478">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严格执行相关政策，保障单位外宣、精神文明、理论学习、出版物和电影放映、文联等工作的正常运行，预算编制科学合理，减少结余资金</w:t>
            </w:r>
          </w:p>
        </w:tc>
      </w:tr>
      <w:tr w14:paraId="78C6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264AE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年度绩效</w:t>
            </w:r>
          </w:p>
          <w:p w14:paraId="4AE0710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指标</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E6E9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一级指标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A14B96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二级指标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382F420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三级指标</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7B9728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rPr>
            </w:pPr>
            <w:r>
              <w:rPr>
                <w:rFonts w:hint="default" w:ascii="Times New Roman" w:hAnsi="Times New Roman" w:eastAsia="仿宋_GB2312" w:cs="Times New Roman"/>
                <w:i w:val="0"/>
                <w:color w:val="000000"/>
                <w:kern w:val="0"/>
                <w:sz w:val="21"/>
                <w:szCs w:val="21"/>
                <w:lang w:val="en-US" w:eastAsia="zh-CN" w:bidi="ar"/>
              </w:rPr>
              <w:t>绩效指标</w:t>
            </w:r>
          </w:p>
          <w:p w14:paraId="7A3222D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性质</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4D270F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绩效指标值</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2E79D68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绩效度量单位</w:t>
            </w:r>
          </w:p>
        </w:tc>
        <w:tc>
          <w:tcPr>
            <w:tcW w:w="921" w:type="dxa"/>
            <w:tcBorders>
              <w:top w:val="single" w:color="000000" w:sz="4" w:space="0"/>
              <w:left w:val="nil"/>
              <w:bottom w:val="single" w:color="000000" w:sz="4" w:space="0"/>
              <w:right w:val="nil"/>
            </w:tcBorders>
            <w:shd w:val="clear" w:color="auto" w:fill="auto"/>
            <w:vAlign w:val="center"/>
          </w:tcPr>
          <w:p w14:paraId="1564F3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权重（%）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E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highlight w:val="none"/>
              </w:rPr>
            </w:pPr>
            <w:r>
              <w:rPr>
                <w:rFonts w:hint="default" w:ascii="Times New Roman" w:hAnsi="Times New Roman" w:eastAsia="仿宋_GB2312" w:cs="Times New Roman"/>
                <w:i w:val="0"/>
                <w:color w:val="000000"/>
                <w:kern w:val="0"/>
                <w:sz w:val="21"/>
                <w:szCs w:val="21"/>
                <w:highlight w:val="none"/>
                <w:lang w:val="en-US" w:eastAsia="zh-CN" w:bidi="ar"/>
              </w:rPr>
              <w:t>实际完成</w:t>
            </w:r>
          </w:p>
          <w:p w14:paraId="39F8B1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highlight w:val="none"/>
                <w:lang w:val="en-US" w:eastAsia="zh-CN" w:bidi="ar"/>
              </w:rPr>
              <w:t>指标值</w:t>
            </w:r>
          </w:p>
        </w:tc>
        <w:tc>
          <w:tcPr>
            <w:tcW w:w="90" w:type="dxa"/>
            <w:shd w:val="clear" w:color="auto" w:fill="auto"/>
            <w:vAlign w:val="center"/>
          </w:tcPr>
          <w:p w14:paraId="6FF0527F">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19D7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DAFAB">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765" w:type="dxa"/>
            <w:vMerge w:val="restart"/>
            <w:tcBorders>
              <w:top w:val="nil"/>
              <w:left w:val="single" w:color="auto" w:sz="4" w:space="0"/>
              <w:bottom w:val="single" w:color="000000" w:sz="4" w:space="0"/>
              <w:right w:val="single" w:color="000000" w:sz="4" w:space="0"/>
            </w:tcBorders>
            <w:shd w:val="clear" w:color="auto" w:fill="auto"/>
            <w:vAlign w:val="center"/>
          </w:tcPr>
          <w:p w14:paraId="414D6F9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产出指标</w:t>
            </w:r>
          </w:p>
        </w:tc>
        <w:tc>
          <w:tcPr>
            <w:tcW w:w="1027" w:type="dxa"/>
            <w:tcBorders>
              <w:top w:val="nil"/>
              <w:left w:val="nil"/>
              <w:right w:val="single" w:color="000000" w:sz="4" w:space="0"/>
            </w:tcBorders>
            <w:shd w:val="clear" w:color="auto" w:fill="auto"/>
            <w:vAlign w:val="center"/>
          </w:tcPr>
          <w:p w14:paraId="0FC926C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数量指标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26A10D6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保障各项资金足额发放</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4A549E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FA225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18C9AB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21" w:type="dxa"/>
            <w:tcBorders>
              <w:top w:val="single" w:color="000000" w:sz="4" w:space="0"/>
              <w:left w:val="nil"/>
              <w:bottom w:val="single" w:color="000000" w:sz="4" w:space="0"/>
              <w:right w:val="single" w:color="000000" w:sz="4" w:space="0"/>
            </w:tcBorders>
            <w:shd w:val="clear" w:color="auto" w:fill="auto"/>
            <w:vAlign w:val="center"/>
          </w:tcPr>
          <w:p w14:paraId="40EAA5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108" w:type="dxa"/>
            <w:tcBorders>
              <w:top w:val="nil"/>
              <w:left w:val="nil"/>
              <w:bottom w:val="single" w:color="000000" w:sz="4" w:space="0"/>
              <w:right w:val="single" w:color="000000" w:sz="4" w:space="0"/>
            </w:tcBorders>
            <w:shd w:val="clear" w:color="auto" w:fill="auto"/>
            <w:vAlign w:val="center"/>
          </w:tcPr>
          <w:p w14:paraId="4AC1BE6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eastAsia="zh-CN"/>
              </w:rPr>
            </w:pPr>
            <w:r>
              <w:rPr>
                <w:rFonts w:hint="default" w:ascii="Times New Roman" w:hAnsi="Times New Roman" w:eastAsia="仿宋_GB2312" w:cs="Times New Roman"/>
                <w:i w:val="0"/>
                <w:color w:val="000000"/>
                <w:kern w:val="2"/>
                <w:sz w:val="21"/>
                <w:szCs w:val="21"/>
                <w:lang w:val="en-US" w:eastAsia="zh-CN"/>
              </w:rPr>
              <w:t>100%</w:t>
            </w:r>
          </w:p>
        </w:tc>
        <w:tc>
          <w:tcPr>
            <w:tcW w:w="90" w:type="dxa"/>
            <w:shd w:val="clear" w:color="auto" w:fill="auto"/>
            <w:vAlign w:val="center"/>
          </w:tcPr>
          <w:p w14:paraId="72338CC2">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4AD7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1F43">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765" w:type="dxa"/>
            <w:vMerge w:val="continue"/>
            <w:tcBorders>
              <w:top w:val="nil"/>
              <w:left w:val="single" w:color="auto" w:sz="4" w:space="0"/>
              <w:bottom w:val="single" w:color="000000" w:sz="4" w:space="0"/>
              <w:right w:val="single" w:color="000000" w:sz="4" w:space="0"/>
            </w:tcBorders>
            <w:shd w:val="clear" w:color="auto" w:fill="auto"/>
            <w:vAlign w:val="center"/>
          </w:tcPr>
          <w:p w14:paraId="5418AF9A">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34900F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质量指标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7E99AF6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预算编制科学合理，保障工作高质量推进</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28E6DF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84DC0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29F9C2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21" w:type="dxa"/>
            <w:tcBorders>
              <w:top w:val="single" w:color="000000" w:sz="4" w:space="0"/>
              <w:left w:val="nil"/>
              <w:bottom w:val="single" w:color="000000" w:sz="4" w:space="0"/>
              <w:right w:val="single" w:color="000000" w:sz="4" w:space="0"/>
            </w:tcBorders>
            <w:shd w:val="clear" w:color="auto" w:fill="auto"/>
            <w:vAlign w:val="center"/>
          </w:tcPr>
          <w:p w14:paraId="735A92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25F1DC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eastAsia="zh-CN"/>
              </w:rPr>
            </w:pPr>
            <w:r>
              <w:rPr>
                <w:rFonts w:hint="default" w:ascii="Times New Roman" w:hAnsi="Times New Roman" w:eastAsia="仿宋_GB2312" w:cs="Times New Roman"/>
                <w:i w:val="0"/>
                <w:color w:val="000000"/>
                <w:kern w:val="2"/>
                <w:sz w:val="21"/>
                <w:szCs w:val="21"/>
                <w:lang w:val="en-US" w:eastAsia="zh-CN"/>
              </w:rPr>
              <w:t>100%</w:t>
            </w:r>
          </w:p>
        </w:tc>
        <w:tc>
          <w:tcPr>
            <w:tcW w:w="90" w:type="dxa"/>
            <w:shd w:val="clear" w:color="auto" w:fill="auto"/>
            <w:vAlign w:val="center"/>
          </w:tcPr>
          <w:p w14:paraId="765F23FA">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1824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1713E">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765" w:type="dxa"/>
            <w:vMerge w:val="continue"/>
            <w:tcBorders>
              <w:top w:val="nil"/>
              <w:left w:val="single" w:color="auto" w:sz="4" w:space="0"/>
              <w:bottom w:val="single" w:color="000000" w:sz="4" w:space="0"/>
              <w:right w:val="single" w:color="000000" w:sz="4" w:space="0"/>
            </w:tcBorders>
            <w:shd w:val="clear" w:color="auto" w:fill="auto"/>
            <w:vAlign w:val="center"/>
          </w:tcPr>
          <w:p w14:paraId="23730F96">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4FD0E1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时效指标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0657CB3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按时完成资金支付</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3CD2B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5422A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02234E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21" w:type="dxa"/>
            <w:tcBorders>
              <w:top w:val="single" w:color="000000" w:sz="4" w:space="0"/>
              <w:left w:val="nil"/>
              <w:bottom w:val="single" w:color="000000" w:sz="4" w:space="0"/>
              <w:right w:val="single" w:color="000000" w:sz="4" w:space="0"/>
            </w:tcBorders>
            <w:shd w:val="clear" w:color="auto" w:fill="auto"/>
            <w:vAlign w:val="center"/>
          </w:tcPr>
          <w:p w14:paraId="640900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7C244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eastAsia="zh-CN"/>
              </w:rPr>
            </w:pPr>
            <w:r>
              <w:rPr>
                <w:rFonts w:hint="default" w:ascii="Times New Roman" w:hAnsi="Times New Roman" w:eastAsia="仿宋_GB2312" w:cs="Times New Roman"/>
                <w:i w:val="0"/>
                <w:color w:val="000000"/>
                <w:kern w:val="2"/>
                <w:sz w:val="21"/>
                <w:szCs w:val="21"/>
                <w:lang w:val="en-US" w:eastAsia="zh-CN"/>
              </w:rPr>
              <w:t>100%</w:t>
            </w:r>
          </w:p>
        </w:tc>
        <w:tc>
          <w:tcPr>
            <w:tcW w:w="90" w:type="dxa"/>
            <w:shd w:val="clear" w:color="auto" w:fill="auto"/>
            <w:vAlign w:val="center"/>
          </w:tcPr>
          <w:p w14:paraId="17BF7195">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74CC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21413">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765" w:type="dxa"/>
            <w:tcBorders>
              <w:top w:val="nil"/>
              <w:left w:val="single" w:color="auto" w:sz="4" w:space="0"/>
              <w:bottom w:val="single" w:color="000000" w:sz="4" w:space="0"/>
              <w:right w:val="single" w:color="000000" w:sz="4" w:space="0"/>
            </w:tcBorders>
            <w:shd w:val="clear" w:color="auto" w:fill="auto"/>
            <w:vAlign w:val="center"/>
          </w:tcPr>
          <w:p w14:paraId="1D46AF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效益指标</w:t>
            </w:r>
          </w:p>
        </w:tc>
        <w:tc>
          <w:tcPr>
            <w:tcW w:w="1027" w:type="dxa"/>
            <w:tcBorders>
              <w:top w:val="nil"/>
              <w:left w:val="nil"/>
              <w:bottom w:val="nil"/>
              <w:right w:val="single" w:color="000000" w:sz="4" w:space="0"/>
            </w:tcBorders>
            <w:shd w:val="clear" w:color="auto" w:fill="auto"/>
            <w:vAlign w:val="center"/>
          </w:tcPr>
          <w:p w14:paraId="24769F7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rPr>
            </w:pPr>
            <w:r>
              <w:rPr>
                <w:rFonts w:hint="default" w:ascii="Times New Roman" w:hAnsi="Times New Roman" w:eastAsia="仿宋_GB2312" w:cs="Times New Roman"/>
                <w:i w:val="0"/>
                <w:color w:val="000000"/>
                <w:kern w:val="0"/>
                <w:sz w:val="21"/>
                <w:szCs w:val="21"/>
                <w:lang w:val="en-US" w:eastAsia="zh-CN" w:bidi="ar"/>
              </w:rPr>
              <w:t>社会效益</w:t>
            </w:r>
          </w:p>
          <w:p w14:paraId="0F87A9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2265421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保障宣传文化事业稳步发展</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2D9B6E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BE658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671DD9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21" w:type="dxa"/>
            <w:tcBorders>
              <w:top w:val="single" w:color="000000" w:sz="4" w:space="0"/>
              <w:left w:val="nil"/>
              <w:bottom w:val="single" w:color="000000" w:sz="4" w:space="0"/>
              <w:right w:val="single" w:color="000000" w:sz="4" w:space="0"/>
            </w:tcBorders>
            <w:shd w:val="clear" w:color="auto" w:fill="auto"/>
            <w:vAlign w:val="center"/>
          </w:tcPr>
          <w:p w14:paraId="1240E5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685A8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eastAsia="zh-CN"/>
              </w:rPr>
            </w:pPr>
            <w:r>
              <w:rPr>
                <w:rFonts w:hint="default" w:ascii="Times New Roman" w:hAnsi="Times New Roman" w:eastAsia="仿宋_GB2312" w:cs="Times New Roman"/>
                <w:i w:val="0"/>
                <w:color w:val="000000"/>
                <w:kern w:val="2"/>
                <w:sz w:val="21"/>
                <w:szCs w:val="21"/>
                <w:lang w:val="en-US" w:eastAsia="zh-CN"/>
              </w:rPr>
              <w:t>100%</w:t>
            </w:r>
          </w:p>
        </w:tc>
        <w:tc>
          <w:tcPr>
            <w:tcW w:w="90" w:type="dxa"/>
            <w:shd w:val="clear" w:color="auto" w:fill="auto"/>
            <w:vAlign w:val="center"/>
          </w:tcPr>
          <w:p w14:paraId="6BEC45A6">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r w14:paraId="1CE5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13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586CE">
            <w:pPr>
              <w:keepNext w:val="0"/>
              <w:keepLines w:val="0"/>
              <w:suppressLineNumbers w:val="0"/>
              <w:spacing w:before="0" w:beforeAutospacing="0" w:after="0" w:afterAutospacing="0"/>
              <w:ind w:left="0" w:right="0"/>
              <w:rPr>
                <w:rFonts w:hint="default" w:ascii="Times New Roman" w:hAnsi="Times New Roman" w:eastAsia="仿宋_GB2312" w:cs="Times New Roman"/>
                <w:i w:val="0"/>
                <w:color w:val="000000"/>
                <w:kern w:val="0"/>
                <w:sz w:val="21"/>
                <w:szCs w:val="21"/>
                <w:lang w:val="en-US" w:eastAsia="zh-CN" w:bidi="ar"/>
              </w:rPr>
            </w:pP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14:paraId="2DAC9EC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lang w:val="en-US" w:eastAsia="zh-CN" w:bidi="ar"/>
              </w:rPr>
              <w:t>满意度指标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10106B1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rPr>
            </w:pPr>
            <w:r>
              <w:rPr>
                <w:rFonts w:hint="default" w:ascii="Times New Roman" w:hAnsi="Times New Roman" w:eastAsia="仿宋_GB2312" w:cs="Times New Roman"/>
                <w:i w:val="0"/>
                <w:color w:val="000000"/>
                <w:kern w:val="0"/>
                <w:sz w:val="21"/>
                <w:szCs w:val="21"/>
                <w:lang w:val="en-US" w:eastAsia="zh-CN" w:bidi="ar"/>
              </w:rPr>
              <w:t>满意度指标</w:t>
            </w:r>
          </w:p>
        </w:tc>
        <w:tc>
          <w:tcPr>
            <w:tcW w:w="2355" w:type="dxa"/>
            <w:tcBorders>
              <w:top w:val="single" w:color="000000" w:sz="4" w:space="0"/>
              <w:left w:val="nil"/>
              <w:bottom w:val="single" w:color="000000" w:sz="4" w:space="0"/>
              <w:right w:val="single" w:color="000000" w:sz="4" w:space="0"/>
            </w:tcBorders>
            <w:shd w:val="clear" w:color="auto" w:fill="auto"/>
            <w:vAlign w:val="center"/>
          </w:tcPr>
          <w:p w14:paraId="0B0C93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满意度</w:t>
            </w:r>
          </w:p>
        </w:tc>
        <w:tc>
          <w:tcPr>
            <w:tcW w:w="692" w:type="dxa"/>
            <w:tcBorders>
              <w:top w:val="single" w:color="000000" w:sz="4" w:space="0"/>
              <w:left w:val="nil"/>
              <w:bottom w:val="single" w:color="000000" w:sz="4" w:space="0"/>
              <w:right w:val="single" w:color="000000" w:sz="4" w:space="0"/>
            </w:tcBorders>
            <w:shd w:val="clear" w:color="auto" w:fill="auto"/>
            <w:vAlign w:val="center"/>
          </w:tcPr>
          <w:p w14:paraId="216AB7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7966A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52" w:type="dxa"/>
            <w:tcBorders>
              <w:top w:val="single" w:color="000000" w:sz="4" w:space="0"/>
              <w:left w:val="nil"/>
              <w:bottom w:val="single" w:color="000000" w:sz="4" w:space="0"/>
              <w:right w:val="single" w:color="000000" w:sz="4" w:space="0"/>
            </w:tcBorders>
            <w:shd w:val="clear" w:color="auto" w:fill="auto"/>
            <w:vAlign w:val="center"/>
          </w:tcPr>
          <w:p w14:paraId="72F7C2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21" w:type="dxa"/>
            <w:tcBorders>
              <w:top w:val="single" w:color="000000" w:sz="4" w:space="0"/>
              <w:left w:val="nil"/>
              <w:bottom w:val="single" w:color="000000" w:sz="4" w:space="0"/>
              <w:right w:val="single" w:color="000000" w:sz="4" w:space="0"/>
            </w:tcBorders>
            <w:shd w:val="clear" w:color="auto" w:fill="auto"/>
            <w:vAlign w:val="center"/>
          </w:tcPr>
          <w:p w14:paraId="0C2A13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color w:val="000000"/>
                <w:kern w:val="0"/>
                <w:sz w:val="21"/>
                <w:szCs w:val="21"/>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AD9FC4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仿宋_GB2312" w:cs="Times New Roman"/>
                <w:i w:val="0"/>
                <w:color w:val="000000"/>
                <w:kern w:val="2"/>
                <w:sz w:val="21"/>
                <w:szCs w:val="21"/>
                <w:lang w:val="en-US" w:eastAsia="zh-CN"/>
              </w:rPr>
            </w:pPr>
            <w:r>
              <w:rPr>
                <w:rFonts w:hint="default" w:ascii="Times New Roman" w:hAnsi="Times New Roman" w:eastAsia="仿宋_GB2312" w:cs="Times New Roman"/>
                <w:i w:val="0"/>
                <w:color w:val="000000"/>
                <w:kern w:val="2"/>
                <w:sz w:val="21"/>
                <w:szCs w:val="21"/>
                <w:lang w:val="en-US" w:eastAsia="zh-CN"/>
              </w:rPr>
              <w:t>100%</w:t>
            </w:r>
          </w:p>
        </w:tc>
        <w:tc>
          <w:tcPr>
            <w:tcW w:w="90" w:type="dxa"/>
            <w:shd w:val="clear" w:color="auto" w:fill="auto"/>
            <w:vAlign w:val="center"/>
          </w:tcPr>
          <w:p w14:paraId="15157BB6">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r>
    </w:tbl>
    <w:p w14:paraId="5E19255F">
      <w:pPr>
        <w:spacing w:line="600" w:lineRule="exact"/>
        <w:ind w:firstLine="880" w:firstLineChars="200"/>
        <w:jc w:val="both"/>
        <w:outlineLvl w:val="0"/>
        <w:rPr>
          <w:rStyle w:val="29"/>
          <w:rFonts w:ascii="黑体" w:hAnsi="黑体" w:eastAsia="黑体"/>
          <w:b w:val="0"/>
        </w:rPr>
      </w:pPr>
    </w:p>
    <w:p w14:paraId="700C62A0">
      <w:pPr>
        <w:pStyle w:val="15"/>
        <w:rPr>
          <w:rStyle w:val="29"/>
          <w:rFonts w:ascii="黑体" w:hAnsi="黑体" w:eastAsia="黑体"/>
          <w:b w:val="0"/>
        </w:rPr>
      </w:pPr>
    </w:p>
    <w:p w14:paraId="57278197">
      <w:pPr>
        <w:pStyle w:val="15"/>
        <w:ind w:left="0" w:leftChars="0" w:firstLine="0" w:firstLineChars="0"/>
        <w:rPr>
          <w:rStyle w:val="29"/>
          <w:rFonts w:ascii="黑体" w:hAnsi="黑体" w:eastAsia="黑体"/>
          <w:b w:val="0"/>
        </w:rPr>
      </w:pPr>
    </w:p>
    <w:p w14:paraId="505EF1CC"/>
    <w:p w14:paraId="301B1A3D">
      <w:pPr>
        <w:spacing w:line="600" w:lineRule="exact"/>
        <w:jc w:val="center"/>
        <w:outlineLvl w:val="0"/>
        <w:rPr>
          <w:rStyle w:val="29"/>
          <w:rFonts w:ascii="黑体" w:hAnsi="黑体" w:eastAsia="黑体"/>
          <w:b w:val="0"/>
        </w:rPr>
      </w:pPr>
      <w:bookmarkStart w:id="60" w:name="_Toc15396618"/>
      <w:r>
        <w:rPr>
          <w:rFonts w:hint="eastAsia" w:ascii="黑体" w:hAnsi="黑体" w:eastAsia="黑体"/>
          <w:color w:val="000000"/>
          <w:sz w:val="44"/>
          <w:szCs w:val="44"/>
        </w:rPr>
        <w:t>第</w:t>
      </w:r>
      <w:r>
        <w:rPr>
          <w:rStyle w:val="29"/>
          <w:rFonts w:hint="eastAsia" w:ascii="黑体" w:hAnsi="黑体" w:eastAsia="黑体"/>
          <w:b w:val="0"/>
        </w:rPr>
        <w:t>五部分 附表</w:t>
      </w:r>
      <w:bookmarkEnd w:id="58"/>
      <w:bookmarkEnd w:id="60"/>
    </w:p>
    <w:p w14:paraId="7940DFE0">
      <w:pPr>
        <w:spacing w:line="600" w:lineRule="exact"/>
        <w:jc w:val="center"/>
        <w:outlineLvl w:val="0"/>
        <w:rPr>
          <w:rFonts w:ascii="仿宋" w:hAnsi="仿宋" w:eastAsia="仿宋"/>
          <w:b/>
          <w:color w:val="000000"/>
          <w:sz w:val="44"/>
          <w:szCs w:val="44"/>
        </w:rPr>
      </w:pPr>
    </w:p>
    <w:p w14:paraId="6D95792C">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61"/>
    </w:p>
    <w:p w14:paraId="2FA3516E">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62"/>
    </w:p>
    <w:p w14:paraId="71660773">
      <w:pPr>
        <w:pStyle w:val="3"/>
        <w:rPr>
          <w:rFonts w:ascii="仿宋" w:hAnsi="仿宋" w:eastAsia="仿宋"/>
          <w:color w:val="000000"/>
        </w:rPr>
      </w:pPr>
      <w:bookmarkStart w:id="63"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63"/>
    </w:p>
    <w:p w14:paraId="5DD950F2">
      <w:pPr>
        <w:pStyle w:val="3"/>
        <w:rPr>
          <w:rFonts w:ascii="仿宋" w:hAnsi="仿宋" w:eastAsia="仿宋"/>
          <w:b w:val="0"/>
          <w:color w:val="000000"/>
        </w:rPr>
      </w:pPr>
      <w:bookmarkStart w:id="64"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64"/>
    </w:p>
    <w:p w14:paraId="104C615B">
      <w:pPr>
        <w:pStyle w:val="3"/>
        <w:rPr>
          <w:rStyle w:val="30"/>
          <w:rFonts w:ascii="仿宋" w:hAnsi="仿宋" w:eastAsia="仿宋"/>
          <w:b w:val="0"/>
          <w:bCs w:val="0"/>
        </w:rPr>
      </w:pPr>
      <w:bookmarkStart w:id="65"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65"/>
      <w:bookmarkStart w:id="66" w:name="_Toc15396624"/>
    </w:p>
    <w:p w14:paraId="058EDE46">
      <w:pPr>
        <w:pStyle w:val="3"/>
        <w:rPr>
          <w:rFonts w:ascii="仿宋" w:hAnsi="仿宋" w:eastAsia="仿宋"/>
          <w:color w:val="000000"/>
        </w:rPr>
      </w:pPr>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66"/>
    </w:p>
    <w:p w14:paraId="564B4FBF">
      <w:pPr>
        <w:pStyle w:val="3"/>
        <w:rPr>
          <w:rFonts w:ascii="仿宋" w:hAnsi="仿宋" w:eastAsia="仿宋"/>
          <w:color w:val="000000"/>
        </w:rPr>
      </w:pPr>
      <w:bookmarkStart w:id="67"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67"/>
    </w:p>
    <w:p w14:paraId="11AE67DE">
      <w:pPr>
        <w:pStyle w:val="3"/>
        <w:rPr>
          <w:rFonts w:ascii="仿宋" w:hAnsi="仿宋" w:eastAsia="仿宋"/>
          <w:color w:val="000000"/>
        </w:rPr>
      </w:pPr>
      <w:bookmarkStart w:id="68"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68"/>
    </w:p>
    <w:p w14:paraId="68F3A52E">
      <w:pPr>
        <w:pStyle w:val="3"/>
        <w:rPr>
          <w:rFonts w:ascii="仿宋" w:hAnsi="仿宋" w:eastAsia="仿宋"/>
          <w:color w:val="000000"/>
        </w:rPr>
      </w:pPr>
      <w:bookmarkStart w:id="69"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69"/>
    </w:p>
    <w:p w14:paraId="3A3D8276">
      <w:pPr>
        <w:pStyle w:val="3"/>
        <w:rPr>
          <w:rFonts w:ascii="仿宋" w:hAnsi="仿宋" w:eastAsia="仿宋"/>
          <w:color w:val="000000"/>
        </w:rPr>
      </w:pPr>
      <w:bookmarkStart w:id="70"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70"/>
    </w:p>
    <w:p w14:paraId="42DD34C6">
      <w:pPr>
        <w:pStyle w:val="3"/>
        <w:rPr>
          <w:rFonts w:ascii="仿宋" w:hAnsi="仿宋" w:eastAsia="仿宋"/>
          <w:color w:val="000000"/>
        </w:rPr>
      </w:pPr>
      <w:bookmarkStart w:id="71"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71"/>
    </w:p>
    <w:p w14:paraId="2B0326CE">
      <w:pPr>
        <w:pStyle w:val="3"/>
        <w:rPr>
          <w:rFonts w:ascii="仿宋" w:hAnsi="仿宋" w:eastAsia="仿宋"/>
          <w:color w:val="000000"/>
        </w:rPr>
      </w:pPr>
      <w:bookmarkStart w:id="72"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72"/>
    </w:p>
    <w:p w14:paraId="3B3679D7">
      <w:pPr>
        <w:pStyle w:val="3"/>
        <w:rPr>
          <w:rFonts w:ascii="仿宋" w:hAnsi="仿宋" w:eastAsia="仿宋"/>
          <w:color w:val="000000" w:themeColor="text1"/>
          <w14:textFill>
            <w14:solidFill>
              <w14:schemeClr w14:val="tx1"/>
            </w14:solidFill>
          </w14:textFill>
        </w:rPr>
      </w:pPr>
      <w:bookmarkStart w:id="73"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73"/>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81A28-8D0C-4126-9E01-030A65E9AC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585783-DFAE-48E5-BA49-37672E0333A1}"/>
  </w:font>
  <w:font w:name="Cambria">
    <w:panose1 w:val="02040503050406030204"/>
    <w:charset w:val="00"/>
    <w:family w:val="roman"/>
    <w:pitch w:val="default"/>
    <w:sig w:usb0="E00006FF" w:usb1="420024FF" w:usb2="02000000" w:usb3="00000000" w:csb0="2000019F" w:csb1="00000000"/>
    <w:embedRegular r:id="rId3" w:fontKey="{6228039F-8221-4EE4-89CA-9F12CAE6660E}"/>
  </w:font>
  <w:font w:name="仿宋_GB2312">
    <w:panose1 w:val="02010609030101010101"/>
    <w:charset w:val="86"/>
    <w:family w:val="modern"/>
    <w:pitch w:val="default"/>
    <w:sig w:usb0="00000001" w:usb1="080E0000" w:usb2="00000000" w:usb3="00000000" w:csb0="00040000" w:csb1="00000000"/>
    <w:embedRegular r:id="rId4" w:fontKey="{AECCDA39-C083-4C63-8AEB-43DFD35147CC}"/>
  </w:font>
  <w:font w:name="仿宋">
    <w:panose1 w:val="02010609060101010101"/>
    <w:charset w:val="86"/>
    <w:family w:val="modern"/>
    <w:pitch w:val="default"/>
    <w:sig w:usb0="800002BF" w:usb1="38CF7CFA" w:usb2="00000016" w:usb3="00000000" w:csb0="00040001" w:csb1="00000000"/>
    <w:embedRegular r:id="rId5" w:fontKey="{6AC7BAEB-3CF9-4FDB-AC24-279E163E9190}"/>
  </w:font>
  <w:font w:name="方正小标宋简体">
    <w:panose1 w:val="02010600010101010101"/>
    <w:charset w:val="86"/>
    <w:family w:val="script"/>
    <w:pitch w:val="default"/>
    <w:sig w:usb0="00000001" w:usb1="080E0000" w:usb2="00000000" w:usb3="00000000" w:csb0="00040000" w:csb1="00000000"/>
    <w:embedRegular r:id="rId6" w:fontKey="{B7C06C3F-1F05-4D4A-82F7-C6AD7030DCD6}"/>
  </w:font>
  <w:font w:name="楷体_GB2312">
    <w:panose1 w:val="02010609030101010101"/>
    <w:charset w:val="86"/>
    <w:family w:val="modern"/>
    <w:pitch w:val="default"/>
    <w:sig w:usb0="00000001" w:usb1="080E0000" w:usb2="00000000" w:usb3="00000000" w:csb0="00040000" w:csb1="00000000"/>
    <w:embedRegular r:id="rId7" w:fontKey="{F65FB70B-20D1-46EC-BC43-16DE1A5D24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5E6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F011B">
                          <w:pPr>
                            <w:pStyle w:val="9"/>
                            <w:ind w:right="296"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4798CA9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7F011B">
                    <w:pPr>
                      <w:pStyle w:val="9"/>
                      <w:ind w:right="296"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4798CA9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8DB9178">
        <w:pPr>
          <w:pStyle w:val="9"/>
          <w:jc w:val="center"/>
        </w:pPr>
        <w:r>
          <w:fldChar w:fldCharType="begin"/>
        </w:r>
        <w:r>
          <w:instrText xml:space="preserve">PAGE   \* MERGEFORMAT</w:instrText>
        </w:r>
        <w:r>
          <w:fldChar w:fldCharType="separate"/>
        </w:r>
        <w:r>
          <w:rPr>
            <w:lang w:val="zh-CN"/>
          </w:rPr>
          <w:t>2</w:t>
        </w:r>
        <w:r>
          <w:fldChar w:fldCharType="end"/>
        </w:r>
      </w:p>
    </w:sdtContent>
  </w:sdt>
  <w:p w14:paraId="7F1B5E3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422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697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AAFEC"/>
    <w:multiLevelType w:val="singleLevel"/>
    <w:tmpl w:val="B11AAFEC"/>
    <w:lvl w:ilvl="0" w:tentative="0">
      <w:start w:val="3"/>
      <w:numFmt w:val="decimal"/>
      <w:suff w:val="nothing"/>
      <w:lvlText w:val="（%1）"/>
      <w:lvlJc w:val="left"/>
    </w:lvl>
  </w:abstractNum>
  <w:abstractNum w:abstractNumId="1">
    <w:nsid w:val="B9FE65FE"/>
    <w:multiLevelType w:val="singleLevel"/>
    <w:tmpl w:val="B9FE65FE"/>
    <w:lvl w:ilvl="0" w:tentative="0">
      <w:start w:val="2"/>
      <w:numFmt w:val="chineseCounting"/>
      <w:suff w:val="nothing"/>
      <w:lvlText w:val="（%1）"/>
      <w:lvlJc w:val="left"/>
      <w:rPr>
        <w:rFonts w:hint="eastAsia"/>
      </w:rPr>
    </w:lvl>
  </w:abstractNum>
  <w:abstractNum w:abstractNumId="2">
    <w:nsid w:val="C88E0D83"/>
    <w:multiLevelType w:val="singleLevel"/>
    <w:tmpl w:val="C88E0D83"/>
    <w:lvl w:ilvl="0" w:tentative="0">
      <w:start w:val="3"/>
      <w:numFmt w:val="decimal"/>
      <w:suff w:val="nothing"/>
      <w:lvlText w:val="（%1）"/>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82D233E"/>
    <w:multiLevelType w:val="singleLevel"/>
    <w:tmpl w:val="682D233E"/>
    <w:lvl w:ilvl="0" w:tentative="0">
      <w:start w:val="1"/>
      <w:numFmt w:val="decimal"/>
      <w:lvlText w:val="%1."/>
      <w:lvlJc w:val="left"/>
      <w:pPr>
        <w:tabs>
          <w:tab w:val="left" w:pos="312"/>
        </w:tabs>
      </w:pPr>
    </w:lvl>
  </w:abstractNum>
  <w:abstractNum w:abstractNumId="7">
    <w:nsid w:val="761EAD1A"/>
    <w:multiLevelType w:val="singleLevel"/>
    <w:tmpl w:val="761EAD1A"/>
    <w:lvl w:ilvl="0" w:tentative="0">
      <w:start w:val="2"/>
      <w:numFmt w:val="chineseCounting"/>
      <w:suff w:val="nothing"/>
      <w:lvlText w:val="（%1）"/>
      <w:lvlJc w:val="left"/>
      <w:rPr>
        <w:rFonts w:hint="eastAsia"/>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WZiODg1ZmM1NDIyMzJhYmFmMmVjOTRmNzc2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2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F617AA"/>
    <w:rsid w:val="0E4A2AA3"/>
    <w:rsid w:val="10C055FF"/>
    <w:rsid w:val="16BB723D"/>
    <w:rsid w:val="17434BD3"/>
    <w:rsid w:val="19D2238A"/>
    <w:rsid w:val="1B7F4217"/>
    <w:rsid w:val="1C5B5C20"/>
    <w:rsid w:val="21B84EEA"/>
    <w:rsid w:val="225A0FC0"/>
    <w:rsid w:val="240371BF"/>
    <w:rsid w:val="291B2371"/>
    <w:rsid w:val="29FD04D3"/>
    <w:rsid w:val="2DBC32DC"/>
    <w:rsid w:val="2DD72086"/>
    <w:rsid w:val="319F7F4E"/>
    <w:rsid w:val="33F40A75"/>
    <w:rsid w:val="349C6116"/>
    <w:rsid w:val="36533646"/>
    <w:rsid w:val="39125BFD"/>
    <w:rsid w:val="3F122BD3"/>
    <w:rsid w:val="414B2904"/>
    <w:rsid w:val="41FD52C7"/>
    <w:rsid w:val="49A93150"/>
    <w:rsid w:val="4ECE2238"/>
    <w:rsid w:val="505B6237"/>
    <w:rsid w:val="50DB2E16"/>
    <w:rsid w:val="525A249E"/>
    <w:rsid w:val="52B953E7"/>
    <w:rsid w:val="56A3569B"/>
    <w:rsid w:val="59387D60"/>
    <w:rsid w:val="5D031796"/>
    <w:rsid w:val="62461DE0"/>
    <w:rsid w:val="63217375"/>
    <w:rsid w:val="66AE57C5"/>
    <w:rsid w:val="6C583838"/>
    <w:rsid w:val="6F781425"/>
    <w:rsid w:val="705F2819"/>
    <w:rsid w:val="72734D90"/>
    <w:rsid w:val="728A58AF"/>
    <w:rsid w:val="74826EF3"/>
    <w:rsid w:val="79FF7252"/>
    <w:rsid w:val="7B0141E6"/>
    <w:rsid w:val="7C9A1E59"/>
    <w:rsid w:val="7EDC253F"/>
    <w:rsid w:val="7EEE59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Chars="0" w:firstLine="880" w:firstLineChars="200"/>
    </w:pPr>
    <w:rPr>
      <w:rFonts w:ascii="Times New Roman" w:hAnsi="Times New Roman"/>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6"/>
    <w:unhideWhenUsed/>
    <w:qFormat/>
    <w:uiPriority w:val="99"/>
    <w:pPr>
      <w:ind w:firstLine="420" w:firstLineChars="200"/>
    </w:pPr>
  </w:style>
  <w:style w:type="table" w:styleId="17">
    <w:name w:val="Table Grid"/>
    <w:basedOn w:val="1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字符"/>
    <w:basedOn w:val="18"/>
    <w:link w:val="2"/>
    <w:qFormat/>
    <w:uiPriority w:val="9"/>
    <w:rPr>
      <w:rFonts w:ascii="Times New Roman" w:hAnsi="Times New Roman"/>
      <w:b/>
      <w:bCs/>
      <w:kern w:val="44"/>
      <w:sz w:val="44"/>
      <w:szCs w:val="44"/>
    </w:rPr>
  </w:style>
  <w:style w:type="character" w:customStyle="1" w:styleId="30">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8"/>
    <w:semiHidden/>
    <w:qFormat/>
    <w:uiPriority w:val="99"/>
    <w:rPr>
      <w:rFonts w:ascii="Times New Roman" w:hAnsi="Times New Roman"/>
      <w:kern w:val="2"/>
      <w:sz w:val="18"/>
      <w:szCs w:val="18"/>
    </w:rPr>
  </w:style>
  <w:style w:type="character" w:customStyle="1" w:styleId="33">
    <w:name w:val="标题 3 字符"/>
    <w:basedOn w:val="18"/>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8"/>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11440</Words>
  <Characters>12303</Characters>
  <Lines>61</Lines>
  <Paragraphs>17</Paragraphs>
  <TotalTime>7</TotalTime>
  <ScaleCrop>false</ScaleCrop>
  <LinksUpToDate>false</LinksUpToDate>
  <CharactersWithSpaces>12391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2021-09-22T09:38:00Z</cp:lastPrinted>
  <dcterms:modified xsi:type="dcterms:W3CDTF">2025-10-16T08:30:49Z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ED4299C5464941EAAB33617411788F3C</vt:lpwstr>
  </property>
  <property fmtid="{D5CDD505-2E9C-101B-9397-08002B2CF9AE}" pid="4" name="KSOTemplateDocerSaveRecord">
    <vt:lpwstr>eyJoZGlkIjoiNTU1MWNhN2ZmY2ZhZmY3ODhlYTg0MWU5OGMyY2QwZmUiLCJ1c2VySWQiOiI0MzQ2NTM0NzEifQ==</vt:lpwstr>
  </property>
</Properties>
</file>