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4AD2">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96475"/>
      <w:bookmarkStart w:id="3" w:name="_Toc15377193"/>
      <w:bookmarkStart w:id="4" w:name="_Toc15396597"/>
      <w:bookmarkStart w:id="5" w:name="_Toc15377425"/>
    </w:p>
    <w:p w14:paraId="3840D599">
      <w:pPr>
        <w:spacing w:line="578" w:lineRule="exact"/>
        <w:jc w:val="center"/>
        <w:outlineLvl w:val="0"/>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2024年度四川省阿坝州</w:t>
      </w:r>
    </w:p>
    <w:p w14:paraId="5065557A">
      <w:pPr>
        <w:adjustRightInd w:val="0"/>
        <w:snapToGrid w:val="0"/>
        <w:spacing w:line="900" w:lineRule="exact"/>
        <w:jc w:val="center"/>
        <w:outlineLvl w:val="0"/>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中共松潘县纪律检查委员会</w:t>
      </w:r>
    </w:p>
    <w:p w14:paraId="72F61984">
      <w:pPr>
        <w:pStyle w:val="5"/>
        <w:jc w:val="center"/>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单位决算公开</w:t>
      </w:r>
    </w:p>
    <w:p w14:paraId="6375FFB0">
      <w:pPr>
        <w:pStyle w:val="5"/>
        <w:rPr>
          <w:rFonts w:hint="eastAsia" w:ascii="Times New Roman" w:hAnsi="Times New Roman" w:eastAsia="方正小标宋简体" w:cs="Times New Roman"/>
          <w:color w:val="auto"/>
          <w:kern w:val="2"/>
          <w:sz w:val="72"/>
          <w:szCs w:val="72"/>
          <w:highlight w:val="none"/>
          <w:lang w:val="en-US" w:eastAsia="zh-CN" w:bidi="ar-SA"/>
        </w:rPr>
      </w:pPr>
    </w:p>
    <w:p w14:paraId="02A0518A">
      <w:pPr>
        <w:pStyle w:val="5"/>
        <w:rPr>
          <w:rFonts w:hint="eastAsia" w:ascii="Times New Roman" w:hAnsi="Times New Roman" w:eastAsia="方正小标宋简体" w:cs="Times New Roman"/>
          <w:color w:val="auto"/>
          <w:kern w:val="2"/>
          <w:sz w:val="72"/>
          <w:szCs w:val="72"/>
          <w:highlight w:val="none"/>
          <w:lang w:val="en-US" w:eastAsia="zh-CN" w:bidi="ar-SA"/>
        </w:rPr>
      </w:pPr>
    </w:p>
    <w:p w14:paraId="41282322">
      <w:pPr>
        <w:rPr>
          <w:rFonts w:ascii="Times New Roman" w:hAnsi="Times New Roman"/>
        </w:rPr>
      </w:pPr>
    </w:p>
    <w:p w14:paraId="3F5BF44A">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4FED0AE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C30977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6578D1D9">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47AFD54D">
      <w:pPr>
        <w:autoSpaceDE w:val="0"/>
        <w:autoSpaceDN w:val="0"/>
        <w:adjustRightInd w:val="0"/>
        <w:spacing w:line="578" w:lineRule="exact"/>
        <w:ind w:left="420" w:leftChars="200"/>
        <w:jc w:val="left"/>
        <w:rPr>
          <w:rFonts w:hint="eastAsia" w:ascii="宋体" w:hAnsi="宋体" w:cs="仿宋_GB2312"/>
          <w:sz w:val="32"/>
          <w:szCs w:val="32"/>
        </w:rPr>
      </w:pPr>
      <w:r>
        <w:rPr>
          <w:rFonts w:hint="eastAsia" w:ascii="宋体" w:hAnsi="宋体" w:cs="仿宋_GB2312"/>
          <w:sz w:val="32"/>
          <w:szCs w:val="32"/>
        </w:rPr>
        <w:t>保密审查情况：已审查，内容审定</w:t>
      </w:r>
      <w:r>
        <w:rPr>
          <w:rFonts w:hint="eastAsia" w:ascii="宋体" w:hAnsi="宋体" w:cs="仿宋_GB2312"/>
          <w:sz w:val="32"/>
          <w:szCs w:val="32"/>
          <w:lang w:eastAsia="zh-CN"/>
        </w:rPr>
        <w:t>，</w:t>
      </w:r>
      <w:r>
        <w:rPr>
          <w:rFonts w:hint="eastAsia" w:ascii="宋体" w:hAnsi="宋体" w:cs="仿宋_GB2312"/>
          <w:sz w:val="32"/>
          <w:szCs w:val="32"/>
        </w:rPr>
        <w:t>同意对外公开</w:t>
      </w:r>
    </w:p>
    <w:p w14:paraId="43BD4E26">
      <w:pPr>
        <w:widowControl/>
        <w:jc w:val="center"/>
        <w:rPr>
          <w:rFonts w:hint="eastAsia" w:ascii="Times New Roman" w:hAnsi="Times New Roman" w:eastAsia="黑体"/>
          <w:color w:val="auto"/>
          <w:sz w:val="48"/>
          <w:szCs w:val="48"/>
          <w:highlight w:val="none"/>
        </w:rPr>
      </w:pPr>
    </w:p>
    <w:p w14:paraId="5C8B4E77">
      <w:pPr>
        <w:widowControl/>
        <w:jc w:val="center"/>
        <w:rPr>
          <w:rFonts w:hint="eastAsia" w:ascii="Times New Roman" w:hAnsi="Times New Roman" w:eastAsia="黑体"/>
          <w:color w:val="auto"/>
          <w:sz w:val="48"/>
          <w:szCs w:val="48"/>
          <w:highlight w:val="none"/>
        </w:rPr>
      </w:pPr>
    </w:p>
    <w:p w14:paraId="568802D2">
      <w:pPr>
        <w:widowControl/>
        <w:jc w:val="center"/>
        <w:rPr>
          <w:rFonts w:hint="eastAsia" w:ascii="Times New Roman" w:hAnsi="Times New Roman" w:eastAsia="黑体"/>
          <w:color w:val="auto"/>
          <w:sz w:val="48"/>
          <w:szCs w:val="48"/>
          <w:highlight w:val="none"/>
        </w:rPr>
      </w:pPr>
    </w:p>
    <w:p w14:paraId="4C979280">
      <w:pPr>
        <w:widowControl/>
        <w:jc w:val="center"/>
        <w:rPr>
          <w:rFonts w:hint="eastAsia" w:ascii="Times New Roman" w:hAnsi="Times New Roman" w:eastAsia="黑体"/>
          <w:color w:val="auto"/>
          <w:sz w:val="48"/>
          <w:szCs w:val="48"/>
          <w:highlight w:val="none"/>
        </w:rPr>
      </w:pPr>
    </w:p>
    <w:p w14:paraId="0BE26A52">
      <w:pPr>
        <w:widowControl/>
        <w:jc w:val="center"/>
        <w:rPr>
          <w:rFonts w:hint="eastAsia" w:ascii="Times New Roman" w:hAnsi="Times New Roman" w:eastAsia="黑体"/>
          <w:color w:val="auto"/>
          <w:sz w:val="48"/>
          <w:szCs w:val="48"/>
          <w:highlight w:val="none"/>
        </w:rPr>
      </w:pPr>
    </w:p>
    <w:p w14:paraId="581A7A9B">
      <w:pPr>
        <w:widowControl/>
        <w:jc w:val="center"/>
        <w:rPr>
          <w:rFonts w:hint="eastAsia" w:ascii="Times New Roman" w:hAnsi="Times New Roman" w:eastAsia="黑体"/>
          <w:color w:val="auto"/>
          <w:sz w:val="48"/>
          <w:szCs w:val="48"/>
          <w:highlight w:val="none"/>
        </w:rPr>
      </w:pPr>
    </w:p>
    <w:p w14:paraId="2276425A">
      <w:pPr>
        <w:widowControl/>
        <w:jc w:val="center"/>
        <w:rPr>
          <w:rFonts w:hint="eastAsia" w:ascii="Times New Roman" w:hAnsi="Times New Roman" w:eastAsia="黑体"/>
          <w:color w:val="auto"/>
          <w:sz w:val="48"/>
          <w:szCs w:val="48"/>
          <w:highlight w:val="none"/>
        </w:rPr>
      </w:pPr>
    </w:p>
    <w:p w14:paraId="11608996">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4591681B">
      <w:pPr>
        <w:widowControl/>
        <w:jc w:val="center"/>
        <w:rPr>
          <w:rFonts w:ascii="黑体" w:hAnsi="黑体" w:eastAsia="黑体" w:cs="Times New Roman"/>
          <w:color w:val="auto"/>
          <w:sz w:val="28"/>
          <w:szCs w:val="28"/>
          <w:highlight w:val="none"/>
        </w:rPr>
      </w:pPr>
    </w:p>
    <w:p w14:paraId="2522FF0B">
      <w:pPr>
        <w:pStyle w:val="12"/>
        <w:keepNext w:val="0"/>
        <w:keepLines w:val="0"/>
        <w:pageBreakBefore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公开时间：20</w:t>
      </w:r>
      <w:r>
        <w:rPr>
          <w:rFonts w:hint="eastAsia" w:ascii="仿宋_GB2312" w:hAnsi="仿宋_GB2312" w:eastAsia="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p>
    <w:p w14:paraId="28E0C9A3">
      <w:pPr>
        <w:keepNext w:val="0"/>
        <w:keepLines w:val="0"/>
        <w:pageBreakBefore w:val="0"/>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highlight w:val="none"/>
        </w:rPr>
      </w:pPr>
    </w:p>
    <w:p w14:paraId="326DC352">
      <w:pPr>
        <w:pStyle w:val="12"/>
        <w:keepNext w:val="0"/>
        <w:keepLines w:val="0"/>
        <w:pageBreakBefore w:val="0"/>
        <w:kinsoku/>
        <w:wordWrap/>
        <w:overflowPunct/>
        <w:topLinePunct w:val="0"/>
        <w:autoSpaceDE/>
        <w:autoSpaceDN/>
        <w:bidi w:val="0"/>
        <w:adjustRightInd w:val="0"/>
        <w:snapToGrid w:val="0"/>
        <w:spacing w:before="0" w:line="578" w:lineRule="exact"/>
        <w:ind w:firstLine="240" w:firstLineChars="1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第一部分 </w:t>
      </w:r>
      <w:r>
        <w:rPr>
          <w:rFonts w:hint="eastAsia" w:ascii="仿宋_GB2312" w:hAnsi="仿宋_GB2312" w:eastAsia="仿宋_GB2312" w:cs="仿宋_GB2312"/>
          <w:color w:val="auto"/>
          <w:sz w:val="24"/>
          <w:szCs w:val="24"/>
          <w:highlight w:val="none"/>
          <w:lang w:eastAsia="zh-CN"/>
        </w:rPr>
        <w:t>部门</w:t>
      </w:r>
      <w:r>
        <w:rPr>
          <w:rFonts w:hint="eastAsia" w:ascii="仿宋_GB2312" w:hAnsi="仿宋_GB2312" w:eastAsia="仿宋_GB2312" w:cs="仿宋_GB2312"/>
          <w:color w:val="auto"/>
          <w:sz w:val="24"/>
          <w:szCs w:val="24"/>
          <w:highlight w:val="none"/>
        </w:rPr>
        <w:t>概况</w:t>
      </w:r>
      <w:r>
        <w:rPr>
          <w:rFonts w:hint="eastAsia" w:ascii="仿宋_GB2312" w:hAnsi="仿宋_GB2312" w:eastAsia="仿宋_GB2312" w:cs="仿宋_GB2312"/>
          <w:color w:val="auto"/>
          <w:sz w:val="24"/>
          <w:szCs w:val="24"/>
          <w:highlight w:val="none"/>
          <w:lang w:val="en-US" w:eastAsia="zh-CN"/>
        </w:rPr>
        <w:t>..............................................4-6</w:t>
      </w:r>
    </w:p>
    <w:p w14:paraId="20FD3BEA">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部门职责</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机构设置</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第二部分</w:t>
      </w:r>
      <w:r>
        <w:rPr>
          <w:rFonts w:hint="eastAsia" w:ascii="仿宋_GB2312" w:hAnsi="仿宋_GB2312" w:eastAsia="仿宋_GB2312" w:cs="仿宋_GB2312"/>
          <w:color w:val="auto"/>
          <w:sz w:val="24"/>
          <w:szCs w:val="24"/>
          <w:highlight w:val="none"/>
          <w:lang w:val="en-US" w:eastAsia="zh-CN"/>
        </w:rPr>
        <w:t xml:space="preserve"> 2024年度</w:t>
      </w:r>
      <w:r>
        <w:rPr>
          <w:rFonts w:hint="eastAsia" w:ascii="仿宋_GB2312" w:hAnsi="仿宋_GB2312" w:eastAsia="仿宋_GB2312" w:cs="仿宋_GB2312"/>
          <w:color w:val="auto"/>
          <w:sz w:val="24"/>
          <w:szCs w:val="24"/>
          <w:highlight w:val="none"/>
          <w:lang w:eastAsia="zh-CN"/>
        </w:rPr>
        <w:t>单位</w:t>
      </w:r>
      <w:r>
        <w:rPr>
          <w:rFonts w:hint="eastAsia" w:ascii="仿宋_GB2312" w:hAnsi="仿宋_GB2312" w:eastAsia="仿宋_GB2312" w:cs="仿宋_GB2312"/>
          <w:color w:val="auto"/>
          <w:sz w:val="24"/>
          <w:szCs w:val="24"/>
          <w:highlight w:val="none"/>
        </w:rPr>
        <w:t>决算情况说明</w:t>
      </w:r>
      <w:r>
        <w:rPr>
          <w:rFonts w:hint="eastAsia" w:ascii="仿宋_GB2312" w:hAnsi="仿宋_GB2312" w:eastAsia="仿宋_GB2312" w:cs="仿宋_GB2312"/>
          <w:color w:val="auto"/>
          <w:sz w:val="24"/>
          <w:szCs w:val="24"/>
          <w:highlight w:val="none"/>
          <w:lang w:val="en-US" w:eastAsia="zh-CN"/>
        </w:rPr>
        <w:t>............................6-12</w:t>
      </w:r>
      <w:r>
        <w:rPr>
          <w:rFonts w:hint="eastAsia" w:ascii="仿宋_GB2312" w:hAnsi="仿宋_GB2312" w:eastAsia="仿宋_GB2312" w:cs="仿宋_GB2312"/>
          <w:color w:val="auto"/>
          <w:sz w:val="24"/>
          <w:szCs w:val="24"/>
          <w:highlight w:val="none"/>
        </w:rPr>
        <w:t>一、收入支出决算总体情况说明</w:t>
      </w:r>
      <w:r>
        <w:rPr>
          <w:rFonts w:hint="eastAsia" w:ascii="仿宋_GB2312" w:hAnsi="仿宋_GB2312" w:eastAsia="仿宋_GB2312" w:cs="仿宋_GB2312"/>
          <w:color w:val="auto"/>
          <w:sz w:val="24"/>
          <w:szCs w:val="24"/>
          <w:highlight w:val="none"/>
          <w:lang w:val="en-US" w:eastAsia="zh-CN"/>
        </w:rPr>
        <w:t>....................................6</w:t>
      </w:r>
    </w:p>
    <w:p w14:paraId="46B0B413">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二、收入决算情况说明</w:t>
      </w:r>
      <w:r>
        <w:rPr>
          <w:rFonts w:hint="eastAsia" w:ascii="仿宋_GB2312" w:hAnsi="仿宋_GB2312" w:eastAsia="仿宋_GB2312" w:cs="仿宋_GB2312"/>
          <w:color w:val="auto"/>
          <w:sz w:val="24"/>
          <w:szCs w:val="24"/>
          <w:highlight w:val="none"/>
          <w:lang w:val="en-US" w:eastAsia="zh-CN"/>
        </w:rPr>
        <w:t>............................................6</w:t>
      </w:r>
    </w:p>
    <w:p w14:paraId="6B990117">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三、支出决算情况说明</w:t>
      </w:r>
      <w:r>
        <w:rPr>
          <w:rFonts w:hint="eastAsia" w:ascii="仿宋_GB2312" w:hAnsi="仿宋_GB2312" w:eastAsia="仿宋_GB2312" w:cs="仿宋_GB2312"/>
          <w:color w:val="auto"/>
          <w:sz w:val="24"/>
          <w:szCs w:val="24"/>
          <w:highlight w:val="none"/>
          <w:lang w:val="en-US" w:eastAsia="zh-CN"/>
        </w:rPr>
        <w:t>............................................7</w:t>
      </w:r>
    </w:p>
    <w:p w14:paraId="15E8F882">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四、财政拨款收入支出决算总体情况说明</w:t>
      </w:r>
      <w:r>
        <w:rPr>
          <w:rFonts w:hint="eastAsia" w:ascii="仿宋_GB2312" w:hAnsi="仿宋_GB2312" w:eastAsia="仿宋_GB2312" w:cs="仿宋_GB2312"/>
          <w:color w:val="auto"/>
          <w:sz w:val="24"/>
          <w:szCs w:val="24"/>
          <w:highlight w:val="none"/>
          <w:lang w:val="en-US" w:eastAsia="zh-CN"/>
        </w:rPr>
        <w:t>............................7</w:t>
      </w:r>
    </w:p>
    <w:p w14:paraId="357B591A">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五、一般公共预算财政拨款支出决算情况说明</w:t>
      </w:r>
      <w:r>
        <w:rPr>
          <w:rFonts w:hint="eastAsia" w:ascii="仿宋_GB2312" w:hAnsi="仿宋_GB2312" w:eastAsia="仿宋_GB2312" w:cs="仿宋_GB2312"/>
          <w:color w:val="auto"/>
          <w:sz w:val="24"/>
          <w:szCs w:val="24"/>
          <w:highlight w:val="none"/>
          <w:lang w:val="en-US" w:eastAsia="zh-CN"/>
        </w:rPr>
        <w:t>.......................7-9</w:t>
      </w:r>
    </w:p>
    <w:p w14:paraId="7212CBD1">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六、一般公共预算财政拨款基本支出决算情况说明</w:t>
      </w:r>
      <w:r>
        <w:rPr>
          <w:rFonts w:hint="eastAsia" w:ascii="仿宋_GB2312" w:hAnsi="仿宋_GB2312" w:eastAsia="仿宋_GB2312" w:cs="仿宋_GB2312"/>
          <w:color w:val="auto"/>
          <w:sz w:val="24"/>
          <w:szCs w:val="24"/>
          <w:highlight w:val="none"/>
          <w:lang w:val="en-US" w:eastAsia="zh-CN"/>
        </w:rPr>
        <w:t>..................9-10</w:t>
      </w:r>
    </w:p>
    <w:p w14:paraId="100D95EE">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七、财政拨款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三公”经费支出决算情况说明</w:t>
      </w:r>
      <w:r>
        <w:rPr>
          <w:rFonts w:hint="eastAsia" w:ascii="仿宋_GB2312" w:hAnsi="仿宋_GB2312" w:eastAsia="仿宋_GB2312" w:cs="仿宋_GB2312"/>
          <w:color w:val="auto"/>
          <w:sz w:val="24"/>
          <w:szCs w:val="24"/>
          <w:highlight w:val="none"/>
          <w:lang w:val="en-US" w:eastAsia="zh-CN"/>
        </w:rPr>
        <w:t>.......................10-11</w:t>
      </w:r>
    </w:p>
    <w:p w14:paraId="0F1194A0">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八、政府性基金预算支出决算情况说明</w:t>
      </w:r>
      <w:r>
        <w:rPr>
          <w:rFonts w:hint="eastAsia" w:ascii="仿宋_GB2312" w:hAnsi="仿宋_GB2312" w:eastAsia="仿宋_GB2312" w:cs="仿宋_GB2312"/>
          <w:color w:val="auto"/>
          <w:sz w:val="24"/>
          <w:szCs w:val="24"/>
          <w:highlight w:val="none"/>
          <w:lang w:val="en-US" w:eastAsia="zh-CN"/>
        </w:rPr>
        <w:t>..............................11</w:t>
      </w:r>
      <w:r>
        <w:rPr>
          <w:rFonts w:hint="eastAsia" w:ascii="仿宋_GB2312" w:hAnsi="仿宋_GB2312" w:eastAsia="仿宋_GB2312" w:cs="仿宋_GB2312"/>
          <w:color w:val="auto"/>
          <w:sz w:val="24"/>
          <w:szCs w:val="24"/>
          <w:highlight w:val="none"/>
        </w:rPr>
        <w:t>九、国有资本经营预算支出决算情况说明</w:t>
      </w:r>
      <w:r>
        <w:rPr>
          <w:rFonts w:hint="eastAsia" w:ascii="仿宋_GB2312" w:hAnsi="仿宋_GB2312" w:eastAsia="仿宋_GB2312" w:cs="仿宋_GB2312"/>
          <w:color w:val="auto"/>
          <w:sz w:val="24"/>
          <w:szCs w:val="24"/>
          <w:highlight w:val="none"/>
          <w:lang w:val="en-US" w:eastAsia="zh-CN"/>
        </w:rPr>
        <w:t>............................11</w:t>
      </w:r>
    </w:p>
    <w:p w14:paraId="762014BA">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十、其他重要事项的情况说明</w:t>
      </w:r>
      <w:r>
        <w:rPr>
          <w:rFonts w:hint="eastAsia" w:ascii="仿宋_GB2312" w:hAnsi="仿宋_GB2312" w:eastAsia="仿宋_GB2312" w:cs="仿宋_GB2312"/>
          <w:color w:val="auto"/>
          <w:sz w:val="24"/>
          <w:szCs w:val="24"/>
          <w:highlight w:val="none"/>
          <w:lang w:val="en-US" w:eastAsia="zh-CN"/>
        </w:rPr>
        <w:t>...................................11-12</w:t>
      </w:r>
    </w:p>
    <w:p w14:paraId="7AF7F626">
      <w:pPr>
        <w:pStyle w:val="12"/>
        <w:keepNext w:val="0"/>
        <w:keepLines w:val="0"/>
        <w:pageBreakBefore w:val="0"/>
        <w:kinsoku/>
        <w:wordWrap/>
        <w:overflowPunct/>
        <w:topLinePunct w:val="0"/>
        <w:autoSpaceDE/>
        <w:autoSpaceDN/>
        <w:bidi w:val="0"/>
        <w:adjustRightInd w:val="0"/>
        <w:snapToGrid w:val="0"/>
        <w:spacing w:before="0" w:line="578"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第三部分 名词解释</w:t>
      </w:r>
      <w:r>
        <w:rPr>
          <w:rFonts w:hint="eastAsia" w:ascii="仿宋_GB2312" w:hAnsi="仿宋_GB2312" w:eastAsia="仿宋_GB2312" w:cs="仿宋_GB2312"/>
          <w:color w:val="auto"/>
          <w:sz w:val="24"/>
          <w:szCs w:val="24"/>
          <w:highlight w:val="none"/>
          <w:lang w:val="en-US" w:eastAsia="zh-CN"/>
        </w:rPr>
        <w:t>...............................................12-13</w:t>
      </w:r>
      <w:r>
        <w:rPr>
          <w:rFonts w:hint="eastAsia" w:ascii="仿宋_GB2312" w:hAnsi="仿宋_GB2312" w:eastAsia="仿宋_GB2312" w:cs="仿宋_GB2312"/>
          <w:color w:val="auto"/>
          <w:sz w:val="24"/>
          <w:szCs w:val="24"/>
          <w:highlight w:val="none"/>
        </w:rPr>
        <w:t>第四部分 附件</w:t>
      </w:r>
      <w:r>
        <w:rPr>
          <w:rFonts w:hint="eastAsia" w:ascii="仿宋_GB2312" w:hAnsi="仿宋_GB2312" w:eastAsia="仿宋_GB2312" w:cs="仿宋_GB2312"/>
          <w:color w:val="auto"/>
          <w:sz w:val="24"/>
          <w:szCs w:val="24"/>
          <w:highlight w:val="none"/>
          <w:lang w:val="en-US" w:eastAsia="zh-CN"/>
        </w:rPr>
        <w:t>......................................................13</w:t>
      </w:r>
    </w:p>
    <w:p w14:paraId="33289FD2">
      <w:pPr>
        <w:pStyle w:val="12"/>
        <w:keepNext w:val="0"/>
        <w:keepLines w:val="0"/>
        <w:pageBreakBefore w:val="0"/>
        <w:kinsoku/>
        <w:wordWrap/>
        <w:overflowPunct/>
        <w:topLinePunct w:val="0"/>
        <w:autoSpaceDE/>
        <w:autoSpaceDN/>
        <w:bidi w:val="0"/>
        <w:adjustRightInd w:val="0"/>
        <w:snapToGrid w:val="0"/>
        <w:spacing w:before="0" w:line="578" w:lineRule="exact"/>
        <w:ind w:left="480" w:hanging="480" w:hangingChars="200"/>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第五部分 附表</w:t>
      </w:r>
      <w:r>
        <w:rPr>
          <w:rFonts w:hint="eastAsia" w:ascii="仿宋_GB2312" w:hAnsi="仿宋_GB2312" w:eastAsia="仿宋_GB2312" w:cs="仿宋_GB2312"/>
          <w:color w:val="auto"/>
          <w:sz w:val="24"/>
          <w:szCs w:val="24"/>
          <w:highlight w:val="none"/>
          <w:lang w:val="en-US" w:eastAsia="zh-CN"/>
        </w:rPr>
        <w:t>...................................................13-14</w:t>
      </w:r>
      <w:r>
        <w:rPr>
          <w:rFonts w:hint="eastAsia" w:ascii="仿宋_GB2312" w:hAnsi="仿宋_GB2312" w:eastAsia="仿宋_GB2312" w:cs="仿宋_GB2312"/>
          <w:color w:val="auto"/>
          <w:sz w:val="24"/>
          <w:szCs w:val="24"/>
          <w:highlight w:val="none"/>
        </w:rPr>
        <w:t>一、收入支出决算总表</w:t>
      </w:r>
      <w:r>
        <w:rPr>
          <w:rFonts w:hint="eastAsia" w:ascii="仿宋_GB2312" w:hAnsi="仿宋_GB2312" w:eastAsia="仿宋_GB2312" w:cs="仿宋_GB2312"/>
          <w:color w:val="auto"/>
          <w:sz w:val="24"/>
          <w:szCs w:val="24"/>
          <w:highlight w:val="none"/>
          <w:lang w:val="en-US" w:eastAsia="zh-CN"/>
        </w:rPr>
        <w:t>............................................14</w:t>
      </w:r>
    </w:p>
    <w:p w14:paraId="36459757">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color w:val="auto"/>
          <w:sz w:val="24"/>
          <w:szCs w:val="24"/>
          <w:highlight w:val="none"/>
        </w:rPr>
      </w:pPr>
    </w:p>
    <w:p w14:paraId="6E30EC78">
      <w:pPr>
        <w:pStyle w:val="12"/>
        <w:keepNext w:val="0"/>
        <w:keepLines w:val="0"/>
        <w:pageBreakBefore w:val="0"/>
        <w:kinsoku/>
        <w:wordWrap/>
        <w:overflowPunct/>
        <w:topLinePunct w:val="0"/>
        <w:autoSpaceDE/>
        <w:autoSpaceDN/>
        <w:bidi w:val="0"/>
        <w:adjustRightInd w:val="0"/>
        <w:snapToGrid w:val="0"/>
        <w:spacing w:before="0" w:line="578"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二、收入决算</w:t>
      </w:r>
      <w:r>
        <w:rPr>
          <w:rFonts w:hint="eastAsia" w:ascii="仿宋_GB2312" w:hAnsi="仿宋_GB2312" w:eastAsia="仿宋_GB2312" w:cs="仿宋_GB2312"/>
          <w:color w:val="auto"/>
          <w:sz w:val="24"/>
          <w:szCs w:val="24"/>
          <w:highlight w:val="none"/>
          <w:lang w:val="en-US" w:eastAsia="zh-CN"/>
        </w:rPr>
        <w:t>...................................................14</w:t>
      </w:r>
    </w:p>
    <w:p w14:paraId="7DDECF0E">
      <w:pPr>
        <w:pStyle w:val="12"/>
        <w:keepNext w:val="0"/>
        <w:keepLines w:val="0"/>
        <w:pageBreakBefore w:val="0"/>
        <w:kinsoku/>
        <w:wordWrap/>
        <w:overflowPunct/>
        <w:topLinePunct w:val="0"/>
        <w:autoSpaceDE/>
        <w:autoSpaceDN/>
        <w:bidi w:val="0"/>
        <w:adjustRightInd w:val="0"/>
        <w:snapToGrid w:val="0"/>
        <w:spacing w:before="0" w:line="578"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三、支出决算表</w:t>
      </w:r>
      <w:r>
        <w:rPr>
          <w:rFonts w:hint="eastAsia" w:ascii="仿宋_GB2312" w:hAnsi="仿宋_GB2312" w:eastAsia="仿宋_GB2312" w:cs="仿宋_GB2312"/>
          <w:color w:val="auto"/>
          <w:sz w:val="24"/>
          <w:szCs w:val="24"/>
          <w:highlight w:val="none"/>
          <w:lang w:val="en-US" w:eastAsia="zh-CN"/>
        </w:rPr>
        <w:t>.................................................14</w:t>
      </w:r>
    </w:p>
    <w:p w14:paraId="5BD9CE52">
      <w:pPr>
        <w:pStyle w:val="12"/>
        <w:keepNext w:val="0"/>
        <w:keepLines w:val="0"/>
        <w:pageBreakBefore w:val="0"/>
        <w:kinsoku/>
        <w:wordWrap/>
        <w:overflowPunct/>
        <w:topLinePunct w:val="0"/>
        <w:autoSpaceDE/>
        <w:autoSpaceDN/>
        <w:bidi w:val="0"/>
        <w:adjustRightInd w:val="0"/>
        <w:snapToGrid w:val="0"/>
        <w:spacing w:before="0" w:line="578" w:lineRule="exact"/>
        <w:ind w:left="479" w:leftChars="228"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四、财政拨款收入支出决算总表</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五、财政拨款支出决算明细表</w:t>
      </w:r>
      <w:r>
        <w:rPr>
          <w:rFonts w:hint="eastAsia" w:ascii="仿宋_GB2312" w:hAnsi="仿宋_GB2312" w:eastAsia="仿宋_GB2312" w:cs="仿宋_GB2312"/>
          <w:color w:val="auto"/>
          <w:sz w:val="24"/>
          <w:szCs w:val="24"/>
          <w:highlight w:val="none"/>
          <w:lang w:val="en-US" w:eastAsia="zh-CN"/>
        </w:rPr>
        <w:t>.....................................14</w:t>
      </w:r>
    </w:p>
    <w:p w14:paraId="07A354CE">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六、一般公共预算财政拨款支出决算表</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七、一般公共预算财政拨款支出决算明细表</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八、一般公共预算财政拨款基本支出决算</w:t>
      </w:r>
      <w:r>
        <w:rPr>
          <w:rFonts w:hint="eastAsia" w:ascii="仿宋_GB2312" w:hAnsi="仿宋_GB2312" w:eastAsia="仿宋_GB2312" w:cs="仿宋_GB2312"/>
          <w:color w:val="auto"/>
          <w:sz w:val="24"/>
          <w:szCs w:val="24"/>
          <w:highlight w:val="none"/>
          <w:lang w:eastAsia="zh-CN"/>
        </w:rPr>
        <w:t>明细</w:t>
      </w:r>
      <w:r>
        <w:rPr>
          <w:rFonts w:hint="eastAsia" w:ascii="仿宋_GB2312" w:hAnsi="仿宋_GB2312" w:eastAsia="仿宋_GB2312" w:cs="仿宋_GB2312"/>
          <w:color w:val="auto"/>
          <w:sz w:val="24"/>
          <w:szCs w:val="24"/>
          <w:highlight w:val="none"/>
        </w:rPr>
        <w:t>表</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九、一般公共预算财政拨款项目支出决算表</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十、政府性基金预算财政拨款收入支出决算表</w:t>
      </w:r>
      <w:r>
        <w:rPr>
          <w:rFonts w:hint="eastAsia" w:ascii="仿宋_GB2312" w:hAnsi="仿宋_GB2312" w:eastAsia="仿宋_GB2312" w:cs="仿宋_GB2312"/>
          <w:color w:val="auto"/>
          <w:sz w:val="24"/>
          <w:szCs w:val="24"/>
          <w:highlight w:val="none"/>
          <w:lang w:val="en-US" w:eastAsia="zh-CN"/>
        </w:rPr>
        <w:t>.......................14</w:t>
      </w:r>
    </w:p>
    <w:p w14:paraId="6A9BB9A3">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十一、国有资本经营预算财政拨款收入支出决算表</w:t>
      </w:r>
      <w:r>
        <w:rPr>
          <w:rFonts w:hint="eastAsia" w:ascii="仿宋_GB2312" w:hAnsi="仿宋_GB2312" w:eastAsia="仿宋_GB2312" w:cs="仿宋_GB2312"/>
          <w:color w:val="auto"/>
          <w:sz w:val="24"/>
          <w:szCs w:val="24"/>
          <w:highlight w:val="none"/>
          <w:lang w:val="en-US" w:eastAsia="zh-CN"/>
        </w:rPr>
        <w:t>...................14</w:t>
      </w:r>
    </w:p>
    <w:p w14:paraId="462AA73C">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十二、</w:t>
      </w:r>
      <w:r>
        <w:rPr>
          <w:rFonts w:hint="eastAsia" w:ascii="仿宋_GB2312" w:hAnsi="仿宋_GB2312" w:eastAsia="仿宋_GB2312" w:cs="仿宋_GB2312"/>
          <w:color w:val="auto"/>
          <w:sz w:val="24"/>
          <w:szCs w:val="24"/>
          <w:highlight w:val="none"/>
          <w:lang w:val="en-US" w:eastAsia="zh-CN"/>
        </w:rPr>
        <w:t>国有资本经营预算财政拨款支出决算表.......................14</w:t>
      </w:r>
    </w:p>
    <w:p w14:paraId="189AC4BA">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十三、财政拨款“三公”经费支出决算表</w:t>
      </w:r>
      <w:r>
        <w:rPr>
          <w:rFonts w:hint="eastAsia" w:ascii="仿宋_GB2312" w:hAnsi="仿宋_GB2312" w:eastAsia="仿宋_GB2312" w:cs="仿宋_GB2312"/>
          <w:color w:val="auto"/>
          <w:sz w:val="24"/>
          <w:szCs w:val="24"/>
          <w:highlight w:val="none"/>
          <w:lang w:val="en-US" w:eastAsia="zh-CN"/>
        </w:rPr>
        <w:t>.............................14</w:t>
      </w:r>
    </w:p>
    <w:p w14:paraId="12AC5F2F">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仿宋_GB2312" w:hAnsi="仿宋_GB2312" w:eastAsia="仿宋_GB2312" w:cs="仿宋_GB2312"/>
          <w:color w:val="auto"/>
          <w:sz w:val="24"/>
          <w:szCs w:val="24"/>
          <w:highlight w:val="none"/>
        </w:rPr>
      </w:pPr>
    </w:p>
    <w:p w14:paraId="4BCE5A0F">
      <w:pPr>
        <w:pStyle w:val="12"/>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br w:type="page"/>
      </w:r>
    </w:p>
    <w:p w14:paraId="7B1ACC1B">
      <w:pPr>
        <w:pStyle w:val="12"/>
        <w:keepNext w:val="0"/>
        <w:keepLines w:val="0"/>
        <w:pageBreakBefore w:val="0"/>
        <w:kinsoku/>
        <w:wordWrap/>
        <w:overflowPunct/>
        <w:topLinePunct w:val="0"/>
        <w:autoSpaceDE/>
        <w:autoSpaceDN/>
        <w:bidi w:val="0"/>
        <w:adjustRightInd w:val="0"/>
        <w:snapToGrid w:val="0"/>
        <w:spacing w:before="0" w:line="560" w:lineRule="exact"/>
        <w:ind w:firstLine="3080" w:firstLineChars="700"/>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44"/>
          <w:szCs w:val="44"/>
          <w:highlight w:val="none"/>
        </w:rPr>
        <w:t>第一部分 部门概况</w:t>
      </w:r>
    </w:p>
    <w:p w14:paraId="54BCFE4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rPr>
        <w:t>一、</w:t>
      </w:r>
      <w:r>
        <w:rPr>
          <w:rFonts w:hint="eastAsia" w:ascii="Times New Roman" w:hAnsi="Times New Roman" w:eastAsia="仿宋_GB2312" w:cs="仿宋_GB2312"/>
          <w:b/>
          <w:bCs/>
          <w:color w:val="auto"/>
          <w:sz w:val="32"/>
          <w:szCs w:val="32"/>
          <w:highlight w:val="none"/>
          <w:lang w:eastAsia="zh-CN"/>
        </w:rPr>
        <w:t>部门职责</w:t>
      </w:r>
    </w:p>
    <w:p w14:paraId="1381EE37">
      <w:pPr>
        <w:widowControl/>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负责全县党的纪律检查工作。贯彻落实党中央、省委、州委和县委关于纪律检查工作的决定，维护党的章程和其他党内法规，检查党的路线方针政策和决议的执行情况，协助县委推进全面从严治党、加强党风廉政建设和组织协调反腐败工作。</w:t>
      </w:r>
    </w:p>
    <w:p w14:paraId="10975BFA">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w:t>
      </w:r>
      <w:r>
        <w:rPr>
          <w:rFonts w:hint="eastAsia" w:ascii="仿宋_GB2312" w:hAnsi="仿宋_GB2312" w:eastAsia="仿宋_GB2312" w:cs="仿宋_GB2312"/>
          <w:kern w:val="0"/>
          <w:sz w:val="32"/>
          <w:szCs w:val="32"/>
          <w:lang w:eastAsia="zh-CN"/>
        </w:rPr>
        <w:t>保障党员权利</w:t>
      </w:r>
      <w:r>
        <w:rPr>
          <w:rFonts w:hint="eastAsia" w:ascii="仿宋_GB2312" w:hAnsi="仿宋_GB2312" w:eastAsia="仿宋_GB2312" w:cs="仿宋_GB2312"/>
          <w:kern w:val="0"/>
          <w:sz w:val="32"/>
          <w:szCs w:val="32"/>
        </w:rPr>
        <w:t>。</w:t>
      </w:r>
    </w:p>
    <w:p w14:paraId="55AA9577">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（三）负责全县监察工作。贯彻落实党中央、省委、州委和县委关于监察工作的决定，维护宪法法律，依法对县委管理的行使公权力的公职人员进行监察，调查职务违法和职务犯罪，开展廉政建设和反腐败工作。</w:t>
      </w:r>
    </w:p>
    <w:p w14:paraId="1BCDD5FB">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2C801BF1">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（五）负责组织协调全面从严治党、党风廉政建设和反腐败宣传教育工作。</w:t>
      </w:r>
    </w:p>
    <w:p w14:paraId="791FE01A">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（六）负责综合分析全面从严治党、党风廉政建设和反腐败工作情况，对纪检监察工作重要理论及实践问题进行调查研究。</w:t>
      </w:r>
    </w:p>
    <w:p w14:paraId="418568DD">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（七）在州纪委监委的领导下，加强对反腐败国际追逃追赃和防逃工作的组织协调，督促有关部门做好相关工作。</w:t>
      </w:r>
    </w:p>
    <w:p w14:paraId="6E71C582">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八）根据干部管理权限，负责纪检监察系统领导班子建设、干部队伍建设和组织建设的综合规划、政策研究、制度建设和业务指导。会同有关方面做好县纪委监委派驻机构、乡镇纪委监察室等有关工作。组织和指导纪检监察系统干部教育培训工作等。</w:t>
      </w:r>
    </w:p>
    <w:p w14:paraId="5F5260FE">
      <w:pPr>
        <w:keepNext w:val="0"/>
        <w:keepLines w:val="0"/>
        <w:pageBreakBefore w:val="0"/>
        <w:widowControl w:val="0"/>
        <w:kinsoku/>
        <w:wordWrap/>
        <w:overflowPunct/>
        <w:topLinePunct w:val="0"/>
        <w:autoSpaceDE/>
        <w:autoSpaceDN/>
        <w:bidi w:val="0"/>
        <w:spacing w:line="578" w:lineRule="exact"/>
        <w:jc w:val="left"/>
        <w:textAlignment w:val="auto"/>
        <w:rPr>
          <w:rFonts w:hint="eastAsia"/>
          <w:lang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（九）完成县委和州纪委监委交办的其他任务。</w:t>
      </w:r>
    </w:p>
    <w:p w14:paraId="68285426">
      <w:pPr>
        <w:keepNext w:val="0"/>
        <w:keepLines w:val="0"/>
        <w:pageBreakBefore w:val="0"/>
        <w:widowControl/>
        <w:kinsoku/>
        <w:wordWrap/>
        <w:overflowPunct/>
        <w:topLinePunct w:val="0"/>
        <w:autoSpaceDE/>
        <w:autoSpaceDN/>
        <w:bidi w:val="0"/>
        <w:spacing w:line="578" w:lineRule="exact"/>
        <w:ind w:firstLine="640" w:firstLineChars="200"/>
        <w:jc w:val="left"/>
        <w:textAlignment w:val="auto"/>
        <w:rPr>
          <w:rFonts w:hint="eastAsia" w:ascii="仿宋_GB2312" w:hAnsi="仿宋_GB2312" w:eastAsia="仿宋_GB2312" w:cs="仿宋_GB2312"/>
          <w:sz w:val="32"/>
          <w:szCs w:val="32"/>
        </w:rPr>
      </w:pPr>
      <w:r>
        <w:rPr>
          <w:rStyle w:val="31"/>
          <w:rFonts w:hint="eastAsia" w:ascii="黑体" w:hAnsi="黑体" w:eastAsia="黑体"/>
          <w:b w:val="0"/>
          <w:bCs w:val="0"/>
          <w:color w:val="auto"/>
          <w:highlight w:val="none"/>
          <w:lang w:val="en-US" w:eastAsia="zh-CN"/>
        </w:rPr>
        <w:t>二、机构设置</w:t>
      </w:r>
    </w:p>
    <w:p w14:paraId="17B475F6">
      <w:pPr>
        <w:pBdr>
          <w:bottom w:val="single" w:color="FFFFFF" w:sz="4" w:space="31"/>
        </w:pBdr>
        <w:tabs>
          <w:tab w:val="left" w:pos="1440"/>
        </w:tabs>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机构情况，本单位本年度纳入本套决算编制范围的独立编制机构数共1个，比上年增加0个；独立核算机构数共1个</w:t>
      </w:r>
      <w:r>
        <w:rPr>
          <w:rFonts w:hint="eastAsia" w:ascii="仿宋_GB2312" w:hAnsi="仿宋" w:eastAsia="仿宋_GB2312"/>
          <w:b/>
          <w:bCs/>
          <w:sz w:val="32"/>
          <w:szCs w:val="32"/>
        </w:rPr>
        <w:t>。</w:t>
      </w:r>
    </w:p>
    <w:p w14:paraId="21D50877">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rPr>
        <w:t>县纪委</w:t>
      </w:r>
      <w:r>
        <w:rPr>
          <w:rFonts w:hint="eastAsia" w:ascii="仿宋_GB2312" w:hAnsi="仿宋" w:eastAsia="仿宋_GB2312"/>
          <w:sz w:val="32"/>
          <w:szCs w:val="32"/>
          <w:lang w:eastAsia="zh-CN"/>
        </w:rPr>
        <w:t>、县</w:t>
      </w:r>
      <w:r>
        <w:rPr>
          <w:rFonts w:hint="eastAsia" w:ascii="仿宋_GB2312" w:hAnsi="仿宋" w:eastAsia="仿宋_GB2312"/>
          <w:sz w:val="32"/>
          <w:szCs w:val="32"/>
        </w:rPr>
        <w:t>监察委机关编数为</w:t>
      </w:r>
      <w:r>
        <w:rPr>
          <w:rFonts w:hint="eastAsia" w:ascii="仿宋_GB2312" w:hAnsi="仿宋" w:eastAsia="仿宋_GB2312"/>
          <w:sz w:val="32"/>
          <w:szCs w:val="32"/>
          <w:lang w:val="en-US" w:eastAsia="zh-CN"/>
        </w:rPr>
        <w:t>34</w:t>
      </w:r>
      <w:r>
        <w:rPr>
          <w:rFonts w:hint="eastAsia" w:ascii="仿宋_GB2312" w:hAnsi="仿宋" w:eastAsia="仿宋_GB2312"/>
          <w:sz w:val="32"/>
          <w:szCs w:val="32"/>
        </w:rPr>
        <w:t>人，综合管理类职位编制数</w:t>
      </w:r>
      <w:r>
        <w:rPr>
          <w:rFonts w:hint="eastAsia" w:ascii="仿宋_GB2312" w:hAnsi="仿宋" w:eastAsia="仿宋_GB2312"/>
          <w:sz w:val="32"/>
          <w:szCs w:val="32"/>
          <w:lang w:val="en-US" w:eastAsia="zh-CN"/>
        </w:rPr>
        <w:t>32</w:t>
      </w:r>
      <w:r>
        <w:rPr>
          <w:rFonts w:hint="eastAsia" w:ascii="仿宋_GB2312" w:hAnsi="仿宋" w:eastAsia="仿宋_GB2312"/>
          <w:sz w:val="32"/>
          <w:szCs w:val="32"/>
        </w:rPr>
        <w:t>人，工勤2人，县纪委监察派出机构综合管理类职位编制数</w:t>
      </w:r>
      <w:r>
        <w:rPr>
          <w:rFonts w:hint="eastAsia" w:ascii="仿宋_GB2312" w:hAnsi="仿宋" w:eastAsia="仿宋_GB2312"/>
          <w:sz w:val="32"/>
          <w:szCs w:val="32"/>
          <w:lang w:val="en-US" w:eastAsia="zh-CN"/>
        </w:rPr>
        <w:t>15</w:t>
      </w:r>
      <w:r>
        <w:rPr>
          <w:rFonts w:hint="eastAsia" w:ascii="仿宋_GB2312" w:hAnsi="仿宋" w:eastAsia="仿宋_GB2312"/>
          <w:sz w:val="32"/>
          <w:szCs w:val="32"/>
        </w:rPr>
        <w:t>名</w:t>
      </w:r>
      <w:r>
        <w:rPr>
          <w:rFonts w:hint="eastAsia" w:ascii="仿宋_GB2312" w:hAnsi="仿宋" w:eastAsia="仿宋_GB2312"/>
          <w:sz w:val="32"/>
          <w:szCs w:val="32"/>
          <w:lang w:eastAsia="zh-CN"/>
        </w:rPr>
        <w:t>，财务账</w:t>
      </w:r>
      <w:r>
        <w:rPr>
          <w:rFonts w:hint="eastAsia" w:ascii="仿宋_GB2312" w:hAnsi="仿宋" w:eastAsia="仿宋_GB2312"/>
          <w:sz w:val="32"/>
          <w:szCs w:val="32"/>
        </w:rPr>
        <w:t>中还含县委巡察办综合管理类职位编制数</w:t>
      </w:r>
      <w:r>
        <w:rPr>
          <w:rFonts w:hint="eastAsia" w:ascii="仿宋_GB2312" w:hAnsi="仿宋" w:eastAsia="仿宋_GB2312"/>
          <w:sz w:val="32"/>
          <w:szCs w:val="32"/>
          <w:lang w:val="en-US" w:eastAsia="zh-CN"/>
        </w:rPr>
        <w:t>6</w:t>
      </w:r>
      <w:r>
        <w:rPr>
          <w:rFonts w:hint="eastAsia" w:ascii="仿宋_GB2312" w:hAnsi="仿宋" w:eastAsia="仿宋_GB2312"/>
          <w:sz w:val="32"/>
          <w:szCs w:val="32"/>
        </w:rPr>
        <w:t>人，工勤1人</w:t>
      </w:r>
      <w:r>
        <w:rPr>
          <w:rFonts w:hint="eastAsia" w:ascii="仿宋_GB2312" w:hAnsi="仿宋" w:eastAsia="仿宋_GB2312"/>
          <w:sz w:val="32"/>
          <w:szCs w:val="32"/>
          <w:lang w:eastAsia="zh-CN"/>
        </w:rPr>
        <w:t>，事业</w:t>
      </w:r>
      <w:r>
        <w:rPr>
          <w:rFonts w:hint="eastAsia" w:ascii="仿宋_GB2312" w:hAnsi="仿宋" w:eastAsia="仿宋_GB2312"/>
          <w:sz w:val="32"/>
          <w:szCs w:val="32"/>
          <w:lang w:val="en-US" w:eastAsia="zh-CN"/>
        </w:rPr>
        <w:t>3人</w:t>
      </w:r>
      <w:r>
        <w:rPr>
          <w:rFonts w:hint="eastAsia" w:ascii="仿宋_GB2312" w:hAnsi="仿宋" w:eastAsia="仿宋_GB2312"/>
          <w:sz w:val="32"/>
          <w:szCs w:val="32"/>
        </w:rPr>
        <w:t>。</w:t>
      </w:r>
    </w:p>
    <w:p w14:paraId="06B76375">
      <w:pPr>
        <w:pStyle w:val="12"/>
        <w:keepNext w:val="0"/>
        <w:keepLines w:val="0"/>
        <w:pageBreakBefore w:val="0"/>
        <w:kinsoku/>
        <w:wordWrap/>
        <w:overflowPunct/>
        <w:topLinePunct w:val="0"/>
        <w:autoSpaceDE/>
        <w:autoSpaceDN/>
        <w:bidi w:val="0"/>
        <w:adjustRightInd w:val="0"/>
        <w:snapToGrid w:val="0"/>
        <w:spacing w:before="0" w:line="560" w:lineRule="exact"/>
        <w:ind w:firstLine="883" w:firstLineChars="200"/>
        <w:jc w:val="left"/>
        <w:textAlignment w:val="auto"/>
        <w:rPr>
          <w:rFonts w:hint="eastAsia" w:ascii="Times New Roman" w:hAnsi="Times New Roman" w:eastAsia="黑体" w:cs="黑体"/>
          <w:b/>
          <w:bCs/>
          <w:color w:val="auto"/>
          <w:sz w:val="44"/>
          <w:szCs w:val="44"/>
          <w:highlight w:val="none"/>
        </w:rPr>
      </w:pPr>
      <w:r>
        <w:rPr>
          <w:rFonts w:hint="eastAsia" w:ascii="Times New Roman" w:hAnsi="Times New Roman" w:eastAsia="黑体" w:cs="黑体"/>
          <w:b/>
          <w:bCs/>
          <w:color w:val="auto"/>
          <w:sz w:val="44"/>
          <w:szCs w:val="44"/>
          <w:highlight w:val="none"/>
        </w:rPr>
        <w:t>第二部分</w:t>
      </w:r>
      <w:r>
        <w:rPr>
          <w:rFonts w:hint="eastAsia" w:ascii="Times New Roman" w:hAnsi="Times New Roman" w:eastAsia="黑体" w:cs="黑体"/>
          <w:b/>
          <w:bCs/>
          <w:color w:val="auto"/>
          <w:sz w:val="44"/>
          <w:szCs w:val="44"/>
          <w:highlight w:val="none"/>
          <w:lang w:val="en-US" w:eastAsia="zh-CN"/>
        </w:rPr>
        <w:t xml:space="preserve"> 2024年度</w:t>
      </w:r>
      <w:r>
        <w:rPr>
          <w:rFonts w:hint="eastAsia" w:ascii="Times New Roman" w:hAnsi="Times New Roman" w:eastAsia="黑体" w:cs="黑体"/>
          <w:b/>
          <w:bCs/>
          <w:color w:val="auto"/>
          <w:sz w:val="44"/>
          <w:szCs w:val="44"/>
          <w:highlight w:val="none"/>
          <w:lang w:eastAsia="zh-CN"/>
        </w:rPr>
        <w:t>单位</w:t>
      </w:r>
      <w:r>
        <w:rPr>
          <w:rFonts w:hint="eastAsia" w:ascii="Times New Roman" w:hAnsi="Times New Roman" w:eastAsia="黑体" w:cs="黑体"/>
          <w:b/>
          <w:bCs/>
          <w:color w:val="auto"/>
          <w:sz w:val="44"/>
          <w:szCs w:val="44"/>
          <w:highlight w:val="none"/>
        </w:rPr>
        <w:t>决算情况说明</w:t>
      </w:r>
    </w:p>
    <w:p w14:paraId="1E0CC626">
      <w:pPr>
        <w:rPr>
          <w:rFonts w:hint="eastAsia"/>
        </w:rPr>
      </w:pPr>
    </w:p>
    <w:p w14:paraId="237F335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一、收入支出决算总体情况说明</w:t>
      </w:r>
    </w:p>
    <w:p w14:paraId="470C431F">
      <w:pPr>
        <w:pStyle w:val="16"/>
        <w:shd w:val="clear" w:color="auto" w:fill="FFFFFF"/>
        <w:spacing w:before="0" w:beforeAutospacing="0" w:after="0" w:afterAutospacing="0"/>
        <w:ind w:firstLine="480" w:firstLineChars="15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 xml:space="preserve"> 本年度收入</w:t>
      </w:r>
      <w:r>
        <w:rPr>
          <w:rFonts w:hint="eastAsia" w:ascii="仿宋_GB2312" w:hAnsi="仿宋" w:eastAsia="仿宋_GB2312" w:cs="Times New Roman"/>
          <w:kern w:val="2"/>
          <w:sz w:val="32"/>
          <w:szCs w:val="32"/>
          <w:lang w:eastAsia="zh-CN"/>
        </w:rPr>
        <w:t>、支出总计均为</w:t>
      </w:r>
      <w:r>
        <w:rPr>
          <w:rFonts w:hint="eastAsia" w:ascii="仿宋_GB2312" w:hAnsi="仿宋" w:eastAsia="仿宋_GB2312" w:cs="Times New Roman"/>
          <w:kern w:val="2"/>
          <w:sz w:val="32"/>
          <w:szCs w:val="32"/>
          <w:lang w:val="en-US" w:eastAsia="zh-CN"/>
        </w:rPr>
        <w:t>1534.75</w:t>
      </w:r>
      <w:r>
        <w:rPr>
          <w:rFonts w:hint="eastAsia" w:ascii="仿宋_GB2312" w:hAnsi="仿宋" w:eastAsia="仿宋_GB2312" w:cs="Times New Roman"/>
          <w:kern w:val="2"/>
          <w:sz w:val="32"/>
          <w:szCs w:val="32"/>
        </w:rPr>
        <w:t>万元</w:t>
      </w:r>
      <w:r>
        <w:rPr>
          <w:rFonts w:hint="eastAsia" w:ascii="仿宋_GB2312" w:hAnsi="仿宋" w:eastAsia="仿宋_GB2312" w:cs="Times New Roman"/>
          <w:kern w:val="2"/>
          <w:sz w:val="32"/>
          <w:szCs w:val="32"/>
          <w:lang w:eastAsia="zh-CN"/>
        </w:rPr>
        <w:t>。与</w:t>
      </w:r>
      <w:r>
        <w:rPr>
          <w:rFonts w:hint="eastAsia" w:ascii="仿宋_GB2312" w:hAnsi="仿宋" w:eastAsia="仿宋_GB2312" w:cs="Times New Roman"/>
          <w:kern w:val="2"/>
          <w:sz w:val="32"/>
          <w:szCs w:val="32"/>
          <w:lang w:val="en-US" w:eastAsia="zh-CN"/>
        </w:rPr>
        <w:t>2023</w:t>
      </w:r>
      <w:r>
        <w:rPr>
          <w:rFonts w:hint="eastAsia" w:ascii="仿宋_GB2312" w:hAnsi="仿宋" w:eastAsia="仿宋_GB2312" w:cs="Times New Roman"/>
          <w:kern w:val="2"/>
          <w:sz w:val="32"/>
          <w:szCs w:val="32"/>
        </w:rPr>
        <w:t>年度</w:t>
      </w:r>
      <w:r>
        <w:rPr>
          <w:rFonts w:hint="eastAsia" w:ascii="仿宋_GB2312" w:hAnsi="仿宋" w:eastAsia="仿宋_GB2312" w:cs="Times New Roman"/>
          <w:kern w:val="2"/>
          <w:sz w:val="32"/>
          <w:szCs w:val="32"/>
          <w:lang w:eastAsia="zh-CN"/>
        </w:rPr>
        <w:t>相比，收、支总计各增加</w:t>
      </w:r>
      <w:r>
        <w:rPr>
          <w:rFonts w:hint="eastAsia" w:ascii="仿宋_GB2312" w:hAnsi="仿宋" w:eastAsia="仿宋_GB2312" w:cs="Times New Roman"/>
          <w:kern w:val="2"/>
          <w:sz w:val="32"/>
          <w:szCs w:val="32"/>
          <w:lang w:val="en-US" w:eastAsia="zh-CN"/>
        </w:rPr>
        <w:t>171.34</w:t>
      </w:r>
      <w:r>
        <w:rPr>
          <w:rFonts w:hint="eastAsia" w:ascii="仿宋_GB2312" w:hAnsi="仿宋" w:eastAsia="仿宋_GB2312" w:cs="Times New Roman"/>
          <w:kern w:val="2"/>
          <w:sz w:val="32"/>
          <w:szCs w:val="32"/>
        </w:rPr>
        <w:t>万元，</w:t>
      </w:r>
      <w:r>
        <w:rPr>
          <w:rFonts w:hint="eastAsia" w:ascii="仿宋_GB2312" w:eastAsia="仿宋_GB2312"/>
          <w:color w:val="000000"/>
          <w:sz w:val="32"/>
          <w:szCs w:val="32"/>
        </w:rPr>
        <w:t>主要原因为：人员调动较大所有经费都有所增加。</w:t>
      </w:r>
    </w:p>
    <w:p w14:paraId="3AFE5CBE">
      <w:pPr>
        <w:rPr>
          <w:rFonts w:hint="eastAsia"/>
        </w:rPr>
      </w:pPr>
      <w:r>
        <w:drawing>
          <wp:inline distT="0" distB="0" distL="114300" distR="114300">
            <wp:extent cx="4596130" cy="1814195"/>
            <wp:effectExtent l="0" t="0" r="1397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6130" cy="1814195"/>
                    </a:xfrm>
                    <a:prstGeom prst="rect">
                      <a:avLst/>
                    </a:prstGeom>
                    <a:noFill/>
                    <a:ln>
                      <a:noFill/>
                    </a:ln>
                  </pic:spPr>
                </pic:pic>
              </a:graphicData>
            </a:graphic>
          </wp:inline>
        </w:drawing>
      </w:r>
    </w:p>
    <w:p w14:paraId="3FD5A255">
      <w:pPr>
        <w:rPr>
          <w:rFonts w:hint="eastAsia"/>
        </w:rPr>
      </w:pPr>
    </w:p>
    <w:p w14:paraId="41953B52">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p>
    <w:p w14:paraId="31EAF507">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1534.75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1534.75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AE8F0EA">
      <w:pPr>
        <w:pStyle w:val="14"/>
      </w:pPr>
      <w:r>
        <w:drawing>
          <wp:inline distT="0" distB="0" distL="114300" distR="114300">
            <wp:extent cx="3908425" cy="1543685"/>
            <wp:effectExtent l="0" t="0" r="1587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908425" cy="1543685"/>
                    </a:xfrm>
                    <a:prstGeom prst="rect">
                      <a:avLst/>
                    </a:prstGeom>
                    <a:noFill/>
                    <a:ln>
                      <a:noFill/>
                    </a:ln>
                  </pic:spPr>
                </pic:pic>
              </a:graphicData>
            </a:graphic>
          </wp:inline>
        </w:drawing>
      </w:r>
    </w:p>
    <w:p w14:paraId="28C49004">
      <w:pPr>
        <w:spacing w:line="60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支出决算情况说明</w:t>
      </w:r>
    </w:p>
    <w:p w14:paraId="7399951C">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1534.75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1267.8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266.95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18D293B">
      <w:pPr>
        <w:pStyle w:val="14"/>
        <w:rPr>
          <w:rFonts w:ascii="仿宋_GB2312" w:eastAsia="仿宋_GB2312"/>
          <w:color w:val="auto"/>
          <w:sz w:val="32"/>
          <w:szCs w:val="32"/>
          <w:highlight w:val="none"/>
        </w:rPr>
      </w:pPr>
      <w:r>
        <w:drawing>
          <wp:inline distT="0" distB="0" distL="114300" distR="114300">
            <wp:extent cx="3329940" cy="127635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329940" cy="1276350"/>
                    </a:xfrm>
                    <a:prstGeom prst="rect">
                      <a:avLst/>
                    </a:prstGeom>
                    <a:noFill/>
                    <a:ln>
                      <a:noFill/>
                    </a:ln>
                  </pic:spPr>
                </pic:pic>
              </a:graphicData>
            </a:graphic>
          </wp:inline>
        </w:drawing>
      </w:r>
    </w:p>
    <w:p w14:paraId="27B0AF74">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p>
    <w:p w14:paraId="14EF934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1534.75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171.34</w:t>
      </w:r>
      <w:r>
        <w:rPr>
          <w:rFonts w:hint="eastAsia" w:ascii="仿宋" w:hAnsi="仿宋" w:eastAsia="仿宋"/>
          <w:color w:val="auto"/>
          <w:sz w:val="32"/>
          <w:szCs w:val="32"/>
          <w:highlight w:val="none"/>
        </w:rPr>
        <w:t>万元，主要变动原因是</w:t>
      </w:r>
      <w:r>
        <w:rPr>
          <w:rFonts w:hint="eastAsia" w:ascii="仿宋" w:hAnsi="仿宋" w:eastAsia="仿宋"/>
          <w:color w:val="auto"/>
          <w:sz w:val="32"/>
          <w:szCs w:val="32"/>
          <w:highlight w:val="none"/>
          <w:lang w:eastAsia="zh-CN"/>
        </w:rPr>
        <w:t>：</w:t>
      </w:r>
      <w:r>
        <w:rPr>
          <w:rFonts w:hint="eastAsia" w:ascii="仿宋_GB2312" w:eastAsia="仿宋_GB2312"/>
          <w:color w:val="000000"/>
          <w:sz w:val="32"/>
          <w:szCs w:val="32"/>
        </w:rPr>
        <w:t>人员调动较大所有经费都有所增加</w:t>
      </w:r>
      <w:r>
        <w:rPr>
          <w:rFonts w:hint="eastAsia" w:ascii="仿宋" w:hAnsi="仿宋" w:eastAsia="仿宋"/>
          <w:color w:val="auto"/>
          <w:sz w:val="32"/>
          <w:szCs w:val="32"/>
          <w:highlight w:val="none"/>
          <w:lang w:eastAsia="zh-CN"/>
        </w:rPr>
        <w:t>。</w:t>
      </w:r>
    </w:p>
    <w:p w14:paraId="17E7991C">
      <w:pPr>
        <w:pStyle w:val="14"/>
        <w:rPr>
          <w:rFonts w:ascii="仿宋" w:hAnsi="仿宋" w:eastAsia="仿宋"/>
          <w:b/>
          <w:color w:val="auto"/>
          <w:sz w:val="32"/>
          <w:szCs w:val="32"/>
          <w:highlight w:val="none"/>
        </w:rPr>
      </w:pPr>
      <w:r>
        <w:drawing>
          <wp:inline distT="0" distB="0" distL="114300" distR="114300">
            <wp:extent cx="4590415" cy="2767330"/>
            <wp:effectExtent l="0" t="0" r="635" b="139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0"/>
                    <a:stretch>
                      <a:fillRect/>
                    </a:stretch>
                  </pic:blipFill>
                  <pic:spPr>
                    <a:xfrm>
                      <a:off x="0" y="0"/>
                      <a:ext cx="4590415" cy="2767330"/>
                    </a:xfrm>
                    <a:prstGeom prst="rect">
                      <a:avLst/>
                    </a:prstGeom>
                    <a:noFill/>
                    <a:ln>
                      <a:noFill/>
                    </a:ln>
                  </pic:spPr>
                </pic:pic>
              </a:graphicData>
            </a:graphic>
          </wp:inline>
        </w:drawing>
      </w:r>
    </w:p>
    <w:p w14:paraId="429BE1A1">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p>
    <w:p w14:paraId="6DF8E265">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5E28C78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1534.75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171.34</w:t>
      </w:r>
      <w:r>
        <w:rPr>
          <w:rFonts w:hint="eastAsia" w:ascii="仿宋" w:hAnsi="仿宋" w:eastAsia="仿宋"/>
          <w:color w:val="auto"/>
          <w:sz w:val="32"/>
          <w:szCs w:val="32"/>
          <w:highlight w:val="none"/>
        </w:rPr>
        <w:t>万元。主要变动原因是</w:t>
      </w:r>
      <w:r>
        <w:rPr>
          <w:rFonts w:hint="eastAsia" w:ascii="仿宋" w:hAnsi="仿宋" w:eastAsia="仿宋"/>
          <w:color w:val="auto"/>
          <w:sz w:val="32"/>
          <w:szCs w:val="32"/>
          <w:highlight w:val="none"/>
          <w:lang w:eastAsia="zh-CN"/>
        </w:rPr>
        <w:t>：</w:t>
      </w:r>
      <w:r>
        <w:rPr>
          <w:rFonts w:hint="eastAsia" w:ascii="仿宋_GB2312" w:eastAsia="仿宋_GB2312"/>
          <w:color w:val="000000"/>
          <w:sz w:val="32"/>
          <w:szCs w:val="32"/>
        </w:rPr>
        <w:t>人员调动较大所有经费都有所增加</w:t>
      </w:r>
      <w:r>
        <w:rPr>
          <w:rFonts w:hint="eastAsia" w:ascii="仿宋" w:hAnsi="仿宋" w:eastAsia="仿宋"/>
          <w:color w:val="auto"/>
          <w:sz w:val="32"/>
          <w:szCs w:val="32"/>
          <w:highlight w:val="none"/>
          <w:lang w:eastAsia="zh-CN"/>
        </w:rPr>
        <w:t>。</w:t>
      </w:r>
    </w:p>
    <w:p w14:paraId="698D6A72">
      <w:pPr>
        <w:pStyle w:val="14"/>
        <w:rPr>
          <w:rFonts w:ascii="仿宋" w:hAnsi="仿宋" w:eastAsia="仿宋"/>
          <w:color w:val="auto"/>
          <w:sz w:val="32"/>
          <w:szCs w:val="32"/>
          <w:highlight w:val="none"/>
        </w:rPr>
      </w:pPr>
      <w:r>
        <w:drawing>
          <wp:inline distT="0" distB="0" distL="114300" distR="114300">
            <wp:extent cx="4596130" cy="1814830"/>
            <wp:effectExtent l="0" t="0" r="13970" b="139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1"/>
                    <a:stretch>
                      <a:fillRect/>
                    </a:stretch>
                  </pic:blipFill>
                  <pic:spPr>
                    <a:xfrm>
                      <a:off x="0" y="0"/>
                      <a:ext cx="4596130" cy="1814830"/>
                    </a:xfrm>
                    <a:prstGeom prst="rect">
                      <a:avLst/>
                    </a:prstGeom>
                    <a:noFill/>
                    <a:ln>
                      <a:noFill/>
                    </a:ln>
                  </pic:spPr>
                </pic:pic>
              </a:graphicData>
            </a:graphic>
          </wp:inline>
        </w:drawing>
      </w:r>
    </w:p>
    <w:p w14:paraId="1A1AA52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6E21D9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 w:eastAsia="仿宋_GB2312"/>
          <w:b/>
          <w:sz w:val="32"/>
          <w:szCs w:val="32"/>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default"/>
          <w:lang w:val="en-US"/>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2589530</wp:posOffset>
            </wp:positionV>
            <wp:extent cx="4932680" cy="1560195"/>
            <wp:effectExtent l="0" t="0" r="1270" b="190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2"/>
                    <a:stretch>
                      <a:fillRect/>
                    </a:stretch>
                  </pic:blipFill>
                  <pic:spPr>
                    <a:xfrm>
                      <a:off x="0" y="0"/>
                      <a:ext cx="4932680" cy="1560195"/>
                    </a:xfrm>
                    <a:prstGeom prst="rect">
                      <a:avLst/>
                    </a:prstGeom>
                    <a:noFill/>
                    <a:ln>
                      <a:noFill/>
                    </a:ln>
                  </pic:spPr>
                </pic:pic>
              </a:graphicData>
            </a:graphic>
          </wp:anchor>
        </w:drawing>
      </w:r>
      <w:r>
        <w:rPr>
          <w:rFonts w:hint="eastAsia" w:ascii="仿宋_GB2312" w:hAnsi="仿宋" w:eastAsia="仿宋_GB2312"/>
          <w:sz w:val="32"/>
          <w:szCs w:val="32"/>
        </w:rPr>
        <w:t>年度总支出为</w:t>
      </w:r>
      <w:r>
        <w:rPr>
          <w:rFonts w:hint="eastAsia" w:ascii="仿宋_GB2312" w:hAnsi="仿宋" w:eastAsia="仿宋_GB2312"/>
          <w:sz w:val="32"/>
          <w:szCs w:val="32"/>
          <w:lang w:val="en-US" w:eastAsia="zh-CN"/>
        </w:rPr>
        <w:t>1534.75</w:t>
      </w:r>
      <w:r>
        <w:rPr>
          <w:rFonts w:hint="eastAsia" w:ascii="仿宋_GB2312" w:hAnsi="仿宋" w:eastAsia="仿宋_GB2312"/>
          <w:sz w:val="32"/>
          <w:szCs w:val="32"/>
        </w:rPr>
        <w:t>万元。</w:t>
      </w:r>
      <w:r>
        <w:rPr>
          <w:rFonts w:hint="eastAsia" w:ascii="仿宋_GB2312" w:hAnsi="仿宋" w:eastAsia="仿宋_GB2312"/>
          <w:sz w:val="32"/>
          <w:szCs w:val="32"/>
          <w:lang w:eastAsia="zh-CN"/>
        </w:rPr>
        <w:t>主要用于以下方面</w:t>
      </w:r>
      <w:r>
        <w:rPr>
          <w:rFonts w:hint="eastAsia" w:ascii="仿宋_GB2312" w:hAnsi="仿宋" w:eastAsia="仿宋_GB2312"/>
          <w:sz w:val="32"/>
          <w:szCs w:val="32"/>
        </w:rPr>
        <w:t>：一般公共服务支出为</w:t>
      </w:r>
      <w:r>
        <w:rPr>
          <w:rFonts w:hint="eastAsia" w:ascii="仿宋_GB2312" w:hAnsi="仿宋" w:eastAsia="仿宋_GB2312"/>
          <w:sz w:val="32"/>
          <w:szCs w:val="32"/>
          <w:lang w:val="en-US" w:eastAsia="zh-CN"/>
        </w:rPr>
        <w:t>1175.41</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76.59</w:t>
      </w:r>
      <w:r>
        <w:rPr>
          <w:rFonts w:hint="eastAsia" w:ascii="仿宋_GB2312" w:hAnsi="仿宋" w:eastAsia="仿宋_GB2312"/>
          <w:sz w:val="32"/>
          <w:szCs w:val="32"/>
        </w:rPr>
        <w:t>%；</w:t>
      </w:r>
      <w:r>
        <w:rPr>
          <w:rFonts w:hint="eastAsia" w:ascii="仿宋_GB2312" w:hAnsi="仿宋" w:eastAsia="仿宋_GB2312"/>
          <w:sz w:val="32"/>
          <w:szCs w:val="32"/>
          <w:lang w:eastAsia="zh-CN"/>
        </w:rPr>
        <w:t>教育支出为</w:t>
      </w:r>
      <w:r>
        <w:rPr>
          <w:rFonts w:hint="eastAsia" w:ascii="仿宋_GB2312" w:hAnsi="仿宋" w:eastAsia="仿宋_GB2312"/>
          <w:sz w:val="32"/>
          <w:szCs w:val="32"/>
          <w:lang w:val="en-US" w:eastAsia="zh-CN"/>
        </w:rPr>
        <w:t>15.76万元，占比1.02%，</w:t>
      </w:r>
      <w:r>
        <w:rPr>
          <w:rFonts w:hint="eastAsia" w:ascii="仿宋_GB2312" w:hAnsi="仿宋" w:eastAsia="仿宋_GB2312"/>
          <w:sz w:val="32"/>
          <w:szCs w:val="32"/>
        </w:rPr>
        <w:t>社会保障和就业支出为</w:t>
      </w:r>
      <w:r>
        <w:rPr>
          <w:rFonts w:hint="eastAsia" w:ascii="仿宋_GB2312" w:hAnsi="仿宋" w:eastAsia="仿宋_GB2312"/>
          <w:sz w:val="32"/>
          <w:szCs w:val="32"/>
          <w:lang w:val="en-US" w:eastAsia="zh-CN"/>
        </w:rPr>
        <w:t>190.15</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12.39</w:t>
      </w:r>
      <w:r>
        <w:rPr>
          <w:rFonts w:hint="eastAsia" w:ascii="仿宋_GB2312" w:hAnsi="仿宋" w:eastAsia="仿宋_GB2312"/>
          <w:sz w:val="32"/>
          <w:szCs w:val="32"/>
        </w:rPr>
        <w:t>%；卫生健康支出为</w:t>
      </w:r>
      <w:r>
        <w:rPr>
          <w:rFonts w:hint="eastAsia" w:ascii="仿宋_GB2312" w:hAnsi="仿宋" w:eastAsia="仿宋_GB2312"/>
          <w:sz w:val="32"/>
          <w:szCs w:val="32"/>
          <w:lang w:val="en-US" w:eastAsia="zh-CN"/>
        </w:rPr>
        <w:t>64.13</w:t>
      </w:r>
      <w:r>
        <w:rPr>
          <w:rFonts w:hint="eastAsia" w:ascii="仿宋_GB2312" w:hAnsi="仿宋" w:eastAsia="仿宋_GB2312"/>
          <w:sz w:val="32"/>
          <w:szCs w:val="32"/>
        </w:rPr>
        <w:t>万元，占比</w:t>
      </w:r>
      <w:r>
        <w:rPr>
          <w:rFonts w:hint="eastAsia" w:ascii="仿宋_GB2312" w:hAnsi="仿宋" w:eastAsia="仿宋_GB2312"/>
          <w:sz w:val="32"/>
          <w:szCs w:val="32"/>
          <w:lang w:val="en-US" w:eastAsia="zh-CN"/>
        </w:rPr>
        <w:t>4.18</w:t>
      </w:r>
      <w:r>
        <w:rPr>
          <w:rFonts w:hint="eastAsia" w:ascii="仿宋_GB2312" w:hAnsi="仿宋" w:eastAsia="仿宋_GB2312"/>
          <w:sz w:val="32"/>
          <w:szCs w:val="32"/>
        </w:rPr>
        <w:t>%；住房保障支出为</w:t>
      </w:r>
      <w:r>
        <w:rPr>
          <w:rFonts w:hint="eastAsia" w:ascii="仿宋_GB2312" w:hAnsi="仿宋" w:eastAsia="仿宋_GB2312"/>
          <w:sz w:val="32"/>
          <w:szCs w:val="32"/>
          <w:lang w:val="en-US" w:eastAsia="zh-CN"/>
        </w:rPr>
        <w:t>89.3</w:t>
      </w:r>
      <w:r>
        <w:rPr>
          <w:rFonts w:hint="eastAsia" w:ascii="仿宋_GB2312" w:hAnsi="仿宋" w:eastAsia="仿宋_GB2312"/>
          <w:sz w:val="32"/>
          <w:szCs w:val="32"/>
        </w:rPr>
        <w:t>万元，占比5.</w:t>
      </w:r>
      <w:r>
        <w:rPr>
          <w:rFonts w:hint="eastAsia" w:ascii="仿宋_GB2312" w:hAnsi="仿宋" w:eastAsia="仿宋_GB2312"/>
          <w:sz w:val="32"/>
          <w:szCs w:val="32"/>
          <w:lang w:val="en-US" w:eastAsia="zh-CN"/>
        </w:rPr>
        <w:t>82</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0D7038D3">
      <w:pPr>
        <w:pStyle w:val="14"/>
        <w:rPr>
          <w:rFonts w:hint="eastAsia" w:ascii="仿宋" w:hAnsi="仿宋" w:eastAsia="仿宋"/>
          <w:color w:val="auto"/>
          <w:sz w:val="32"/>
          <w:szCs w:val="32"/>
          <w:highlight w:val="none"/>
        </w:rPr>
      </w:pPr>
      <w:r>
        <w:rPr>
          <w:rFonts w:hint="eastAsia" w:ascii="仿宋_GB2312" w:hAnsi="仿宋" w:eastAsia="仿宋_GB2312"/>
          <w:b/>
          <w:sz w:val="32"/>
          <w:szCs w:val="32"/>
        </w:rPr>
        <w:t xml:space="preserve"> </w:t>
      </w:r>
    </w:p>
    <w:p w14:paraId="3B436826">
      <w:pPr>
        <w:spacing w:line="600" w:lineRule="exact"/>
        <w:ind w:firstLine="321" w:firstLineChars="1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174C8438">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1534.75</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p>
    <w:p w14:paraId="518B9259">
      <w:pPr>
        <w:spacing w:line="600" w:lineRule="exact"/>
        <w:ind w:firstLine="643" w:firstLineChars="200"/>
        <w:rPr>
          <w:rFonts w:ascii="仿宋" w:hAnsi="仿宋" w:eastAsia="仿宋"/>
          <w:b w:val="0"/>
          <w:bCs w:val="0"/>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1175.41万元，完成预算100%，其中：2011101</w:t>
      </w:r>
      <w:r>
        <w:rPr>
          <w:rStyle w:val="19"/>
          <w:rFonts w:hint="eastAsia" w:ascii="仿宋" w:hAnsi="仿宋" w:eastAsia="仿宋"/>
          <w:b w:val="0"/>
          <w:bCs w:val="0"/>
          <w:color w:val="auto"/>
          <w:sz w:val="32"/>
          <w:szCs w:val="32"/>
          <w:highlight w:val="none"/>
          <w:lang w:eastAsia="zh-CN"/>
        </w:rPr>
        <w:t>行政运行</w:t>
      </w:r>
      <w:r>
        <w:rPr>
          <w:rStyle w:val="19"/>
          <w:rFonts w:hint="eastAsia" w:ascii="仿宋" w:hAnsi="仿宋" w:eastAsia="仿宋"/>
          <w:b w:val="0"/>
          <w:bCs w:val="0"/>
          <w:color w:val="auto"/>
          <w:sz w:val="32"/>
          <w:szCs w:val="32"/>
          <w:highlight w:val="none"/>
          <w:lang w:val="en-US" w:eastAsia="zh-CN"/>
        </w:rPr>
        <w:t>924.22</w:t>
      </w:r>
      <w:r>
        <w:rPr>
          <w:rStyle w:val="19"/>
          <w:rFonts w:hint="eastAsia" w:ascii="仿宋" w:hAnsi="仿宋" w:eastAsia="仿宋"/>
          <w:b w:val="0"/>
          <w:bCs w:val="0"/>
          <w:color w:val="auto"/>
          <w:sz w:val="32"/>
          <w:szCs w:val="32"/>
          <w:highlight w:val="none"/>
        </w:rPr>
        <w:t>万元，</w:t>
      </w:r>
      <w:r>
        <w:rPr>
          <w:rStyle w:val="19"/>
          <w:rFonts w:hint="eastAsia" w:ascii="仿宋" w:hAnsi="仿宋" w:eastAsia="仿宋"/>
          <w:b w:val="0"/>
          <w:bCs w:val="0"/>
          <w:color w:val="auto"/>
          <w:sz w:val="32"/>
          <w:szCs w:val="32"/>
          <w:highlight w:val="none"/>
          <w:lang w:val="en-US" w:eastAsia="zh-CN"/>
        </w:rPr>
        <w:t>2011102一般行政管理事务200.23万元，2011106巡视工作29.96万元，2011199其他纪检监察事务支出21万元</w:t>
      </w:r>
      <w:r>
        <w:rPr>
          <w:rStyle w:val="19"/>
          <w:rFonts w:hint="eastAsia" w:ascii="仿宋" w:hAnsi="仿宋" w:eastAsia="仿宋"/>
          <w:b w:val="0"/>
          <w:bCs w:val="0"/>
          <w:color w:val="auto"/>
          <w:sz w:val="32"/>
          <w:szCs w:val="32"/>
          <w:highlight w:val="none"/>
        </w:rPr>
        <w:t>。</w:t>
      </w:r>
    </w:p>
    <w:p w14:paraId="5B9D15AC">
      <w:pPr>
        <w:spacing w:line="600" w:lineRule="exact"/>
        <w:ind w:firstLine="643" w:firstLineChars="200"/>
        <w:rPr>
          <w:rFonts w:ascii="仿宋" w:hAnsi="仿宋" w:eastAsia="仿宋"/>
          <w:b w:val="0"/>
          <w:bCs w:val="0"/>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w:t>
      </w:r>
      <w:r>
        <w:rPr>
          <w:rStyle w:val="19"/>
          <w:rFonts w:hint="eastAsia" w:ascii="仿宋" w:hAnsi="仿宋" w:eastAsia="仿宋"/>
          <w:b/>
          <w:bCs/>
          <w:color w:val="auto"/>
          <w:sz w:val="32"/>
          <w:szCs w:val="32"/>
          <w:highlight w:val="none"/>
        </w:rPr>
        <w:t>和就业</w:t>
      </w:r>
      <w:r>
        <w:rPr>
          <w:rStyle w:val="19"/>
          <w:rFonts w:hint="eastAsia" w:ascii="仿宋" w:hAnsi="仿宋" w:eastAsia="仿宋"/>
          <w:b/>
          <w:bCs/>
          <w:color w:val="auto"/>
          <w:sz w:val="32"/>
          <w:szCs w:val="32"/>
          <w:highlight w:val="none"/>
          <w:lang w:eastAsia="zh-CN"/>
        </w:rPr>
        <w:t>支出：</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val="0"/>
          <w:color w:val="auto"/>
          <w:sz w:val="32"/>
          <w:szCs w:val="32"/>
          <w:highlight w:val="none"/>
          <w:lang w:val="en-US" w:eastAsia="zh-CN"/>
        </w:rPr>
        <w:t>190.15万元，完成预算100%，其中：2080505机关事业单位养老保险缴费支出119.6</w:t>
      </w:r>
      <w:r>
        <w:rPr>
          <w:rStyle w:val="19"/>
          <w:rFonts w:hint="eastAsia" w:ascii="仿宋" w:hAnsi="仿宋" w:eastAsia="仿宋"/>
          <w:b w:val="0"/>
          <w:bCs w:val="0"/>
          <w:color w:val="auto"/>
          <w:sz w:val="32"/>
          <w:szCs w:val="32"/>
          <w:highlight w:val="none"/>
        </w:rPr>
        <w:t>万元，</w:t>
      </w:r>
      <w:r>
        <w:rPr>
          <w:rStyle w:val="19"/>
          <w:rFonts w:hint="eastAsia" w:ascii="仿宋" w:hAnsi="仿宋" w:eastAsia="仿宋"/>
          <w:b w:val="0"/>
          <w:bCs w:val="0"/>
          <w:color w:val="auto"/>
          <w:sz w:val="32"/>
          <w:szCs w:val="32"/>
          <w:highlight w:val="none"/>
          <w:lang w:val="en-US" w:eastAsia="zh-CN"/>
        </w:rPr>
        <w:t>2080506机关事业单位职业年金缴费支出70.54</w:t>
      </w:r>
      <w:r>
        <w:rPr>
          <w:rStyle w:val="19"/>
          <w:rFonts w:hint="eastAsia" w:ascii="仿宋" w:hAnsi="仿宋" w:eastAsia="仿宋"/>
          <w:b w:val="0"/>
          <w:bCs w:val="0"/>
          <w:color w:val="auto"/>
          <w:sz w:val="32"/>
          <w:szCs w:val="32"/>
          <w:highlight w:val="none"/>
        </w:rPr>
        <w:t>万元。</w:t>
      </w:r>
    </w:p>
    <w:p w14:paraId="1CDF4EA0">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9"/>
          <w:rFonts w:hint="eastAsia" w:ascii="仿宋" w:hAnsi="仿宋" w:eastAsia="仿宋"/>
          <w:b w:val="0"/>
          <w:bCs w:val="0"/>
          <w:color w:val="auto"/>
          <w:sz w:val="32"/>
          <w:szCs w:val="32"/>
          <w:highlight w:val="none"/>
          <w:lang w:eastAsia="zh-CN"/>
        </w:rPr>
        <w:t>支出决算为</w:t>
      </w:r>
      <w:r>
        <w:rPr>
          <w:rFonts w:hint="eastAsia" w:ascii="仿宋" w:hAnsi="仿宋" w:eastAsia="仿宋"/>
          <w:b w:val="0"/>
          <w:bCs w:val="0"/>
          <w:color w:val="auto"/>
          <w:sz w:val="32"/>
          <w:szCs w:val="32"/>
          <w:highlight w:val="none"/>
          <w:lang w:val="en-US" w:eastAsia="zh-CN"/>
        </w:rPr>
        <w:t>64.13万元，完成预算100%，其中</w:t>
      </w:r>
      <w:r>
        <w:rPr>
          <w:rStyle w:val="19"/>
          <w:rFonts w:hint="eastAsia" w:ascii="仿宋" w:hAnsi="仿宋" w:eastAsia="仿宋"/>
          <w:b w:val="0"/>
          <w:bCs w:val="0"/>
          <w:color w:val="auto"/>
          <w:sz w:val="32"/>
          <w:szCs w:val="32"/>
          <w:highlight w:val="none"/>
          <w:lang w:eastAsia="zh-CN"/>
        </w:rPr>
        <w:t>：</w:t>
      </w:r>
      <w:r>
        <w:rPr>
          <w:rStyle w:val="19"/>
          <w:rFonts w:hint="eastAsia" w:ascii="仿宋" w:hAnsi="仿宋" w:eastAsia="仿宋"/>
          <w:b w:val="0"/>
          <w:bCs w:val="0"/>
          <w:color w:val="auto"/>
          <w:sz w:val="32"/>
          <w:szCs w:val="32"/>
          <w:highlight w:val="none"/>
          <w:lang w:val="en-US" w:eastAsia="zh-CN"/>
        </w:rPr>
        <w:t>2101101行政单位医疗53.84</w:t>
      </w:r>
      <w:r>
        <w:rPr>
          <w:rStyle w:val="19"/>
          <w:rFonts w:hint="eastAsia" w:ascii="仿宋" w:hAnsi="仿宋" w:eastAsia="仿宋"/>
          <w:b w:val="0"/>
          <w:bCs w:val="0"/>
          <w:color w:val="auto"/>
          <w:sz w:val="32"/>
          <w:szCs w:val="32"/>
          <w:highlight w:val="none"/>
        </w:rPr>
        <w:t>万元，</w:t>
      </w:r>
      <w:r>
        <w:rPr>
          <w:rStyle w:val="19"/>
          <w:rFonts w:hint="eastAsia" w:ascii="仿宋" w:hAnsi="仿宋" w:eastAsia="仿宋"/>
          <w:b w:val="0"/>
          <w:bCs w:val="0"/>
          <w:color w:val="auto"/>
          <w:sz w:val="32"/>
          <w:szCs w:val="32"/>
          <w:highlight w:val="none"/>
          <w:lang w:val="en-US" w:eastAsia="zh-CN"/>
        </w:rPr>
        <w:t>2101103公务员医疗补助10.28</w:t>
      </w:r>
      <w:r>
        <w:rPr>
          <w:rStyle w:val="19"/>
          <w:rFonts w:hint="eastAsia" w:ascii="仿宋" w:hAnsi="仿宋" w:eastAsia="仿宋"/>
          <w:b w:val="0"/>
          <w:bCs w:val="0"/>
          <w:color w:val="auto"/>
          <w:sz w:val="32"/>
          <w:szCs w:val="32"/>
          <w:highlight w:val="none"/>
        </w:rPr>
        <w:t>万元。</w:t>
      </w:r>
    </w:p>
    <w:p w14:paraId="73762300">
      <w:pPr>
        <w:spacing w:line="600" w:lineRule="exact"/>
        <w:ind w:firstLine="643" w:firstLineChars="200"/>
        <w:rPr>
          <w:rStyle w:val="19"/>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4.住房保障支出：</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color w:val="auto"/>
          <w:sz w:val="32"/>
          <w:szCs w:val="32"/>
          <w:highlight w:val="none"/>
          <w:lang w:val="en-US" w:eastAsia="zh-CN"/>
        </w:rPr>
        <w:t>89.3万元，完成预算100%，其中：2210201住房公积金89.3万元。</w:t>
      </w:r>
    </w:p>
    <w:p w14:paraId="2A1B021F">
      <w:pPr>
        <w:spacing w:line="600" w:lineRule="exact"/>
        <w:ind w:firstLine="643" w:firstLineChars="200"/>
        <w:rPr>
          <w:rStyle w:val="19"/>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5教育支出：</w:t>
      </w:r>
      <w:r>
        <w:rPr>
          <w:rStyle w:val="19"/>
          <w:rFonts w:hint="eastAsia" w:ascii="仿宋" w:hAnsi="仿宋" w:eastAsia="仿宋"/>
          <w:b w:val="0"/>
          <w:bCs w:val="0"/>
          <w:color w:val="auto"/>
          <w:sz w:val="32"/>
          <w:szCs w:val="32"/>
          <w:highlight w:val="none"/>
          <w:lang w:eastAsia="zh-CN"/>
        </w:rPr>
        <w:t>支出决算为</w:t>
      </w:r>
      <w:r>
        <w:rPr>
          <w:rStyle w:val="19"/>
          <w:rFonts w:hint="eastAsia" w:ascii="仿宋" w:hAnsi="仿宋" w:eastAsia="仿宋"/>
          <w:b w:val="0"/>
          <w:bCs/>
          <w:color w:val="auto"/>
          <w:sz w:val="32"/>
          <w:szCs w:val="32"/>
          <w:highlight w:val="none"/>
          <w:lang w:val="en-US" w:eastAsia="zh-CN"/>
        </w:rPr>
        <w:t>15.77万元，完成预算100%，其中：2080503培训支出15.77万元。</w:t>
      </w:r>
    </w:p>
    <w:p w14:paraId="5A3114FB">
      <w:pPr>
        <w:spacing w:line="600" w:lineRule="exact"/>
        <w:ind w:firstLine="640" w:firstLineChars="200"/>
        <w:rPr>
          <w:rStyle w:val="31"/>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r>
        <w:rPr>
          <w:rStyle w:val="31"/>
          <w:rFonts w:ascii="黑体" w:hAnsi="黑体" w:eastAsia="黑体"/>
          <w:b w:val="0"/>
          <w:color w:val="auto"/>
          <w:highlight w:val="none"/>
        </w:rPr>
        <w:tab/>
      </w:r>
    </w:p>
    <w:p w14:paraId="6B692135">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1267.8</w:t>
      </w:r>
      <w:r>
        <w:rPr>
          <w:rFonts w:hint="eastAsia" w:ascii="仿宋" w:hAnsi="仿宋" w:eastAsia="仿宋"/>
          <w:color w:val="auto"/>
          <w:sz w:val="32"/>
          <w:szCs w:val="32"/>
          <w:highlight w:val="none"/>
        </w:rPr>
        <w:t>万元，其中：</w:t>
      </w:r>
    </w:p>
    <w:p w14:paraId="10E9C0E1">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1146.48</w:t>
      </w:r>
      <w:r>
        <w:rPr>
          <w:rFonts w:hint="eastAsia" w:ascii="仿宋" w:hAnsi="仿宋" w:eastAsia="仿宋"/>
          <w:color w:val="auto"/>
          <w:sz w:val="32"/>
          <w:szCs w:val="32"/>
          <w:highlight w:val="none"/>
        </w:rPr>
        <w:t>万元，主要包括：基本工资、津贴补贴、奖金、机关事业单位基本养老保险缴费、职业年金缴费、其他社会保障缴费、其他工资福利支出、生活补助、医疗费补助、住房公积金、其他对个人和家庭的补助支出等。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121.32</w:t>
      </w:r>
      <w:r>
        <w:rPr>
          <w:rFonts w:hint="eastAsia" w:ascii="仿宋" w:hAnsi="仿宋" w:eastAsia="仿宋"/>
          <w:color w:val="auto"/>
          <w:sz w:val="32"/>
          <w:szCs w:val="32"/>
          <w:highlight w:val="none"/>
        </w:rPr>
        <w:t>万元，主要包括：办公费、水费、电费、邮电费、差旅费、会议费、培训费、工会经费、公务用车运行维护费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办公设备购置等。</w:t>
      </w:r>
    </w:p>
    <w:p w14:paraId="57A69550">
      <w:pPr>
        <w:spacing w:line="600" w:lineRule="exact"/>
        <w:ind w:firstLine="640"/>
        <w:outlineLvl w:val="1"/>
        <w:rPr>
          <w:rStyle w:val="31"/>
          <w:rFonts w:ascii="黑体" w:hAnsi="黑体" w:eastAsia="黑体"/>
          <w:b w:val="0"/>
          <w:color w:val="auto"/>
          <w:highlight w:val="none"/>
        </w:rPr>
      </w:pPr>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p>
    <w:p w14:paraId="59949AC7">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749C3FB0">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129.47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 w:eastAsia="仿宋_GB2312"/>
          <w:sz w:val="32"/>
          <w:szCs w:val="32"/>
        </w:rPr>
        <w:t>相比上年度增加</w:t>
      </w:r>
      <w:r>
        <w:rPr>
          <w:rFonts w:hint="eastAsia" w:ascii="仿宋_GB2312" w:hAnsi="仿宋" w:eastAsia="仿宋_GB2312"/>
          <w:sz w:val="32"/>
          <w:szCs w:val="32"/>
          <w:lang w:val="en-US" w:eastAsia="zh-CN"/>
        </w:rPr>
        <w:t>88</w:t>
      </w:r>
      <w:r>
        <w:rPr>
          <w:rFonts w:hint="eastAsia" w:ascii="仿宋_GB2312" w:hAnsi="仿宋" w:eastAsia="仿宋_GB2312"/>
          <w:sz w:val="32"/>
          <w:szCs w:val="32"/>
        </w:rPr>
        <w:t>万元，主要原因</w:t>
      </w:r>
      <w:r>
        <w:rPr>
          <w:rFonts w:hint="eastAsia" w:ascii="仿宋_GB2312" w:hAnsi="仿宋" w:eastAsia="仿宋_GB2312"/>
          <w:sz w:val="32"/>
          <w:szCs w:val="32"/>
          <w:lang w:eastAsia="zh-CN"/>
        </w:rPr>
        <w:t>本年度购置两台公务用车</w:t>
      </w:r>
      <w:r>
        <w:rPr>
          <w:rFonts w:hint="eastAsia" w:ascii="仿宋_GB2312" w:hAnsi="仿宋" w:eastAsia="仿宋_GB2312"/>
          <w:sz w:val="32"/>
          <w:szCs w:val="32"/>
          <w:lang w:val="en-US" w:eastAsia="zh-CN"/>
        </w:rPr>
        <w:t>83.3万元，公务用车去年6台今年7台，故公务用车运行维护费也有所增加。</w:t>
      </w:r>
    </w:p>
    <w:p w14:paraId="244126CD">
      <w:pPr>
        <w:keepNext w:val="0"/>
        <w:keepLines w:val="0"/>
        <w:pageBreakBefore w:val="0"/>
        <w:widowControl w:val="0"/>
        <w:kinsoku/>
        <w:wordWrap/>
        <w:overflowPunct/>
        <w:topLinePunct w:val="0"/>
        <w:autoSpaceDE/>
        <w:autoSpaceDN/>
        <w:bidi w:val="0"/>
        <w:adjustRightInd/>
        <w:snapToGrid/>
        <w:spacing w:line="578" w:lineRule="exact"/>
        <w:ind w:firstLine="641"/>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7D25B1DA">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“三公”经费财政拨款支出决算中，公务用车运行维护费支出决算</w:t>
      </w:r>
      <w:r>
        <w:rPr>
          <w:rFonts w:hint="eastAsia" w:ascii="仿宋" w:hAnsi="仿宋" w:eastAsia="仿宋"/>
          <w:color w:val="auto"/>
          <w:sz w:val="32"/>
          <w:szCs w:val="32"/>
          <w:highlight w:val="none"/>
          <w:lang w:val="en-US" w:eastAsia="zh-CN"/>
        </w:rPr>
        <w:t>46.17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35.66</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w:t>
      </w:r>
      <w:r>
        <w:rPr>
          <w:rFonts w:hint="eastAsia" w:ascii="仿宋" w:hAnsi="仿宋" w:eastAsia="仿宋"/>
          <w:color w:val="auto"/>
          <w:sz w:val="32"/>
          <w:szCs w:val="32"/>
          <w:highlight w:val="none"/>
          <w:lang w:eastAsia="zh-CN"/>
        </w:rPr>
        <w:t>用车购置费</w:t>
      </w:r>
      <w:r>
        <w:rPr>
          <w:rFonts w:hint="eastAsia" w:ascii="仿宋" w:hAnsi="仿宋" w:eastAsia="仿宋"/>
          <w:color w:val="auto"/>
          <w:sz w:val="32"/>
          <w:szCs w:val="32"/>
          <w:highlight w:val="none"/>
        </w:rPr>
        <w:t>支出决算</w:t>
      </w:r>
      <w:r>
        <w:rPr>
          <w:rFonts w:hint="eastAsia" w:ascii="仿宋" w:hAnsi="仿宋" w:eastAsia="仿宋"/>
          <w:color w:val="auto"/>
          <w:sz w:val="32"/>
          <w:szCs w:val="32"/>
          <w:highlight w:val="none"/>
          <w:lang w:val="en-US" w:eastAsia="zh-CN"/>
        </w:rPr>
        <w:t>83.3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64.34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58AC943A">
      <w:pPr>
        <w:pStyle w:val="14"/>
      </w:pPr>
      <w:r>
        <w:drawing>
          <wp:inline distT="0" distB="0" distL="114300" distR="114300">
            <wp:extent cx="4596130" cy="2079625"/>
            <wp:effectExtent l="0" t="0" r="13970" b="1587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3"/>
                    <a:stretch>
                      <a:fillRect/>
                    </a:stretch>
                  </pic:blipFill>
                  <pic:spPr>
                    <a:xfrm>
                      <a:off x="0" y="0"/>
                      <a:ext cx="4596130" cy="2079625"/>
                    </a:xfrm>
                    <a:prstGeom prst="rect">
                      <a:avLst/>
                    </a:prstGeom>
                    <a:noFill/>
                    <a:ln>
                      <a:noFill/>
                    </a:ln>
                  </pic:spPr>
                </pic:pic>
              </a:graphicData>
            </a:graphic>
          </wp:inline>
        </w:drawing>
      </w:r>
    </w:p>
    <w:p w14:paraId="5356B154">
      <w:pPr>
        <w:keepNext w:val="0"/>
        <w:keepLines w:val="0"/>
        <w:pageBreakBefore w:val="0"/>
        <w:widowControl w:val="0"/>
        <w:kinsoku/>
        <w:wordWrap/>
        <w:overflowPunct/>
        <w:topLinePunct w:val="0"/>
        <w:bidi w:val="0"/>
        <w:spacing w:line="578" w:lineRule="exact"/>
        <w:ind w:firstLine="640"/>
        <w:textAlignment w:val="auto"/>
        <w:rPr>
          <w:rFonts w:hint="eastAsia" w:ascii="仿宋_GB2312" w:hAnsi="仿宋" w:eastAsia="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49.19</w:t>
      </w:r>
      <w:r>
        <w:rPr>
          <w:rFonts w:hint="eastAsia" w:ascii="仿宋_GB2312" w:eastAsia="仿宋_GB2312"/>
          <w:color w:val="auto"/>
          <w:sz w:val="32"/>
          <w:szCs w:val="32"/>
          <w:highlight w:val="none"/>
        </w:rPr>
        <w:t>万元。主要用于所需的公务用车燃料费、维修费、过路过桥费、保险费等支出</w:t>
      </w:r>
      <w:r>
        <w:rPr>
          <w:rFonts w:hint="eastAsia" w:ascii="仿宋_GB2312" w:eastAsia="仿宋_GB2312"/>
          <w:color w:val="auto"/>
          <w:sz w:val="32"/>
          <w:szCs w:val="32"/>
          <w:highlight w:val="none"/>
          <w:lang w:eastAsia="zh-CN"/>
        </w:rPr>
        <w:t>；</w:t>
      </w:r>
      <w:r>
        <w:rPr>
          <w:rFonts w:hint="eastAsia" w:ascii="仿宋_GB2312" w:eastAsia="仿宋_GB2312"/>
          <w:b w:val="0"/>
          <w:bCs w:val="0"/>
          <w:color w:val="auto"/>
          <w:sz w:val="32"/>
          <w:szCs w:val="32"/>
          <w:highlight w:val="none"/>
          <w:lang w:eastAsia="zh-CN"/>
        </w:rPr>
        <w:t>公务用车购置费</w:t>
      </w:r>
      <w:r>
        <w:rPr>
          <w:rFonts w:hint="eastAsia" w:ascii="仿宋_GB2312" w:eastAsia="仿宋_GB2312"/>
          <w:b w:val="0"/>
          <w:bCs w:val="0"/>
          <w:color w:val="auto"/>
          <w:sz w:val="32"/>
          <w:szCs w:val="32"/>
          <w:highlight w:val="none"/>
          <w:lang w:val="en-US" w:eastAsia="zh-CN"/>
        </w:rPr>
        <w:t>83.3</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lang w:eastAsia="zh-CN"/>
        </w:rPr>
        <w:t>主要用于采购公务用车</w:t>
      </w:r>
      <w:r>
        <w:rPr>
          <w:rStyle w:val="19"/>
          <w:rFonts w:hint="eastAsia" w:ascii="仿宋" w:hAnsi="仿宋" w:eastAsia="仿宋"/>
          <w:b w:val="0"/>
          <w:bCs/>
          <w:color w:val="auto"/>
          <w:sz w:val="32"/>
          <w:szCs w:val="32"/>
          <w:highlight w:val="none"/>
        </w:rPr>
        <w:t>。</w:t>
      </w:r>
    </w:p>
    <w:p w14:paraId="5281AB01">
      <w:pPr>
        <w:keepNext w:val="0"/>
        <w:keepLines w:val="0"/>
        <w:pageBreakBefore w:val="0"/>
        <w:widowControl w:val="0"/>
        <w:numPr>
          <w:ilvl w:val="0"/>
          <w:numId w:val="0"/>
        </w:numPr>
        <w:kinsoku/>
        <w:wordWrap/>
        <w:overflowPunct/>
        <w:topLinePunct w:val="0"/>
        <w:bidi w:val="0"/>
        <w:spacing w:line="578" w:lineRule="exact"/>
        <w:ind w:firstLine="640" w:firstLineChars="200"/>
        <w:textAlignment w:val="auto"/>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p>
    <w:p w14:paraId="12A3D54D">
      <w:pPr>
        <w:keepNext w:val="0"/>
        <w:keepLines w:val="0"/>
        <w:pageBreakBefore w:val="0"/>
        <w:widowControl w:val="0"/>
        <w:kinsoku/>
        <w:wordWrap/>
        <w:overflowPunct/>
        <w:topLinePunct w:val="0"/>
        <w:bidi w:val="0"/>
        <w:spacing w:line="578" w:lineRule="exact"/>
        <w:ind w:firstLine="64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无</w:t>
      </w:r>
    </w:p>
    <w:p w14:paraId="25E458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Style w:val="31"/>
          <w:rFonts w:ascii="黑体" w:hAnsi="黑体" w:eastAsia="黑体"/>
          <w:b w:val="0"/>
          <w:color w:val="auto"/>
          <w:highlight w:val="none"/>
        </w:rPr>
      </w:pPr>
      <w:r>
        <w:rPr>
          <w:rStyle w:val="31"/>
          <w:rFonts w:hint="eastAsia" w:ascii="黑体" w:hAnsi="黑体" w:eastAsia="黑体"/>
          <w:b w:val="0"/>
          <w:color w:val="auto"/>
          <w:highlight w:val="none"/>
          <w:lang w:eastAsia="zh-CN"/>
        </w:rPr>
        <w:t>九、</w:t>
      </w:r>
      <w:r>
        <w:rPr>
          <w:rStyle w:val="31"/>
          <w:rFonts w:hint="eastAsia" w:ascii="黑体" w:hAnsi="黑体" w:eastAsia="黑体"/>
          <w:b w:val="0"/>
          <w:color w:val="auto"/>
          <w:highlight w:val="none"/>
        </w:rPr>
        <w:t>国有资本经营预算支出决算情况说明</w:t>
      </w:r>
    </w:p>
    <w:p w14:paraId="46B7C75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无</w:t>
      </w:r>
    </w:p>
    <w:p w14:paraId="61F8CDE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Style w:val="31"/>
          <w:rFonts w:hint="eastAsia" w:ascii="黑体" w:hAnsi="黑体" w:eastAsia="黑体"/>
          <w:b w:val="0"/>
          <w:color w:val="auto"/>
          <w:highlight w:val="none"/>
        </w:rPr>
      </w:pPr>
      <w:r>
        <w:rPr>
          <w:rStyle w:val="31"/>
          <w:rFonts w:hint="eastAsia" w:ascii="黑体" w:hAnsi="黑体" w:eastAsia="黑体"/>
          <w:b w:val="0"/>
          <w:color w:val="auto"/>
          <w:highlight w:val="none"/>
          <w:lang w:eastAsia="zh-CN"/>
        </w:rPr>
        <w:t>十、</w:t>
      </w:r>
      <w:r>
        <w:rPr>
          <w:rStyle w:val="31"/>
          <w:rFonts w:hint="eastAsia" w:ascii="黑体" w:hAnsi="黑体" w:eastAsia="黑体"/>
          <w:b w:val="0"/>
          <w:color w:val="auto"/>
          <w:highlight w:val="none"/>
        </w:rPr>
        <w:t>其他重要事项的情况说明</w:t>
      </w:r>
    </w:p>
    <w:p w14:paraId="6F668516">
      <w:pPr>
        <w:keepNext w:val="0"/>
        <w:keepLines w:val="0"/>
        <w:pageBreakBefore w:val="0"/>
        <w:widowControl w:val="0"/>
        <w:kinsoku/>
        <w:wordWrap/>
        <w:overflowPunct/>
        <w:topLinePunct w:val="0"/>
        <w:bidi w:val="0"/>
        <w:snapToGrid/>
        <w:spacing w:line="578" w:lineRule="exact"/>
        <w:ind w:firstLine="643" w:firstLineChars="200"/>
        <w:textAlignment w:val="auto"/>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6F29D23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我委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121.32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度减少</w:t>
      </w:r>
      <w:r>
        <w:rPr>
          <w:rFonts w:hint="eastAsia" w:ascii="仿宋_GB2312" w:eastAsia="仿宋_GB2312"/>
          <w:color w:val="auto"/>
          <w:sz w:val="32"/>
          <w:szCs w:val="32"/>
          <w:highlight w:val="none"/>
          <w:lang w:val="en-US" w:eastAsia="zh-CN"/>
        </w:rPr>
        <w:t>4.79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减少的</w:t>
      </w:r>
      <w:r>
        <w:rPr>
          <w:rFonts w:hint="eastAsia" w:ascii="仿宋_GB2312" w:eastAsia="仿宋_GB2312"/>
          <w:color w:val="auto"/>
          <w:sz w:val="32"/>
          <w:szCs w:val="32"/>
          <w:highlight w:val="none"/>
        </w:rPr>
        <w:t>原因是</w:t>
      </w:r>
      <w:r>
        <w:rPr>
          <w:rFonts w:hint="eastAsia" w:ascii="仿宋_GB2312" w:eastAsia="仿宋_GB2312"/>
          <w:color w:val="auto"/>
          <w:sz w:val="32"/>
          <w:szCs w:val="32"/>
          <w:highlight w:val="none"/>
          <w:lang w:eastAsia="zh-CN"/>
        </w:rPr>
        <w:t>做预算时人员基数减少。</w:t>
      </w:r>
    </w:p>
    <w:p w14:paraId="3FBBE211">
      <w:pPr>
        <w:keepNext w:val="0"/>
        <w:keepLines w:val="0"/>
        <w:pageBreakBefore w:val="0"/>
        <w:widowControl w:val="0"/>
        <w:kinsoku/>
        <w:wordWrap/>
        <w:overflowPunct/>
        <w:topLinePunct w:val="0"/>
        <w:autoSpaceDE w:val="0"/>
        <w:autoSpaceDN w:val="0"/>
        <w:bidi w:val="0"/>
        <w:adjustRightInd w:val="0"/>
        <w:snapToGrid/>
        <w:spacing w:line="578"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72ECAE1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我委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83.3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用于采购</w:t>
      </w:r>
      <w:bookmarkStart w:id="6" w:name="_GoBack"/>
      <w:r>
        <w:rPr>
          <w:rFonts w:hint="eastAsia" w:ascii="仿宋_GB2312" w:eastAsia="仿宋_GB2312"/>
          <w:color w:val="auto"/>
          <w:sz w:val="32"/>
          <w:szCs w:val="32"/>
          <w:highlight w:val="none"/>
          <w:lang w:eastAsia="zh-CN"/>
        </w:rPr>
        <w:t>两辆</w:t>
      </w:r>
      <w:bookmarkEnd w:id="6"/>
      <w:r>
        <w:rPr>
          <w:rFonts w:hint="eastAsia" w:ascii="仿宋_GB2312" w:eastAsia="仿宋_GB2312"/>
          <w:color w:val="auto"/>
          <w:sz w:val="32"/>
          <w:szCs w:val="32"/>
          <w:highlight w:val="none"/>
          <w:lang w:eastAsia="zh-CN"/>
        </w:rPr>
        <w:t>公务用车</w:t>
      </w:r>
      <w:r>
        <w:rPr>
          <w:rFonts w:hint="eastAsia" w:ascii="仿宋_GB2312" w:eastAsia="仿宋_GB2312"/>
          <w:color w:val="auto"/>
          <w:sz w:val="32"/>
          <w:szCs w:val="32"/>
          <w:highlight w:val="none"/>
        </w:rPr>
        <w:t>。</w:t>
      </w:r>
    </w:p>
    <w:p w14:paraId="0F653CFF">
      <w:pPr>
        <w:keepNext w:val="0"/>
        <w:keepLines w:val="0"/>
        <w:pageBreakBefore w:val="0"/>
        <w:widowControl w:val="0"/>
        <w:kinsoku/>
        <w:wordWrap/>
        <w:overflowPunct/>
        <w:topLinePunct w:val="0"/>
        <w:autoSpaceDE w:val="0"/>
        <w:autoSpaceDN w:val="0"/>
        <w:bidi w:val="0"/>
        <w:adjustRightInd w:val="0"/>
        <w:snapToGrid/>
        <w:spacing w:line="578" w:lineRule="exact"/>
        <w:ind w:firstLine="643" w:firstLineChars="200"/>
        <w:jc w:val="left"/>
        <w:textAlignment w:val="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621AF7B7">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我委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5台，</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A030C7D">
      <w:pPr>
        <w:keepNext w:val="0"/>
        <w:keepLines w:val="0"/>
        <w:pageBreakBefore w:val="0"/>
        <w:widowControl w:val="0"/>
        <w:kinsoku/>
        <w:wordWrap/>
        <w:overflowPunct/>
        <w:topLinePunct w:val="0"/>
        <w:autoSpaceDE w:val="0"/>
        <w:autoSpaceDN w:val="0"/>
        <w:bidi w:val="0"/>
        <w:adjustRightInd w:val="0"/>
        <w:spacing w:line="578" w:lineRule="exact"/>
        <w:ind w:firstLine="643" w:firstLineChars="200"/>
        <w:jc w:val="left"/>
        <w:textAlignment w:val="auto"/>
        <w:outlineLvl w:val="2"/>
        <w:rPr>
          <w:rFonts w:hint="eastAsia" w:eastAsia="仿宋"/>
          <w:lang w:eastAsia="zh-CN"/>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四</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预算绩效管理情况</w:t>
      </w:r>
    </w:p>
    <w:p w14:paraId="02C79ECB">
      <w:pPr>
        <w:keepNext w:val="0"/>
        <w:keepLines w:val="0"/>
        <w:pageBreakBefore w:val="0"/>
        <w:widowControl w:val="0"/>
        <w:kinsoku/>
        <w:wordWrap/>
        <w:overflowPunct/>
        <w:topLinePunct w:val="0"/>
        <w:bidi w:val="0"/>
        <w:spacing w:line="578"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zh-CN" w:eastAsia="zh-CN"/>
        </w:rPr>
        <w:t>一是党风廉政宣传、</w:t>
      </w:r>
      <w:r>
        <w:rPr>
          <w:rFonts w:hint="eastAsia" w:ascii="仿宋_GB2312" w:eastAsia="仿宋_GB2312" w:cs="Times New Roman"/>
          <w:color w:val="auto"/>
          <w:sz w:val="32"/>
          <w:szCs w:val="32"/>
          <w:highlight w:val="none"/>
          <w:lang w:val="zh-CN" w:eastAsia="zh-CN"/>
        </w:rPr>
        <w:t>二</w:t>
      </w:r>
      <w:r>
        <w:rPr>
          <w:rFonts w:hint="eastAsia" w:ascii="仿宋_GB2312" w:hAnsi="Times New Roman" w:eastAsia="仿宋_GB2312" w:cs="Times New Roman"/>
          <w:color w:val="auto"/>
          <w:sz w:val="32"/>
          <w:szCs w:val="32"/>
          <w:highlight w:val="none"/>
          <w:lang w:val="zh-CN" w:eastAsia="zh-CN"/>
        </w:rPr>
        <w:t>是会议及培训、</w:t>
      </w:r>
      <w:r>
        <w:rPr>
          <w:rFonts w:hint="eastAsia" w:ascii="仿宋_GB2312" w:eastAsia="仿宋_GB2312" w:cs="Times New Roman"/>
          <w:color w:val="auto"/>
          <w:sz w:val="32"/>
          <w:szCs w:val="32"/>
          <w:highlight w:val="none"/>
          <w:lang w:val="zh-CN" w:eastAsia="zh-CN"/>
        </w:rPr>
        <w:t>三</w:t>
      </w:r>
      <w:r>
        <w:rPr>
          <w:rFonts w:hint="eastAsia" w:ascii="仿宋_GB2312" w:hAnsi="Times New Roman" w:eastAsia="仿宋_GB2312" w:cs="Times New Roman"/>
          <w:color w:val="auto"/>
          <w:sz w:val="32"/>
          <w:szCs w:val="32"/>
          <w:highlight w:val="none"/>
          <w:lang w:val="zh-CN" w:eastAsia="zh-CN"/>
        </w:rPr>
        <w:t>是巡察办专项经费、</w:t>
      </w:r>
      <w:r>
        <w:rPr>
          <w:rFonts w:hint="eastAsia" w:ascii="仿宋_GB2312" w:eastAsia="仿宋_GB2312" w:cs="Times New Roman"/>
          <w:color w:val="auto"/>
          <w:sz w:val="32"/>
          <w:szCs w:val="32"/>
          <w:highlight w:val="none"/>
          <w:lang w:val="zh-CN" w:eastAsia="zh-CN"/>
        </w:rPr>
        <w:t>四</w:t>
      </w:r>
      <w:r>
        <w:rPr>
          <w:rFonts w:hint="eastAsia" w:ascii="仿宋_GB2312" w:hAnsi="Times New Roman" w:eastAsia="仿宋_GB2312" w:cs="Times New Roman"/>
          <w:color w:val="auto"/>
          <w:sz w:val="32"/>
          <w:szCs w:val="32"/>
          <w:highlight w:val="none"/>
          <w:lang w:val="zh-CN" w:eastAsia="zh-CN"/>
        </w:rPr>
        <w:t>是纪检监察办案专项工作经费</w:t>
      </w:r>
      <w:r>
        <w:rPr>
          <w:rFonts w:hint="eastAsia" w:ascii="仿宋_GB2312" w:eastAsia="仿宋_GB2312" w:cs="Times New Roman"/>
          <w:color w:val="auto"/>
          <w:sz w:val="32"/>
          <w:szCs w:val="32"/>
          <w:highlight w:val="none"/>
          <w:lang w:val="zh-CN" w:eastAsia="zh-CN"/>
        </w:rPr>
        <w:t>、五是中央纪检监察转移支付</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5B22FD4A">
      <w:pPr>
        <w:keepNext w:val="0"/>
        <w:keepLines w:val="0"/>
        <w:pageBreakBefore w:val="0"/>
        <w:widowControl w:val="0"/>
        <w:kinsoku/>
        <w:wordWrap/>
        <w:overflowPunct/>
        <w:topLinePunct w:val="0"/>
        <w:bidi w:val="0"/>
        <w:spacing w:line="578"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p>
    <w:p w14:paraId="401F4CCB">
      <w:pPr>
        <w:keepNext w:val="0"/>
        <w:keepLines w:val="0"/>
        <w:pageBreakBefore w:val="0"/>
        <w:widowControl w:val="0"/>
        <w:kinsoku/>
        <w:wordWrap/>
        <w:overflowPunct/>
        <w:topLinePunct w:val="0"/>
        <w:bidi w:val="0"/>
        <w:spacing w:line="578" w:lineRule="exact"/>
        <w:ind w:firstLine="640" w:firstLineChars="200"/>
        <w:textAlignment w:val="auto"/>
        <w:rPr>
          <w:rStyle w:val="30"/>
          <w:rFonts w:ascii="黑体" w:hAnsi="黑体" w:eastAsia="黑体"/>
          <w:b w:val="0"/>
          <w:color w:val="auto"/>
          <w:highlight w:val="none"/>
        </w:rPr>
      </w:pPr>
      <w:r>
        <w:rPr>
          <w:rFonts w:hint="eastAsia" w:ascii="仿宋_GB2312" w:hAnsi="Times New Roman" w:eastAsia="仿宋_GB2312" w:cs="Times New Roman"/>
          <w:color w:val="auto"/>
          <w:sz w:val="32"/>
          <w:szCs w:val="32"/>
          <w:highlight w:val="none"/>
          <w:lang w:val="en-US" w:eastAsia="zh-CN"/>
        </w:rPr>
        <w:t xml:space="preserve">        </w:t>
      </w: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p>
    <w:p w14:paraId="61158763">
      <w:pPr>
        <w:spacing w:line="600" w:lineRule="exact"/>
        <w:jc w:val="left"/>
        <w:rPr>
          <w:rFonts w:ascii="宋体"/>
          <w:b/>
          <w:color w:val="auto"/>
          <w:sz w:val="44"/>
          <w:szCs w:val="44"/>
          <w:highlight w:val="none"/>
        </w:rPr>
      </w:pPr>
    </w:p>
    <w:p w14:paraId="2A55A0A2">
      <w:pPr>
        <w:pStyle w:val="28"/>
        <w:spacing w:line="578"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CC4E1A4">
      <w:pPr>
        <w:pageBreakBefore w:val="0"/>
        <w:kinsoku/>
        <w:wordWrap/>
        <w:overflowPunct/>
        <w:topLinePunct w:val="0"/>
        <w:bidi w:val="0"/>
        <w:spacing w:line="578"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其中</w:t>
      </w:r>
      <w:r>
        <w:rPr>
          <w:rFonts w:hint="eastAsia" w:ascii="仿宋_GB2312" w:eastAsia="仿宋_GB2312"/>
          <w:color w:val="000000"/>
          <w:sz w:val="32"/>
          <w:szCs w:val="32"/>
          <w:lang w:val="en-US" w:eastAsia="zh-CN"/>
        </w:rPr>
        <w:t>2011101</w:t>
      </w:r>
      <w:r>
        <w:rPr>
          <w:rFonts w:hint="eastAsia" w:ascii="仿宋_GB2312" w:hAnsi="宋体" w:eastAsia="仿宋_GB2312"/>
          <w:sz w:val="32"/>
          <w:szCs w:val="32"/>
        </w:rPr>
        <w:t>指行政运行</w:t>
      </w:r>
      <w:r>
        <w:rPr>
          <w:rFonts w:hint="eastAsia" w:ascii="仿宋_GB2312" w:hAnsi="宋体" w:eastAsia="仿宋_GB2312"/>
          <w:sz w:val="32"/>
          <w:szCs w:val="32"/>
          <w:lang w:eastAsia="zh-CN"/>
        </w:rPr>
        <w:t>，</w:t>
      </w:r>
      <w:r>
        <w:rPr>
          <w:rFonts w:hint="eastAsia" w:ascii="仿宋_GB2312" w:eastAsia="仿宋_GB2312"/>
          <w:color w:val="000000"/>
          <w:sz w:val="32"/>
          <w:szCs w:val="32"/>
          <w:lang w:val="en-US" w:eastAsia="zh-CN"/>
        </w:rPr>
        <w:t>2011102</w:t>
      </w:r>
      <w:r>
        <w:rPr>
          <w:rFonts w:hint="eastAsia" w:ascii="仿宋_GB2312" w:eastAsia="仿宋_GB2312"/>
          <w:color w:val="000000"/>
          <w:sz w:val="32"/>
          <w:szCs w:val="32"/>
          <w:lang w:eastAsia="zh-CN"/>
        </w:rPr>
        <w:t>指一般行政管理事务，</w:t>
      </w:r>
      <w:r>
        <w:rPr>
          <w:rFonts w:hint="eastAsia" w:ascii="仿宋_GB2312" w:eastAsia="仿宋_GB2312"/>
          <w:color w:val="000000"/>
          <w:sz w:val="32"/>
          <w:szCs w:val="32"/>
          <w:lang w:val="en-US" w:eastAsia="zh-CN"/>
        </w:rPr>
        <w:t>2011106</w:t>
      </w:r>
      <w:r>
        <w:rPr>
          <w:rFonts w:hint="eastAsia" w:ascii="仿宋_GB2312" w:eastAsia="仿宋_GB2312"/>
          <w:color w:val="000000"/>
          <w:sz w:val="32"/>
          <w:szCs w:val="32"/>
          <w:lang w:eastAsia="zh-CN"/>
        </w:rPr>
        <w:t>指巡视工作，</w:t>
      </w:r>
      <w:r>
        <w:rPr>
          <w:rFonts w:hint="eastAsia" w:ascii="仿宋_GB2312" w:eastAsia="仿宋_GB2312"/>
          <w:color w:val="000000"/>
          <w:sz w:val="32"/>
          <w:szCs w:val="32"/>
          <w:lang w:val="en-US" w:eastAsia="zh-CN"/>
        </w:rPr>
        <w:t>2011199其他纪检监察事务支出</w:t>
      </w:r>
      <w:r>
        <w:rPr>
          <w:rFonts w:hint="eastAsia" w:ascii="仿宋_GB2312" w:eastAsia="仿宋_GB2312"/>
          <w:color w:val="000000"/>
          <w:sz w:val="32"/>
          <w:szCs w:val="32"/>
        </w:rPr>
        <w:t>。</w:t>
      </w:r>
    </w:p>
    <w:p w14:paraId="790D9B49">
      <w:pPr>
        <w:pageBreakBefore w:val="0"/>
        <w:kinsoku/>
        <w:wordWrap/>
        <w:overflowPunct/>
        <w:topLinePunct w:val="0"/>
        <w:bidi w:val="0"/>
        <w:spacing w:line="578"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3.教育支出：2050803培训支出。</w:t>
      </w:r>
    </w:p>
    <w:p w14:paraId="18F54947">
      <w:pPr>
        <w:pageBreakBefore w:val="0"/>
        <w:kinsoku/>
        <w:wordWrap/>
        <w:overflowPunct/>
        <w:topLinePunct w:val="0"/>
        <w:bidi w:val="0"/>
        <w:spacing w:line="578" w:lineRule="exact"/>
        <w:ind w:firstLine="640" w:firstLineChars="200"/>
        <w:rPr>
          <w:rFonts w:hint="eastAsia" w:ascii="仿宋_GB2312" w:hAnsi="宋体" w:eastAsia="仿宋_GB2312"/>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hAnsi="宋体" w:eastAsia="仿宋_GB2312"/>
          <w:sz w:val="32"/>
          <w:szCs w:val="32"/>
        </w:rPr>
        <w:t>社会保障和就业</w:t>
      </w:r>
      <w:r>
        <w:rPr>
          <w:rFonts w:hint="eastAsia" w:ascii="仿宋_GB2312" w:hAnsi="宋体" w:eastAsia="仿宋_GB2312"/>
          <w:sz w:val="32"/>
          <w:szCs w:val="32"/>
          <w:lang w:val="en-US" w:eastAsia="zh-CN"/>
        </w:rPr>
        <w:t>：其中2080505</w:t>
      </w:r>
      <w:r>
        <w:rPr>
          <w:rFonts w:hint="eastAsia" w:ascii="仿宋_GB2312" w:hAnsi="宋体" w:eastAsia="仿宋_GB2312"/>
          <w:sz w:val="32"/>
          <w:szCs w:val="32"/>
        </w:rPr>
        <w:t>指机关事业单位基本养老保险</w:t>
      </w:r>
      <w:r>
        <w:rPr>
          <w:rFonts w:hint="eastAsia" w:ascii="仿宋_GB2312" w:hAnsi="宋体" w:eastAsia="仿宋_GB2312"/>
          <w:sz w:val="32"/>
          <w:szCs w:val="32"/>
          <w:lang w:eastAsia="zh-CN"/>
        </w:rPr>
        <w:t>缴费支出，</w:t>
      </w:r>
      <w:r>
        <w:rPr>
          <w:rFonts w:hint="eastAsia" w:ascii="仿宋_GB2312" w:hAnsi="宋体" w:eastAsia="仿宋_GB2312"/>
          <w:sz w:val="32"/>
          <w:szCs w:val="32"/>
          <w:lang w:val="en-US" w:eastAsia="zh-CN"/>
        </w:rPr>
        <w:t>2080506</w:t>
      </w:r>
      <w:r>
        <w:rPr>
          <w:rFonts w:hint="eastAsia" w:ascii="仿宋_GB2312" w:hAnsi="宋体" w:eastAsia="仿宋_GB2312"/>
          <w:sz w:val="32"/>
          <w:szCs w:val="32"/>
        </w:rPr>
        <w:t>指机关事业单位</w:t>
      </w:r>
      <w:r>
        <w:rPr>
          <w:rFonts w:hint="eastAsia" w:ascii="仿宋_GB2312" w:hAnsi="宋体" w:eastAsia="仿宋_GB2312"/>
          <w:sz w:val="32"/>
          <w:szCs w:val="32"/>
          <w:lang w:eastAsia="zh-CN"/>
        </w:rPr>
        <w:t>职业年金缴费支出</w:t>
      </w:r>
      <w:r>
        <w:rPr>
          <w:rFonts w:hint="eastAsia" w:ascii="仿宋_GB2312" w:hAnsi="宋体" w:eastAsia="仿宋_GB2312"/>
          <w:sz w:val="32"/>
          <w:szCs w:val="32"/>
        </w:rPr>
        <w:t>。</w:t>
      </w:r>
    </w:p>
    <w:p w14:paraId="7CECC606">
      <w:pPr>
        <w:pageBreakBefore w:val="0"/>
        <w:kinsoku/>
        <w:wordWrap/>
        <w:overflowPunct/>
        <w:topLinePunct w:val="0"/>
        <w:bidi w:val="0"/>
        <w:spacing w:line="578" w:lineRule="exact"/>
        <w:ind w:firstLine="640" w:firstLineChars="200"/>
        <w:rPr>
          <w:rFonts w:ascii="仿宋_GB2312" w:hAnsi="宋体" w:eastAsia="仿宋_GB2312"/>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auto"/>
          <w:sz w:val="32"/>
          <w:szCs w:val="32"/>
          <w:highlight w:val="none"/>
          <w:lang w:eastAsia="zh-CN"/>
        </w:rPr>
        <w:t>卫生健康</w:t>
      </w:r>
      <w:r>
        <w:rPr>
          <w:rFonts w:hint="eastAsia" w:ascii="仿宋_GB2312" w:hAnsi="宋体" w:eastAsia="仿宋_GB2312"/>
          <w:sz w:val="32"/>
          <w:szCs w:val="32"/>
          <w:lang w:eastAsia="zh-CN"/>
        </w:rPr>
        <w:t>：其中</w:t>
      </w:r>
      <w:r>
        <w:rPr>
          <w:rFonts w:hint="eastAsia" w:ascii="仿宋_GB2312" w:hAnsi="宋体" w:eastAsia="仿宋_GB2312"/>
          <w:sz w:val="32"/>
          <w:szCs w:val="32"/>
          <w:lang w:val="en-US" w:eastAsia="zh-CN"/>
        </w:rPr>
        <w:t>2101101</w:t>
      </w:r>
      <w:r>
        <w:rPr>
          <w:rFonts w:hint="eastAsia" w:ascii="仿宋_GB2312" w:hAnsi="宋体" w:eastAsia="仿宋_GB2312"/>
          <w:sz w:val="32"/>
          <w:szCs w:val="32"/>
        </w:rPr>
        <w:t>指行政单位医疗</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2101103指公务员医疗补助</w:t>
      </w:r>
      <w:r>
        <w:rPr>
          <w:rFonts w:hint="eastAsia" w:ascii="仿宋_GB2312" w:hAnsi="宋体" w:eastAsia="仿宋_GB2312"/>
          <w:sz w:val="32"/>
          <w:szCs w:val="32"/>
        </w:rPr>
        <w:t>。</w:t>
      </w:r>
    </w:p>
    <w:p w14:paraId="1BC82D9C">
      <w:pPr>
        <w:pageBreakBefore w:val="0"/>
        <w:kinsoku/>
        <w:wordWrap/>
        <w:overflowPunct/>
        <w:topLinePunct w:val="0"/>
        <w:bidi w:val="0"/>
        <w:spacing w:line="578" w:lineRule="exact"/>
        <w:ind w:firstLine="640" w:firstLineChars="200"/>
        <w:rPr>
          <w:rFonts w:ascii="仿宋_GB2312" w:eastAsia="仿宋_GB2312"/>
          <w:color w:val="000000"/>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 住房保障</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2210201</w:t>
      </w:r>
      <w:r>
        <w:rPr>
          <w:rFonts w:hint="eastAsia" w:ascii="仿宋_GB2312" w:hAnsi="宋体" w:eastAsia="仿宋_GB2312"/>
          <w:sz w:val="32"/>
          <w:szCs w:val="32"/>
        </w:rPr>
        <w:t>指住房公积金。</w:t>
      </w:r>
    </w:p>
    <w:p w14:paraId="679F0AF4">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516A29B">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14682FF4">
      <w:pPr>
        <w:spacing w:line="578"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08671F74">
      <w:pPr>
        <w:pStyle w:val="28"/>
        <w:spacing w:line="578"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DB148F">
      <w:pPr>
        <w:pStyle w:val="28"/>
        <w:spacing w:line="578"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AC1ABE">
      <w:pPr>
        <w:pStyle w:val="28"/>
        <w:spacing w:line="578" w:lineRule="exact"/>
        <w:ind w:firstLine="640" w:firstLineChars="200"/>
        <w:rPr>
          <w:rFonts w:hint="eastAsia" w:ascii="仿宋_GB2312" w:eastAsia="仿宋_GB2312"/>
          <w:sz w:val="32"/>
          <w:szCs w:val="32"/>
        </w:rPr>
      </w:pPr>
    </w:p>
    <w:p w14:paraId="11BBD9D9">
      <w:pPr>
        <w:spacing w:line="600" w:lineRule="exact"/>
        <w:jc w:val="cente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p>
    <w:p w14:paraId="2E166481">
      <w:pPr>
        <w:spacing w:line="600" w:lineRule="exact"/>
        <w:jc w:val="center"/>
        <w:rPr>
          <w:rFonts w:hint="eastAsia" w:ascii="Times New Roman" w:hAnsi="Times New Roman" w:eastAsia="黑体"/>
          <w:color w:val="auto"/>
          <w:sz w:val="44"/>
          <w:szCs w:val="44"/>
          <w:highlight w:val="none"/>
        </w:rPr>
      </w:pPr>
    </w:p>
    <w:p w14:paraId="1FB0FB4D">
      <w:pPr>
        <w:spacing w:line="600" w:lineRule="exact"/>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部门预算项目支出绩效自评表（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lang w:eastAsia="zh-CN"/>
        </w:rPr>
        <w:t>）</w:t>
      </w:r>
    </w:p>
    <w:p w14:paraId="1CB9FE57">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highlight w:val="none"/>
          <w:lang w:eastAsia="zh-CN"/>
        </w:rPr>
        <w:t>详见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p>
    <w:p w14:paraId="42E16DCB">
      <w:pPr>
        <w:spacing w:line="600" w:lineRule="exact"/>
        <w:jc w:val="center"/>
        <w:outlineLvl w:val="0"/>
        <w:rPr>
          <w:rFonts w:hint="eastAsia" w:ascii="黑体" w:hAnsi="黑体" w:eastAsia="黑体"/>
          <w:color w:val="auto"/>
          <w:sz w:val="44"/>
          <w:szCs w:val="44"/>
          <w:highlight w:val="none"/>
        </w:rPr>
      </w:pPr>
    </w:p>
    <w:p w14:paraId="7CFA1DD8">
      <w:pPr>
        <w:spacing w:line="600" w:lineRule="exact"/>
        <w:jc w:val="center"/>
        <w:outlineLvl w:val="0"/>
        <w:rPr>
          <w:rFonts w:hint="eastAsia" w:ascii="黑体" w:hAnsi="黑体" w:eastAsia="黑体"/>
          <w:color w:val="auto"/>
          <w:sz w:val="44"/>
          <w:szCs w:val="44"/>
          <w:highlight w:val="none"/>
        </w:rPr>
      </w:pPr>
    </w:p>
    <w:p w14:paraId="22D21E80">
      <w:pPr>
        <w:spacing w:line="600" w:lineRule="exact"/>
        <w:jc w:val="center"/>
        <w:outlineLvl w:val="0"/>
        <w:rPr>
          <w:rFonts w:hint="eastAsia" w:ascii="黑体" w:hAnsi="黑体" w:eastAsia="黑体"/>
          <w:color w:val="auto"/>
          <w:sz w:val="44"/>
          <w:szCs w:val="44"/>
          <w:highlight w:val="none"/>
        </w:rPr>
      </w:pPr>
    </w:p>
    <w:p w14:paraId="4F8BD52C">
      <w:pPr>
        <w:spacing w:line="600" w:lineRule="exact"/>
        <w:jc w:val="center"/>
        <w:outlineLvl w:val="0"/>
        <w:rPr>
          <w:rFonts w:hint="eastAsia" w:ascii="黑体" w:hAnsi="黑体" w:eastAsia="黑体"/>
          <w:color w:val="auto"/>
          <w:sz w:val="44"/>
          <w:szCs w:val="44"/>
          <w:highlight w:val="none"/>
        </w:rPr>
      </w:pPr>
    </w:p>
    <w:p w14:paraId="6031E66C">
      <w:pPr>
        <w:spacing w:line="600" w:lineRule="exact"/>
        <w:jc w:val="center"/>
        <w:outlineLvl w:val="0"/>
        <w:rPr>
          <w:rFonts w:hint="eastAsia" w:ascii="黑体" w:hAnsi="黑体" w:eastAsia="黑体"/>
          <w:color w:val="auto"/>
          <w:sz w:val="44"/>
          <w:szCs w:val="44"/>
          <w:highlight w:val="none"/>
        </w:rPr>
      </w:pPr>
    </w:p>
    <w:p w14:paraId="5259EF6F">
      <w:pPr>
        <w:spacing w:line="600" w:lineRule="exact"/>
        <w:jc w:val="center"/>
        <w:outlineLvl w:val="0"/>
        <w:rPr>
          <w:rFonts w:hint="eastAsia" w:ascii="黑体" w:hAnsi="黑体" w:eastAsia="黑体"/>
          <w:color w:val="auto"/>
          <w:sz w:val="44"/>
          <w:szCs w:val="44"/>
          <w:highlight w:val="none"/>
        </w:rPr>
      </w:pPr>
    </w:p>
    <w:p w14:paraId="1F3CAE68">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p>
    <w:p w14:paraId="298D23B7">
      <w:pPr>
        <w:pStyle w:val="3"/>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p>
    <w:p w14:paraId="37CFB570">
      <w:pPr>
        <w:pStyle w:val="3"/>
        <w:rPr>
          <w:rFonts w:ascii="仿宋" w:hAnsi="仿宋" w:eastAsia="仿宋"/>
          <w:color w:val="auto"/>
          <w:highlight w:val="none"/>
        </w:rPr>
      </w:pPr>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p>
    <w:p w14:paraId="55D579C3">
      <w:pPr>
        <w:pStyle w:val="3"/>
        <w:rPr>
          <w:rFonts w:ascii="仿宋" w:hAnsi="仿宋" w:eastAsia="仿宋"/>
          <w:color w:val="auto"/>
          <w:highlight w:val="none"/>
        </w:rPr>
      </w:pPr>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p>
    <w:p w14:paraId="7B23937E">
      <w:pPr>
        <w:pStyle w:val="3"/>
        <w:rPr>
          <w:rFonts w:ascii="仿宋" w:hAnsi="仿宋" w:eastAsia="仿宋"/>
          <w:b w:val="0"/>
          <w:color w:val="auto"/>
          <w:highlight w:val="none"/>
        </w:rPr>
      </w:pPr>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p>
    <w:p w14:paraId="7B210091">
      <w:pPr>
        <w:pStyle w:val="3"/>
        <w:rPr>
          <w:rStyle w:val="31"/>
          <w:rFonts w:ascii="仿宋" w:hAnsi="仿宋" w:eastAsia="仿宋"/>
          <w:b w:val="0"/>
          <w:bCs w:val="0"/>
          <w:color w:val="auto"/>
          <w:highlight w:val="none"/>
        </w:rPr>
      </w:pPr>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p>
    <w:p w14:paraId="23D7B892">
      <w:pPr>
        <w:pStyle w:val="3"/>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p>
    <w:p w14:paraId="6047E982">
      <w:pPr>
        <w:pStyle w:val="3"/>
        <w:rPr>
          <w:rFonts w:ascii="仿宋" w:hAnsi="仿宋" w:eastAsia="仿宋"/>
          <w:color w:val="auto"/>
          <w:highlight w:val="none"/>
        </w:rPr>
      </w:pPr>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p>
    <w:p w14:paraId="1A0D8327">
      <w:pPr>
        <w:pStyle w:val="3"/>
        <w:rPr>
          <w:rFonts w:ascii="仿宋" w:hAnsi="仿宋" w:eastAsia="仿宋"/>
          <w:color w:val="auto"/>
          <w:highlight w:val="none"/>
        </w:rPr>
      </w:pPr>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p>
    <w:p w14:paraId="242F4B35">
      <w:pPr>
        <w:pStyle w:val="3"/>
        <w:rPr>
          <w:rFonts w:ascii="仿宋" w:hAnsi="仿宋" w:eastAsia="仿宋"/>
          <w:color w:val="auto"/>
          <w:highlight w:val="none"/>
        </w:rPr>
      </w:pPr>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p>
    <w:p w14:paraId="0F0FB1E6">
      <w:pPr>
        <w:pStyle w:val="3"/>
        <w:rPr>
          <w:rFonts w:ascii="仿宋" w:hAnsi="仿宋" w:eastAsia="仿宋"/>
          <w:color w:val="auto"/>
          <w:highlight w:val="none"/>
        </w:rPr>
      </w:pPr>
      <w:r>
        <w:rPr>
          <w:rStyle w:val="31"/>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14:paraId="598974E7">
      <w:pPr>
        <w:pStyle w:val="3"/>
        <w:rPr>
          <w:rFonts w:ascii="仿宋" w:hAnsi="仿宋" w:eastAsia="仿宋"/>
          <w:color w:val="auto"/>
          <w:highlight w:val="none"/>
        </w:rPr>
      </w:pPr>
      <w:r>
        <w:rPr>
          <w:rStyle w:val="31"/>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14:paraId="5F8E7824">
      <w:pPr>
        <w:pStyle w:val="3"/>
        <w:rPr>
          <w:rFonts w:ascii="仿宋" w:hAnsi="仿宋" w:eastAsia="仿宋"/>
          <w:color w:val="auto"/>
          <w:highlight w:val="none"/>
        </w:rPr>
      </w:pPr>
      <w:r>
        <w:rPr>
          <w:rStyle w:val="31"/>
          <w:rFonts w:hint="eastAsia" w:ascii="仿宋" w:hAnsi="仿宋" w:eastAsia="仿宋"/>
          <w:b w:val="0"/>
          <w:bCs w:val="0"/>
          <w:color w:val="auto"/>
          <w:highlight w:val="none"/>
        </w:rPr>
        <w:t>十二、</w:t>
      </w:r>
      <w:r>
        <w:rPr>
          <w:rStyle w:val="31"/>
          <w:rFonts w:hint="eastAsia" w:ascii="仿宋" w:hAnsi="仿宋" w:eastAsia="仿宋"/>
          <w:b w:val="0"/>
          <w:bCs w:val="0"/>
          <w:color w:val="auto"/>
          <w:highlight w:val="none"/>
          <w:lang w:eastAsia="zh-CN"/>
        </w:rPr>
        <w:t>国有资本经营预算财政拨款支出决算表</w:t>
      </w:r>
    </w:p>
    <w:p w14:paraId="0379CE59">
      <w:pPr>
        <w:pStyle w:val="3"/>
        <w:rPr>
          <w:rFonts w:hint="eastAsia" w:ascii="Times New Roman" w:hAnsi="Times New Roman"/>
          <w:lang w:eastAsia="zh-CN"/>
        </w:rPr>
      </w:pPr>
      <w:r>
        <w:rPr>
          <w:rStyle w:val="31"/>
          <w:rFonts w:hint="eastAsia" w:ascii="仿宋" w:hAnsi="仿宋" w:eastAsia="仿宋"/>
          <w:b w:val="0"/>
          <w:bCs w:val="0"/>
          <w:color w:val="auto"/>
          <w:highlight w:val="none"/>
        </w:rPr>
        <w:t>十三、</w:t>
      </w:r>
      <w:r>
        <w:rPr>
          <w:rStyle w:val="31"/>
          <w:rFonts w:hint="eastAsia" w:ascii="仿宋" w:hAnsi="仿宋" w:eastAsia="仿宋"/>
          <w:b w:val="0"/>
          <w:bCs w:val="0"/>
          <w:color w:val="auto"/>
          <w:highlight w:val="none"/>
          <w:lang w:eastAsia="zh-CN"/>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220D47-9AB7-450D-8020-AF4EAD33E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DE93EBE-A5CB-4C16-9354-83A14B7EA936}"/>
  </w:font>
  <w:font w:name="Cambria">
    <w:panose1 w:val="02040503050406030204"/>
    <w:charset w:val="00"/>
    <w:family w:val="roman"/>
    <w:pitch w:val="default"/>
    <w:sig w:usb0="E00006FF" w:usb1="420024FF" w:usb2="02000000" w:usb3="00000000" w:csb0="2000019F" w:csb1="00000000"/>
    <w:embedRegular r:id="rId3" w:fontKey="{6465BDBB-D892-4A77-AEE1-4FB768F431DD}"/>
  </w:font>
  <w:font w:name="仿宋_GB2312">
    <w:panose1 w:val="02010609030101010101"/>
    <w:charset w:val="86"/>
    <w:family w:val="modern"/>
    <w:pitch w:val="default"/>
    <w:sig w:usb0="00000001" w:usb1="080E0000" w:usb2="00000000" w:usb3="00000000" w:csb0="00040000" w:csb1="00000000"/>
    <w:embedRegular r:id="rId4" w:fontKey="{08CFC806-62FF-4D1F-B12E-D0046899C35F}"/>
  </w:font>
  <w:font w:name="仿宋">
    <w:panose1 w:val="02010609060101010101"/>
    <w:charset w:val="86"/>
    <w:family w:val="modern"/>
    <w:pitch w:val="default"/>
    <w:sig w:usb0="800002BF" w:usb1="38CF7CFA" w:usb2="00000016" w:usb3="00000000" w:csb0="00040001" w:csb1="00000000"/>
    <w:embedRegular r:id="rId5" w:fontKey="{53BC3B7C-28ED-4DAD-ACAF-8FDB27827068}"/>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6" w:fontKey="{06190E14-0E9F-4A30-A199-25E40EBF69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A5B4">
    <w:pPr>
      <w:pStyle w:val="10"/>
      <w:jc w:val="center"/>
    </w:pPr>
  </w:p>
  <w:p w14:paraId="49502D2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7536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D36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MTM2Njg1NzIzOTU4MTU0OTZkNDJjM2VmZDhjY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07089D"/>
    <w:rsid w:val="061E35DE"/>
    <w:rsid w:val="066E0107"/>
    <w:rsid w:val="073C7668"/>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DD04F1"/>
    <w:rsid w:val="17E50567"/>
    <w:rsid w:val="186504BB"/>
    <w:rsid w:val="198040EE"/>
    <w:rsid w:val="19A445FC"/>
    <w:rsid w:val="1BE8440E"/>
    <w:rsid w:val="1D155CEE"/>
    <w:rsid w:val="1D1638FE"/>
    <w:rsid w:val="1E312DEB"/>
    <w:rsid w:val="1E740ACF"/>
    <w:rsid w:val="1E9746EF"/>
    <w:rsid w:val="1FF35744"/>
    <w:rsid w:val="1FF6BC77"/>
    <w:rsid w:val="20B20E01"/>
    <w:rsid w:val="2186353C"/>
    <w:rsid w:val="21D06ED2"/>
    <w:rsid w:val="23860B96"/>
    <w:rsid w:val="240371BF"/>
    <w:rsid w:val="244F3473"/>
    <w:rsid w:val="24C97D99"/>
    <w:rsid w:val="254D7631"/>
    <w:rsid w:val="25A718F0"/>
    <w:rsid w:val="25BB59F6"/>
    <w:rsid w:val="260F557C"/>
    <w:rsid w:val="26970054"/>
    <w:rsid w:val="281408E2"/>
    <w:rsid w:val="285C0613"/>
    <w:rsid w:val="29FD04D3"/>
    <w:rsid w:val="2BFF7BC6"/>
    <w:rsid w:val="2C8A61B5"/>
    <w:rsid w:val="2D0646B8"/>
    <w:rsid w:val="2DF04E50"/>
    <w:rsid w:val="2E50117F"/>
    <w:rsid w:val="2E586DFA"/>
    <w:rsid w:val="2E957688"/>
    <w:rsid w:val="2F040D46"/>
    <w:rsid w:val="2F6B035B"/>
    <w:rsid w:val="2FAE5751"/>
    <w:rsid w:val="2FB1A395"/>
    <w:rsid w:val="2FD9A7D8"/>
    <w:rsid w:val="2FDBF714"/>
    <w:rsid w:val="30AB6865"/>
    <w:rsid w:val="319F7F4E"/>
    <w:rsid w:val="32BD1EF1"/>
    <w:rsid w:val="3304709D"/>
    <w:rsid w:val="33A773CB"/>
    <w:rsid w:val="349D6851"/>
    <w:rsid w:val="350348A6"/>
    <w:rsid w:val="36AA5135"/>
    <w:rsid w:val="36BE0DA7"/>
    <w:rsid w:val="376B6AA6"/>
    <w:rsid w:val="376D39B2"/>
    <w:rsid w:val="37E16F03"/>
    <w:rsid w:val="37F53A3B"/>
    <w:rsid w:val="389B6C89"/>
    <w:rsid w:val="38D469F0"/>
    <w:rsid w:val="39627CCD"/>
    <w:rsid w:val="397BAF1F"/>
    <w:rsid w:val="3A6F5083"/>
    <w:rsid w:val="3AB79AF3"/>
    <w:rsid w:val="3AE834C0"/>
    <w:rsid w:val="3B7EF35A"/>
    <w:rsid w:val="3B9FDB6C"/>
    <w:rsid w:val="3BF5BC2F"/>
    <w:rsid w:val="3CC55964"/>
    <w:rsid w:val="3CEBA265"/>
    <w:rsid w:val="3D98207C"/>
    <w:rsid w:val="3DEE7CF3"/>
    <w:rsid w:val="3E740A63"/>
    <w:rsid w:val="3E78745D"/>
    <w:rsid w:val="3EE17838"/>
    <w:rsid w:val="3F55381A"/>
    <w:rsid w:val="3F7F7599"/>
    <w:rsid w:val="3FF4CAE0"/>
    <w:rsid w:val="3FF7B227"/>
    <w:rsid w:val="44E268DA"/>
    <w:rsid w:val="450D13D7"/>
    <w:rsid w:val="45506656"/>
    <w:rsid w:val="476E56BE"/>
    <w:rsid w:val="486A6C7A"/>
    <w:rsid w:val="48C25FAD"/>
    <w:rsid w:val="4A627F82"/>
    <w:rsid w:val="4B0E749A"/>
    <w:rsid w:val="4B2477C4"/>
    <w:rsid w:val="4B4F25DA"/>
    <w:rsid w:val="4BE068DB"/>
    <w:rsid w:val="4D577224"/>
    <w:rsid w:val="4DBF1CEB"/>
    <w:rsid w:val="4DF0007C"/>
    <w:rsid w:val="4EAB630A"/>
    <w:rsid w:val="4ECE2238"/>
    <w:rsid w:val="4F833267"/>
    <w:rsid w:val="4FE9BD67"/>
    <w:rsid w:val="4FFB052F"/>
    <w:rsid w:val="517261BD"/>
    <w:rsid w:val="537E6D0A"/>
    <w:rsid w:val="53F74C96"/>
    <w:rsid w:val="55170BA8"/>
    <w:rsid w:val="553218C9"/>
    <w:rsid w:val="567E1AA5"/>
    <w:rsid w:val="56E47B74"/>
    <w:rsid w:val="57175D52"/>
    <w:rsid w:val="57BD3DD4"/>
    <w:rsid w:val="595F7C45"/>
    <w:rsid w:val="5A852F93"/>
    <w:rsid w:val="5AF92295"/>
    <w:rsid w:val="5B250254"/>
    <w:rsid w:val="5BDD79E6"/>
    <w:rsid w:val="5BF561CA"/>
    <w:rsid w:val="5BFF5DFC"/>
    <w:rsid w:val="5C0A3611"/>
    <w:rsid w:val="5CD71FC4"/>
    <w:rsid w:val="5D1F11B5"/>
    <w:rsid w:val="5D695134"/>
    <w:rsid w:val="5DAE1B18"/>
    <w:rsid w:val="5DE7D9E5"/>
    <w:rsid w:val="5ECEC941"/>
    <w:rsid w:val="5FBF9FF3"/>
    <w:rsid w:val="5FCD4E2C"/>
    <w:rsid w:val="5FEF394A"/>
    <w:rsid w:val="5FF67715"/>
    <w:rsid w:val="61D225BA"/>
    <w:rsid w:val="62672D79"/>
    <w:rsid w:val="62BF3928"/>
    <w:rsid w:val="62D052DD"/>
    <w:rsid w:val="63B3701E"/>
    <w:rsid w:val="647F5392"/>
    <w:rsid w:val="65E66580"/>
    <w:rsid w:val="664B1D71"/>
    <w:rsid w:val="664B4E8E"/>
    <w:rsid w:val="67277B67"/>
    <w:rsid w:val="67AA3209"/>
    <w:rsid w:val="698D0931"/>
    <w:rsid w:val="6A7FE5F3"/>
    <w:rsid w:val="6A8901E8"/>
    <w:rsid w:val="6B053271"/>
    <w:rsid w:val="6BDD78B3"/>
    <w:rsid w:val="6C4A05C8"/>
    <w:rsid w:val="6C7041BF"/>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6E54BF"/>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8F23875"/>
    <w:rsid w:val="78F77AF1"/>
    <w:rsid w:val="79046778"/>
    <w:rsid w:val="79086DAD"/>
    <w:rsid w:val="79D7FD79"/>
    <w:rsid w:val="79EE5BA4"/>
    <w:rsid w:val="7A2E4BB1"/>
    <w:rsid w:val="7A894339"/>
    <w:rsid w:val="7AD284E8"/>
    <w:rsid w:val="7AFF7572"/>
    <w:rsid w:val="7B6C7DFB"/>
    <w:rsid w:val="7BB135B2"/>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able of figures"/>
    <w:basedOn w:val="1"/>
    <w:next w:val="1"/>
    <w:unhideWhenUsed/>
    <w:qFormat/>
    <w:uiPriority w:val="99"/>
    <w:pPr>
      <w:spacing w:before="100" w:beforeAutospacing="1" w:after="100" w:afterAutospacing="1"/>
      <w:ind w:left="400" w:leftChars="200" w:hanging="200" w:hangingChars="200"/>
    </w:pPr>
    <w:rPr>
      <w:kern w:val="0"/>
      <w:sz w:val="20"/>
      <w:szCs w:val="21"/>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jqvar"/>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4177</Words>
  <Characters>5754</Characters>
  <Lines>61</Lines>
  <Paragraphs>17</Paragraphs>
  <TotalTime>35</TotalTime>
  <ScaleCrop>false</ScaleCrop>
  <LinksUpToDate>false</LinksUpToDate>
  <CharactersWithSpaces>5813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2025-10-14T07:19:39Z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