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方正小标宋简体" w:hAnsi="宋体" w:eastAsia="方正小标宋简体"/>
          <w:color w:val="000000"/>
          <w:sz w:val="72"/>
          <w:szCs w:val="72"/>
        </w:rPr>
      </w:pPr>
      <w:bookmarkStart w:id="0" w:name="_Toc15306267"/>
    </w:p>
    <w:p>
      <w:pPr>
        <w:spacing w:line="578" w:lineRule="exact"/>
        <w:jc w:val="center"/>
        <w:outlineLvl w:val="0"/>
        <w:rPr>
          <w:rFonts w:ascii="方正小标宋简体" w:hAnsi="宋体" w:eastAsia="方正小标宋简体"/>
          <w:color w:val="000000"/>
          <w:sz w:val="72"/>
          <w:szCs w:val="72"/>
        </w:rPr>
      </w:pPr>
    </w:p>
    <w:p>
      <w:pPr>
        <w:spacing w:line="578" w:lineRule="exact"/>
        <w:jc w:val="center"/>
        <w:outlineLvl w:val="0"/>
        <w:rPr>
          <w:rFonts w:ascii="方正小标宋简体" w:hAnsi="宋体" w:eastAsia="方正小标宋简体"/>
          <w:color w:val="000000"/>
          <w:sz w:val="72"/>
          <w:szCs w:val="72"/>
        </w:rPr>
      </w:pPr>
    </w:p>
    <w:p>
      <w:pPr>
        <w:spacing w:line="578" w:lineRule="exact"/>
        <w:jc w:val="center"/>
        <w:outlineLvl w:val="0"/>
        <w:rPr>
          <w:rFonts w:ascii="黑体" w:hAnsi="黑体" w:eastAsia="黑体"/>
          <w:b/>
          <w:bCs/>
          <w:color w:val="000000"/>
          <w:sz w:val="52"/>
          <w:szCs w:val="52"/>
        </w:rPr>
      </w:pPr>
      <w:r>
        <w:rPr>
          <w:rFonts w:hint="eastAsia" w:ascii="方正小标宋简体" w:hAnsi="宋体" w:eastAsia="方正小标宋简体"/>
          <w:color w:val="000000"/>
          <w:sz w:val="72"/>
          <w:szCs w:val="72"/>
        </w:rPr>
        <w:t xml:space="preserve"> </w:t>
      </w:r>
      <w:bookmarkStart w:id="1" w:name="_Toc15377193"/>
      <w:bookmarkStart w:id="2" w:name="_Toc15396475"/>
      <w:bookmarkStart w:id="3" w:name="_Toc15378441"/>
      <w:bookmarkStart w:id="4" w:name="_Toc15396597"/>
      <w:bookmarkStart w:id="5" w:name="_Toc15377425"/>
      <w:r>
        <w:rPr>
          <w:rFonts w:hint="eastAsia" w:ascii="黑体" w:hAnsi="黑体" w:eastAsia="黑体"/>
          <w:b/>
          <w:bCs/>
          <w:sz w:val="52"/>
          <w:szCs w:val="52"/>
        </w:rPr>
        <w:t>2022年度</w:t>
      </w:r>
      <w:bookmarkEnd w:id="0"/>
      <w:bookmarkEnd w:id="1"/>
      <w:bookmarkEnd w:id="2"/>
      <w:bookmarkEnd w:id="3"/>
      <w:bookmarkEnd w:id="4"/>
      <w:bookmarkEnd w:id="5"/>
      <w:bookmarkStart w:id="6" w:name="_Toc15378442"/>
      <w:bookmarkStart w:id="7" w:name="_Toc15377194"/>
      <w:bookmarkStart w:id="8" w:name="_Toc15396598"/>
      <w:bookmarkStart w:id="9" w:name="_Toc15396476"/>
      <w:bookmarkStart w:id="10" w:name="_Toc15377426"/>
      <w:r>
        <w:rPr>
          <w:rFonts w:hint="eastAsia" w:ascii="黑体" w:hAnsi="黑体" w:eastAsia="黑体"/>
          <w:b/>
          <w:bCs/>
          <w:color w:val="000000"/>
          <w:sz w:val="52"/>
          <w:szCs w:val="52"/>
        </w:rPr>
        <w:t>四川省阿坝州</w:t>
      </w:r>
      <w:bookmarkStart w:id="11" w:name="_Toc15306268"/>
    </w:p>
    <w:p>
      <w:pPr>
        <w:adjustRightInd w:val="0"/>
        <w:snapToGrid w:val="0"/>
        <w:spacing w:line="900" w:lineRule="exact"/>
        <w:jc w:val="center"/>
        <w:outlineLvl w:val="0"/>
        <w:rPr>
          <w:rFonts w:ascii="黑体" w:hAnsi="黑体" w:eastAsia="黑体"/>
          <w:b/>
          <w:bCs/>
          <w:color w:val="000000"/>
          <w:sz w:val="52"/>
          <w:szCs w:val="52"/>
        </w:rPr>
      </w:pPr>
      <w:r>
        <w:rPr>
          <w:rFonts w:hint="eastAsia" w:ascii="黑体" w:hAnsi="黑体" w:eastAsia="黑体"/>
          <w:b/>
          <w:bCs/>
          <w:color w:val="000000"/>
          <w:sz w:val="52"/>
          <w:szCs w:val="52"/>
        </w:rPr>
        <w:t>中共松潘县纪律检查委员会</w:t>
      </w:r>
    </w:p>
    <w:p>
      <w:pPr>
        <w:adjustRightInd w:val="0"/>
        <w:snapToGrid w:val="0"/>
        <w:spacing w:line="900" w:lineRule="exact"/>
        <w:jc w:val="center"/>
        <w:outlineLvl w:val="0"/>
        <w:rPr>
          <w:rFonts w:ascii="黑体" w:hAnsi="黑体" w:eastAsia="黑体"/>
          <w:b/>
          <w:bCs/>
          <w:sz w:val="52"/>
          <w:szCs w:val="52"/>
        </w:rPr>
      </w:pPr>
      <w:r>
        <w:rPr>
          <w:rFonts w:hint="eastAsia" w:ascii="黑体" w:hAnsi="黑体" w:eastAsia="黑体"/>
          <w:b/>
          <w:bCs/>
          <w:color w:val="000000"/>
          <w:sz w:val="52"/>
          <w:szCs w:val="52"/>
        </w:rPr>
        <w:t>部门决算</w:t>
      </w:r>
      <w:bookmarkEnd w:id="6"/>
      <w:bookmarkEnd w:id="7"/>
      <w:bookmarkEnd w:id="8"/>
      <w:bookmarkEnd w:id="9"/>
      <w:bookmarkEnd w:id="10"/>
      <w:bookmarkEnd w:id="11"/>
    </w:p>
    <w:p>
      <w:pPr>
        <w:widowControl/>
        <w:spacing w:line="900" w:lineRule="exact"/>
        <w:jc w:val="center"/>
        <w:rPr>
          <w:rFonts w:ascii="方正小标宋简体" w:hAnsi="宋体" w:eastAsia="方正小标宋简体"/>
          <w:b/>
          <w:bCs/>
          <w:color w:val="000000"/>
          <w:sz w:val="36"/>
          <w:szCs w:val="36"/>
        </w:rPr>
      </w:pPr>
    </w:p>
    <w:p>
      <w:pPr>
        <w:spacing w:line="900" w:lineRule="exact"/>
        <w:rPr>
          <w:rFonts w:ascii="方正小标宋简体" w:hAnsi="宋体" w:eastAsia="方正小标宋简体"/>
          <w:b/>
          <w:bCs/>
          <w:sz w:val="36"/>
          <w:szCs w:val="36"/>
        </w:rPr>
      </w:pPr>
    </w:p>
    <w:p>
      <w:pPr>
        <w:spacing w:line="578" w:lineRule="exact"/>
        <w:rPr>
          <w:rFonts w:ascii="方正小标宋简体" w:hAnsi="宋体" w:eastAsia="方正小标宋简体"/>
          <w:sz w:val="36"/>
          <w:szCs w:val="36"/>
        </w:rPr>
      </w:pPr>
    </w:p>
    <w:p>
      <w:pPr>
        <w:spacing w:line="578" w:lineRule="exact"/>
        <w:rPr>
          <w:rFonts w:ascii="方正小标宋简体" w:hAnsi="宋体" w:eastAsia="方正小标宋简体"/>
          <w:sz w:val="36"/>
          <w:szCs w:val="36"/>
        </w:rPr>
      </w:pPr>
    </w:p>
    <w:p>
      <w:pPr>
        <w:spacing w:line="578" w:lineRule="exact"/>
        <w:rPr>
          <w:rFonts w:ascii="方正小标宋简体" w:hAnsi="宋体" w:eastAsia="方正小标宋简体"/>
          <w:sz w:val="36"/>
          <w:szCs w:val="36"/>
        </w:rPr>
      </w:pPr>
    </w:p>
    <w:p>
      <w:pPr>
        <w:spacing w:line="578" w:lineRule="exact"/>
        <w:rPr>
          <w:rFonts w:ascii="方正小标宋简体" w:hAnsi="宋体" w:eastAsia="方正小标宋简体"/>
          <w:sz w:val="36"/>
          <w:szCs w:val="36"/>
        </w:rPr>
      </w:pPr>
    </w:p>
    <w:p>
      <w:pPr>
        <w:spacing w:line="578" w:lineRule="exact"/>
        <w:rPr>
          <w:rFonts w:ascii="方正小标宋简体" w:hAnsi="宋体" w:eastAsia="方正小标宋简体"/>
          <w:sz w:val="36"/>
          <w:szCs w:val="36"/>
        </w:rPr>
      </w:pPr>
    </w:p>
    <w:p>
      <w:pPr>
        <w:spacing w:line="578" w:lineRule="exact"/>
        <w:rPr>
          <w:rFonts w:ascii="方正小标宋简体" w:hAnsi="宋体" w:eastAsia="方正小标宋简体"/>
          <w:sz w:val="36"/>
          <w:szCs w:val="36"/>
        </w:rPr>
      </w:pPr>
    </w:p>
    <w:p>
      <w:pPr>
        <w:autoSpaceDE w:val="0"/>
        <w:autoSpaceDN w:val="0"/>
        <w:adjustRightInd w:val="0"/>
        <w:spacing w:line="578" w:lineRule="exact"/>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spacing w:line="578" w:lineRule="exact"/>
        <w:ind w:left="420" w:leftChars="200"/>
        <w:jc w:val="left"/>
        <w:rPr>
          <w:rFonts w:ascii="方正小标宋简体" w:hAnsi="宋体" w:eastAsia="方正小标宋简体"/>
          <w:color w:val="000000"/>
          <w:sz w:val="36"/>
          <w:szCs w:val="36"/>
        </w:rPr>
      </w:pPr>
      <w:r>
        <w:rPr>
          <w:rFonts w:hint="eastAsia" w:ascii="宋体" w:hAnsi="宋体" w:cs="仿宋_GB2312"/>
          <w:sz w:val="32"/>
          <w:szCs w:val="32"/>
        </w:rPr>
        <w:t>部门主要负责人审签情况：已审签，同意对外公开</w:t>
      </w:r>
    </w:p>
    <w:p>
      <w:pPr>
        <w:widowControl/>
        <w:spacing w:line="660" w:lineRule="exact"/>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5"/>
        <w:spacing w:line="660" w:lineRule="exact"/>
        <w:jc w:val="center"/>
        <w:rPr>
          <w:rFonts w:hAnsiTheme="minorHAnsi"/>
          <w:b w:val="0"/>
          <w:bCs w:val="0"/>
          <w:sz w:val="24"/>
          <w:szCs w:val="24"/>
        </w:rPr>
      </w:pPr>
      <w:r>
        <w:rPr>
          <w:rFonts w:hint="eastAsia" w:hAnsiTheme="minorHAnsi"/>
          <w:b w:val="0"/>
          <w:bCs w:val="0"/>
          <w:sz w:val="24"/>
          <w:szCs w:val="24"/>
        </w:rPr>
        <w:t>公开时间：2022年</w:t>
      </w:r>
      <w:r>
        <w:rPr>
          <w:rFonts w:hAnsiTheme="minorHAnsi"/>
          <w:b w:val="0"/>
          <w:bCs w:val="0"/>
          <w:sz w:val="24"/>
          <w:szCs w:val="24"/>
        </w:rPr>
        <w:t>9</w:t>
      </w:r>
      <w:r>
        <w:rPr>
          <w:rFonts w:hint="eastAsia" w:hAnsiTheme="minorHAnsi"/>
          <w:b w:val="0"/>
          <w:bCs w:val="0"/>
          <w:sz w:val="24"/>
          <w:szCs w:val="24"/>
        </w:rPr>
        <w:t>月10日</w:t>
      </w:r>
    </w:p>
    <w:p>
      <w:pPr>
        <w:pStyle w:val="15"/>
        <w:tabs>
          <w:tab w:val="right" w:leader="dot" w:pos="8296"/>
        </w:tabs>
        <w:spacing w:line="660" w:lineRule="exact"/>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rPr>
        <w:t>5--14</w:t>
      </w:r>
    </w:p>
    <w:p>
      <w:pPr>
        <w:pStyle w:val="18"/>
        <w:tabs>
          <w:tab w:val="right" w:leader="dot" w:pos="8296"/>
        </w:tabs>
        <w:spacing w:line="660" w:lineRule="exact"/>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5</w:t>
      </w:r>
      <w:r>
        <w:fldChar w:fldCharType="end"/>
      </w:r>
    </w:p>
    <w:p>
      <w:pPr>
        <w:pStyle w:val="10"/>
        <w:tabs>
          <w:tab w:val="right" w:leader="dot" w:pos="8296"/>
        </w:tabs>
        <w:spacing w:line="660" w:lineRule="exact"/>
        <w:rPr>
          <w:rFonts w:hAnsiTheme="minorHAnsi" w:eastAsiaTheme="minorEastAsia" w:cstheme="minorBidi"/>
          <w:i w:val="0"/>
          <w:iCs w:val="0"/>
          <w:sz w:val="21"/>
          <w:szCs w:val="22"/>
        </w:rPr>
      </w:pPr>
      <w:r>
        <w:rPr>
          <w:rFonts w:ascii="仿宋" w:hAnsi="仿宋" w:eastAsia="仿宋"/>
          <w:bCs/>
          <w:color w:val="000000"/>
        </w:rPr>
        <w:t>（一）主要职能。</w:t>
      </w:r>
      <w:r>
        <w:tab/>
      </w:r>
      <w:r>
        <w:rPr>
          <w:rFonts w:hint="eastAsia"/>
        </w:rPr>
        <w:t>5-6</w:t>
      </w:r>
    </w:p>
    <w:p>
      <w:pPr>
        <w:pStyle w:val="10"/>
        <w:tabs>
          <w:tab w:val="right" w:leader="dot" w:pos="8296"/>
        </w:tabs>
        <w:spacing w:line="660" w:lineRule="exact"/>
        <w:rPr>
          <w:rFonts w:hAnsiTheme="minorHAnsi" w:cstheme="minorBidi"/>
          <w:i w:val="0"/>
          <w:iCs w:val="0"/>
          <w:sz w:val="21"/>
          <w:szCs w:val="22"/>
        </w:rPr>
      </w:pPr>
      <w:r>
        <w:rPr>
          <w:rFonts w:ascii="仿宋" w:hAnsi="仿宋" w:eastAsia="仿宋"/>
          <w:bCs/>
          <w:color w:val="000000"/>
        </w:rPr>
        <w:t>（二）202</w:t>
      </w:r>
      <w:r>
        <w:rPr>
          <w:rFonts w:hint="eastAsia" w:ascii="仿宋" w:hAnsi="仿宋" w:eastAsia="仿宋"/>
          <w:bCs/>
          <w:color w:val="000000"/>
        </w:rPr>
        <w:t>2</w:t>
      </w:r>
      <w:r>
        <w:rPr>
          <w:rFonts w:ascii="仿宋" w:hAnsi="仿宋" w:eastAsia="仿宋"/>
          <w:bCs/>
          <w:color w:val="000000"/>
        </w:rPr>
        <w:t>年重点工作完成情况。</w:t>
      </w:r>
      <w:r>
        <w:tab/>
      </w:r>
      <w:r>
        <w:rPr>
          <w:rFonts w:hint="eastAsia"/>
        </w:rPr>
        <w:t>7-10</w:t>
      </w:r>
    </w:p>
    <w:p>
      <w:pPr>
        <w:pStyle w:val="18"/>
        <w:tabs>
          <w:tab w:val="right" w:leader="dot" w:pos="8296"/>
        </w:tabs>
        <w:spacing w:line="660" w:lineRule="exact"/>
        <w:rPr>
          <w:rFonts w:hAnsiTheme="minorHAnsi" w:eastAsiaTheme="minorEastAsia" w:cstheme="minorBidi"/>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rPr>
        <w:t>10-14</w:t>
      </w:r>
    </w:p>
    <w:p>
      <w:pPr>
        <w:pStyle w:val="15"/>
        <w:tabs>
          <w:tab w:val="right" w:leader="dot" w:pos="8296"/>
        </w:tabs>
        <w:spacing w:line="660" w:lineRule="exact"/>
        <w:rPr>
          <w:rFonts w:hAnsiTheme="minorHAnsi" w:cstheme="minorBidi"/>
          <w:b w:val="0"/>
          <w:bCs w:val="0"/>
          <w:caps w:val="0"/>
          <w:sz w:val="21"/>
          <w:szCs w:val="22"/>
        </w:rPr>
      </w:pPr>
      <w:r>
        <w:rPr>
          <w:rFonts w:ascii="黑体" w:hAnsi="黑体" w:eastAsia="黑体"/>
          <w:b w:val="0"/>
          <w:color w:val="000000"/>
        </w:rPr>
        <w:t>第二部分</w:t>
      </w:r>
      <w:r>
        <w:rPr>
          <w:rFonts w:ascii="黑体" w:hAnsi="黑体" w:eastAsia="黑体"/>
          <w:b w:val="0"/>
          <w:bCs w:val="0"/>
        </w:rPr>
        <w:t>202</w:t>
      </w:r>
      <w:r>
        <w:rPr>
          <w:rFonts w:hint="eastAsia" w:ascii="黑体" w:hAnsi="黑体" w:eastAsia="黑体"/>
          <w:b w:val="0"/>
          <w:bCs w:val="0"/>
        </w:rPr>
        <w:t>2</w:t>
      </w:r>
      <w:r>
        <w:rPr>
          <w:rFonts w:ascii="黑体" w:hAnsi="黑体" w:eastAsia="黑体"/>
          <w:b w:val="0"/>
          <w:bCs w:val="0"/>
        </w:rPr>
        <w:t>年度部门决算情况说明</w:t>
      </w:r>
      <w:r>
        <w:tab/>
      </w:r>
      <w:r>
        <w:rPr>
          <w:rFonts w:hint="eastAsia"/>
        </w:rPr>
        <w:t>15-20</w:t>
      </w:r>
    </w:p>
    <w:p>
      <w:pPr>
        <w:pStyle w:val="18"/>
        <w:tabs>
          <w:tab w:val="left" w:pos="840"/>
          <w:tab w:val="right" w:leader="dot" w:pos="8296"/>
        </w:tabs>
        <w:spacing w:line="660" w:lineRule="exact"/>
        <w:rPr>
          <w:rFonts w:hAnsiTheme="minorHAnsi"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rPr>
        <w:t>15</w:t>
      </w:r>
    </w:p>
    <w:p>
      <w:pPr>
        <w:pStyle w:val="18"/>
        <w:tabs>
          <w:tab w:val="left" w:pos="840"/>
          <w:tab w:val="right" w:leader="dot" w:pos="8296"/>
        </w:tabs>
        <w:spacing w:line="660" w:lineRule="exact"/>
        <w:rPr>
          <w:rFonts w:hAnsiTheme="minorHAnsi"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rPr>
        <w:t>15</w:t>
      </w:r>
    </w:p>
    <w:p>
      <w:pPr>
        <w:pStyle w:val="18"/>
        <w:tabs>
          <w:tab w:val="left" w:pos="840"/>
          <w:tab w:val="right" w:leader="dot" w:pos="8296"/>
        </w:tabs>
        <w:spacing w:line="660" w:lineRule="exact"/>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rPr>
        <w:t>15-16</w:t>
      </w:r>
    </w:p>
    <w:p>
      <w:pPr>
        <w:pStyle w:val="18"/>
        <w:tabs>
          <w:tab w:val="right" w:leader="dot" w:pos="8296"/>
        </w:tabs>
        <w:spacing w:line="660" w:lineRule="exact"/>
        <w:rPr>
          <w:rFonts w:hAnsiTheme="minorHAnsi"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rPr>
          <w:rFonts w:hint="eastAsia"/>
        </w:rPr>
        <w:t>16</w:t>
      </w:r>
    </w:p>
    <w:p>
      <w:pPr>
        <w:pStyle w:val="18"/>
        <w:tabs>
          <w:tab w:val="right" w:leader="dot" w:pos="8296"/>
        </w:tabs>
        <w:spacing w:line="660" w:lineRule="exact"/>
        <w:rPr>
          <w:rFonts w:hAnsiTheme="minorHAnsi"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rPr>
        <w:t>16</w:t>
      </w:r>
    </w:p>
    <w:p>
      <w:pPr>
        <w:pStyle w:val="10"/>
        <w:tabs>
          <w:tab w:val="right" w:leader="dot" w:pos="8296"/>
        </w:tabs>
        <w:spacing w:line="660" w:lineRule="exact"/>
        <w:rPr>
          <w:rFonts w:hAnsiTheme="minorHAnsi" w:cstheme="minorBidi"/>
          <w:i w:val="0"/>
          <w:iCs w:val="0"/>
          <w:sz w:val="21"/>
          <w:szCs w:val="22"/>
        </w:rPr>
      </w:pPr>
      <w:r>
        <w:rPr>
          <w:rFonts w:ascii="仿宋" w:hAnsi="仿宋" w:eastAsia="仿宋"/>
          <w:b/>
          <w:color w:val="000000"/>
        </w:rPr>
        <w:t>（一）一般公共预算财政拨款支出决算总体情况</w:t>
      </w:r>
      <w:r>
        <w:tab/>
      </w:r>
      <w:r>
        <w:rPr>
          <w:rFonts w:hint="eastAsia"/>
        </w:rPr>
        <w:t>16-17</w:t>
      </w:r>
    </w:p>
    <w:p>
      <w:pPr>
        <w:pStyle w:val="10"/>
        <w:tabs>
          <w:tab w:val="right" w:leader="dot" w:pos="8296"/>
        </w:tabs>
        <w:spacing w:line="660" w:lineRule="exact"/>
        <w:rPr>
          <w:rFonts w:hAnsiTheme="minorHAnsi" w:cstheme="minorBidi"/>
          <w:i w:val="0"/>
          <w:iCs w:val="0"/>
          <w:sz w:val="21"/>
          <w:szCs w:val="22"/>
        </w:rPr>
      </w:pPr>
      <w:r>
        <w:rPr>
          <w:rFonts w:ascii="仿宋" w:hAnsi="仿宋" w:eastAsia="仿宋"/>
          <w:b/>
          <w:color w:val="000000"/>
        </w:rPr>
        <w:t>（二）一般公共预算财政拨款支出决算结构情况</w:t>
      </w:r>
      <w:r>
        <w:tab/>
      </w:r>
      <w:r>
        <w:rPr>
          <w:rFonts w:hint="eastAsia"/>
        </w:rPr>
        <w:t>17</w:t>
      </w:r>
    </w:p>
    <w:p>
      <w:pPr>
        <w:pStyle w:val="10"/>
        <w:tabs>
          <w:tab w:val="right" w:leader="dot" w:pos="8296"/>
        </w:tabs>
        <w:spacing w:line="660" w:lineRule="exact"/>
        <w:rPr>
          <w:rFonts w:hAnsiTheme="minorHAnsi" w:cstheme="minorBidi"/>
          <w:i w:val="0"/>
          <w:iCs w:val="0"/>
          <w:sz w:val="21"/>
          <w:szCs w:val="22"/>
        </w:rPr>
      </w:pPr>
      <w:r>
        <w:rPr>
          <w:rFonts w:ascii="仿宋" w:hAnsi="仿宋" w:eastAsia="仿宋"/>
          <w:b/>
          <w:color w:val="000000"/>
        </w:rPr>
        <w:t>（三）一般公共预算财政拨款支出决算具体情况</w:t>
      </w:r>
      <w:r>
        <w:tab/>
      </w:r>
      <w:r>
        <w:rPr>
          <w:rFonts w:hint="eastAsia"/>
        </w:rPr>
        <w:t>17</w:t>
      </w:r>
    </w:p>
    <w:p>
      <w:pPr>
        <w:pStyle w:val="18"/>
        <w:tabs>
          <w:tab w:val="right" w:leader="dot" w:pos="8296"/>
        </w:tabs>
        <w:spacing w:line="660" w:lineRule="exact"/>
        <w:rPr>
          <w:rFonts w:hAnsiTheme="minorHAnsi"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rPr>
        <w:t>18</w:t>
      </w:r>
    </w:p>
    <w:p>
      <w:pPr>
        <w:pStyle w:val="18"/>
        <w:tabs>
          <w:tab w:val="right" w:leader="dot" w:pos="8296"/>
        </w:tabs>
        <w:spacing w:line="660" w:lineRule="exact"/>
        <w:rPr>
          <w:rFonts w:hAnsiTheme="minorHAnsi"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rPr>
        <w:t>18</w:t>
      </w:r>
    </w:p>
    <w:p>
      <w:pPr>
        <w:pStyle w:val="10"/>
        <w:tabs>
          <w:tab w:val="right" w:leader="dot" w:pos="8296"/>
        </w:tabs>
        <w:spacing w:line="660" w:lineRule="exact"/>
        <w:rPr>
          <w:rFonts w:hAnsiTheme="minorHAnsi" w:cstheme="minorBidi"/>
          <w:i w:val="0"/>
          <w:iCs w:val="0"/>
          <w:sz w:val="21"/>
          <w:szCs w:val="22"/>
        </w:rPr>
      </w:pPr>
      <w:r>
        <w:rPr>
          <w:rFonts w:ascii="仿宋" w:hAnsi="仿宋" w:eastAsia="仿宋"/>
          <w:b/>
          <w:color w:val="000000"/>
        </w:rPr>
        <w:t>（一）“三公”经费财政拨款支出决算总体情况说明</w:t>
      </w:r>
      <w:r>
        <w:tab/>
      </w:r>
      <w:r>
        <w:rPr>
          <w:rFonts w:hint="eastAsia"/>
        </w:rPr>
        <w:t>18</w:t>
      </w:r>
    </w:p>
    <w:p>
      <w:pPr>
        <w:pStyle w:val="10"/>
        <w:tabs>
          <w:tab w:val="right" w:leader="dot" w:pos="8296"/>
        </w:tabs>
        <w:spacing w:line="660" w:lineRule="exact"/>
        <w:rPr>
          <w:rFonts w:hAnsiTheme="minorHAnsi" w:cstheme="minorBidi"/>
          <w:i w:val="0"/>
          <w:iCs w:val="0"/>
          <w:sz w:val="21"/>
          <w:szCs w:val="22"/>
        </w:rPr>
      </w:pPr>
      <w:r>
        <w:rPr>
          <w:rFonts w:ascii="仿宋" w:hAnsi="仿宋" w:eastAsia="仿宋"/>
          <w:b/>
          <w:color w:val="000000"/>
        </w:rPr>
        <w:t>（二）“三公”经费财政拨款支出决算具体情况说明</w:t>
      </w:r>
      <w:r>
        <w:tab/>
      </w:r>
      <w:r>
        <w:rPr>
          <w:rFonts w:hint="eastAsia"/>
        </w:rPr>
        <w:t>18</w:t>
      </w:r>
    </w:p>
    <w:p>
      <w:pPr>
        <w:pStyle w:val="18"/>
        <w:tabs>
          <w:tab w:val="right" w:leader="dot" w:pos="8296"/>
        </w:tabs>
        <w:spacing w:line="660" w:lineRule="exact"/>
        <w:rPr>
          <w:rFonts w:hAnsiTheme="minorHAnsi"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rPr>
          <w:rFonts w:hint="eastAsia"/>
        </w:rPr>
        <w:t>19</w:t>
      </w:r>
    </w:p>
    <w:p>
      <w:pPr>
        <w:pStyle w:val="18"/>
        <w:tabs>
          <w:tab w:val="right" w:leader="dot" w:pos="8296"/>
        </w:tabs>
        <w:spacing w:line="660" w:lineRule="exact"/>
        <w:rPr>
          <w:rFonts w:hAnsiTheme="minorHAnsi" w:cstheme="minorBidi"/>
          <w:smallCaps w:val="0"/>
          <w:sz w:val="21"/>
          <w:szCs w:val="22"/>
        </w:rPr>
      </w:pPr>
      <w:r>
        <w:rPr>
          <w:rFonts w:ascii="黑体" w:hAnsi="黑体" w:eastAsia="黑体"/>
          <w:bCs/>
        </w:rPr>
        <w:t>九、 国有资本经营预算支出决算情况说明</w:t>
      </w:r>
      <w:r>
        <w:tab/>
      </w:r>
      <w:r>
        <w:rPr>
          <w:rFonts w:hint="eastAsia"/>
        </w:rPr>
        <w:t>19</w:t>
      </w:r>
    </w:p>
    <w:p>
      <w:pPr>
        <w:pStyle w:val="18"/>
        <w:tabs>
          <w:tab w:val="right" w:leader="dot" w:pos="8296"/>
        </w:tabs>
        <w:spacing w:line="660" w:lineRule="exact"/>
        <w:rPr>
          <w:rFonts w:hAnsiTheme="minorHAnsi"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rPr>
        <w:t>19</w:t>
      </w:r>
    </w:p>
    <w:p>
      <w:pPr>
        <w:pStyle w:val="10"/>
        <w:tabs>
          <w:tab w:val="right" w:leader="dot" w:pos="8296"/>
        </w:tabs>
        <w:spacing w:line="660" w:lineRule="exact"/>
        <w:rPr>
          <w:rFonts w:hAnsiTheme="minorHAnsi" w:cstheme="minorBidi"/>
          <w:i w:val="0"/>
          <w:iCs w:val="0"/>
          <w:sz w:val="21"/>
          <w:szCs w:val="22"/>
        </w:rPr>
      </w:pPr>
      <w:r>
        <w:rPr>
          <w:rFonts w:ascii="仿宋" w:hAnsi="仿宋" w:eastAsia="仿宋"/>
          <w:b/>
          <w:color w:val="000000"/>
        </w:rPr>
        <w:t>（一）机关运行经费支出情况</w:t>
      </w:r>
      <w:r>
        <w:tab/>
      </w:r>
      <w:r>
        <w:rPr>
          <w:rFonts w:hint="eastAsia"/>
        </w:rPr>
        <w:t>19</w:t>
      </w:r>
    </w:p>
    <w:p>
      <w:pPr>
        <w:pStyle w:val="10"/>
        <w:tabs>
          <w:tab w:val="right" w:leader="dot" w:pos="8296"/>
        </w:tabs>
        <w:spacing w:line="660" w:lineRule="exact"/>
        <w:rPr>
          <w:rFonts w:hAnsiTheme="minorHAnsi" w:cstheme="minorBidi"/>
          <w:i w:val="0"/>
          <w:iCs w:val="0"/>
          <w:sz w:val="21"/>
          <w:szCs w:val="22"/>
        </w:rPr>
      </w:pPr>
      <w:r>
        <w:rPr>
          <w:rFonts w:ascii="仿宋" w:hAnsi="仿宋" w:eastAsia="仿宋"/>
          <w:b/>
          <w:color w:val="000000"/>
        </w:rPr>
        <w:t>（二）政府采购支出情况</w:t>
      </w:r>
      <w:r>
        <w:tab/>
      </w:r>
      <w:r>
        <w:rPr>
          <w:rFonts w:hint="eastAsia"/>
        </w:rPr>
        <w:t>19</w:t>
      </w:r>
    </w:p>
    <w:p>
      <w:pPr>
        <w:pStyle w:val="10"/>
        <w:tabs>
          <w:tab w:val="right" w:leader="dot" w:pos="8296"/>
        </w:tabs>
        <w:spacing w:line="660" w:lineRule="exact"/>
        <w:rPr>
          <w:rFonts w:hAnsiTheme="minorHAnsi" w:cstheme="minorBidi"/>
          <w:i w:val="0"/>
          <w:iCs w:val="0"/>
          <w:sz w:val="21"/>
          <w:szCs w:val="22"/>
        </w:rPr>
      </w:pPr>
      <w:r>
        <w:rPr>
          <w:rFonts w:ascii="仿宋" w:hAnsi="仿宋" w:eastAsia="仿宋"/>
          <w:b/>
          <w:color w:val="000000"/>
        </w:rPr>
        <w:t>（三）国有资产占有使用情况</w:t>
      </w:r>
      <w:r>
        <w:tab/>
      </w:r>
      <w:r>
        <w:rPr>
          <w:rFonts w:hint="eastAsia"/>
        </w:rPr>
        <w:t>19</w:t>
      </w:r>
    </w:p>
    <w:p>
      <w:pPr>
        <w:pStyle w:val="10"/>
        <w:tabs>
          <w:tab w:val="right" w:leader="dot" w:pos="8296"/>
        </w:tabs>
        <w:spacing w:line="660" w:lineRule="exact"/>
        <w:rPr>
          <w:rFonts w:hAnsiTheme="minorHAnsi" w:cstheme="minorBidi"/>
          <w:i w:val="0"/>
          <w:iCs w:val="0"/>
          <w:sz w:val="21"/>
          <w:szCs w:val="22"/>
        </w:rPr>
      </w:pPr>
      <w:r>
        <w:rPr>
          <w:rFonts w:ascii="仿宋" w:hAnsi="仿宋" w:eastAsia="仿宋"/>
          <w:b/>
          <w:color w:val="000000"/>
        </w:rPr>
        <w:t>（四）预算绩效管理情况。</w:t>
      </w:r>
      <w:r>
        <w:tab/>
      </w:r>
      <w:r>
        <w:rPr>
          <w:rFonts w:hint="eastAsia"/>
        </w:rPr>
        <w:t>19-20</w:t>
      </w:r>
    </w:p>
    <w:p>
      <w:pPr>
        <w:pStyle w:val="15"/>
        <w:tabs>
          <w:tab w:val="right" w:leader="dot" w:pos="8296"/>
        </w:tabs>
        <w:spacing w:line="660" w:lineRule="exact"/>
        <w:rPr>
          <w:rFonts w:hAnsiTheme="minorHAnsi"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rPr>
        <w:t>21-22</w:t>
      </w:r>
    </w:p>
    <w:p>
      <w:pPr>
        <w:pStyle w:val="15"/>
        <w:tabs>
          <w:tab w:val="right" w:leader="dot" w:pos="8296"/>
        </w:tabs>
        <w:spacing w:line="660" w:lineRule="exact"/>
        <w:rPr>
          <w:rFonts w:hAnsiTheme="minorHAnsi"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rPr>
          <w:rFonts w:hint="eastAsia"/>
        </w:rPr>
        <w:t>23-31</w:t>
      </w:r>
    </w:p>
    <w:p>
      <w:pPr>
        <w:pStyle w:val="15"/>
        <w:tabs>
          <w:tab w:val="right" w:leader="dot" w:pos="8296"/>
        </w:tabs>
        <w:spacing w:line="660" w:lineRule="exact"/>
        <w:rPr>
          <w:rFonts w:hAnsiTheme="minorHAnsi" w:cstheme="minorBidi"/>
          <w:b w:val="0"/>
          <w:bCs w:val="0"/>
          <w:caps w:val="0"/>
          <w:sz w:val="21"/>
          <w:szCs w:val="22"/>
        </w:rPr>
      </w:pPr>
      <w:r>
        <w:rPr>
          <w:rFonts w:ascii="黑体" w:hAnsi="黑体" w:eastAsia="黑体" w:cs="黑体"/>
        </w:rPr>
        <w:t>附件1</w:t>
      </w:r>
      <w:r>
        <w:tab/>
      </w:r>
      <w:r>
        <w:rPr>
          <w:rFonts w:hint="eastAsia"/>
        </w:rPr>
        <w:t>23-31</w:t>
      </w:r>
    </w:p>
    <w:p>
      <w:pPr>
        <w:pStyle w:val="15"/>
        <w:tabs>
          <w:tab w:val="right" w:leader="dot" w:pos="8296"/>
        </w:tabs>
        <w:spacing w:line="660" w:lineRule="exact"/>
        <w:rPr>
          <w:rFonts w:hAnsiTheme="minorHAnsi" w:cstheme="minorBidi"/>
          <w:b w:val="0"/>
          <w:bCs w:val="0"/>
          <w:caps w:val="0"/>
          <w:sz w:val="21"/>
          <w:szCs w:val="22"/>
        </w:rPr>
      </w:pPr>
      <w:r>
        <w:rPr>
          <w:rFonts w:ascii="方正小标宋简体" w:hAnsi="黑体" w:eastAsia="方正小标宋简体" w:cs="黑体"/>
        </w:rPr>
        <w:t>部门202</w:t>
      </w:r>
      <w:r>
        <w:rPr>
          <w:rFonts w:hint="eastAsia" w:ascii="方正小标宋简体" w:hAnsi="黑体" w:eastAsia="方正小标宋简体" w:cs="黑体"/>
        </w:rPr>
        <w:t>2</w:t>
      </w:r>
      <w:r>
        <w:rPr>
          <w:rFonts w:ascii="方正小标宋简体" w:hAnsi="黑体" w:eastAsia="方正小标宋简体" w:cs="黑体"/>
        </w:rPr>
        <w:t>年部门整体支出绩效评价报告</w:t>
      </w:r>
      <w:r>
        <w:tab/>
      </w:r>
      <w:r>
        <w:rPr>
          <w:rFonts w:hint="eastAsia"/>
        </w:rPr>
        <w:t>23-31</w:t>
      </w:r>
    </w:p>
    <w:p>
      <w:pPr>
        <w:pStyle w:val="15"/>
        <w:tabs>
          <w:tab w:val="right" w:leader="dot" w:pos="8296"/>
        </w:tabs>
        <w:spacing w:line="660" w:lineRule="exact"/>
        <w:rPr>
          <w:rFonts w:hAnsiTheme="minorHAnsi"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color w:val="000000"/>
        </w:rPr>
        <w:t>一、收</w:t>
      </w:r>
      <w:r>
        <w:rPr>
          <w:rFonts w:ascii="仿宋" w:hAnsi="仿宋" w:eastAsia="仿宋"/>
        </w:rPr>
        <w:t>入支出决算总表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color w:val="000000"/>
        </w:rPr>
        <w:t>二、收</w:t>
      </w:r>
      <w:r>
        <w:rPr>
          <w:rFonts w:ascii="仿宋" w:hAnsi="仿宋" w:eastAsia="仿宋"/>
        </w:rPr>
        <w:t>入决算表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有资本经营预算财政拨款支出决算表</w:t>
      </w:r>
      <w:r>
        <w:tab/>
      </w:r>
      <w:r>
        <w:rPr>
          <w:rFonts w:hint="eastAsia"/>
        </w:rPr>
        <w:t>32</w:t>
      </w:r>
    </w:p>
    <w:p>
      <w:pPr>
        <w:pStyle w:val="18"/>
        <w:tabs>
          <w:tab w:val="right" w:leader="dot" w:pos="8296"/>
        </w:tabs>
        <w:spacing w:line="660" w:lineRule="exact"/>
        <w:rPr>
          <w:rFonts w:hAnsiTheme="minorHAnsi" w:cstheme="minorBidi"/>
          <w:smallCaps w:val="0"/>
          <w:sz w:val="21"/>
          <w:szCs w:val="22"/>
        </w:rPr>
      </w:pPr>
      <w:r>
        <w:rPr>
          <w:rFonts w:ascii="仿宋" w:hAnsi="仿宋" w:eastAsia="仿宋"/>
        </w:rPr>
        <w:t>十四、国有资本经营预算财政拨款支出决算表</w:t>
      </w:r>
      <w:r>
        <w:tab/>
      </w:r>
      <w:r>
        <w:rPr>
          <w:rFonts w:hint="eastAsia"/>
        </w:rPr>
        <w:t>32</w:t>
      </w:r>
    </w:p>
    <w:p>
      <w:pPr>
        <w:spacing w:line="660" w:lineRule="exact"/>
      </w:pPr>
      <w:r>
        <w:rPr>
          <w:rFonts w:asciiTheme="minorHAnsi" w:eastAsiaTheme="minorHAnsi"/>
          <w:b/>
          <w:bCs/>
          <w:caps/>
          <w:sz w:val="20"/>
          <w:szCs w:val="20"/>
        </w:rPr>
        <w:fldChar w:fldCharType="end"/>
      </w:r>
    </w:p>
    <w:p>
      <w:pPr>
        <w:widowControl/>
        <w:spacing w:line="66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spacing w:line="578" w:lineRule="exact"/>
        <w:jc w:val="center"/>
        <w:rPr>
          <w:rFonts w:ascii="黑体" w:eastAsia="黑体"/>
          <w:color w:val="000000"/>
          <w:sz w:val="32"/>
          <w:szCs w:val="32"/>
        </w:rPr>
      </w:pPr>
      <w:bookmarkStart w:id="14" w:name="_Toc79163601"/>
      <w:bookmarkStart w:id="15" w:name="_Toc79163851"/>
      <w:r>
        <w:rPr>
          <w:rFonts w:hint="eastAsia" w:ascii="黑体" w:hAnsi="黑体" w:eastAsia="黑体"/>
          <w:b w:val="0"/>
        </w:rPr>
        <w:t>第一部分</w:t>
      </w:r>
      <w:r>
        <w:rPr>
          <w:rStyle w:val="26"/>
          <w:rFonts w:hint="eastAsia" w:ascii="黑体" w:hAnsi="黑体" w:eastAsia="黑体"/>
          <w:b w:val="0"/>
          <w:bCs w:val="0"/>
        </w:rPr>
        <w:t>部门概况</w:t>
      </w:r>
      <w:bookmarkEnd w:id="12"/>
      <w:bookmarkEnd w:id="13"/>
      <w:bookmarkEnd w:id="14"/>
      <w:bookmarkEnd w:id="15"/>
    </w:p>
    <w:p>
      <w:pPr>
        <w:pStyle w:val="4"/>
        <w:spacing w:line="578" w:lineRule="exact"/>
        <w:rPr>
          <w:rStyle w:val="27"/>
          <w:rFonts w:ascii="黑体" w:hAnsi="黑体" w:eastAsia="黑体"/>
          <w:b w:val="0"/>
          <w:bCs w:val="0"/>
        </w:rPr>
      </w:pPr>
      <w:bookmarkStart w:id="16" w:name="_Toc79163602"/>
      <w:bookmarkStart w:id="17" w:name="_Toc79163852"/>
      <w:bookmarkStart w:id="18" w:name="_Toc15377197"/>
      <w:bookmarkStart w:id="19"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6"/>
      <w:bookmarkEnd w:id="17"/>
      <w:bookmarkEnd w:id="18"/>
      <w:bookmarkEnd w:id="19"/>
      <w:bookmarkStart w:id="20" w:name="_Toc15377200"/>
      <w:bookmarkStart w:id="21" w:name="_Toc79163605"/>
      <w:bookmarkStart w:id="22" w:name="_Toc79163855"/>
      <w:bookmarkStart w:id="23" w:name="_Toc15396601"/>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1．主要职能。</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一）负责全县党的纪律检查工作。贯彻落实党中央、省委、州委和县委关于纪律检查工作的决定，维护党的章程和其他党内法规，检查党的路线方针政策和决议的执行情况，协助县委推进全面从严治党、加强党风廉政建设和组织协调反腐败工作。</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（三）负责全县监察工作。贯彻落实党中央、省委、州委和县委关于监察工作的决定，维护宪法法律，依法对县委管理的行使公权力的公职人员进行监察，调查职务违法和职务犯罪，开展廉政建设和反腐败工作。</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四）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（五）负责组织协调全面从严治党、党风廉政建设和反腐败宣传教育工作。</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（六）负责综合分析全面从严治党、党风廉政建设和反腐败工作情况，对纪检监察工作重要理论及实践问题进行调查研究。</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（七）在州纪委监委的领导下，加强对反腐败国际追逃追赃和防逃工作的组织协调，督促有关部门做好相关工作。</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八）根据干部管理权限，负责纪检监察系统领导班子建设、干部队伍建设和组织建设的综合规划、政策研究、制度建设和业务指导。会同有关方面做好县纪委监委派驻机构、乡镇纪委监察室等有关工作。组织和指导纪检监察系统干部教育培训工作等。</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（九）完成县委和州纪委监委交办的其他任务。</w:t>
      </w:r>
    </w:p>
    <w:p>
      <w:pPr>
        <w:snapToGrid w:val="0"/>
        <w:spacing w:line="578" w:lineRule="exact"/>
        <w:ind w:firstLine="643" w:firstLineChars="200"/>
      </w:pPr>
      <w:r>
        <w:rPr>
          <w:rFonts w:hint="eastAsia" w:ascii="楷体_GB2312" w:hAnsi="仿宋" w:eastAsia="楷体_GB2312"/>
          <w:b/>
          <w:sz w:val="32"/>
          <w:szCs w:val="32"/>
        </w:rPr>
        <w:t>（二）2022年重点工作完成情况。</w:t>
      </w:r>
    </w:p>
    <w:p>
      <w:pPr>
        <w:pBdr>
          <w:bottom w:val="single" w:color="FFFFFF" w:sz="4" w:space="31"/>
        </w:pBdr>
        <w:tabs>
          <w:tab w:val="left" w:pos="1440"/>
        </w:tabs>
        <w:adjustRightInd w:val="0"/>
        <w:snapToGrid w:val="0"/>
        <w:spacing w:line="560" w:lineRule="exact"/>
        <w:ind w:firstLine="643" w:firstLineChars="200"/>
        <w:rPr>
          <w:rFonts w:eastAsia="仿宋_GB2312"/>
          <w:color w:val="000000" w:themeColor="text1"/>
          <w:sz w:val="32"/>
          <w:szCs w:val="32"/>
        </w:rPr>
      </w:pPr>
      <w:r>
        <w:rPr>
          <w:rFonts w:hint="eastAsia" w:ascii="楷体_GB2312" w:hAnsi="楷体_GB2312" w:eastAsia="楷体_GB2312" w:cs="楷体_GB2312"/>
          <w:b/>
          <w:bCs/>
          <w:color w:val="000000" w:themeColor="text1"/>
          <w:sz w:val="32"/>
          <w:szCs w:val="32"/>
        </w:rPr>
        <w:t>（一）坚定政治方向。</w:t>
      </w:r>
      <w:r>
        <w:rPr>
          <w:rFonts w:eastAsia="仿宋_GB2312"/>
          <w:bCs/>
          <w:color w:val="000000" w:themeColor="text1"/>
          <w:sz w:val="32"/>
          <w:szCs w:val="32"/>
        </w:rPr>
        <w:t>始终把加强政治理论学习作为提升政治素质的一贯追求，</w:t>
      </w:r>
      <w:r>
        <w:rPr>
          <w:rFonts w:hint="eastAsia" w:eastAsia="仿宋_GB2312"/>
          <w:bCs/>
          <w:color w:val="000000" w:themeColor="text1"/>
          <w:sz w:val="32"/>
          <w:szCs w:val="32"/>
        </w:rPr>
        <w:t>坚持把学习贯彻习近平新时代中国特色社会主义思想作为首要政治任务，认真落实</w:t>
      </w:r>
      <w:r>
        <w:rPr>
          <w:rFonts w:eastAsia="仿宋_GB2312"/>
          <w:bCs/>
          <w:color w:val="000000" w:themeColor="text1"/>
          <w:sz w:val="32"/>
          <w:szCs w:val="32"/>
        </w:rPr>
        <w:t>理论学习</w:t>
      </w:r>
      <w:r>
        <w:rPr>
          <w:rFonts w:hint="eastAsia" w:eastAsia="仿宋_GB2312"/>
          <w:bCs/>
          <w:color w:val="000000" w:themeColor="text1"/>
          <w:sz w:val="32"/>
          <w:szCs w:val="32"/>
        </w:rPr>
        <w:t>中心</w:t>
      </w:r>
      <w:r>
        <w:rPr>
          <w:rFonts w:eastAsia="仿宋_GB2312"/>
          <w:bCs/>
          <w:color w:val="000000" w:themeColor="text1"/>
          <w:sz w:val="32"/>
          <w:szCs w:val="32"/>
        </w:rPr>
        <w:t>组、“三会一课”、</w:t>
      </w:r>
      <w:r>
        <w:rPr>
          <w:rFonts w:hint="eastAsia" w:eastAsia="仿宋_GB2312"/>
          <w:bCs/>
          <w:color w:val="000000" w:themeColor="text1"/>
          <w:sz w:val="32"/>
          <w:szCs w:val="32"/>
        </w:rPr>
        <w:t>周例会</w:t>
      </w:r>
      <w:r>
        <w:rPr>
          <w:rFonts w:eastAsia="仿宋_GB2312"/>
          <w:bCs/>
          <w:color w:val="000000" w:themeColor="text1"/>
          <w:sz w:val="32"/>
          <w:szCs w:val="32"/>
        </w:rPr>
        <w:t>集中学习等制度，系统学习</w:t>
      </w:r>
      <w:r>
        <w:rPr>
          <w:rFonts w:hint="eastAsia" w:eastAsia="仿宋_GB2312"/>
          <w:bCs/>
          <w:color w:val="000000" w:themeColor="text1"/>
          <w:sz w:val="32"/>
          <w:szCs w:val="32"/>
        </w:rPr>
        <w:t>习近平总书记关于全面从严治党、推进党的自我革命、党的百年奋斗历史经验等重要论述，</w:t>
      </w:r>
      <w:r>
        <w:rPr>
          <w:rFonts w:hint="eastAsia" w:eastAsia="仿宋_GB2312"/>
          <w:color w:val="000000" w:themeColor="text1"/>
          <w:sz w:val="32"/>
          <w:szCs w:val="32"/>
        </w:rPr>
        <w:t>跟进学习</w:t>
      </w:r>
      <w:r>
        <w:rPr>
          <w:rFonts w:hint="eastAsia" w:eastAsia="仿宋_GB2312"/>
          <w:color w:val="000000" w:themeColor="text1"/>
          <w:sz w:val="32"/>
          <w:szCs w:val="32"/>
          <w:lang w:eastAsia="zh-CN"/>
        </w:rPr>
        <w:t>党的十九届六中全会</w:t>
      </w:r>
      <w:r>
        <w:rPr>
          <w:rFonts w:hint="eastAsia" w:eastAsia="仿宋_GB2312"/>
          <w:color w:val="000000" w:themeColor="text1"/>
          <w:sz w:val="32"/>
          <w:szCs w:val="32"/>
        </w:rPr>
        <w:t>、七中全会精神，党的二十大精神、二十届一中全会精神等，共开展各类学习41场次，推动全体纪检监察干部领会精髓实质、准确把握核心要义，真正做到学懂、弄通、做实，并用于武装头脑、指导实践。</w:t>
      </w:r>
    </w:p>
    <w:p>
      <w:pPr>
        <w:pBdr>
          <w:bottom w:val="single" w:color="FFFFFF" w:sz="4" w:space="31"/>
        </w:pBdr>
        <w:tabs>
          <w:tab w:val="left" w:pos="1440"/>
        </w:tabs>
        <w:adjustRightInd w:val="0"/>
        <w:snapToGrid w:val="0"/>
        <w:spacing w:line="560" w:lineRule="exact"/>
        <w:ind w:firstLine="643" w:firstLineChars="200"/>
        <w:rPr>
          <w:rFonts w:eastAsia="仿宋_GB2312"/>
          <w:color w:val="000000" w:themeColor="text1"/>
          <w:sz w:val="32"/>
          <w:szCs w:val="32"/>
        </w:rPr>
      </w:pPr>
      <w:r>
        <w:rPr>
          <w:rFonts w:hint="eastAsia" w:eastAsia="楷体_GB2312"/>
          <w:b/>
          <w:color w:val="000000" w:themeColor="text1"/>
          <w:kern w:val="0"/>
          <w:sz w:val="32"/>
          <w:szCs w:val="32"/>
        </w:rPr>
        <w:t>（二）强化政治监督</w:t>
      </w:r>
      <w:r>
        <w:rPr>
          <w:rFonts w:eastAsia="楷体_GB2312"/>
          <w:b/>
          <w:color w:val="000000" w:themeColor="text1"/>
          <w:kern w:val="0"/>
          <w:sz w:val="32"/>
          <w:szCs w:val="32"/>
        </w:rPr>
        <w:t>。</w:t>
      </w:r>
      <w:r>
        <w:rPr>
          <w:rFonts w:hint="eastAsia" w:eastAsia="仿宋_GB2312"/>
          <w:bCs/>
          <w:color w:val="000000" w:themeColor="text1"/>
          <w:sz w:val="32"/>
          <w:szCs w:val="32"/>
        </w:rPr>
        <w:t>始终</w:t>
      </w:r>
      <w:r>
        <w:rPr>
          <w:rFonts w:eastAsia="仿宋_GB2312"/>
          <w:bCs/>
          <w:color w:val="000000" w:themeColor="text1"/>
          <w:sz w:val="32"/>
          <w:szCs w:val="32"/>
        </w:rPr>
        <w:t>坚持党中央决策部署到哪里、监督检查就跟进到哪里</w:t>
      </w:r>
      <w:r>
        <w:rPr>
          <w:rFonts w:hint="eastAsia" w:eastAsia="仿宋_GB2312"/>
          <w:bCs/>
          <w:color w:val="000000" w:themeColor="text1"/>
          <w:sz w:val="32"/>
          <w:szCs w:val="32"/>
        </w:rPr>
        <w:t>。</w:t>
      </w:r>
      <w:r>
        <w:rPr>
          <w:rFonts w:eastAsia="仿宋_GB2312"/>
          <w:bCs/>
          <w:color w:val="000000" w:themeColor="text1"/>
          <w:sz w:val="32"/>
          <w:szCs w:val="32"/>
        </w:rPr>
        <w:t>聚焦反分维稳、防火防汛防疫、生态治理、乡村振兴、全域旅游等工作，深化“三察三治”，</w:t>
      </w:r>
      <w:r>
        <w:rPr>
          <w:rFonts w:hint="eastAsia" w:eastAsia="仿宋_GB2312"/>
          <w:bCs/>
          <w:color w:val="000000" w:themeColor="text1"/>
          <w:sz w:val="32"/>
          <w:szCs w:val="32"/>
        </w:rPr>
        <w:t>强力推动监督检查</w:t>
      </w:r>
      <w:r>
        <w:rPr>
          <w:rFonts w:eastAsia="仿宋_GB2312"/>
          <w:bCs/>
          <w:color w:val="000000" w:themeColor="text1"/>
          <w:sz w:val="32"/>
          <w:szCs w:val="32"/>
        </w:rPr>
        <w:t>，开展各类监督检查27次，发现问题150个，整改完成134个，提出整改意见59条，推动党的路线方针政策在松潘落地生根、开花结果</w:t>
      </w:r>
      <w:r>
        <w:rPr>
          <w:rFonts w:hint="eastAsia" w:eastAsia="仿宋_GB2312"/>
          <w:bCs/>
          <w:color w:val="000000" w:themeColor="text1"/>
          <w:sz w:val="32"/>
          <w:szCs w:val="32"/>
        </w:rPr>
        <w:t>。</w:t>
      </w:r>
      <w:r>
        <w:rPr>
          <w:rFonts w:eastAsia="仿宋_GB2312"/>
          <w:bCs/>
          <w:color w:val="000000" w:themeColor="text1"/>
          <w:sz w:val="32"/>
          <w:szCs w:val="32"/>
        </w:rPr>
        <w:t>不断强化同级监督和“一把手”监督，督促县委班子成员定期听取班子成员和联系乡镇、分管部门党组织责任制落实情况汇报，分层分类制定党风廉政建设“两个责任”清单，与全县500余名科级领导干部全覆盖签订，常态化开展谈心谈话，推动县、乡、村党风廉政建设贯通落实。</w:t>
      </w:r>
      <w:r>
        <w:rPr>
          <w:rFonts w:hint="eastAsia" w:eastAsia="仿宋_GB2312"/>
          <w:bCs/>
          <w:color w:val="000000" w:themeColor="text1"/>
          <w:sz w:val="32"/>
          <w:szCs w:val="32"/>
        </w:rPr>
        <w:t>深化政治巡察，</w:t>
      </w:r>
      <w:r>
        <w:rPr>
          <w:rFonts w:eastAsia="仿宋_GB2312"/>
          <w:bCs/>
          <w:color w:val="000000" w:themeColor="text1"/>
          <w:sz w:val="32"/>
          <w:szCs w:val="32"/>
        </w:rPr>
        <w:t>认真谋划十四届县委巡察</w:t>
      </w:r>
      <w:r>
        <w:rPr>
          <w:rFonts w:hint="eastAsia" w:eastAsia="仿宋_GB2312"/>
          <w:bCs/>
          <w:color w:val="000000" w:themeColor="text1"/>
          <w:sz w:val="32"/>
          <w:szCs w:val="32"/>
        </w:rPr>
        <w:t>工作</w:t>
      </w:r>
      <w:r>
        <w:rPr>
          <w:rFonts w:eastAsia="仿宋_GB2312"/>
          <w:bCs/>
          <w:color w:val="000000" w:themeColor="text1"/>
          <w:sz w:val="32"/>
          <w:szCs w:val="32"/>
        </w:rPr>
        <w:t>，制定《中共松潘县第十四届委员会巡察工作规划（2022</w:t>
      </w:r>
      <w:r>
        <w:rPr>
          <w:rFonts w:hint="eastAsia" w:eastAsia="仿宋_GB2312"/>
          <w:bCs/>
          <w:color w:val="000000" w:themeColor="text1"/>
          <w:sz w:val="32"/>
          <w:szCs w:val="32"/>
          <w:lang w:eastAsia="zh-CN"/>
        </w:rPr>
        <w:t>—</w:t>
      </w:r>
      <w:r>
        <w:rPr>
          <w:rFonts w:eastAsia="仿宋_GB2312"/>
          <w:bCs/>
          <w:color w:val="000000" w:themeColor="text1"/>
          <w:sz w:val="32"/>
          <w:szCs w:val="32"/>
        </w:rPr>
        <w:t>2026年）》，明确了十四届县委巡察任务和工作重点</w:t>
      </w:r>
      <w:r>
        <w:rPr>
          <w:rFonts w:hint="eastAsia" w:eastAsia="仿宋_GB2312"/>
          <w:bCs/>
          <w:color w:val="000000" w:themeColor="text1"/>
          <w:sz w:val="32"/>
          <w:szCs w:val="32"/>
        </w:rPr>
        <w:t>。完成</w:t>
      </w:r>
      <w:r>
        <w:rPr>
          <w:rFonts w:hint="eastAsia" w:eastAsia="仿宋_GB2312"/>
          <w:color w:val="000000" w:themeColor="text1"/>
          <w:spacing w:val="-6"/>
          <w:sz w:val="32"/>
          <w:szCs w:val="32"/>
        </w:rPr>
        <w:t>第一轮对</w:t>
      </w:r>
      <w:r>
        <w:rPr>
          <w:rFonts w:eastAsia="仿宋_GB2312"/>
          <w:color w:val="000000" w:themeColor="text1"/>
          <w:sz w:val="32"/>
          <w:szCs w:val="32"/>
        </w:rPr>
        <w:t>9个单位党组织</w:t>
      </w:r>
      <w:r>
        <w:rPr>
          <w:rFonts w:hint="eastAsia" w:eastAsia="仿宋_GB2312"/>
          <w:color w:val="000000" w:themeColor="text1"/>
          <w:sz w:val="32"/>
          <w:szCs w:val="32"/>
        </w:rPr>
        <w:t>的</w:t>
      </w:r>
      <w:r>
        <w:rPr>
          <w:rFonts w:eastAsia="仿宋_GB2312"/>
          <w:color w:val="000000" w:themeColor="text1"/>
          <w:sz w:val="32"/>
          <w:szCs w:val="32"/>
        </w:rPr>
        <w:t>巡察</w:t>
      </w:r>
      <w:r>
        <w:rPr>
          <w:rFonts w:hint="eastAsia" w:eastAsia="仿宋_GB2312"/>
          <w:color w:val="000000" w:themeColor="text1"/>
          <w:sz w:val="32"/>
          <w:szCs w:val="32"/>
        </w:rPr>
        <w:t>，</w:t>
      </w:r>
      <w:r>
        <w:rPr>
          <w:rFonts w:eastAsia="仿宋_GB2312"/>
          <w:color w:val="000000" w:themeColor="text1"/>
          <w:sz w:val="32"/>
          <w:szCs w:val="32"/>
        </w:rPr>
        <w:t>发现问题27</w:t>
      </w:r>
      <w:r>
        <w:rPr>
          <w:rFonts w:hint="eastAsia" w:eastAsia="仿宋_GB2312"/>
          <w:color w:val="000000" w:themeColor="text1"/>
          <w:sz w:val="32"/>
          <w:szCs w:val="32"/>
        </w:rPr>
        <w:t>4</w:t>
      </w:r>
      <w:r>
        <w:rPr>
          <w:rFonts w:eastAsia="仿宋_GB2312"/>
          <w:color w:val="000000" w:themeColor="text1"/>
          <w:sz w:val="32"/>
          <w:szCs w:val="32"/>
        </w:rPr>
        <w:t>个，拟移交问题线索4件，立巡立改问题121个</w:t>
      </w:r>
      <w:r>
        <w:rPr>
          <w:rFonts w:hint="eastAsia" w:eastAsia="仿宋_GB2312"/>
          <w:color w:val="000000" w:themeColor="text1"/>
          <w:sz w:val="32"/>
          <w:szCs w:val="32"/>
        </w:rPr>
        <w:t>；启动第二轮常规巡察，</w:t>
      </w:r>
      <w:r>
        <w:rPr>
          <w:rFonts w:eastAsia="仿宋_GB2312"/>
          <w:color w:val="000000" w:themeColor="text1"/>
          <w:sz w:val="32"/>
          <w:szCs w:val="32"/>
        </w:rPr>
        <w:t>切实推动巡察监督“一贯到底”。</w:t>
      </w:r>
    </w:p>
    <w:p>
      <w:pPr>
        <w:pBdr>
          <w:bottom w:val="single" w:color="FFFFFF" w:sz="4" w:space="31"/>
        </w:pBdr>
        <w:tabs>
          <w:tab w:val="left" w:pos="1440"/>
        </w:tabs>
        <w:adjustRightInd w:val="0"/>
        <w:snapToGrid w:val="0"/>
        <w:spacing w:line="560" w:lineRule="exact"/>
        <w:ind w:firstLine="643" w:firstLineChars="200"/>
        <w:rPr>
          <w:rFonts w:eastAsia="仿宋_GB2312"/>
          <w:color w:val="000000" w:themeColor="text1"/>
          <w:sz w:val="32"/>
          <w:szCs w:val="32"/>
        </w:rPr>
      </w:pPr>
      <w:r>
        <w:rPr>
          <w:rFonts w:hint="eastAsia" w:eastAsia="楷体_GB2312"/>
          <w:b/>
          <w:color w:val="000000" w:themeColor="text1"/>
          <w:kern w:val="0"/>
          <w:sz w:val="32"/>
          <w:szCs w:val="32"/>
        </w:rPr>
        <w:t>（三）持续正风肃纪</w:t>
      </w:r>
      <w:r>
        <w:rPr>
          <w:rFonts w:eastAsia="楷体_GB2312"/>
          <w:b/>
          <w:color w:val="000000" w:themeColor="text1"/>
          <w:kern w:val="0"/>
          <w:sz w:val="32"/>
          <w:szCs w:val="32"/>
        </w:rPr>
        <w:t>。</w:t>
      </w:r>
      <w:r>
        <w:rPr>
          <w:rFonts w:hint="eastAsia" w:eastAsia="仿宋_GB2312"/>
          <w:snapToGrid w:val="0"/>
          <w:color w:val="000000" w:themeColor="text1"/>
          <w:kern w:val="0"/>
          <w:sz w:val="32"/>
          <w:szCs w:val="32"/>
        </w:rPr>
        <w:t>始终坚持作风建设永远在路上，持续</w:t>
      </w:r>
      <w:r>
        <w:rPr>
          <w:rFonts w:eastAsia="仿宋_GB2312"/>
          <w:snapToGrid w:val="0"/>
          <w:color w:val="000000" w:themeColor="text1"/>
          <w:kern w:val="0"/>
          <w:sz w:val="32"/>
          <w:szCs w:val="32"/>
        </w:rPr>
        <w:t>推进</w:t>
      </w:r>
      <w:r>
        <w:rPr>
          <w:rFonts w:hint="eastAsia" w:eastAsia="仿宋_GB2312"/>
          <w:snapToGrid w:val="0"/>
          <w:color w:val="000000" w:themeColor="text1"/>
          <w:kern w:val="0"/>
          <w:sz w:val="32"/>
          <w:szCs w:val="32"/>
        </w:rPr>
        <w:t>正风肃纪</w:t>
      </w:r>
      <w:r>
        <w:rPr>
          <w:rFonts w:eastAsia="仿宋_GB2312"/>
          <w:snapToGrid w:val="0"/>
          <w:color w:val="000000" w:themeColor="text1"/>
          <w:kern w:val="0"/>
          <w:sz w:val="32"/>
          <w:szCs w:val="32"/>
        </w:rPr>
        <w:t>，</w:t>
      </w:r>
      <w:r>
        <w:rPr>
          <w:rFonts w:eastAsia="仿宋_GB2312"/>
          <w:color w:val="000000" w:themeColor="text1"/>
          <w:sz w:val="32"/>
          <w:szCs w:val="32"/>
        </w:rPr>
        <w:t>督促各级党组织在干部职工工作纪律、担当作为等方面研究制定可操作、可执行、可兑现的规章制度，以制度的刚性约束推动全县作风建设规范化、制度化、常态化。</w:t>
      </w:r>
      <w:r>
        <w:rPr>
          <w:rFonts w:hint="eastAsia" w:eastAsia="仿宋_GB2312"/>
          <w:color w:val="000000" w:themeColor="text1"/>
          <w:sz w:val="32"/>
          <w:szCs w:val="32"/>
        </w:rPr>
        <w:t>2022年，</w:t>
      </w:r>
      <w:r>
        <w:rPr>
          <w:rFonts w:eastAsia="仿宋_GB2312"/>
          <w:snapToGrid w:val="0"/>
          <w:color w:val="000000" w:themeColor="text1"/>
          <w:kern w:val="0"/>
          <w:sz w:val="32"/>
          <w:szCs w:val="32"/>
        </w:rPr>
        <w:t>查处违反中央八项规定精神问题</w:t>
      </w:r>
      <w:r>
        <w:rPr>
          <w:rFonts w:hint="eastAsia" w:eastAsia="仿宋_GB2312"/>
          <w:snapToGrid w:val="0"/>
          <w:color w:val="000000" w:themeColor="text1"/>
          <w:kern w:val="0"/>
          <w:sz w:val="32"/>
          <w:szCs w:val="32"/>
        </w:rPr>
        <w:t>4</w:t>
      </w:r>
      <w:r>
        <w:rPr>
          <w:rFonts w:eastAsia="仿宋_GB2312"/>
          <w:snapToGrid w:val="0"/>
          <w:color w:val="000000" w:themeColor="text1"/>
          <w:kern w:val="0"/>
          <w:sz w:val="32"/>
          <w:szCs w:val="32"/>
        </w:rPr>
        <w:t>起</w:t>
      </w:r>
      <w:r>
        <w:rPr>
          <w:rFonts w:hint="eastAsia" w:eastAsia="仿宋_GB2312"/>
          <w:snapToGrid w:val="0"/>
          <w:color w:val="000000" w:themeColor="text1"/>
          <w:kern w:val="0"/>
          <w:sz w:val="32"/>
          <w:szCs w:val="32"/>
        </w:rPr>
        <w:t>9</w:t>
      </w:r>
      <w:r>
        <w:rPr>
          <w:rFonts w:eastAsia="仿宋_GB2312"/>
          <w:snapToGrid w:val="0"/>
          <w:color w:val="000000" w:themeColor="text1"/>
          <w:kern w:val="0"/>
          <w:sz w:val="32"/>
          <w:szCs w:val="32"/>
        </w:rPr>
        <w:t>人，给予党纪政务处分</w:t>
      </w:r>
      <w:r>
        <w:rPr>
          <w:rFonts w:hint="eastAsia" w:eastAsia="仿宋_GB2312"/>
          <w:snapToGrid w:val="0"/>
          <w:color w:val="000000" w:themeColor="text1"/>
          <w:kern w:val="0"/>
          <w:sz w:val="32"/>
          <w:szCs w:val="32"/>
        </w:rPr>
        <w:t>7</w:t>
      </w:r>
      <w:r>
        <w:rPr>
          <w:rFonts w:eastAsia="仿宋_GB2312"/>
          <w:snapToGrid w:val="0"/>
          <w:color w:val="000000" w:themeColor="text1"/>
          <w:kern w:val="0"/>
          <w:sz w:val="32"/>
          <w:szCs w:val="32"/>
        </w:rPr>
        <w:t>人、组织处理</w:t>
      </w:r>
      <w:r>
        <w:rPr>
          <w:rFonts w:hint="eastAsia" w:eastAsia="仿宋_GB2312"/>
          <w:snapToGrid w:val="0"/>
          <w:color w:val="000000" w:themeColor="text1"/>
          <w:kern w:val="0"/>
          <w:sz w:val="32"/>
          <w:szCs w:val="32"/>
        </w:rPr>
        <w:t>2</w:t>
      </w:r>
      <w:r>
        <w:rPr>
          <w:rFonts w:eastAsia="仿宋_GB2312"/>
          <w:snapToGrid w:val="0"/>
          <w:color w:val="000000" w:themeColor="text1"/>
          <w:kern w:val="0"/>
          <w:sz w:val="32"/>
          <w:szCs w:val="32"/>
        </w:rPr>
        <w:t>人。</w:t>
      </w:r>
      <w:r>
        <w:rPr>
          <w:rFonts w:hint="eastAsia" w:eastAsia="仿宋_GB2312"/>
          <w:bCs/>
          <w:color w:val="000000" w:themeColor="text1"/>
          <w:sz w:val="32"/>
          <w:szCs w:val="32"/>
        </w:rPr>
        <w:t>开展简易审批村庄建设项目问题</w:t>
      </w:r>
      <w:r>
        <w:rPr>
          <w:rFonts w:eastAsia="仿宋_GB2312"/>
          <w:bCs/>
          <w:color w:val="000000" w:themeColor="text1"/>
          <w:sz w:val="32"/>
          <w:szCs w:val="32"/>
        </w:rPr>
        <w:t>专项督查6次，发现问题18个</w:t>
      </w:r>
      <w:r>
        <w:rPr>
          <w:rFonts w:hint="eastAsia" w:eastAsia="仿宋_GB2312"/>
          <w:bCs/>
          <w:color w:val="000000" w:themeColor="text1"/>
          <w:sz w:val="32"/>
          <w:szCs w:val="32"/>
        </w:rPr>
        <w:t>，</w:t>
      </w:r>
      <w:r>
        <w:rPr>
          <w:rFonts w:eastAsia="仿宋_GB2312"/>
          <w:bCs/>
          <w:color w:val="000000" w:themeColor="text1"/>
          <w:sz w:val="32"/>
          <w:szCs w:val="32"/>
        </w:rPr>
        <w:t>移送问题线索4件，立案查处2件2人，追回问题资金3.27万余元。</w:t>
      </w:r>
      <w:r>
        <w:rPr>
          <w:rFonts w:eastAsia="仿宋_GB2312"/>
          <w:color w:val="000000" w:themeColor="text1"/>
          <w:sz w:val="32"/>
          <w:szCs w:val="32"/>
        </w:rPr>
        <w:t>深挖彻查“四风”隐形变异问题，查处形式主义、官僚主义问题3件6人，广大党员干部时刻感受到监督常在、约束常在。坚持从小处着眼、细微入手，开展了为期3个月的干部</w:t>
      </w:r>
      <w:r>
        <w:rPr>
          <w:rFonts w:hint="eastAsia" w:eastAsia="仿宋_GB2312"/>
          <w:color w:val="000000" w:themeColor="text1"/>
          <w:sz w:val="32"/>
          <w:szCs w:val="32"/>
          <w:lang w:eastAsia="zh-CN"/>
        </w:rPr>
        <w:t>“</w:t>
      </w:r>
      <w:r>
        <w:rPr>
          <w:rFonts w:eastAsia="仿宋_GB2312"/>
          <w:color w:val="000000" w:themeColor="text1"/>
          <w:sz w:val="32"/>
          <w:szCs w:val="32"/>
        </w:rPr>
        <w:t>四风</w:t>
      </w:r>
      <w:r>
        <w:rPr>
          <w:rFonts w:hint="eastAsia" w:eastAsia="仿宋_GB2312"/>
          <w:color w:val="000000" w:themeColor="text1"/>
          <w:sz w:val="32"/>
          <w:szCs w:val="32"/>
          <w:lang w:eastAsia="zh-CN"/>
        </w:rPr>
        <w:t>”</w:t>
      </w:r>
      <w:r>
        <w:rPr>
          <w:rFonts w:eastAsia="仿宋_GB2312"/>
          <w:color w:val="000000" w:themeColor="text1"/>
          <w:sz w:val="32"/>
          <w:szCs w:val="32"/>
        </w:rPr>
        <w:t>、“五为”作风集中整顿，多措并举、综合施治，约谈提醒单位主要负责人5人，严肃处理上班时间娱乐公职人员7名，党纪政务处分4人，全县干部作风得到明显好转。</w:t>
      </w:r>
    </w:p>
    <w:p>
      <w:pPr>
        <w:pBdr>
          <w:bottom w:val="single" w:color="FFFFFF" w:sz="4" w:space="31"/>
        </w:pBdr>
        <w:tabs>
          <w:tab w:val="left" w:pos="1440"/>
        </w:tabs>
        <w:adjustRightInd w:val="0"/>
        <w:snapToGrid w:val="0"/>
        <w:spacing w:line="560" w:lineRule="exact"/>
        <w:ind w:firstLine="643" w:firstLineChars="200"/>
        <w:rPr>
          <w:rFonts w:eastAsia="仿宋_GB2312"/>
          <w:color w:val="000000" w:themeColor="text1"/>
          <w:sz w:val="32"/>
          <w:szCs w:val="32"/>
        </w:rPr>
      </w:pPr>
      <w:r>
        <w:rPr>
          <w:rFonts w:hint="eastAsia" w:eastAsia="楷体_GB2312"/>
          <w:b/>
          <w:color w:val="000000" w:themeColor="text1"/>
          <w:kern w:val="0"/>
          <w:sz w:val="32"/>
          <w:szCs w:val="32"/>
        </w:rPr>
        <w:t>（四）高压惩贪治腐</w:t>
      </w:r>
      <w:r>
        <w:rPr>
          <w:rFonts w:eastAsia="楷体_GB2312"/>
          <w:b/>
          <w:color w:val="000000" w:themeColor="text1"/>
          <w:kern w:val="0"/>
          <w:sz w:val="32"/>
          <w:szCs w:val="32"/>
        </w:rPr>
        <w:t>。</w:t>
      </w:r>
      <w:r>
        <w:rPr>
          <w:rFonts w:eastAsia="仿宋_GB2312"/>
          <w:color w:val="000000" w:themeColor="text1"/>
          <w:sz w:val="32"/>
          <w:szCs w:val="32"/>
        </w:rPr>
        <w:t>始终保持严的主基调，坚持有腐必反、有案必查，在全县形成了“不敢腐、不能腐、不想腐”的强大震慑。畅通信访渠道，开通纪检监察“码上举报”平台，设计制作宣传海报450张，在全县各乡镇、各村（社区）、各类公共场所全覆盖张贴宣传，群众网络举报渠道进一步畅通。创新办案机制，整合工作力量，建立乡镇纪检监察协作区4个，实行“委领导+室组地”工作模式，变“单兵作战”为“协同作战”，有效破解“熟人社会”监督难题，实现乡镇“零立案”、县级“零移送”；实行以“乡案县审”为主、“片区协作”为辅的案件审理机制，案件查办质效不断提升。持续深化“4+2”重点行业领域专项治理，党纪处分2件2人；扎实推进粮食购销领域腐败问题专项整治，立案审查2件4人；严厉查处侵害群众利益的“微腐败”和违法犯罪行为，截至目前，共处置问题线索</w:t>
      </w:r>
      <w:r>
        <w:rPr>
          <w:rFonts w:hint="eastAsia" w:eastAsia="仿宋_GB2312"/>
          <w:color w:val="000000" w:themeColor="text1"/>
          <w:sz w:val="32"/>
          <w:szCs w:val="32"/>
        </w:rPr>
        <w:t>79</w:t>
      </w:r>
      <w:r>
        <w:rPr>
          <w:rFonts w:eastAsia="仿宋_GB2312"/>
          <w:color w:val="000000" w:themeColor="text1"/>
          <w:sz w:val="32"/>
          <w:szCs w:val="32"/>
        </w:rPr>
        <w:t>件</w:t>
      </w:r>
      <w:r>
        <w:rPr>
          <w:rFonts w:hint="eastAsia" w:eastAsia="仿宋_GB2312"/>
          <w:color w:val="000000" w:themeColor="text1"/>
          <w:sz w:val="32"/>
          <w:szCs w:val="32"/>
        </w:rPr>
        <w:t>128</w:t>
      </w:r>
      <w:r>
        <w:rPr>
          <w:rFonts w:eastAsia="仿宋_GB2312"/>
          <w:color w:val="000000" w:themeColor="text1"/>
          <w:sz w:val="32"/>
          <w:szCs w:val="32"/>
        </w:rPr>
        <w:t>人，立案审查调查</w:t>
      </w:r>
      <w:r>
        <w:rPr>
          <w:rFonts w:hint="eastAsia" w:eastAsia="仿宋_GB2312"/>
          <w:color w:val="000000" w:themeColor="text1"/>
          <w:sz w:val="32"/>
          <w:szCs w:val="32"/>
        </w:rPr>
        <w:t>47</w:t>
      </w:r>
      <w:r>
        <w:rPr>
          <w:rFonts w:eastAsia="仿宋_GB2312"/>
          <w:color w:val="000000" w:themeColor="text1"/>
          <w:sz w:val="32"/>
          <w:szCs w:val="32"/>
        </w:rPr>
        <w:t>件</w:t>
      </w:r>
      <w:r>
        <w:rPr>
          <w:rFonts w:hint="eastAsia" w:eastAsia="仿宋_GB2312"/>
          <w:color w:val="000000" w:themeColor="text1"/>
          <w:sz w:val="32"/>
          <w:szCs w:val="32"/>
        </w:rPr>
        <w:t>64</w:t>
      </w:r>
      <w:r>
        <w:rPr>
          <w:rFonts w:eastAsia="仿宋_GB2312"/>
          <w:color w:val="000000" w:themeColor="text1"/>
          <w:sz w:val="32"/>
          <w:szCs w:val="32"/>
        </w:rPr>
        <w:t>人，给予党纪政务处分</w:t>
      </w:r>
      <w:r>
        <w:rPr>
          <w:rFonts w:hint="eastAsia" w:eastAsia="仿宋_GB2312"/>
          <w:color w:val="000000" w:themeColor="text1"/>
          <w:sz w:val="32"/>
          <w:szCs w:val="32"/>
        </w:rPr>
        <w:t>48</w:t>
      </w:r>
      <w:r>
        <w:rPr>
          <w:rFonts w:eastAsia="仿宋_GB2312"/>
          <w:color w:val="000000" w:themeColor="text1"/>
          <w:sz w:val="32"/>
          <w:szCs w:val="32"/>
        </w:rPr>
        <w:t>人、组织处理</w:t>
      </w:r>
      <w:r>
        <w:rPr>
          <w:rFonts w:hint="eastAsia" w:eastAsia="仿宋_GB2312"/>
          <w:color w:val="000000" w:themeColor="text1"/>
          <w:sz w:val="32"/>
          <w:szCs w:val="32"/>
        </w:rPr>
        <w:t>41</w:t>
      </w:r>
      <w:r>
        <w:rPr>
          <w:rFonts w:eastAsia="仿宋_GB2312"/>
          <w:color w:val="000000" w:themeColor="text1"/>
          <w:sz w:val="32"/>
          <w:szCs w:val="32"/>
        </w:rPr>
        <w:t>人，挽回经济损失</w:t>
      </w:r>
      <w:r>
        <w:rPr>
          <w:rFonts w:hint="eastAsia" w:eastAsia="仿宋_GB2312"/>
          <w:color w:val="000000" w:themeColor="text1"/>
          <w:sz w:val="32"/>
          <w:szCs w:val="32"/>
        </w:rPr>
        <w:t>156.36</w:t>
      </w:r>
      <w:r>
        <w:rPr>
          <w:rFonts w:eastAsia="仿宋_GB2312"/>
          <w:color w:val="000000" w:themeColor="text1"/>
          <w:sz w:val="32"/>
          <w:szCs w:val="32"/>
        </w:rPr>
        <w:t xml:space="preserve">万元。 </w:t>
      </w:r>
    </w:p>
    <w:p>
      <w:pPr>
        <w:pBdr>
          <w:bottom w:val="single" w:color="FFFFFF" w:sz="4" w:space="31"/>
        </w:pBdr>
        <w:tabs>
          <w:tab w:val="left" w:pos="1440"/>
        </w:tabs>
        <w:adjustRightInd w:val="0"/>
        <w:snapToGrid w:val="0"/>
        <w:spacing w:line="560" w:lineRule="exact"/>
        <w:ind w:firstLine="643" w:firstLineChars="200"/>
        <w:rPr>
          <w:rFonts w:eastAsia="仿宋_GB2312"/>
          <w:color w:val="000000" w:themeColor="text1"/>
          <w:sz w:val="32"/>
          <w:szCs w:val="32"/>
        </w:rPr>
      </w:pPr>
      <w:r>
        <w:rPr>
          <w:rFonts w:hint="eastAsia" w:eastAsia="楷体_GB2312"/>
          <w:b/>
          <w:color w:val="000000" w:themeColor="text1"/>
          <w:kern w:val="0"/>
          <w:sz w:val="32"/>
          <w:szCs w:val="32"/>
        </w:rPr>
        <w:t>（五）深化廉洁教育。</w:t>
      </w:r>
      <w:r>
        <w:rPr>
          <w:rFonts w:eastAsia="仿宋_GB2312"/>
          <w:color w:val="000000" w:themeColor="text1"/>
          <w:sz w:val="32"/>
          <w:szCs w:val="32"/>
        </w:rPr>
        <w:t>始终教育引导广大党员干部明红线、守底线，廉洁意识深入人心，取得强化警示震慑和正面教育引导“双收获”。落实会前学纪学法制度34次，完成指定学习篇目14篇，拓展学习11篇，组织收看《家道》《折翼的青春》等警示片、召开警示教育会368场次，3500余名干部职工接受教育。持续深化机关、学校、寺庙、景区、企业、农村、家庭廉洁教育“七进”活动，扎实开展</w:t>
      </w:r>
      <w:r>
        <w:rPr>
          <w:rFonts w:hint="eastAsia" w:eastAsia="仿宋_GB2312"/>
          <w:color w:val="000000" w:themeColor="text1"/>
          <w:sz w:val="32"/>
          <w:szCs w:val="32"/>
          <w:lang w:eastAsia="zh-CN"/>
        </w:rPr>
        <w:t>清廉</w:t>
      </w:r>
      <w:r>
        <w:rPr>
          <w:rFonts w:eastAsia="仿宋_GB2312"/>
          <w:color w:val="000000" w:themeColor="text1"/>
          <w:sz w:val="32"/>
          <w:szCs w:val="32"/>
        </w:rPr>
        <w:t>护航工程，分层分类组织</w:t>
      </w:r>
      <w:r>
        <w:rPr>
          <w:rFonts w:hint="eastAsia" w:eastAsia="仿宋_GB2312"/>
          <w:color w:val="000000" w:themeColor="text1"/>
          <w:sz w:val="32"/>
          <w:szCs w:val="32"/>
          <w:lang w:eastAsia="zh-CN"/>
        </w:rPr>
        <w:t>年轻干部</w:t>
      </w:r>
      <w:r>
        <w:rPr>
          <w:rFonts w:eastAsia="仿宋_GB2312"/>
          <w:color w:val="000000" w:themeColor="text1"/>
          <w:sz w:val="32"/>
          <w:szCs w:val="32"/>
        </w:rPr>
        <w:t>廉政谈话1200余人次，4.8万余名干部群众接受教育。充分发挥省级廉洁文化教育基地红军长征纪念碑碑园主阵地作用，拓展毛儿盖、沙窝会议会址和塔子山战斗等遗址的廉洁教育功能，今年以来共有5万余名党员干部和游客接受廉洁教育。</w:t>
      </w:r>
    </w:p>
    <w:p>
      <w:pPr>
        <w:pBdr>
          <w:bottom w:val="single" w:color="FFFFFF" w:sz="4" w:space="31"/>
        </w:pBdr>
        <w:tabs>
          <w:tab w:val="left" w:pos="1440"/>
        </w:tabs>
        <w:adjustRightInd w:val="0"/>
        <w:snapToGrid w:val="0"/>
        <w:spacing w:line="560" w:lineRule="exact"/>
        <w:ind w:firstLine="643" w:firstLineChars="200"/>
        <w:rPr>
          <w:rFonts w:eastAsia="仿宋_GB2312"/>
          <w:color w:val="000000" w:themeColor="text1"/>
          <w:sz w:val="32"/>
          <w:szCs w:val="32"/>
        </w:rPr>
      </w:pPr>
      <w:r>
        <w:rPr>
          <w:rFonts w:hint="eastAsia" w:eastAsia="楷体_GB2312"/>
          <w:b/>
          <w:color w:val="000000" w:themeColor="text1"/>
          <w:kern w:val="0"/>
          <w:sz w:val="32"/>
          <w:szCs w:val="32"/>
        </w:rPr>
        <w:t>（六）淬炼纪检铁军</w:t>
      </w:r>
      <w:r>
        <w:rPr>
          <w:rFonts w:eastAsia="楷体_GB2312"/>
          <w:b/>
          <w:color w:val="000000" w:themeColor="text1"/>
          <w:kern w:val="0"/>
          <w:sz w:val="32"/>
          <w:szCs w:val="32"/>
        </w:rPr>
        <w:t>。</w:t>
      </w:r>
      <w:r>
        <w:rPr>
          <w:rFonts w:eastAsia="仿宋_GB2312"/>
          <w:color w:val="000000" w:themeColor="text1"/>
          <w:sz w:val="32"/>
          <w:szCs w:val="32"/>
        </w:rPr>
        <w:t>始终把建强队伍作为改进和加强党风廉政工作的根本保证，对标“</w:t>
      </w:r>
      <w:r>
        <w:rPr>
          <w:rFonts w:hint="eastAsia" w:eastAsia="仿宋_GB2312"/>
          <w:color w:val="000000" w:themeColor="text1"/>
          <w:sz w:val="32"/>
          <w:szCs w:val="32"/>
          <w:lang w:eastAsia="zh-CN"/>
        </w:rPr>
        <w:t>打铁还需自身硬</w:t>
      </w:r>
      <w:r>
        <w:rPr>
          <w:rFonts w:eastAsia="仿宋_GB2312"/>
          <w:color w:val="000000" w:themeColor="text1"/>
          <w:sz w:val="32"/>
          <w:szCs w:val="32"/>
        </w:rPr>
        <w:t>”要求，努力打造一支对党绝对忠诚的纪检监察队伍。全县17个乡镇纪委书记、副书记及纪委委员、兼职纪检干部全覆盖实现“两专三兼”目标，选优配齐县纪委监委班子队伍，目前委机关、派出机构干部配备率为</w:t>
      </w:r>
      <w:r>
        <w:rPr>
          <w:rFonts w:hint="eastAsia" w:eastAsia="仿宋_GB2312"/>
          <w:color w:val="000000" w:themeColor="text1"/>
          <w:sz w:val="32"/>
          <w:szCs w:val="32"/>
        </w:rPr>
        <w:t>91.48</w:t>
      </w:r>
      <w:r>
        <w:rPr>
          <w:rFonts w:eastAsia="仿宋_GB2312"/>
          <w:color w:val="000000" w:themeColor="text1"/>
          <w:sz w:val="32"/>
          <w:szCs w:val="32"/>
        </w:rPr>
        <w:t>%，力争在年底前达到95%以上。今年以来，共举办纪检监察系统实务培训</w:t>
      </w:r>
      <w:r>
        <w:rPr>
          <w:rFonts w:hint="eastAsia" w:eastAsia="仿宋_GB2312"/>
          <w:color w:val="000000" w:themeColor="text1"/>
          <w:sz w:val="32"/>
          <w:szCs w:val="32"/>
        </w:rPr>
        <w:t>4</w:t>
      </w:r>
      <w:r>
        <w:rPr>
          <w:rFonts w:eastAsia="仿宋_GB2312"/>
          <w:color w:val="000000" w:themeColor="text1"/>
          <w:sz w:val="32"/>
          <w:szCs w:val="32"/>
        </w:rPr>
        <w:t>期、受训</w:t>
      </w:r>
      <w:r>
        <w:rPr>
          <w:rFonts w:hint="eastAsia" w:eastAsia="仿宋_GB2312"/>
          <w:color w:val="000000" w:themeColor="text1"/>
          <w:sz w:val="32"/>
          <w:szCs w:val="32"/>
        </w:rPr>
        <w:t>241</w:t>
      </w:r>
      <w:r>
        <w:rPr>
          <w:rFonts w:eastAsia="仿宋_GB2312"/>
          <w:color w:val="000000" w:themeColor="text1"/>
          <w:sz w:val="32"/>
          <w:szCs w:val="32"/>
        </w:rPr>
        <w:t>人次，进一步提升纪检监察干部业务能力。推荐7名干部到省、州纪委监委及浙江桐乡市纪委监委跟案学习、挂职锻炼，抽调18名乡镇纪检监察干部到委机关跟班学习，强化实践锻炼、实战提能。</w:t>
      </w:r>
    </w:p>
    <w:p>
      <w:pPr>
        <w:pBdr>
          <w:bottom w:val="single" w:color="FFFFFF" w:sz="4" w:space="31"/>
        </w:pBdr>
        <w:tabs>
          <w:tab w:val="left" w:pos="1440"/>
        </w:tabs>
        <w:adjustRightInd w:val="0"/>
        <w:snapToGrid w:val="0"/>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二、机构设置</w:t>
      </w:r>
    </w:p>
    <w:p>
      <w:pPr>
        <w:pBdr>
          <w:bottom w:val="single" w:color="FFFFFF" w:sz="4" w:space="31"/>
        </w:pBdr>
        <w:tabs>
          <w:tab w:val="left" w:pos="144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办公室。负责县纪委监委机关日常运转工作。筹备组织重要会议、活动；组织起草县纪委监委有关文件文稿；督促检查上级批办交办事项、县纪委全会工作部署和县纪委常委会（县监委委务会）等决定事项及委领导批办交办事项的落实情况；负责机关机要保密工作，负责机关财务管理、车辆管理、国有资产管理、安全保卫、干部职工医疗、卫生防疫等后勤管理服务工作，负责派驻机构差旅费报销、工资津补贴发放等后勤保障（办公场所、办公设施设备、办公日常运行费、车辆保障由驻在部门负责）工作；负责县纪委委员的联络工作，组织协调特约监察员工作；负责机关及派驻机构档案和涉案款物保管工作；负责县纪委监委机关党的建设、工会、共青团和妇代小组工作；负责组织开展有关党风廉政建设法律法规、理论政策、形势任务、决策部署和先进典型等宣传及舆论引导工作；负责县纪委监委机关的新闻事务和有关网络信息工作等；指导全县纪检监察系统的宣传教育、廉政文化建设和网络信息工作。负责综合分析全县全面从严治党、党风廉政建设和反腐败工作情况，开展政策理论及重大课题调查研究；起草领导同志文稿，会同、协助有关内设机构起草机关重要文件文稿；汇总、整理全县党风廉政建设和反腐败工作研究成果和信息资料，组织开展对纪检监察工作历史及规律的研究。</w:t>
      </w:r>
    </w:p>
    <w:p>
      <w:pPr>
        <w:pBdr>
          <w:bottom w:val="single" w:color="FFFFFF" w:sz="4" w:space="31"/>
        </w:pBdr>
        <w:tabs>
          <w:tab w:val="left" w:pos="144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（二）党风政风监督室。负责综合协调贯彻执行党的路线方针政策和决议、国家法律法规等情况的监督检查，组织协调重要监督检查活动，负责汇总党风廉政建设和反腐败</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情况；综合协调党的政治纪律和政治规矩执行；综合协调贯彻落实中央八项规定精神、纠正“四风”工作；综合协调整治群众身边和扶贫领域的腐败和作风问题；综合协调党内监督、党的问责等方面工作，推动管党治党政治责任落实；综合协调县纪委监委机关参与调查的事故、事件中涉及的监督对象违纪违法行为和需要问责情形的调查处理工作；综合分析党风政风监督工作情况，开展调查研究，提出工作建议；组织开展党风政风监督专项检查活动；协调办理县管干部任职前回复县委组织部意见工作；负责组织协调全县全面从严治党、党风廉政建设和反腐败宣传教育以及廉洁文化建设工作；指导全县纪检监察系统的党风政风监督工作。</w:t>
      </w:r>
    </w:p>
    <w:p>
      <w:pPr>
        <w:pBdr>
          <w:bottom w:val="single" w:color="FFFFFF" w:sz="4" w:space="31"/>
        </w:pBdr>
        <w:tabs>
          <w:tab w:val="left" w:pos="144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信访室。负责受理对党的组织、党员违反党纪行为，对监察对象不依法履职，违反秉公用权、廉洁从政从业及道德操守等规定，涉嫌职务违法、职务犯罪行为的检举控告；归口受理对县委管理的党的组织、党员、监察对象的上述信访举报，统一接收上级转办和县纪委监委派驻机构、乡镇纪委监察室报送的相关信访举报，分类摘要后将问题线索类信访举报移交案件监督管理室；受理党员对县纪委作出的党纪处分或者其他处理不服的申诉、监察对象对县监委作出的涉及本人的处理决定不服的复审申请；综合分析信访举报情况；接待群众来访，处理群众来信和电话网络举报事项等；指导全县纪检监察系统的信访举报工作。</w:t>
      </w:r>
    </w:p>
    <w:p>
      <w:pPr>
        <w:pBdr>
          <w:bottom w:val="single" w:color="FFFFFF" w:sz="4" w:space="31"/>
        </w:pBdr>
        <w:tabs>
          <w:tab w:val="left" w:pos="144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案件监督管理室。负责对监督检查、审查调查工作全过程进行监督管理，履行线索管理、组织协调、监督检查、督促办理、统计分析等职责；统一受理巡视巡察工作机构和审计机关、行政执法机关、司法机关等单位移交的相关问题线索。对问题线索实行集中管理，动态更新、定期汇总核对，提出分办意见，按程序移送承办机构；统一受理下级纪检监察机关线索处置和案件查办报告，定期汇总、核对问题线索及处置情况，分送有关内设机构；归口管理审查调查工作中与有关部门的联系协调事项；对调查措施使用进行监督管理；负责对依纪依法安全办案情况进行监督检查，对纪委监委办案场所的安全保卫、保密等工作进行监督检查，落实办案安全工作责任制；指导乡镇纪委监察室案件监督管理工作；在州纪委监委领导下，承担反腐败国际追逃追赃和防逃工作的组织协调；负责监督检查、审查调查工作中的信息技术保障工作。</w:t>
      </w:r>
    </w:p>
    <w:p>
      <w:pPr>
        <w:pBdr>
          <w:bottom w:val="single" w:color="FFFFFF" w:sz="4" w:space="31"/>
        </w:pBdr>
        <w:tabs>
          <w:tab w:val="left" w:pos="144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五）第一至第四纪检监察室。负责监督检查的纪检监察室主要履行依纪依法监督的职责。监督检查联系单位（乡、镇）领导班子及县管干部遵守和执行党的章程和其他党内法规，遵守和执行党的路线方针政策和决议、国家法律法规，推进全面从严治党，依法履职、秉公用权、廉洁从政从业以及道德操守等方面的情况；监督检查联系单位（乡、镇）党委（党组）落实管党治党主体责任的情况，指导、检查、督促联系纪委（派驻机构）落实纪检、监察责任，实施问责；向监察对象所在单位提出监察建议；综合分析研判问题线索，对适用“四种形态”中第一种、第二种形态的，按程序提出处置意见；对适用第三种、第四种形态的，按程序移交负责审查调查的纪检监察室；综合、协调、指导联系单位（乡、镇）纪检监察工作等。负责审查调查的纪检监察室主要履行执纪审查和依法调查处置的职责。承办涉嫌严重违纪或者职务违法、职务犯罪问题线索的初步核实和立案审查调查，以及其他比较重要或者复杂案件的初步核实、审查调查，并提出处理建议；向监察对象所在单位提出监察建议；可以办理下一级监察机关管辖范围内的监察事项，对在审查调查中发现的相关问题线索，送案件监督管理室按程序处置。 </w:t>
      </w:r>
    </w:p>
    <w:p>
      <w:pPr>
        <w:pBdr>
          <w:bottom w:val="single" w:color="FFFFFF" w:sz="4" w:space="31"/>
        </w:pBdr>
        <w:tabs>
          <w:tab w:val="left" w:pos="144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（六）案件审理室。负责审理县纪委监委机关直接审查调查和</w:t>
      </w:r>
      <w:r>
        <w:rPr>
          <w:rFonts w:hint="eastAsia" w:ascii="仿宋_GB2312" w:hAnsi="仿宋_GB2312" w:eastAsia="仿宋_GB2312" w:cs="仿宋_GB2312"/>
          <w:sz w:val="32"/>
          <w:szCs w:val="32"/>
          <w:lang w:eastAsia="zh-CN"/>
        </w:rPr>
        <w:t>各级党组织</w:t>
      </w:r>
      <w:r>
        <w:rPr>
          <w:rFonts w:hint="eastAsia" w:ascii="仿宋_GB2312" w:hAnsi="仿宋_GB2312" w:eastAsia="仿宋_GB2312" w:cs="仿宋_GB2312"/>
          <w:sz w:val="32"/>
          <w:szCs w:val="32"/>
        </w:rPr>
        <w:t>、纪检监察机关报批或备案的违反党纪和职务违法、职务犯罪案件，严格依规依纪依法提出处理或者处分意见；协助机关内设机构规范性文件起草工作；负责纪检监察法规制度和规范性文件的咨询答复、解释指导、备案清查、清理、审核、评估、编纂等工作；承办党员对县纪委作出的党纪处分或者其他处理不服的申诉案件、监察对象对县监委作出的涉及本人的处理决定不服的申请复审案件，以及其他需要由县纪委监委办理的申诉、复核案件等；指导全县纪检监察系统案件审理等工作。</w:t>
      </w:r>
    </w:p>
    <w:p>
      <w:pPr>
        <w:pBdr>
          <w:bottom w:val="single" w:color="FFFFFF" w:sz="4" w:space="31"/>
        </w:pBdr>
        <w:tabs>
          <w:tab w:val="left" w:pos="144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纪检监察干部监督室。按照干部管理权限，负责全县纪检监察系统领导班子建设、干部队伍建设和组织建设的综合规划、政策研究、制度建设和业务指导；负责县纪委监委机关、派驻机构及乡镇纪委监察室人事工作；会同有关部门，负责乡镇纪委监察室、县纪委监委派驻机构、县属企事业纪委领导班子成员提名、考察、任免等干部人事工作；组织和指导全县纪检监察系统干部教育培训工作；负责县纪委监委机关离退休老干部的管理服务工作；负责派驻机构干部日常管理和监督工作。负责监督检查全县纪检监察系统干部遵守和执行党的章程和其他党内法规、党的路线方针政策和决议、国家法律法规等方面的情况；负责受理对县纪委监委机关各内设机构、直属单位、县纪委监委派驻机构和县委巡察办干部，乡镇纪委监察室和县属企事业单位纪委领导班子及其成员涉嫌违反党纪、职务违法和职务犯罪等问题的举报，提出处置意见并负责问题线索初步核实及立案审查调查工作等；负责县纪委监委机关干部日常管理和监督，承担绩效考核工作；指导全县纪检监察系统干部监督工作。</w:t>
      </w:r>
    </w:p>
    <w:p>
      <w:pPr>
        <w:pBdr>
          <w:bottom w:val="single" w:color="FFFFFF" w:sz="4" w:space="31"/>
        </w:pBdr>
        <w:tabs>
          <w:tab w:val="left" w:pos="1440"/>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人员情况。县纪委、监察委机关编数为27人，综合管理类职位编制数25人，工勤2人，</w:t>
      </w:r>
      <w:r>
        <w:rPr>
          <w:rFonts w:hint="eastAsia" w:ascii="仿宋_GB2312" w:hAnsi="仿宋" w:eastAsia="仿宋_GB2312"/>
          <w:sz w:val="32"/>
          <w:szCs w:val="32"/>
          <w:lang w:eastAsia="zh-CN"/>
        </w:rPr>
        <w:t>县纪委监察委</w:t>
      </w:r>
      <w:r>
        <w:rPr>
          <w:rFonts w:hint="eastAsia" w:ascii="仿宋_GB2312" w:hAnsi="仿宋" w:eastAsia="仿宋_GB2312"/>
          <w:sz w:val="32"/>
          <w:szCs w:val="32"/>
        </w:rPr>
        <w:t>派出机构综合管理类职位编制数22名</w:t>
      </w:r>
      <w:r>
        <w:rPr>
          <w:rFonts w:hint="eastAsia" w:ascii="仿宋_GB2312" w:hAnsi="仿宋" w:eastAsia="仿宋_GB2312"/>
          <w:sz w:val="32"/>
          <w:szCs w:val="32"/>
          <w:lang w:eastAsia="zh-CN"/>
        </w:rPr>
        <w:t>，财务账</w:t>
      </w:r>
      <w:r>
        <w:rPr>
          <w:rFonts w:hint="eastAsia" w:ascii="仿宋_GB2312" w:hAnsi="仿宋" w:eastAsia="仿宋_GB2312"/>
          <w:sz w:val="32"/>
          <w:szCs w:val="32"/>
        </w:rPr>
        <w:t>中还含县委巡察办综合管理类职位编制数7人，工勤1人。</w:t>
      </w:r>
      <w:bookmarkEnd w:id="20"/>
      <w:bookmarkEnd w:id="21"/>
      <w:bookmarkEnd w:id="22"/>
      <w:bookmarkEnd w:id="23"/>
      <w:bookmarkStart w:id="24" w:name="_Toc79163609"/>
      <w:bookmarkStart w:id="25" w:name="_Toc15396602"/>
      <w:bookmarkStart w:id="26" w:name="_Toc15377204"/>
      <w:bookmarkStart w:id="27" w:name="_Toc79163859"/>
    </w:p>
    <w:p>
      <w:pPr>
        <w:pStyle w:val="2"/>
        <w:ind w:left="820" w:hanging="400"/>
      </w:pPr>
    </w:p>
    <w:p>
      <w:pPr>
        <w:pStyle w:val="3"/>
        <w:spacing w:line="578" w:lineRule="exact"/>
        <w:ind w:right="440"/>
        <w:jc w:val="right"/>
      </w:pPr>
      <w:r>
        <w:rPr>
          <w:rFonts w:hint="eastAsia" w:ascii="黑体" w:hAnsi="黑体" w:eastAsia="黑体"/>
          <w:b w:val="0"/>
          <w:color w:val="000000"/>
        </w:rPr>
        <w:t>第二部分</w:t>
      </w:r>
      <w:r>
        <w:rPr>
          <w:rStyle w:val="26"/>
          <w:rFonts w:ascii="黑体" w:hAnsi="黑体" w:eastAsia="黑体"/>
          <w:b w:val="0"/>
          <w:bCs w:val="0"/>
        </w:rPr>
        <w:t>202</w:t>
      </w:r>
      <w:r>
        <w:rPr>
          <w:rStyle w:val="26"/>
          <w:rFonts w:hint="eastAsia" w:ascii="黑体" w:hAnsi="黑体" w:eastAsia="黑体"/>
          <w:b w:val="0"/>
          <w:bCs w:val="0"/>
        </w:rPr>
        <w:t>2年度部门决算情况说明</w:t>
      </w:r>
      <w:bookmarkEnd w:id="24"/>
      <w:bookmarkEnd w:id="25"/>
      <w:bookmarkEnd w:id="26"/>
      <w:bookmarkEnd w:id="27"/>
    </w:p>
    <w:p>
      <w:pPr>
        <w:pStyle w:val="37"/>
        <w:numPr>
          <w:ilvl w:val="0"/>
          <w:numId w:val="1"/>
        </w:numPr>
        <w:spacing w:line="578" w:lineRule="exact"/>
        <w:ind w:firstLineChars="0"/>
        <w:outlineLvl w:val="1"/>
        <w:rPr>
          <w:rStyle w:val="27"/>
          <w:rFonts w:ascii="黑体" w:hAnsi="黑体" w:eastAsia="黑体"/>
          <w:b w:val="0"/>
        </w:rPr>
      </w:pPr>
      <w:bookmarkStart w:id="28" w:name="_Toc15377205"/>
      <w:bookmarkStart w:id="29" w:name="_Toc15396603"/>
      <w:bookmarkStart w:id="30" w:name="_Toc79163610"/>
      <w:bookmarkStart w:id="31" w:name="_Toc79163860"/>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8"/>
      <w:bookmarkEnd w:id="29"/>
      <w:bookmarkEnd w:id="30"/>
      <w:bookmarkEnd w:id="31"/>
    </w:p>
    <w:p>
      <w:pPr>
        <w:snapToGrid w:val="0"/>
        <w:spacing w:line="520" w:lineRule="exact"/>
        <w:ind w:firstLine="320" w:firstLineChars="100"/>
        <w:rPr>
          <w:rFonts w:ascii="仿宋_GB2312" w:hAnsi="仿宋" w:eastAsia="仿宋_GB2312"/>
          <w:sz w:val="32"/>
          <w:szCs w:val="32"/>
        </w:rPr>
      </w:pPr>
      <w:r>
        <w:rPr>
          <w:rFonts w:hint="eastAsia" w:ascii="仿宋_GB2312" w:hAnsi="仿宋" w:eastAsia="仿宋_GB2312"/>
          <w:sz w:val="32"/>
          <w:szCs w:val="32"/>
        </w:rPr>
        <w:t>2022年度收入合计1117.79万元，比上年度增加5.8%；本年支出1117.79万元，比上年度增加5.8%。增加的主要原因是本年度调进人员较多</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 致使费用增加。</w:t>
      </w:r>
    </w:p>
    <w:p>
      <w:pPr>
        <w:pStyle w:val="2"/>
        <w:ind w:left="820" w:hanging="400"/>
      </w:pPr>
      <w:r>
        <w:drawing>
          <wp:inline distT="0" distB="0" distL="0" distR="0">
            <wp:extent cx="3048000" cy="200025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7"/>
        <w:numPr>
          <w:ilvl w:val="0"/>
          <w:numId w:val="1"/>
        </w:numPr>
        <w:spacing w:line="578" w:lineRule="exact"/>
        <w:ind w:firstLineChars="0"/>
        <w:outlineLvl w:val="1"/>
        <w:rPr>
          <w:rStyle w:val="27"/>
          <w:rFonts w:ascii="黑体" w:hAnsi="黑体" w:eastAsia="黑体"/>
          <w:b w:val="0"/>
        </w:rPr>
      </w:pPr>
      <w:bookmarkStart w:id="32" w:name="_Toc15396604"/>
      <w:bookmarkStart w:id="33" w:name="_Toc79163861"/>
      <w:bookmarkStart w:id="34" w:name="_Toc15377206"/>
      <w:bookmarkStart w:id="35" w:name="_Toc79163611"/>
      <w:r>
        <w:rPr>
          <w:rFonts w:hint="eastAsia" w:ascii="黑体" w:hAnsi="黑体" w:eastAsia="黑体"/>
          <w:color w:val="000000"/>
          <w:sz w:val="32"/>
          <w:szCs w:val="32"/>
        </w:rPr>
        <w:t>收</w:t>
      </w:r>
      <w:r>
        <w:rPr>
          <w:rStyle w:val="27"/>
          <w:rFonts w:hint="eastAsia" w:ascii="黑体" w:hAnsi="黑体" w:eastAsia="黑体"/>
          <w:b w:val="0"/>
        </w:rPr>
        <w:t>入决算情况说明</w:t>
      </w:r>
      <w:bookmarkEnd w:id="32"/>
      <w:bookmarkEnd w:id="33"/>
      <w:bookmarkEnd w:id="34"/>
      <w:bookmarkEnd w:id="35"/>
    </w:p>
    <w:p>
      <w:pPr>
        <w:pStyle w:val="37"/>
        <w:spacing w:line="578" w:lineRule="exact"/>
        <w:ind w:left="120" w:leftChars="57" w:firstLine="755" w:firstLineChars="236"/>
        <w:outlineLvl w:val="1"/>
        <w:rPr>
          <w:rFonts w:ascii="仿宋_GB2312" w:hAnsi="仿宋" w:eastAsia="仿宋_GB2312"/>
          <w:sz w:val="32"/>
          <w:szCs w:val="32"/>
        </w:rPr>
      </w:pPr>
      <w:bookmarkStart w:id="36" w:name="_Toc79163612"/>
      <w:bookmarkStart w:id="37" w:name="_Toc15396605"/>
      <w:bookmarkStart w:id="38" w:name="_Toc79163862"/>
      <w:bookmarkStart w:id="39" w:name="_Toc15377207"/>
      <w:r>
        <w:rPr>
          <w:rFonts w:hint="eastAsia" w:ascii="仿宋_GB2312" w:hAnsi="仿宋" w:eastAsia="仿宋_GB2312"/>
          <w:sz w:val="32"/>
          <w:szCs w:val="32"/>
        </w:rPr>
        <w:t>2022年度收入合计1117.79万元，一般公共预算1117.79万元，占100%。</w:t>
      </w:r>
      <w:bookmarkEnd w:id="36"/>
      <w:bookmarkEnd w:id="37"/>
      <w:bookmarkEnd w:id="38"/>
      <w:bookmarkEnd w:id="39"/>
      <w:bookmarkStart w:id="40" w:name="_Toc15377208"/>
      <w:bookmarkStart w:id="41" w:name="_Toc79163613"/>
      <w:bookmarkStart w:id="42" w:name="_Toc15396606"/>
      <w:bookmarkStart w:id="43" w:name="_Toc79163863"/>
    </w:p>
    <w:p>
      <w:pPr>
        <w:pStyle w:val="2"/>
        <w:ind w:left="820" w:hanging="400"/>
      </w:pPr>
      <w:r>
        <w:drawing>
          <wp:inline distT="0" distB="0" distL="0" distR="0">
            <wp:extent cx="3200400" cy="17526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7"/>
        <w:spacing w:line="578" w:lineRule="exact"/>
        <w:ind w:left="120" w:leftChars="57" w:firstLine="440" w:firstLineChars="137"/>
        <w:outlineLvl w:val="1"/>
        <w:rPr>
          <w:rStyle w:val="27"/>
          <w:rFonts w:ascii="黑体" w:hAnsi="黑体" w:eastAsia="黑体"/>
          <w:b w:val="0"/>
        </w:rPr>
      </w:pPr>
      <w:r>
        <w:rPr>
          <w:rFonts w:hint="eastAsia" w:ascii="仿宋_GB2312" w:hAnsi="仿宋" w:eastAsia="仿宋_GB2312"/>
          <w:b/>
          <w:bCs/>
          <w:sz w:val="32"/>
          <w:szCs w:val="32"/>
        </w:rPr>
        <w:t>三、</w:t>
      </w:r>
      <w:r>
        <w:rPr>
          <w:rFonts w:hint="eastAsia" w:ascii="黑体" w:hAnsi="黑体" w:eastAsia="黑体"/>
          <w:color w:val="000000"/>
          <w:sz w:val="32"/>
          <w:szCs w:val="32"/>
        </w:rPr>
        <w:t>支</w:t>
      </w:r>
      <w:r>
        <w:rPr>
          <w:rStyle w:val="27"/>
          <w:rFonts w:hint="eastAsia" w:ascii="黑体" w:hAnsi="黑体" w:eastAsia="黑体"/>
          <w:b w:val="0"/>
        </w:rPr>
        <w:t>出决算情况说明</w:t>
      </w:r>
    </w:p>
    <w:p>
      <w:r>
        <w:rPr>
          <w:rFonts w:hint="eastAsia" w:ascii="仿宋_GB2312" w:hAnsi="仿宋" w:eastAsia="仿宋_GB2312"/>
          <w:sz w:val="32"/>
          <w:szCs w:val="32"/>
        </w:rPr>
        <w:t xml:space="preserve">    2022年度支出合计1117.79万元，其中：基本支出1047.79万元，占93.74%，项目支出70万元，占6.26%。</w:t>
      </w:r>
    </w:p>
    <w:p>
      <w:pPr>
        <w:pStyle w:val="2"/>
        <w:ind w:left="820" w:hanging="400"/>
      </w:pPr>
      <w:r>
        <w:drawing>
          <wp:inline distT="0" distB="0" distL="0" distR="0">
            <wp:extent cx="2686050" cy="1914525"/>
            <wp:effectExtent l="19050" t="0" r="19050" b="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
      <w:pPr>
        <w:snapToGrid w:val="0"/>
        <w:spacing w:line="360" w:lineRule="auto"/>
        <w:ind w:firstLine="643" w:firstLineChars="200"/>
        <w:rPr>
          <w:rStyle w:val="27"/>
          <w:rFonts w:ascii="黑体" w:hAnsi="黑体" w:eastAsia="黑体"/>
          <w:b w:val="0"/>
        </w:rPr>
      </w:pPr>
      <w:r>
        <w:rPr>
          <w:rFonts w:hint="eastAsia" w:ascii="仿宋_GB2312" w:hAnsi="仿宋" w:eastAsia="仿宋_GB2312"/>
          <w:b/>
          <w:sz w:val="32"/>
          <w:szCs w:val="32"/>
        </w:rPr>
        <w:t>四、</w:t>
      </w:r>
      <w:r>
        <w:rPr>
          <w:rFonts w:hint="eastAsia" w:ascii="黑体" w:hAnsi="黑体" w:eastAsia="黑体"/>
          <w:b/>
          <w:color w:val="000000"/>
          <w:sz w:val="32"/>
          <w:szCs w:val="32"/>
        </w:rPr>
        <w:t>财</w:t>
      </w:r>
      <w:r>
        <w:rPr>
          <w:rStyle w:val="27"/>
          <w:rFonts w:hint="eastAsia" w:ascii="黑体" w:hAnsi="黑体" w:eastAsia="黑体"/>
          <w:b w:val="0"/>
        </w:rPr>
        <w:t>政拨款收入支出决算总体情况说明</w:t>
      </w:r>
      <w:bookmarkEnd w:id="40"/>
      <w:bookmarkEnd w:id="41"/>
      <w:bookmarkEnd w:id="42"/>
      <w:bookmarkEnd w:id="43"/>
      <w:bookmarkStart w:id="44" w:name="_Toc15396607"/>
      <w:bookmarkStart w:id="45" w:name="_Toc79163614"/>
      <w:bookmarkStart w:id="46" w:name="_Toc79163864"/>
      <w:bookmarkStart w:id="47" w:name="_Toc15377209"/>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2022年度收入合计1117.79万元，比2021度增加5.8%；本年支出1117.79万元，比2021度</w:t>
      </w:r>
      <w:r>
        <w:rPr>
          <w:rFonts w:hint="eastAsia" w:ascii="仿宋_GB2312" w:hAnsi="仿宋" w:eastAsia="仿宋_GB2312"/>
          <w:sz w:val="32"/>
          <w:szCs w:val="32"/>
          <w:lang w:eastAsia="zh-CN"/>
        </w:rPr>
        <w:t>增加</w:t>
      </w:r>
      <w:r>
        <w:rPr>
          <w:rFonts w:hint="eastAsia" w:ascii="仿宋_GB2312" w:hAnsi="仿宋" w:eastAsia="仿宋_GB2312"/>
          <w:sz w:val="32"/>
          <w:szCs w:val="32"/>
        </w:rPr>
        <w:t>5.8%。增加的主要原因本年度调进人员较多</w:t>
      </w:r>
      <w:r>
        <w:rPr>
          <w:rFonts w:hint="eastAsia" w:ascii="仿宋_GB2312" w:hAnsi="仿宋" w:eastAsia="仿宋_GB2312"/>
          <w:sz w:val="32"/>
          <w:szCs w:val="32"/>
          <w:lang w:eastAsia="zh-CN"/>
        </w:rPr>
        <w:t>，</w:t>
      </w:r>
      <w:r>
        <w:rPr>
          <w:rFonts w:hint="eastAsia" w:ascii="仿宋_GB2312" w:hAnsi="仿宋" w:eastAsia="仿宋_GB2312"/>
          <w:sz w:val="32"/>
          <w:szCs w:val="32"/>
        </w:rPr>
        <w:t>致使费用增加。</w:t>
      </w:r>
    </w:p>
    <w:p>
      <w:pPr>
        <w:pStyle w:val="2"/>
        <w:ind w:left="820" w:hanging="400"/>
      </w:pPr>
      <w:r>
        <w:drawing>
          <wp:inline distT="0" distB="0" distL="0" distR="0">
            <wp:extent cx="3048000" cy="2000250"/>
            <wp:effectExtent l="19050" t="0" r="19050" b="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78"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4"/>
      <w:bookmarkEnd w:id="45"/>
      <w:bookmarkEnd w:id="46"/>
      <w:bookmarkEnd w:id="47"/>
    </w:p>
    <w:p>
      <w:pPr>
        <w:snapToGrid w:val="0"/>
        <w:spacing w:line="578" w:lineRule="exact"/>
        <w:ind w:firstLine="643" w:firstLineChars="200"/>
        <w:rPr>
          <w:rFonts w:ascii="仿宋" w:hAnsi="仿宋" w:eastAsia="仿宋"/>
          <w:b/>
          <w:color w:val="000000"/>
          <w:sz w:val="32"/>
          <w:szCs w:val="32"/>
        </w:rPr>
      </w:pPr>
      <w:bookmarkStart w:id="48" w:name="_Toc79163865"/>
      <w:bookmarkStart w:id="49" w:name="_Toc79163615"/>
      <w:bookmarkStart w:id="50" w:name="_Toc15377210"/>
      <w:r>
        <w:rPr>
          <w:rFonts w:hint="eastAsia" w:ascii="仿宋" w:hAnsi="仿宋" w:eastAsia="仿宋"/>
          <w:b/>
          <w:color w:val="000000"/>
          <w:sz w:val="32"/>
          <w:szCs w:val="32"/>
        </w:rPr>
        <w:t>（一）一般公共预算财政拨款支出决算总体情况</w:t>
      </w:r>
      <w:bookmarkEnd w:id="48"/>
      <w:bookmarkEnd w:id="49"/>
      <w:bookmarkEnd w:id="50"/>
    </w:p>
    <w:p>
      <w:pPr>
        <w:snapToGrid w:val="0"/>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2022年度一般公共预算财政拨款支出合计1117.79万元，占本年支出100%，比2021年度相比一般公共预算财政拨款增加5.8%。增加的主要原因是本年度调进人员较多</w:t>
      </w:r>
      <w:r>
        <w:rPr>
          <w:rFonts w:hint="eastAsia" w:ascii="仿宋_GB2312" w:hAnsi="仿宋" w:eastAsia="仿宋_GB2312"/>
          <w:sz w:val="32"/>
          <w:szCs w:val="32"/>
          <w:lang w:eastAsia="zh-CN"/>
        </w:rPr>
        <w:t>，</w:t>
      </w:r>
      <w:r>
        <w:rPr>
          <w:rFonts w:hint="eastAsia" w:ascii="仿宋_GB2312" w:hAnsi="仿宋" w:eastAsia="仿宋_GB2312"/>
          <w:sz w:val="32"/>
          <w:szCs w:val="32"/>
        </w:rPr>
        <w:t>致使费用增加。</w:t>
      </w:r>
    </w:p>
    <w:p>
      <w:pPr>
        <w:pStyle w:val="2"/>
        <w:ind w:left="820" w:hanging="400"/>
      </w:pPr>
      <w:r>
        <w:drawing>
          <wp:inline distT="0" distB="0" distL="0" distR="0">
            <wp:extent cx="3543300" cy="2514600"/>
            <wp:effectExtent l="19050" t="0" r="19050" b="0"/>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napToGrid w:val="0"/>
        <w:spacing w:line="520" w:lineRule="exact"/>
        <w:ind w:firstLine="482" w:firstLineChars="150"/>
        <w:rPr>
          <w:rFonts w:ascii="仿宋" w:hAnsi="仿宋" w:eastAsia="仿宋"/>
          <w:b/>
          <w:color w:val="000000"/>
          <w:sz w:val="32"/>
          <w:szCs w:val="32"/>
        </w:rPr>
      </w:pPr>
      <w:r>
        <w:rPr>
          <w:rFonts w:hint="eastAsia" w:ascii="仿宋" w:hAnsi="仿宋" w:eastAsia="仿宋"/>
          <w:b/>
          <w:color w:val="000000"/>
          <w:sz w:val="32"/>
          <w:szCs w:val="32"/>
        </w:rPr>
        <w:t xml:space="preserve">（二）一般公共预算财政拨款支出决算结构情况       </w:t>
      </w:r>
    </w:p>
    <w:p>
      <w:pPr>
        <w:snapToGrid w:val="0"/>
        <w:spacing w:line="520" w:lineRule="exact"/>
        <w:ind w:firstLine="480" w:firstLineChars="150"/>
      </w:pPr>
      <w:r>
        <w:rPr>
          <w:rFonts w:hint="eastAsia" w:ascii="仿宋_GB2312" w:hAnsi="仿宋" w:eastAsia="仿宋_GB2312"/>
          <w:sz w:val="32"/>
          <w:szCs w:val="32"/>
        </w:rPr>
        <w:t>2022年度支出合计1117.79万元，主要用于以下方面</w:t>
      </w:r>
      <w:r>
        <w:rPr>
          <w:rFonts w:hint="eastAsia" w:ascii="仿宋_GB2312" w:hAnsi="仿宋" w:eastAsia="仿宋_GB2312"/>
          <w:sz w:val="32"/>
          <w:szCs w:val="32"/>
          <w:lang w:eastAsia="zh-CN"/>
        </w:rPr>
        <w:t>：一般</w:t>
      </w:r>
      <w:r>
        <w:rPr>
          <w:rFonts w:hint="eastAsia" w:ascii="仿宋_GB2312" w:hAnsi="仿宋" w:eastAsia="仿宋_GB2312"/>
          <w:sz w:val="32"/>
          <w:szCs w:val="32"/>
        </w:rPr>
        <w:t>公共服务支出为871.76万元，占比77.99%；社会保障和就业支出为130.73万元，占比11.70%；卫生健康支出为46.22万元，占比4.13%；住房保障支出为69.08万元，占比6.18%；</w:t>
      </w:r>
    </w:p>
    <w:p>
      <w:pPr>
        <w:pStyle w:val="2"/>
        <w:ind w:left="820" w:hanging="400"/>
        <w:rPr>
          <w:rFonts w:ascii="仿宋" w:hAnsi="仿宋" w:eastAsia="仿宋"/>
          <w:b/>
          <w:color w:val="000000"/>
          <w:sz w:val="32"/>
          <w:szCs w:val="32"/>
        </w:rPr>
      </w:pPr>
      <w:bookmarkStart w:id="51" w:name="_Toc79163867"/>
      <w:bookmarkStart w:id="52" w:name="_Toc79163617"/>
      <w:bookmarkStart w:id="53" w:name="_Toc15377212"/>
      <w:r>
        <w:drawing>
          <wp:inline distT="0" distB="0" distL="0" distR="0">
            <wp:extent cx="2466975" cy="1457325"/>
            <wp:effectExtent l="19050" t="0" r="9525" b="0"/>
            <wp:docPr id="31" name="图片 13" descr="C:\Users\Administrator\AppData\Roaming\Tencent\Users\876747027\QQ\WinTemp\RichOle\}{]_$J%RHM8$X~$T46Q[]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descr="C:\Users\Administrator\AppData\Roaming\Tencent\Users\876747027\QQ\WinTemp\RichOle\}{]_$J%RHM8$X~$T46Q[]EM.png"/>
                    <pic:cNvPicPr>
                      <a:picLocks noChangeAspect="1" noChangeArrowheads="1"/>
                    </pic:cNvPicPr>
                  </pic:nvPicPr>
                  <pic:blipFill>
                    <a:blip r:embed="rId11" cstate="print"/>
                    <a:srcRect/>
                    <a:stretch>
                      <a:fillRect/>
                    </a:stretch>
                  </pic:blipFill>
                  <pic:spPr>
                    <a:xfrm>
                      <a:off x="0" y="0"/>
                      <a:ext cx="2466975" cy="1457325"/>
                    </a:xfrm>
                    <a:prstGeom prst="rect">
                      <a:avLst/>
                    </a:prstGeom>
                    <a:noFill/>
                    <a:ln w="9525">
                      <a:noFill/>
                      <a:miter lim="800000"/>
                      <a:headEnd/>
                      <a:tailEnd/>
                    </a:ln>
                  </pic:spPr>
                </pic:pic>
              </a:graphicData>
            </a:graphic>
          </wp:inline>
        </w:drawing>
      </w:r>
    </w:p>
    <w:p>
      <w:pPr>
        <w:spacing w:line="578"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51"/>
      <w:bookmarkEnd w:id="52"/>
      <w:bookmarkEnd w:id="53"/>
    </w:p>
    <w:p>
      <w:pPr>
        <w:spacing w:line="578" w:lineRule="exact"/>
        <w:ind w:firstLine="640" w:firstLineChars="200"/>
        <w:outlineLvl w:val="2"/>
      </w:pPr>
      <w:bookmarkStart w:id="54" w:name="_Toc15377214"/>
      <w:bookmarkStart w:id="55" w:name="_Toc15396608"/>
      <w:bookmarkStart w:id="56" w:name="_Toc79163868"/>
      <w:bookmarkStart w:id="57" w:name="_Toc79163618"/>
      <w:r>
        <w:rPr>
          <w:rFonts w:hint="eastAsia" w:ascii="仿宋_GB2312" w:hAnsi="仿宋" w:eastAsia="仿宋_GB2312"/>
          <w:sz w:val="32"/>
          <w:szCs w:val="32"/>
        </w:rPr>
        <w:t>2022年度支出合计1117.79万元，完成预算100%。主要用于以下方面：一般公共服务871.76万元，完成预算100%；社会保障和就业130.73元，完成预算100%；卫生健康46.22万元，完成预算100%；住房保障69.08万元，完成预算100%。</w:t>
      </w:r>
    </w:p>
    <w:p>
      <w:pPr>
        <w:tabs>
          <w:tab w:val="right" w:pos="8306"/>
        </w:tabs>
        <w:spacing w:line="578" w:lineRule="exact"/>
        <w:ind w:firstLine="640"/>
        <w:outlineLvl w:val="1"/>
        <w:rPr>
          <w:rStyle w:val="27"/>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54"/>
      <w:bookmarkEnd w:id="55"/>
      <w:bookmarkEnd w:id="56"/>
      <w:bookmarkEnd w:id="57"/>
      <w:r>
        <w:rPr>
          <w:rStyle w:val="27"/>
          <w:rFonts w:ascii="黑体" w:hAnsi="黑体" w:eastAsia="黑体"/>
          <w:b w:val="0"/>
        </w:rPr>
        <w:tab/>
      </w:r>
    </w:p>
    <w:p>
      <w:pPr>
        <w:spacing w:line="578"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2年一般公共预算财政拨款基本支出1047.79万元，其中：</w:t>
      </w:r>
    </w:p>
    <w:p>
      <w:pPr>
        <w:spacing w:line="578" w:lineRule="exact"/>
        <w:ind w:firstLine="645"/>
        <w:rPr>
          <w:rFonts w:ascii="黑体" w:eastAsia="黑体"/>
          <w:color w:val="000000"/>
          <w:sz w:val="32"/>
          <w:szCs w:val="32"/>
        </w:rPr>
      </w:pPr>
      <w:r>
        <w:rPr>
          <w:rFonts w:hint="eastAsia" w:ascii="仿宋" w:hAnsi="仿宋" w:eastAsia="仿宋"/>
          <w:color w:val="000000"/>
          <w:sz w:val="32"/>
          <w:szCs w:val="32"/>
        </w:rPr>
        <w:t>人员经费936.37万元，主要包括：基本工资、津贴补贴、奖金、伙食补助费、机关事业单位基本养老保险缴费、职业年金缴费、其他社会保障缴费、其他工资福利支出、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日常公用经费111.42万元，主要包括：办公费、手续费、水费、电费、邮电费、差旅费、培训费、劳务费、公务用车运行维护费、办公设备购置等。</w:t>
      </w:r>
      <w:bookmarkStart w:id="58" w:name="_Toc79163619"/>
      <w:bookmarkStart w:id="59" w:name="_Toc79163869"/>
      <w:bookmarkStart w:id="60" w:name="_Toc15377215"/>
      <w:bookmarkStart w:id="61" w:name="_Toc15396609"/>
    </w:p>
    <w:p>
      <w:pPr>
        <w:spacing w:line="578" w:lineRule="exact"/>
        <w:ind w:firstLine="640"/>
        <w:outlineLvl w:val="1"/>
        <w:rPr>
          <w:rStyle w:val="27"/>
          <w:rFonts w:ascii="黑体" w:hAnsi="黑体" w:eastAsia="黑体"/>
          <w:b w:val="0"/>
        </w:rPr>
      </w:pPr>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58"/>
      <w:bookmarkEnd w:id="59"/>
      <w:bookmarkEnd w:id="60"/>
      <w:bookmarkEnd w:id="61"/>
    </w:p>
    <w:p>
      <w:pPr>
        <w:spacing w:line="578" w:lineRule="exact"/>
        <w:ind w:firstLine="640"/>
        <w:outlineLvl w:val="2"/>
        <w:rPr>
          <w:rFonts w:ascii="仿宋" w:hAnsi="仿宋" w:eastAsia="仿宋"/>
          <w:b/>
          <w:color w:val="000000"/>
          <w:sz w:val="32"/>
          <w:szCs w:val="32"/>
        </w:rPr>
      </w:pPr>
      <w:bookmarkStart w:id="62" w:name="_Toc79163620"/>
      <w:bookmarkStart w:id="63" w:name="_Toc15377216"/>
      <w:bookmarkStart w:id="64" w:name="_Toc79163870"/>
      <w:r>
        <w:rPr>
          <w:rFonts w:hint="eastAsia" w:ascii="仿宋" w:hAnsi="仿宋" w:eastAsia="仿宋"/>
          <w:b/>
          <w:color w:val="000000"/>
          <w:sz w:val="32"/>
          <w:szCs w:val="32"/>
        </w:rPr>
        <w:t>（一）“三公”经费财政拨款支出决算总体情况说明</w:t>
      </w:r>
      <w:bookmarkEnd w:id="62"/>
      <w:bookmarkEnd w:id="63"/>
      <w:bookmarkEnd w:id="64"/>
    </w:p>
    <w:p>
      <w:pPr>
        <w:spacing w:line="578" w:lineRule="exact"/>
        <w:ind w:firstLine="640"/>
        <w:rPr>
          <w:rFonts w:ascii="仿宋" w:hAnsi="仿宋" w:eastAsia="仿宋"/>
          <w:b/>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2年“三公”经费财政拨款支出决算为41.6万元，完成预算100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napToGrid w:val="0"/>
        <w:spacing w:line="520" w:lineRule="exact"/>
        <w:ind w:firstLine="643" w:firstLineChars="200"/>
        <w:rPr>
          <w:rFonts w:ascii="仿宋" w:hAnsi="仿宋" w:eastAsia="仿宋"/>
          <w:b/>
          <w:color w:val="000000"/>
          <w:sz w:val="32"/>
          <w:szCs w:val="32"/>
        </w:rPr>
      </w:pPr>
      <w:bookmarkStart w:id="65" w:name="_Toc15377217"/>
      <w:bookmarkStart w:id="66" w:name="_Toc79163871"/>
      <w:bookmarkStart w:id="67" w:name="_Toc79163621"/>
      <w:r>
        <w:rPr>
          <w:rFonts w:hint="eastAsia" w:ascii="仿宋" w:hAnsi="仿宋" w:eastAsia="仿宋"/>
          <w:b/>
          <w:color w:val="000000"/>
          <w:sz w:val="32"/>
          <w:szCs w:val="32"/>
        </w:rPr>
        <w:t>（二）“三公”经费财政拨款支出决算具体情况说明</w:t>
      </w:r>
      <w:bookmarkEnd w:id="65"/>
      <w:bookmarkEnd w:id="66"/>
      <w:bookmarkEnd w:id="67"/>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2022年“三公”经费财政拨款支出决算中：其中：公务用车运行维护费41.6万元，占100%，无公务接待费。</w:t>
      </w:r>
    </w:p>
    <w:p>
      <w:pPr>
        <w:pStyle w:val="2"/>
        <w:ind w:left="820" w:hanging="400"/>
      </w:pPr>
      <w:r>
        <w:drawing>
          <wp:inline distT="0" distB="0" distL="0" distR="0">
            <wp:extent cx="3105150" cy="1885950"/>
            <wp:effectExtent l="19050" t="0" r="19050" b="0"/>
            <wp:docPr id="36"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ind w:left="0" w:leftChars="0" w:firstLine="0" w:firstLineChars="0"/>
        <w:jc w:val="center"/>
      </w:pPr>
    </w:p>
    <w:p>
      <w:pPr>
        <w:spacing w:line="578" w:lineRule="exact"/>
        <w:ind w:firstLine="640"/>
        <w:outlineLvl w:val="1"/>
        <w:rPr>
          <w:rStyle w:val="27"/>
          <w:rFonts w:ascii="黑体" w:hAnsi="黑体" w:eastAsia="黑体"/>
          <w:b w:val="0"/>
        </w:rPr>
      </w:pPr>
      <w:bookmarkStart w:id="68" w:name="_Toc79163622"/>
      <w:bookmarkStart w:id="69" w:name="_Toc79163872"/>
      <w:bookmarkStart w:id="70" w:name="_Toc15377218"/>
      <w:bookmarkStart w:id="71" w:name="_Toc15396610"/>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68"/>
      <w:bookmarkEnd w:id="69"/>
      <w:bookmarkEnd w:id="70"/>
      <w:bookmarkEnd w:id="71"/>
    </w:p>
    <w:p>
      <w:pPr>
        <w:spacing w:line="578" w:lineRule="exact"/>
        <w:ind w:firstLine="960" w:firstLineChars="300"/>
        <w:rPr>
          <w:rFonts w:ascii="仿宋_GB2312" w:eastAsia="仿宋_GB2312"/>
          <w:color w:val="000000"/>
          <w:sz w:val="32"/>
          <w:szCs w:val="32"/>
        </w:rPr>
      </w:pPr>
      <w:r>
        <w:rPr>
          <w:rFonts w:hint="eastAsia" w:ascii="仿宋_GB2312" w:eastAsia="仿宋_GB2312"/>
          <w:color w:val="000000"/>
          <w:sz w:val="32"/>
          <w:szCs w:val="32"/>
        </w:rPr>
        <w:t>无</w:t>
      </w:r>
    </w:p>
    <w:p>
      <w:pPr>
        <w:numPr>
          <w:ilvl w:val="0"/>
          <w:numId w:val="2"/>
        </w:numPr>
        <w:spacing w:line="578" w:lineRule="exact"/>
        <w:ind w:firstLine="640"/>
        <w:outlineLvl w:val="1"/>
        <w:rPr>
          <w:rStyle w:val="27"/>
          <w:rFonts w:ascii="黑体" w:hAnsi="黑体" w:eastAsia="黑体"/>
          <w:b w:val="0"/>
        </w:rPr>
      </w:pPr>
      <w:bookmarkStart w:id="72" w:name="_Toc79163623"/>
      <w:bookmarkStart w:id="73" w:name="_Toc15396611"/>
      <w:bookmarkStart w:id="74" w:name="_Toc15377219"/>
      <w:bookmarkStart w:id="75" w:name="_Toc79163873"/>
      <w:r>
        <w:rPr>
          <w:rStyle w:val="27"/>
          <w:rFonts w:hint="eastAsia" w:ascii="黑体" w:hAnsi="黑体" w:eastAsia="黑体"/>
          <w:b w:val="0"/>
        </w:rPr>
        <w:t>国有资本经营预算支出决算情况说明</w:t>
      </w:r>
      <w:bookmarkEnd w:id="72"/>
      <w:bookmarkEnd w:id="73"/>
      <w:bookmarkEnd w:id="74"/>
      <w:bookmarkEnd w:id="75"/>
    </w:p>
    <w:p>
      <w:pPr>
        <w:spacing w:line="578"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rPr>
        <w:t>无</w:t>
      </w:r>
    </w:p>
    <w:p>
      <w:pPr>
        <w:spacing w:line="578" w:lineRule="exact"/>
        <w:ind w:firstLine="800" w:firstLineChars="250"/>
        <w:outlineLvl w:val="1"/>
        <w:rPr>
          <w:rStyle w:val="27"/>
          <w:rFonts w:ascii="黑体" w:hAnsi="黑体" w:eastAsia="黑体"/>
        </w:rPr>
      </w:pPr>
      <w:bookmarkStart w:id="76" w:name="_Toc79163874"/>
      <w:bookmarkStart w:id="77" w:name="_Toc15377221"/>
      <w:bookmarkStart w:id="78" w:name="_Toc79163624"/>
      <w:bookmarkStart w:id="79" w:name="_Toc1539661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76"/>
      <w:bookmarkEnd w:id="77"/>
      <w:bookmarkEnd w:id="78"/>
      <w:bookmarkEnd w:id="79"/>
    </w:p>
    <w:p>
      <w:pPr>
        <w:spacing w:line="578" w:lineRule="exact"/>
        <w:ind w:firstLine="643" w:firstLineChars="200"/>
        <w:outlineLvl w:val="2"/>
        <w:rPr>
          <w:rFonts w:ascii="仿宋" w:hAnsi="仿宋" w:eastAsia="仿宋"/>
          <w:color w:val="000000"/>
          <w:sz w:val="32"/>
          <w:szCs w:val="32"/>
        </w:rPr>
      </w:pPr>
      <w:bookmarkStart w:id="80" w:name="_Toc15377222"/>
      <w:bookmarkStart w:id="81" w:name="_Toc79163875"/>
      <w:bookmarkStart w:id="82" w:name="_Toc79163625"/>
      <w:r>
        <w:rPr>
          <w:rFonts w:hint="eastAsia" w:ascii="仿宋" w:hAnsi="仿宋" w:eastAsia="仿宋"/>
          <w:b/>
          <w:color w:val="000000"/>
          <w:sz w:val="32"/>
          <w:szCs w:val="32"/>
        </w:rPr>
        <w:t>（一）机关运行经费支出情况</w:t>
      </w:r>
      <w:bookmarkEnd w:id="80"/>
      <w:bookmarkEnd w:id="81"/>
      <w:bookmarkEnd w:id="82"/>
    </w:p>
    <w:p>
      <w:pPr>
        <w:spacing w:line="578" w:lineRule="exact"/>
        <w:ind w:firstLine="640" w:firstLineChars="200"/>
        <w:rPr>
          <w:rFonts w:ascii="仿宋" w:hAnsi="仿宋" w:eastAsia="仿宋"/>
          <w:b/>
          <w:color w:val="FF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2年，我委机关运行经费支出</w:t>
      </w:r>
      <w:r>
        <w:rPr>
          <w:rFonts w:hint="eastAsia" w:ascii="仿宋_GB2312" w:eastAsia="仿宋_GB2312"/>
          <w:color w:val="000000"/>
          <w:sz w:val="36"/>
          <w:szCs w:val="36"/>
        </w:rPr>
        <w:t>111.42</w:t>
      </w:r>
      <w:r>
        <w:rPr>
          <w:rFonts w:hint="eastAsia" w:ascii="仿宋_GB2312" w:eastAsia="仿宋_GB2312"/>
          <w:color w:val="000000"/>
          <w:sz w:val="32"/>
          <w:szCs w:val="32"/>
        </w:rPr>
        <w:t>万元，与2021年度相比基本持平</w:t>
      </w:r>
      <w:r>
        <w:rPr>
          <w:rFonts w:hint="eastAsia" w:ascii="仿宋_GB2312" w:hAnsi="仿宋" w:eastAsia="仿宋_GB2312"/>
          <w:sz w:val="32"/>
          <w:szCs w:val="32"/>
        </w:rPr>
        <w:t>。</w:t>
      </w:r>
    </w:p>
    <w:p>
      <w:pPr>
        <w:autoSpaceDE w:val="0"/>
        <w:autoSpaceDN w:val="0"/>
        <w:adjustRightInd w:val="0"/>
        <w:spacing w:line="578" w:lineRule="exact"/>
        <w:ind w:firstLine="643" w:firstLineChars="200"/>
        <w:jc w:val="left"/>
        <w:outlineLvl w:val="2"/>
        <w:rPr>
          <w:rFonts w:ascii="仿宋" w:hAnsi="仿宋" w:eastAsia="仿宋"/>
          <w:b/>
          <w:color w:val="000000"/>
          <w:sz w:val="32"/>
          <w:szCs w:val="32"/>
        </w:rPr>
      </w:pPr>
      <w:bookmarkStart w:id="83" w:name="_Toc79163626"/>
      <w:bookmarkStart w:id="84" w:name="_Toc79163876"/>
      <w:bookmarkStart w:id="85" w:name="_Toc15377223"/>
      <w:r>
        <w:rPr>
          <w:rFonts w:hint="eastAsia" w:ascii="仿宋" w:hAnsi="仿宋" w:eastAsia="仿宋"/>
          <w:b/>
          <w:color w:val="000000"/>
          <w:sz w:val="32"/>
          <w:szCs w:val="32"/>
        </w:rPr>
        <w:t>（二）政府采购支出情况</w:t>
      </w:r>
      <w:bookmarkEnd w:id="83"/>
      <w:bookmarkEnd w:id="84"/>
      <w:bookmarkEnd w:id="85"/>
    </w:p>
    <w:p>
      <w:pPr>
        <w:spacing w:line="578" w:lineRule="exact"/>
        <w:ind w:firstLine="640" w:firstLineChars="200"/>
        <w:rPr>
          <w:rFonts w:ascii="仿宋" w:hAnsi="仿宋" w:eastAsia="仿宋_GB2312"/>
          <w:b/>
          <w:color w:val="FF0000"/>
          <w:sz w:val="32"/>
          <w:szCs w:val="32"/>
        </w:rPr>
      </w:pPr>
      <w:r>
        <w:rPr>
          <w:rFonts w:hint="eastAsia" w:ascii="仿宋_GB2312" w:eastAsia="仿宋_GB2312"/>
          <w:color w:val="000000"/>
          <w:sz w:val="32"/>
          <w:szCs w:val="32"/>
        </w:rPr>
        <w:t>无</w:t>
      </w:r>
    </w:p>
    <w:p>
      <w:pPr>
        <w:autoSpaceDE w:val="0"/>
        <w:autoSpaceDN w:val="0"/>
        <w:adjustRightInd w:val="0"/>
        <w:spacing w:line="578" w:lineRule="exact"/>
        <w:ind w:firstLine="643" w:firstLineChars="200"/>
        <w:jc w:val="left"/>
        <w:outlineLvl w:val="2"/>
        <w:rPr>
          <w:rFonts w:ascii="仿宋" w:hAnsi="仿宋" w:eastAsia="仿宋"/>
          <w:b/>
          <w:color w:val="000000"/>
          <w:sz w:val="32"/>
          <w:szCs w:val="32"/>
        </w:rPr>
      </w:pPr>
      <w:bookmarkStart w:id="86" w:name="_Toc79163627"/>
      <w:bookmarkStart w:id="87" w:name="_Toc15377224"/>
      <w:bookmarkStart w:id="88" w:name="_Toc79163877"/>
      <w:r>
        <w:rPr>
          <w:rFonts w:hint="eastAsia" w:ascii="仿宋" w:hAnsi="仿宋" w:eastAsia="仿宋"/>
          <w:b/>
          <w:color w:val="000000"/>
          <w:sz w:val="32"/>
          <w:szCs w:val="32"/>
        </w:rPr>
        <w:t>（三）国有资产占有使用情况</w:t>
      </w:r>
      <w:bookmarkEnd w:id="86"/>
      <w:bookmarkEnd w:id="87"/>
      <w:bookmarkEnd w:id="88"/>
    </w:p>
    <w:p>
      <w:pPr>
        <w:autoSpaceDE w:val="0"/>
        <w:autoSpaceDN w:val="0"/>
        <w:adjustRightInd w:val="0"/>
        <w:spacing w:line="578"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截至2022年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日，我委共有车辆7辆，主要用于执法执勤用车，无</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p>
    <w:p>
      <w:pPr>
        <w:autoSpaceDE w:val="0"/>
        <w:autoSpaceDN w:val="0"/>
        <w:adjustRightInd w:val="0"/>
        <w:spacing w:line="578" w:lineRule="exact"/>
        <w:ind w:firstLine="643" w:firstLineChars="200"/>
        <w:jc w:val="left"/>
        <w:outlineLvl w:val="2"/>
        <w:rPr>
          <w:rFonts w:ascii="仿宋" w:hAnsi="仿宋" w:eastAsia="仿宋"/>
          <w:b/>
          <w:color w:val="000000"/>
          <w:sz w:val="32"/>
          <w:szCs w:val="32"/>
        </w:rPr>
      </w:pPr>
      <w:bookmarkStart w:id="89" w:name="_Toc79163628"/>
      <w:bookmarkStart w:id="90" w:name="_Toc79163878"/>
      <w:r>
        <w:rPr>
          <w:rFonts w:hint="eastAsia" w:ascii="仿宋" w:hAnsi="仿宋" w:eastAsia="仿宋"/>
          <w:b/>
          <w:color w:val="000000"/>
          <w:sz w:val="32"/>
          <w:szCs w:val="32"/>
        </w:rPr>
        <w:t>（四）预算绩效管理情况。</w:t>
      </w:r>
      <w:bookmarkEnd w:id="89"/>
      <w:bookmarkEnd w:id="90"/>
    </w:p>
    <w:p>
      <w:pPr>
        <w:pStyle w:val="20"/>
        <w:spacing w:before="0" w:beforeAutospacing="0" w:after="0" w:afterAutospacing="0" w:line="578" w:lineRule="exact"/>
        <w:ind w:firstLine="640" w:firstLineChars="200"/>
        <w:rPr>
          <w:rFonts w:ascii="仿宋_GB2312" w:hAnsi="仿宋_GB2312" w:eastAsia="仿宋_GB2312" w:cs="仿宋_GB2312"/>
          <w:color w:val="000000"/>
          <w:sz w:val="32"/>
          <w:szCs w:val="32"/>
        </w:rPr>
      </w:pPr>
      <w:bookmarkStart w:id="91" w:name="_Toc15396613"/>
      <w:bookmarkStart w:id="92" w:name="_Toc79163879"/>
      <w:bookmarkStart w:id="93" w:name="_Toc15377225"/>
      <w:bookmarkStart w:id="94" w:name="_Toc79163629"/>
      <w:r>
        <w:rPr>
          <w:rFonts w:hint="eastAsia" w:ascii="仿宋_GB2312" w:hAnsi="仿宋_GB2312" w:eastAsia="仿宋_GB2312" w:cs="仿宋_GB2312"/>
          <w:sz w:val="32"/>
          <w:szCs w:val="32"/>
        </w:rPr>
        <w:t>我委按要求对2022年部门整体支出开展绩效自评，从评价情况来看，</w:t>
      </w:r>
      <w:r>
        <w:rPr>
          <w:rFonts w:hint="eastAsia" w:ascii="仿宋_GB2312" w:hAnsi="仿宋_GB2312" w:eastAsia="仿宋_GB2312" w:cs="仿宋_GB2312"/>
          <w:b/>
          <w:bCs/>
          <w:color w:val="000000"/>
          <w:sz w:val="32"/>
          <w:szCs w:val="32"/>
          <w:lang w:val="zh-CN"/>
        </w:rPr>
        <w:t>执行管理情况：</w:t>
      </w:r>
      <w:r>
        <w:rPr>
          <w:rFonts w:hint="eastAsia" w:ascii="仿宋_GB2312" w:hAnsi="仿宋_GB2312" w:eastAsia="仿宋_GB2312" w:cs="仿宋_GB2312"/>
          <w:color w:val="000000"/>
          <w:sz w:val="32"/>
          <w:szCs w:val="32"/>
          <w:shd w:val="clear" w:color="auto" w:fill="FFFFFF"/>
        </w:rPr>
        <w:t>一是行政运行保障情况。我委严格按照年初预算安排</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严格执行中央八项规定和省、州相关规定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厉行节约规范使用预算资金。收入上，严格执行</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收支两条线</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管理制度，按规定使用非税票据（罚没票据），无隐瞒收入和其他违反国家收费管理规定的行为。在支出管理中</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严格执行国库集中支付、政府采购、公务卡报销等相关财务管理制度。认真做好每月与银行等的对账工作，加强动态监控，保障机关各项工作顺利开展。二是“三公”经费预算执行情况。我局严格按照中央省州的相关文件要求</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 严控“三公经费”支出。</w:t>
      </w:r>
      <w:r>
        <w:rPr>
          <w:rFonts w:hint="eastAsia" w:ascii="仿宋_GB2312" w:hAnsi="仿宋_GB2312" w:eastAsia="仿宋_GB2312" w:cs="仿宋_GB2312"/>
          <w:b/>
          <w:bCs/>
          <w:color w:val="000000"/>
          <w:sz w:val="32"/>
          <w:szCs w:val="32"/>
          <w:lang w:val="zh-CN"/>
        </w:rPr>
        <w:t>综合管理情况：</w:t>
      </w:r>
      <w:r>
        <w:rPr>
          <w:rFonts w:hint="eastAsia" w:ascii="仿宋_GB2312" w:hAnsi="仿宋_GB2312" w:eastAsia="仿宋_GB2312" w:cs="仿宋_GB2312"/>
          <w:sz w:val="32"/>
          <w:szCs w:val="32"/>
        </w:rPr>
        <w:t>一是我委无政府性债务。二是</w:t>
      </w:r>
      <w:r>
        <w:rPr>
          <w:rFonts w:hint="eastAsia" w:ascii="仿宋_GB2312" w:hAnsi="仿宋_GB2312" w:eastAsia="仿宋_GB2312" w:cs="仿宋_GB2312"/>
          <w:color w:val="000000"/>
          <w:sz w:val="32"/>
          <w:szCs w:val="32"/>
          <w:shd w:val="clear" w:color="auto" w:fill="FFFFFF"/>
        </w:rPr>
        <w:t>加强政府采购管理。严格按照《</w:t>
      </w:r>
      <w:r>
        <w:rPr>
          <w:rFonts w:hint="eastAsia" w:ascii="仿宋_GB2312" w:hAnsi="仿宋_GB2312" w:eastAsia="仿宋_GB2312" w:cs="仿宋_GB2312"/>
          <w:color w:val="000000"/>
          <w:sz w:val="32"/>
          <w:szCs w:val="32"/>
          <w:shd w:val="clear" w:color="auto" w:fill="FFFFFF"/>
          <w:lang w:val="en-US" w:eastAsia="zh-CN"/>
        </w:rPr>
        <w:t>中</w:t>
      </w:r>
      <w:r>
        <w:rPr>
          <w:rFonts w:hint="eastAsia" w:ascii="仿宋_GB2312" w:hAnsi="仿宋_GB2312" w:eastAsia="仿宋_GB2312" w:cs="仿宋_GB2312"/>
          <w:color w:val="000000"/>
          <w:sz w:val="32"/>
          <w:szCs w:val="32"/>
          <w:shd w:val="clear" w:color="auto" w:fill="FFFFFF"/>
          <w:lang w:eastAsia="zh-CN"/>
        </w:rPr>
        <w:t>华人民共和国政府采购法</w:t>
      </w:r>
      <w:r>
        <w:rPr>
          <w:rFonts w:hint="eastAsia" w:ascii="仿宋_GB2312" w:hAnsi="仿宋_GB2312" w:eastAsia="仿宋_GB2312" w:cs="仿宋_GB2312"/>
          <w:color w:val="000000"/>
          <w:sz w:val="32"/>
          <w:szCs w:val="32"/>
          <w:shd w:val="clear" w:color="auto" w:fill="FFFFFF"/>
        </w:rPr>
        <w:t>》和《</w:t>
      </w:r>
      <w:r>
        <w:rPr>
          <w:rFonts w:hint="eastAsia" w:ascii="仿宋_GB2312" w:hAnsi="仿宋_GB2312" w:eastAsia="仿宋_GB2312" w:cs="仿宋_GB2312"/>
          <w:color w:val="000000"/>
          <w:sz w:val="32"/>
          <w:szCs w:val="32"/>
          <w:shd w:val="clear" w:color="auto" w:fill="FFFFFF"/>
          <w:lang w:eastAsia="zh-CN"/>
        </w:rPr>
        <w:t>中华人民共和国政府采购法实施条例</w:t>
      </w:r>
      <w:r>
        <w:rPr>
          <w:rFonts w:hint="eastAsia" w:ascii="仿宋_GB2312" w:hAnsi="仿宋_GB2312" w:eastAsia="仿宋_GB2312" w:cs="仿宋_GB2312"/>
          <w:color w:val="000000"/>
          <w:sz w:val="32"/>
          <w:szCs w:val="32"/>
          <w:shd w:val="clear" w:color="auto" w:fill="FFFFFF"/>
        </w:rPr>
        <w:t>》等相关管理规定。采购前</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单位与财政等做好相关事项事前沟通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做好采购政策咨询，了解相关业务规范；采购中</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合理选择采购方式，确保采购流程合理合规，做好采购项目信息的公开公示工作；采购后</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抓好采购项目的监管工作，严把质量关力求实效。三是</w:t>
      </w:r>
      <w:r>
        <w:rPr>
          <w:rFonts w:hint="eastAsia" w:ascii="仿宋_GB2312" w:hAnsi="仿宋_GB2312" w:eastAsia="仿宋_GB2312" w:cs="仿宋_GB2312"/>
          <w:sz w:val="32"/>
          <w:szCs w:val="32"/>
        </w:rPr>
        <w:t>资产管理严格按照资产管理制度执行，</w:t>
      </w:r>
      <w:r>
        <w:rPr>
          <w:rFonts w:hint="eastAsia" w:ascii="仿宋_GB2312" w:hAnsi="仿宋_GB2312" w:eastAsia="仿宋_GB2312" w:cs="仿宋_GB2312"/>
          <w:color w:val="000000"/>
          <w:sz w:val="32"/>
          <w:szCs w:val="32"/>
          <w:shd w:val="clear" w:color="auto" w:fill="FFFFFF"/>
        </w:rPr>
        <w:t>做好固定资产采买、报废、调整等相关管理工作。我委资产录入固定资产管理系统</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建资产管理卡片</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及时更新资产管理信息系统数据，做到账实相符、账卡相符。</w:t>
      </w:r>
      <w:r>
        <w:rPr>
          <w:rFonts w:hint="eastAsia" w:ascii="仿宋_GB2312" w:hAnsi="仿宋_GB2312" w:eastAsia="仿宋_GB2312" w:cs="仿宋_GB2312"/>
          <w:color w:val="000000"/>
          <w:sz w:val="32"/>
          <w:szCs w:val="32"/>
        </w:rPr>
        <w:t>为我委履行职能需要相适应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从严控制。四是建立单位内控制度，</w:t>
      </w:r>
      <w:r>
        <w:rPr>
          <w:rFonts w:hint="eastAsia" w:ascii="仿宋_GB2312" w:hAnsi="仿宋_GB2312" w:eastAsia="仿宋_GB2312" w:cs="仿宋_GB2312"/>
          <w:sz w:val="32"/>
          <w:szCs w:val="32"/>
        </w:rPr>
        <w:t>我委已借助第三方中介机构建立本单位的内控体系。五是我委将同级财政部门批复的本部门预决算报表及相关说明全部在政府门户网站公开，</w:t>
      </w:r>
      <w:r>
        <w:rPr>
          <w:rFonts w:hint="eastAsia" w:ascii="仿宋_GB2312" w:hAnsi="仿宋_GB2312" w:eastAsia="仿宋_GB2312" w:cs="仿宋_GB2312"/>
          <w:color w:val="000000"/>
          <w:sz w:val="32"/>
          <w:szCs w:val="32"/>
        </w:rPr>
        <w:t>包括部门收支总体情况和财政拨款收支情况，公开公示了我委“三公”经费财政拨款预决算总额和分项数额。公开预决算的同时，一并公开了我委的职责、机构设置情况、预决算收支增减变化、机关运行经费安排以及政府采购等情况的说明，并对专业性较强的名词进行解释。</w:t>
      </w:r>
    </w:p>
    <w:p>
      <w:pPr>
        <w:pStyle w:val="20"/>
        <w:spacing w:before="0" w:beforeAutospacing="0" w:after="0" w:afterAutospacing="0" w:line="578" w:lineRule="exact"/>
        <w:ind w:firstLine="640" w:firstLineChars="200"/>
        <w:rPr>
          <w:rFonts w:ascii="仿宋_GB2312" w:hAnsi="仿宋_GB2312" w:eastAsia="仿宋_GB2312" w:cs="仿宋_GB2312"/>
          <w:color w:val="000000"/>
          <w:sz w:val="32"/>
          <w:szCs w:val="32"/>
        </w:rPr>
      </w:pPr>
    </w:p>
    <w:p>
      <w:pPr>
        <w:pStyle w:val="20"/>
        <w:spacing w:before="0" w:beforeAutospacing="0" w:after="0" w:afterAutospacing="0" w:line="578" w:lineRule="exact"/>
        <w:ind w:firstLine="640" w:firstLineChars="200"/>
        <w:rPr>
          <w:rFonts w:ascii="仿宋_GB2312" w:hAnsi="仿宋_GB2312" w:eastAsia="仿宋_GB2312" w:cs="仿宋_GB2312"/>
          <w:color w:val="000000"/>
          <w:sz w:val="32"/>
          <w:szCs w:val="32"/>
        </w:rPr>
      </w:pPr>
    </w:p>
    <w:p>
      <w:pPr>
        <w:pStyle w:val="20"/>
        <w:spacing w:before="0" w:beforeAutospacing="0" w:after="0" w:afterAutospacing="0" w:line="578" w:lineRule="exact"/>
        <w:ind w:firstLine="640" w:firstLineChars="200"/>
        <w:rPr>
          <w:rFonts w:ascii="仿宋_GB2312" w:hAnsi="仿宋_GB2312" w:eastAsia="仿宋_GB2312" w:cs="仿宋_GB2312"/>
          <w:color w:val="000000"/>
          <w:sz w:val="32"/>
          <w:szCs w:val="32"/>
        </w:rPr>
      </w:pPr>
    </w:p>
    <w:p>
      <w:pPr>
        <w:numPr>
          <w:ilvl w:val="0"/>
          <w:numId w:val="3"/>
        </w:numPr>
        <w:spacing w:line="578" w:lineRule="exact"/>
        <w:ind w:firstLine="660" w:firstLineChars="150"/>
        <w:jc w:val="center"/>
        <w:outlineLvl w:val="0"/>
        <w:rPr>
          <w:rFonts w:ascii="黑体" w:hAnsi="黑体" w:eastAsia="黑体"/>
          <w:bCs/>
          <w:kern w:val="44"/>
          <w:sz w:val="44"/>
          <w:szCs w:val="44"/>
        </w:rPr>
      </w:pPr>
    </w:p>
    <w:p>
      <w:pPr>
        <w:numPr>
          <w:ilvl w:val="0"/>
          <w:numId w:val="3"/>
        </w:numPr>
        <w:spacing w:line="578" w:lineRule="exact"/>
        <w:ind w:firstLine="660" w:firstLineChars="150"/>
        <w:jc w:val="center"/>
        <w:outlineLvl w:val="0"/>
        <w:rPr>
          <w:rStyle w:val="26"/>
          <w:rFonts w:ascii="黑体" w:hAnsi="黑体" w:eastAsia="黑体"/>
          <w:b w:val="0"/>
        </w:rPr>
      </w:pPr>
      <w:r>
        <w:rPr>
          <w:rFonts w:hint="eastAsia" w:ascii="黑体" w:hAnsi="黑体" w:eastAsia="黑体"/>
          <w:color w:val="000000"/>
          <w:sz w:val="44"/>
          <w:szCs w:val="44"/>
        </w:rPr>
        <w:t>名</w:t>
      </w:r>
      <w:r>
        <w:rPr>
          <w:rStyle w:val="26"/>
          <w:rFonts w:hint="eastAsia" w:ascii="黑体" w:hAnsi="黑体" w:eastAsia="黑体"/>
          <w:b w:val="0"/>
        </w:rPr>
        <w:t>词解释</w:t>
      </w:r>
      <w:bookmarkEnd w:id="91"/>
      <w:bookmarkEnd w:id="92"/>
      <w:bookmarkEnd w:id="93"/>
      <w:bookmarkEnd w:id="94"/>
    </w:p>
    <w:p>
      <w:pPr>
        <w:spacing w:line="578" w:lineRule="exact"/>
        <w:jc w:val="left"/>
        <w:rPr>
          <w:rFonts w:ascii="宋体"/>
          <w:b/>
          <w:color w:val="000000"/>
          <w:sz w:val="44"/>
          <w:szCs w:val="44"/>
        </w:rPr>
      </w:pPr>
    </w:p>
    <w:p>
      <w:pPr>
        <w:pStyle w:val="36"/>
        <w:spacing w:line="578" w:lineRule="exact"/>
        <w:ind w:firstLine="640" w:firstLineChars="200"/>
        <w:rPr>
          <w:rFonts w:ascii="仿宋_GB2312" w:eastAsia="仿宋_GB2312"/>
          <w:sz w:val="32"/>
          <w:szCs w:val="32"/>
        </w:rPr>
      </w:pPr>
      <w:bookmarkStart w:id="95"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spacing w:line="57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一般公共服务（类）201（款）11（项）01：</w:t>
      </w:r>
      <w:r>
        <w:rPr>
          <w:rFonts w:hint="eastAsia" w:ascii="仿宋_GB2312" w:hAnsi="宋体" w:eastAsia="仿宋_GB2312"/>
          <w:sz w:val="32"/>
          <w:szCs w:val="32"/>
        </w:rPr>
        <w:t>指行政运行</w:t>
      </w:r>
      <w:r>
        <w:rPr>
          <w:rFonts w:hint="eastAsia" w:ascii="仿宋_GB2312" w:eastAsia="仿宋_GB2312"/>
          <w:color w:val="000000"/>
          <w:sz w:val="32"/>
          <w:szCs w:val="32"/>
        </w:rPr>
        <w:t>。</w:t>
      </w:r>
    </w:p>
    <w:p>
      <w:pPr>
        <w:spacing w:line="578" w:lineRule="exact"/>
        <w:ind w:firstLine="640" w:firstLineChars="200"/>
        <w:rPr>
          <w:rFonts w:ascii="仿宋_GB2312" w:hAnsi="宋体" w:eastAsia="仿宋_GB2312"/>
          <w:sz w:val="32"/>
          <w:szCs w:val="32"/>
        </w:rPr>
      </w:pPr>
      <w:r>
        <w:rPr>
          <w:rFonts w:hint="eastAsia" w:ascii="仿宋_GB2312" w:eastAsia="仿宋_GB2312"/>
          <w:color w:val="000000"/>
          <w:sz w:val="32"/>
          <w:szCs w:val="32"/>
        </w:rPr>
        <w:t>3.</w:t>
      </w:r>
      <w:r>
        <w:rPr>
          <w:rFonts w:hint="eastAsia" w:ascii="仿宋_GB2312" w:hAnsi="宋体" w:eastAsia="仿宋_GB2312"/>
          <w:sz w:val="32"/>
          <w:szCs w:val="32"/>
        </w:rPr>
        <w:t xml:space="preserve">社会保障和就业（类）208（款）05（项）05：指机关事业单位基本养老保险。（类）208（款）08（项）01：指死亡抚恤。 </w:t>
      </w:r>
    </w:p>
    <w:p>
      <w:pPr>
        <w:spacing w:line="578" w:lineRule="exact"/>
        <w:ind w:firstLine="640" w:firstLineChars="200"/>
        <w:rPr>
          <w:rFonts w:ascii="仿宋_GB2312" w:hAnsi="宋体" w:eastAsia="仿宋_GB2312"/>
          <w:sz w:val="32"/>
          <w:szCs w:val="32"/>
        </w:rPr>
      </w:pPr>
      <w:r>
        <w:rPr>
          <w:rFonts w:hint="eastAsia" w:ascii="仿宋_GB2312" w:eastAsia="仿宋_GB2312"/>
          <w:color w:val="000000"/>
          <w:sz w:val="32"/>
          <w:szCs w:val="32"/>
        </w:rPr>
        <w:t>4.</w:t>
      </w:r>
      <w:r>
        <w:rPr>
          <w:rFonts w:hint="eastAsia" w:ascii="仿宋_GB2312" w:hAnsi="宋体" w:eastAsia="仿宋_GB2312"/>
          <w:sz w:val="32"/>
          <w:szCs w:val="32"/>
        </w:rPr>
        <w:t>医疗卫生与计划生育（类）210（款）05（项）01：指行政单位医疗。</w:t>
      </w:r>
    </w:p>
    <w:p>
      <w:pPr>
        <w:spacing w:line="578" w:lineRule="exact"/>
        <w:ind w:firstLine="640" w:firstLineChars="200"/>
        <w:rPr>
          <w:rFonts w:ascii="仿宋_GB2312" w:eastAsia="仿宋_GB2312"/>
          <w:color w:val="000000"/>
          <w:sz w:val="32"/>
          <w:szCs w:val="32"/>
        </w:rPr>
      </w:pPr>
      <w:r>
        <w:rPr>
          <w:rFonts w:hint="eastAsia" w:ascii="仿宋_GB2312" w:hAnsi="宋体" w:eastAsia="仿宋_GB2312"/>
          <w:sz w:val="32"/>
          <w:szCs w:val="32"/>
        </w:rPr>
        <w:t>5. 住房保障（类）221（款）02（项）01：指住房公积金。</w:t>
      </w:r>
    </w:p>
    <w:p>
      <w:pPr>
        <w:spacing w:line="57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78"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36"/>
        <w:spacing w:line="578"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6"/>
        <w:spacing w:line="578"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8" w:lineRule="exact"/>
        <w:jc w:val="center"/>
        <w:outlineLvl w:val="0"/>
        <w:rPr>
          <w:rStyle w:val="26"/>
          <w:rFonts w:ascii="黑体" w:hAnsi="黑体" w:eastAsia="黑体"/>
          <w:b w:val="0"/>
        </w:rPr>
      </w:pPr>
      <w:r>
        <w:rPr>
          <w:rFonts w:ascii="宋体"/>
          <w:b/>
          <w:color w:val="000000"/>
          <w:sz w:val="44"/>
          <w:szCs w:val="44"/>
        </w:rPr>
        <w:br w:type="page"/>
      </w:r>
      <w:bookmarkStart w:id="96" w:name="_Toc79163630"/>
      <w:bookmarkStart w:id="97" w:name="_Toc15396614"/>
      <w:bookmarkStart w:id="98" w:name="_Toc79163880"/>
      <w:r>
        <w:rPr>
          <w:rFonts w:hint="eastAsia" w:ascii="黑体" w:hAnsi="黑体" w:eastAsia="黑体"/>
          <w:color w:val="000000"/>
          <w:sz w:val="44"/>
          <w:szCs w:val="44"/>
        </w:rPr>
        <w:t>第</w:t>
      </w:r>
      <w:r>
        <w:rPr>
          <w:rStyle w:val="26"/>
          <w:rFonts w:hint="eastAsia" w:ascii="黑体" w:hAnsi="黑体" w:eastAsia="黑体"/>
          <w:b w:val="0"/>
        </w:rPr>
        <w:t>四部分附件</w:t>
      </w:r>
      <w:bookmarkEnd w:id="96"/>
      <w:bookmarkEnd w:id="97"/>
      <w:bookmarkEnd w:id="98"/>
    </w:p>
    <w:p>
      <w:pPr>
        <w:spacing w:line="578" w:lineRule="exact"/>
        <w:jc w:val="left"/>
        <w:outlineLvl w:val="0"/>
        <w:rPr>
          <w:rFonts w:ascii="方正小标宋简体" w:hAnsi="方正小标宋简体" w:eastAsia="方正小标宋简体" w:cs="方正小标宋简体"/>
          <w:sz w:val="32"/>
          <w:szCs w:val="32"/>
        </w:rPr>
      </w:pPr>
      <w:bookmarkStart w:id="99" w:name="_Toc79163631"/>
      <w:bookmarkStart w:id="100" w:name="_Toc79163881"/>
      <w:r>
        <w:rPr>
          <w:rFonts w:hint="eastAsia" w:ascii="黑体" w:hAnsi="黑体" w:eastAsia="黑体" w:cs="黑体"/>
          <w:sz w:val="32"/>
          <w:szCs w:val="32"/>
        </w:rPr>
        <w:t>附件</w:t>
      </w:r>
      <w:r>
        <w:rPr>
          <w:rFonts w:ascii="黑体" w:hAnsi="黑体" w:eastAsia="黑体" w:cs="黑体"/>
          <w:sz w:val="32"/>
          <w:szCs w:val="32"/>
        </w:rPr>
        <w:t>1</w:t>
      </w:r>
      <w:bookmarkEnd w:id="99"/>
      <w:bookmarkEnd w:id="100"/>
    </w:p>
    <w:p>
      <w:pPr>
        <w:spacing w:line="578" w:lineRule="exact"/>
        <w:jc w:val="center"/>
        <w:rPr>
          <w:rFonts w:ascii="方正小标宋简体" w:hAnsi="方正小标宋简体" w:eastAsia="方正小标宋简体" w:cs="方正小标宋简体"/>
          <w:sz w:val="44"/>
          <w:szCs w:val="44"/>
        </w:rPr>
      </w:pPr>
    </w:p>
    <w:p>
      <w:pPr>
        <w:spacing w:line="578" w:lineRule="exact"/>
        <w:jc w:val="center"/>
        <w:outlineLvl w:val="0"/>
        <w:rPr>
          <w:rFonts w:ascii="仿宋_GB2312" w:hAnsi="宋体" w:eastAsia="仿宋_GB2312"/>
          <w:sz w:val="32"/>
          <w:szCs w:val="32"/>
          <w:shd w:val="clear" w:color="auto" w:fill="FFFFFF"/>
        </w:rPr>
      </w:pPr>
      <w:bookmarkStart w:id="101" w:name="_Toc79163882"/>
      <w:bookmarkStart w:id="102" w:name="_Toc79163632"/>
      <w:r>
        <w:rPr>
          <w:rFonts w:hint="eastAsia" w:ascii="方正小标宋简体" w:hAnsi="方正小标宋简体" w:eastAsia="方正小标宋简体" w:cs="方正小标宋简体"/>
          <w:sz w:val="44"/>
          <w:szCs w:val="44"/>
        </w:rPr>
        <w:t>中共松潘县纪律检查委员会</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rPr>
        <w:t>2年部门整体支出绩效评价报告</w:t>
      </w:r>
      <w:bookmarkEnd w:id="101"/>
      <w:bookmarkEnd w:id="102"/>
    </w:p>
    <w:p>
      <w:pPr>
        <w:widowControl/>
        <w:adjustRightInd w:val="0"/>
        <w:snapToGrid w:val="0"/>
        <w:spacing w:line="578"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78"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1．主要职能。</w:t>
      </w:r>
    </w:p>
    <w:p>
      <w:pPr>
        <w:widowControl/>
        <w:spacing w:line="578"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一）负责全县党的纪律检查工作。贯彻落实党中央、省委、州委和县委关于纪律检查工作的决定，维护党的章程和其他党内法规，检查党的路线方针政策和决议的执行情况，协助县委推进全面从严治党、加强党风廉政建设和组织协调反腐败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（三）负责全县监察工作。贯彻落实党中央、省委、州委和县委关于监察工作的决定，维护宪法法律，依法对县委管理的行使公权力的公职人员进行监察，调查职务违法和职务犯罪，开展廉政建设和反腐败工作。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四）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（五）负责组织协调全面从严治党、党风廉政建设和反腐败宣传教育工作。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（六）负责综合分析全面从严治党、党风廉政建设和反腐败工作情况，对纪检监察工作重要理论及实践问题进行调查研究。参与起草我县规范性文件。</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（七）在州纪委监委的领导下，加强对反腐败国际追逃追赃和防逃工作的组织协调，督促有关部门做好相关工作。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八）根据干部管理权限，负责纪检监察系统领导班子建设、干部队伍建设和组织建设的综合规划、政策研究、制度建设和业务指导。会同有关方面做好县纪委监委派驻机构、乡镇纪委监察室、县企事业纪检监察机构领导班子建设有关工作。组织和指导纪检监察系统干部教育培训工作等。</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（九）完成县委和州纪委监委交办的其他任务。</w:t>
      </w:r>
    </w:p>
    <w:p>
      <w:pPr>
        <w:numPr>
          <w:ilvl w:val="0"/>
          <w:numId w:val="4"/>
        </w:num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机构情况。</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办公室。负责县纪委监委机关日常运转工作。筹备组织重要会议、活动；组织起草县纪委监委有关文件文稿；督促检查上级批办交办事项、县纪委全会工作部署和县纪委常委会（县监委委务会）等决定事项及委领导批办交办事项的落实情况；负责机关机要保密工作，负责机关财务管理、车辆管理、国有资产管理、安全保卫、干部职工医疗、卫生防疫等后勤管理服务工作，负责派驻机构差旅费报销、工资津补贴发放等后勤保障（办公场所、办公设施设备、办公日常运行费、车辆保障由驻在部门负责）工作；负责县纪委委员的联络工作，组织协调特约监察员工作；负责机关及派驻机构档案和涉案款物保管工作；负责县纪委监委机关党的建设、工会、共青团和妇代小组工作；负责组织开展有关党风廉政建设法律法规、理论政策、形势任务、决策部署和先进典型等宣传及舆论引导工作；负责县纪委监委机关的新闻事务和有关网络信息工作等；指导全县纪检监察系统的宣传教育、廉政文化建设和网络信息工作。负责综合分析全县全面从严治党、党风廉政建设和反腐败工作情况，开展政策理论及重大课题调查研究；起草领导同志文稿，会同、协助有关内设机构起草机关重要文件文稿；汇总、整理全县党风廉政建设和反腐败工作研究成果和信息资料，组织开展对纪检监察工作历史及规律的研究。</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（二）党风政风监督室。负责综合协调贯彻执行党的路线方针政策和决议、国家法律法规等情况的监督检查，组织协调重要监督检查活动，负责汇总党风廉政建设和反腐败</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情况；综合协调党的政治纪律和政治规矩执行；综合协调贯彻落实中央八项规定精神、纠正“四风”工作；综合协调整治群众身边和扶贫领域的腐败和作风问题；综合协调党内监督、党的问责等方面工作，推动管党治党政治责任落实；综合协调县纪委监委机关参与调查的事故、事件中涉及的监督对象违纪违法行为和需要问责情形的调查处理工作；综合分析党风政风监督工作情况，开展调查研究，提出工作建议；组织开展党风政风监督专项检查活动；协调办理县管干部任职前回复县委组织部意见工作；负责组织协调全县全面从严治党、党风廉政建设和反腐败宣传教育以及廉洁文化建设工作；指导全县纪检监察系统的党风政风监督工作。</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信访室。负责受理对党的组织、党员违反党纪行为，对监察对象不依法履职，违反秉公用权、廉洁从政从业及道德操守等规定，涉嫌职务违法、职务犯罪行为的检举控告；归口受理对县委管理的党的组织、党员、监察对象的上述信访举报，统一接收上级转办和县纪委监委派驻机构、乡镇纪委监察室报送的相关信访举报，分类摘要后将问题线索类信访举报移交案件监督管理室；受理党员对县纪委作出的党纪处分或者其他处理不服的申诉、监察对象对县监委作出的涉及本人的处理决定不服的复审申请；综合分析信访举报情况；接待群众来访，处理群众来信和电话网络举报事项等；指导全县纪检监察系统的信访举报工作。</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案件监督管理室。负责对监督检查、审查调查工作全过程进行监督管理，履行线索管理、组织协调、监督检查、督促办理、统计分析等职责；统一受理巡视巡察工作机构和审计机关、行政执法机关、司法机关等单位移交的相关问题线索。对问题线索实行集中管理，动态更新、定期汇总核对，提出分办意见，按程序移送承办机构；统一受理下级纪检监察机关线索处置和案件查办报告，定期汇总、核对问题线索及处置情况，分送有关内设机构；归口管理审查调查工作中与有关部门的联系协调事项；对调查措施使用进行监督管理；负责对依纪依法安全办案情况进行监督检查，对纪委监委办案场所的安全保卫、保密等工作进行监督检查，落实办案安全工作责任制；指导乡镇纪委监察室案件监督管理工作；在州纪委监委领导下，承担反腐败国际追逃追赃和防逃工作的组织协调；负责监督检查、审查调查工作中的信息技术保障工作。</w:t>
      </w:r>
    </w:p>
    <w:p>
      <w:pPr>
        <w:spacing w:line="578"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第一至第四纪检监察室。负责监督检查的纪检监察室主要履行依纪依法监督的职责。监督检查联系单位（乡、镇）领导班子及县管干部遵守和执行党的章程和其他党内法规，遵守和执行党的路线方针政策和决议、国家法律法规，推进全面从严治党，依法履职、秉公用权、廉洁从政从业以及道德操守等方面的情况；监督检查联系单位（乡、镇）党委（党组）落实管党治党主体责任的情况，指导、检查、督促联系纪委（派驻机构）落实纪检、监察责任，实施问责；向监察对象所在单位提出监察建议；综合分析研判问题线索，对适用“四种形态”中第一种、第二种形态的，按程序提出处置意见；对适用第三种、第四种形态的，按程序移交负责审查调查的纪检监察室；综合、协调、指导联系单位（乡、镇）纪检监察工作等。负责审查调查的纪检监察室主要履行执纪审查和依法调查处置的职责。承办涉嫌严重违纪或者职务违法、职务犯罪问题线索的初步核实和立案审查调查，以及其他比较重要或者复杂案件的初步核实、审查调查，并提出处理建议；向监察对象所在单位提出监察建议；可以办理下一级监察机关管辖范围内的监察事项，对在审查调查中发现的相关问题线索，送案件监督管理室按程序处置。 </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（六）案件审理室。负责审理县纪委监委机关直接审查调查和</w:t>
      </w:r>
      <w:r>
        <w:rPr>
          <w:rFonts w:hint="eastAsia" w:ascii="仿宋_GB2312" w:hAnsi="仿宋_GB2312" w:eastAsia="仿宋_GB2312" w:cs="仿宋_GB2312"/>
          <w:sz w:val="32"/>
          <w:szCs w:val="32"/>
          <w:lang w:eastAsia="zh-CN"/>
        </w:rPr>
        <w:t>各级党组织</w:t>
      </w:r>
      <w:r>
        <w:rPr>
          <w:rFonts w:hint="eastAsia" w:ascii="仿宋_GB2312" w:hAnsi="仿宋_GB2312" w:eastAsia="仿宋_GB2312" w:cs="仿宋_GB2312"/>
          <w:sz w:val="32"/>
          <w:szCs w:val="32"/>
        </w:rPr>
        <w:t>、纪检监察机关报批或备案的违反党纪和职务违法、职务犯罪案件，严格依规依纪依法提出处理或者处分意见；协助机关内设机构规范性文件起草工作；负责纪检监察法规制度和规范性文件的咨询答复、解释指导、备案清查、清理、审核、评估、编纂等工作；承办党员对县纪委作出的党纪处分或者其他处理不服的申诉案件、监察对象对县监委作出的涉及本人的处理决定不服的申请复审案件，以及其他需要由县纪委监委办理的申诉、复核案件等；指导全县纪检监察系统案件审理等工作。</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纪检监察干部监督室。按照干部管理权限，负责全县纪检监察系统领导班子建设、干部队伍建设和组织建设的综合规划、政策研究、制度建设和业务指导；负责县纪委监委机关、派驻机构及乡镇纪委监察室人事工作；会同有关部门，负责乡镇纪委监察室、县纪委监委派驻机构、县属企事业纪委领导班子成员提名、考察、任免等干部人事工作；组织和指导全县纪检监察系统干部教育培训工作；负责县纪委监委机关离退休老干部的管理服务工作；负责派驻机构干部日常管理和监督工作。负责监督检查全县纪检监察系统干部遵守和执行党的章程和其他党内法规、党的路线方针政策和决议、国家法律法规等方面的情况；负责受理对县纪委监委机关各内设机构、直属单位、县纪委监委派驻机构和县委巡察办干部，乡镇纪委监察室和县属企事业单位纪委领导班子及其成员涉嫌违反党纪、职务违法和职务犯罪等问题的举报，提出处置意见并负责问题线索初步核实及立案审查调查工作等；负责县纪委监委机关干部日常管理和监督，承担绩效考核工作；指导全县纪检监察系统干部监督工作</w:t>
      </w:r>
    </w:p>
    <w:p>
      <w:pPr>
        <w:numPr>
          <w:ilvl w:val="0"/>
          <w:numId w:val="4"/>
        </w:num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人员情况。</w:t>
      </w:r>
    </w:p>
    <w:p>
      <w:pPr>
        <w:snapToGrid w:val="0"/>
        <w:spacing w:line="578"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县纪委、监察委机关编数为27人，综合管理类职位编制数25人，工勤2人</w:t>
      </w:r>
      <w:r>
        <w:rPr>
          <w:rFonts w:hint="eastAsia" w:ascii="仿宋_GB2312" w:hAnsi="仿宋_GB2312" w:cs="仿宋_GB2312"/>
          <w:sz w:val="32"/>
          <w:szCs w:val="32"/>
        </w:rPr>
        <w:t>；</w:t>
      </w:r>
      <w:r>
        <w:rPr>
          <w:rFonts w:hint="eastAsia" w:ascii="仿宋_GB2312" w:hAnsi="仿宋_GB2312" w:eastAsia="仿宋_GB2312" w:cs="仿宋_GB2312"/>
          <w:sz w:val="32"/>
          <w:szCs w:val="32"/>
          <w:lang w:eastAsia="zh-CN"/>
        </w:rPr>
        <w:t>县纪委监察委</w:t>
      </w:r>
      <w:r>
        <w:rPr>
          <w:rFonts w:hint="eastAsia" w:ascii="仿宋_GB2312" w:hAnsi="仿宋_GB2312" w:eastAsia="仿宋_GB2312" w:cs="仿宋_GB2312"/>
          <w:sz w:val="32"/>
          <w:szCs w:val="32"/>
        </w:rPr>
        <w:t>派出机构综合管理类职位编制数</w:t>
      </w:r>
      <w:r>
        <w:rPr>
          <w:rFonts w:hint="eastAsia" w:ascii="仿宋_GB2312" w:hAnsi="仿宋_GB2312" w:cs="仿宋_GB2312"/>
          <w:sz w:val="32"/>
          <w:szCs w:val="32"/>
        </w:rPr>
        <w:t>22</w:t>
      </w:r>
      <w:r>
        <w:rPr>
          <w:rFonts w:hint="eastAsia" w:ascii="仿宋_GB2312" w:hAnsi="仿宋_GB2312" w:eastAsia="仿宋_GB2312" w:cs="仿宋_GB2312"/>
          <w:sz w:val="32"/>
          <w:szCs w:val="32"/>
        </w:rPr>
        <w:t>名</w:t>
      </w:r>
      <w:r>
        <w:rPr>
          <w:rFonts w:hint="eastAsia" w:ascii="仿宋_GB2312" w:hAnsi="仿宋_GB2312" w:cs="仿宋_GB2312"/>
          <w:sz w:val="32"/>
          <w:szCs w:val="32"/>
        </w:rPr>
        <w:t>；</w:t>
      </w:r>
      <w:r>
        <w:rPr>
          <w:rFonts w:hint="eastAsia" w:ascii="仿宋_GB2312" w:hAnsi="仿宋_GB2312" w:cs="仿宋_GB2312"/>
          <w:sz w:val="32"/>
          <w:szCs w:val="32"/>
          <w:lang w:eastAsia="zh-CN"/>
        </w:rPr>
        <w:t>财务账</w:t>
      </w:r>
      <w:r>
        <w:rPr>
          <w:rFonts w:hint="eastAsia" w:ascii="仿宋_GB2312" w:hAnsi="仿宋_GB2312" w:eastAsia="仿宋_GB2312" w:cs="仿宋_GB2312"/>
          <w:sz w:val="32"/>
          <w:szCs w:val="32"/>
        </w:rPr>
        <w:t>中还含县委巡察办综合管理类职位编制数</w:t>
      </w:r>
      <w:r>
        <w:rPr>
          <w:rFonts w:hint="eastAsia" w:ascii="仿宋_GB2312" w:hAnsi="仿宋_GB2312" w:cs="仿宋_GB2312"/>
          <w:sz w:val="32"/>
          <w:szCs w:val="32"/>
        </w:rPr>
        <w:t>7</w:t>
      </w:r>
      <w:r>
        <w:rPr>
          <w:rFonts w:hint="eastAsia" w:ascii="仿宋_GB2312" w:hAnsi="仿宋_GB2312" w:eastAsia="仿宋_GB2312" w:cs="仿宋_GB2312"/>
          <w:sz w:val="32"/>
          <w:szCs w:val="32"/>
        </w:rPr>
        <w:t>人，工勤1人。</w:t>
      </w:r>
    </w:p>
    <w:p>
      <w:pPr>
        <w:snapToGrid w:val="0"/>
        <w:spacing w:line="578" w:lineRule="exact"/>
        <w:ind w:firstLine="645"/>
        <w:rPr>
          <w:rFonts w:ascii="黑体" w:hAnsi="宋体" w:eastAsia="黑体" w:cs="宋体"/>
          <w:color w:val="000000"/>
          <w:kern w:val="0"/>
          <w:sz w:val="32"/>
          <w:szCs w:val="32"/>
          <w:shd w:val="clear" w:color="auto" w:fill="FFFFFF"/>
        </w:rPr>
      </w:pPr>
      <w:r>
        <w:rPr>
          <w:rFonts w:hint="eastAsia" w:ascii="仿宋_GB2312" w:hAnsi="仿宋_GB2312" w:eastAsia="仿宋_GB2312" w:cs="仿宋_GB2312"/>
          <w:sz w:val="32"/>
          <w:szCs w:val="32"/>
        </w:rPr>
        <w:t>二、</w:t>
      </w:r>
      <w:r>
        <w:rPr>
          <w:rFonts w:hint="eastAsia" w:ascii="黑体" w:hAnsi="宋体" w:eastAsia="黑体" w:cs="宋体"/>
          <w:color w:val="000000"/>
          <w:kern w:val="0"/>
          <w:sz w:val="32"/>
          <w:szCs w:val="32"/>
          <w:shd w:val="clear" w:color="auto" w:fill="FFFFFF"/>
        </w:rPr>
        <w:t>部门财政资金收支情况</w:t>
      </w:r>
    </w:p>
    <w:p>
      <w:pPr>
        <w:widowControl/>
        <w:adjustRightInd w:val="0"/>
        <w:snapToGrid w:val="0"/>
        <w:spacing w:line="578"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78"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2022年度收入合计1117.79万元，比上年度增加5.8%；增加的主要原因是本年度调进人员较多，致使费用增加。</w:t>
      </w:r>
    </w:p>
    <w:p>
      <w:pPr>
        <w:pStyle w:val="43"/>
        <w:widowControl/>
        <w:numPr>
          <w:ilvl w:val="0"/>
          <w:numId w:val="5"/>
        </w:numPr>
        <w:adjustRightInd w:val="0"/>
        <w:snapToGrid w:val="0"/>
        <w:spacing w:line="578" w:lineRule="exact"/>
        <w:ind w:firstLineChars="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pStyle w:val="43"/>
        <w:snapToGrid w:val="0"/>
        <w:spacing w:line="520" w:lineRule="exact"/>
        <w:ind w:left="160" w:firstLine="480" w:firstLineChars="150"/>
        <w:rPr>
          <w:rFonts w:ascii="仿宋_GB2312" w:hAnsi="仿宋" w:eastAsia="仿宋_GB2312"/>
          <w:sz w:val="32"/>
          <w:szCs w:val="32"/>
        </w:rPr>
      </w:pPr>
      <w:r>
        <w:rPr>
          <w:rFonts w:hint="eastAsia" w:ascii="仿宋_GB2312" w:hAnsi="仿宋" w:eastAsia="仿宋_GB2312"/>
          <w:sz w:val="32"/>
          <w:szCs w:val="32"/>
          <w:lang w:eastAsia="zh-CN"/>
        </w:rPr>
        <w:t>本年支出</w:t>
      </w:r>
      <w:r>
        <w:rPr>
          <w:rFonts w:hint="eastAsia" w:ascii="仿宋_GB2312" w:hAnsi="仿宋" w:eastAsia="仿宋_GB2312"/>
          <w:sz w:val="32"/>
          <w:szCs w:val="32"/>
        </w:rPr>
        <w:t>1117.79万元，比上年度</w:t>
      </w:r>
      <w:r>
        <w:rPr>
          <w:rFonts w:hint="eastAsia" w:ascii="仿宋_GB2312" w:hAnsi="仿宋" w:eastAsia="仿宋_GB2312"/>
          <w:sz w:val="32"/>
          <w:szCs w:val="32"/>
          <w:lang w:eastAsia="zh-CN"/>
        </w:rPr>
        <w:t>增加</w:t>
      </w:r>
      <w:r>
        <w:rPr>
          <w:rFonts w:hint="eastAsia" w:ascii="仿宋_GB2312" w:hAnsi="仿宋" w:eastAsia="仿宋_GB2312"/>
          <w:sz w:val="32"/>
          <w:szCs w:val="32"/>
        </w:rPr>
        <w:t>5.8%。增加的主要原因一本年度调进人员较多，致使费用增加。</w:t>
      </w:r>
    </w:p>
    <w:p>
      <w:pPr>
        <w:snapToGrid w:val="0"/>
        <w:spacing w:line="578" w:lineRule="exact"/>
        <w:ind w:firstLine="640" w:firstLineChars="20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78"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78" w:lineRule="exact"/>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严格按照预算管理的相关规定和本部门预算编制要求</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科学合理编制项目预算</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按时完成了预算编制工作。</w:t>
      </w:r>
    </w:p>
    <w:p>
      <w:pPr>
        <w:widowControl/>
        <w:adjustRightInd w:val="0"/>
        <w:snapToGrid w:val="0"/>
        <w:spacing w:line="578"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pacing w:line="578"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一是行政运行保障情况。我委严格按照年初预算安排</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严格执行中央八项规定和省、州相关规定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厉行节约规范使用预算资金。收入上，严格执行</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收支两条线</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管理制度，按规定使用非税票据（罚没票据），无隐瞒收入和其他违反国家收费管理规定的行为。在支出管理中</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严格执行国库集中支付、政府采购、公务卡报销等相关财务管理制度。认真做好每月与银行等的对账工作，加强动态监控，保障机关各项工作顺利开展。</w:t>
      </w:r>
    </w:p>
    <w:p>
      <w:pPr>
        <w:widowControl/>
        <w:adjustRightInd w:val="0"/>
        <w:snapToGrid w:val="0"/>
        <w:spacing w:line="578"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78"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2022度我委严格按照年初预算批复认真组织实施</w:t>
      </w:r>
      <w:r>
        <w:rPr>
          <w:rFonts w:hint="eastAsia" w:ascii="仿宋_GB2312" w:hAnsi="仿宋_GB2312" w:eastAsia="仿宋_GB2312" w:cs="仿宋_GB2312"/>
          <w:color w:val="000000"/>
          <w:sz w:val="32"/>
          <w:szCs w:val="32"/>
          <w:shd w:val="clear" w:color="auto" w:fill="FFFFFF"/>
          <w:lang w:eastAsia="zh-CN"/>
        </w:rPr>
        <w:t>，</w:t>
      </w:r>
      <w:r>
        <w:rPr>
          <w:rFonts w:hint="eastAsia" w:ascii="宋体" w:hAnsi="宋体" w:cs="宋体"/>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严格执行财经纪律相关管理规定，做到各项收支安排使用符合事</w:t>
      </w:r>
      <w:r>
        <w:rPr>
          <w:rFonts w:hint="eastAsia" w:ascii="仿宋_GB2312" w:hAnsi="仿宋_GB2312" w:eastAsia="仿宋_GB2312" w:cs="仿宋_GB2312"/>
          <w:color w:val="000000"/>
          <w:sz w:val="32"/>
          <w:szCs w:val="32"/>
          <w:shd w:val="clear" w:color="auto" w:fill="FFFFFF"/>
          <w:lang w:val="en-US" w:eastAsia="zh-CN"/>
        </w:rPr>
        <w:t>业</w:t>
      </w:r>
      <w:r>
        <w:rPr>
          <w:rFonts w:hint="eastAsia" w:ascii="仿宋_GB2312" w:hAnsi="仿宋_GB2312" w:eastAsia="仿宋_GB2312" w:cs="仿宋_GB2312"/>
          <w:color w:val="000000"/>
          <w:sz w:val="32"/>
          <w:szCs w:val="32"/>
          <w:shd w:val="clear" w:color="auto" w:fill="FFFFFF"/>
        </w:rPr>
        <w:t>发展计划和财政政策的要求，确保了我委正常运行，较好地完成了2022年度决算编制工作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但仍存在预算编制、预算执行不够完善，绩效管理工作有待加强等问题。</w:t>
      </w:r>
    </w:p>
    <w:p>
      <w:pPr>
        <w:pStyle w:val="20"/>
        <w:shd w:val="clear" w:color="auto" w:fill="FFFFFF"/>
        <w:spacing w:before="0" w:beforeAutospacing="0" w:after="0" w:afterAutospacing="0" w:line="578"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在今后的工作中</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我委将严格按照新《</w:t>
      </w:r>
      <w:r>
        <w:rPr>
          <w:rFonts w:hint="eastAsia" w:ascii="仿宋_GB2312" w:hAnsi="仿宋_GB2312" w:eastAsia="仿宋_GB2312" w:cs="仿宋_GB2312"/>
          <w:color w:val="000000"/>
          <w:sz w:val="32"/>
          <w:szCs w:val="32"/>
          <w:shd w:val="clear" w:color="auto" w:fill="FFFFFF"/>
          <w:lang w:eastAsia="zh-CN"/>
        </w:rPr>
        <w:t>中</w:t>
      </w:r>
      <w:bookmarkStart w:id="149" w:name="_GoBack"/>
      <w:bookmarkEnd w:id="149"/>
      <w:r>
        <w:rPr>
          <w:rFonts w:hint="eastAsia" w:ascii="仿宋_GB2312" w:hAnsi="仿宋_GB2312" w:eastAsia="仿宋_GB2312" w:cs="仿宋_GB2312"/>
          <w:color w:val="000000"/>
          <w:sz w:val="32"/>
          <w:szCs w:val="32"/>
          <w:shd w:val="clear" w:color="auto" w:fill="FFFFFF"/>
          <w:lang w:eastAsia="zh-CN"/>
        </w:rPr>
        <w:t>华人民共和国预算法</w:t>
      </w:r>
      <w:r>
        <w:rPr>
          <w:rFonts w:hint="eastAsia" w:ascii="仿宋_GB2312" w:hAnsi="仿宋_GB2312" w:eastAsia="仿宋_GB2312" w:cs="仿宋_GB2312"/>
          <w:color w:val="000000"/>
          <w:sz w:val="32"/>
          <w:szCs w:val="32"/>
          <w:shd w:val="clear" w:color="auto" w:fill="FFFFFF"/>
        </w:rPr>
        <w:t>》的要求，加强预算编制的科学性、合理性</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让预算编制</w:t>
      </w:r>
      <w:r>
        <w:rPr>
          <w:rFonts w:hint="eastAsia" w:ascii="仿宋_GB2312" w:hAnsi="仿宋_GB2312" w:eastAsia="仿宋_GB2312" w:cs="仿宋_GB2312"/>
          <w:color w:val="000000"/>
          <w:sz w:val="32"/>
          <w:szCs w:val="32"/>
          <w:shd w:val="clear" w:color="auto" w:fill="FFFFFF"/>
          <w:lang w:eastAsia="zh-CN"/>
        </w:rPr>
        <w:t>更加</w:t>
      </w:r>
      <w:r>
        <w:rPr>
          <w:rFonts w:hint="eastAsia" w:ascii="仿宋_GB2312" w:hAnsi="仿宋_GB2312" w:eastAsia="仿宋_GB2312" w:cs="仿宋_GB2312"/>
          <w:color w:val="000000"/>
          <w:sz w:val="32"/>
          <w:szCs w:val="32"/>
          <w:shd w:val="clear" w:color="auto" w:fill="FFFFFF"/>
        </w:rPr>
        <w:t>贴合实际，使项目预算与工作结合更加紧密。严格按照批复预算执行，并按照单位各项工作开展进度有计划申请资金及时支付。加强预算绩效管理，增强预算约束力，做好预算支出绩效目标及各项绩效指标的细化、量化工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用好用活各类财政资金，提高财政资金的使用效益。</w:t>
      </w:r>
    </w:p>
    <w:p>
      <w:pPr>
        <w:widowControl/>
        <w:spacing w:line="57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建议财政部门能组织各单位财务人员到外地进行业务的培训，不断提升各单位财务人员的业务素质和职业道德。</w:t>
      </w:r>
    </w:p>
    <w:p>
      <w:pPr>
        <w:spacing w:line="578" w:lineRule="exact"/>
        <w:ind w:firstLine="640" w:firstLineChars="200"/>
        <w:rPr>
          <w:rFonts w:ascii="仿宋_GB2312" w:hAnsi="仿宋_GB2312" w:eastAsia="仿宋_GB2312" w:cs="仿宋_GB2312"/>
          <w:sz w:val="32"/>
          <w:szCs w:val="32"/>
        </w:rPr>
      </w:pPr>
    </w:p>
    <w:p>
      <w:pPr>
        <w:spacing w:line="578" w:lineRule="exact"/>
        <w:jc w:val="left"/>
        <w:outlineLvl w:val="0"/>
        <w:rPr>
          <w:rFonts w:ascii="黑体" w:hAnsi="黑体" w:eastAsia="黑体" w:cs="黑体"/>
          <w:sz w:val="32"/>
          <w:szCs w:val="32"/>
        </w:rPr>
      </w:pPr>
      <w:bookmarkStart w:id="103" w:name="_Toc79163633"/>
      <w:bookmarkStart w:id="104" w:name="_Toc79163883"/>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p>
      <w:pPr>
        <w:spacing w:line="578" w:lineRule="exact"/>
        <w:jc w:val="left"/>
        <w:outlineLvl w:val="0"/>
        <w:rPr>
          <w:rFonts w:ascii="黑体" w:hAnsi="黑体" w:eastAsia="黑体" w:cs="黑体"/>
          <w:sz w:val="32"/>
          <w:szCs w:val="32"/>
        </w:rPr>
      </w:pPr>
    </w:p>
    <w:bookmarkEnd w:id="103"/>
    <w:bookmarkEnd w:id="104"/>
    <w:p>
      <w:pPr>
        <w:spacing w:line="578" w:lineRule="exact"/>
        <w:jc w:val="center"/>
        <w:outlineLvl w:val="0"/>
        <w:rPr>
          <w:rFonts w:ascii="黑体" w:hAnsi="黑体" w:eastAsia="黑体"/>
          <w:color w:val="000000"/>
          <w:sz w:val="44"/>
          <w:szCs w:val="44"/>
        </w:rPr>
      </w:pPr>
      <w:bookmarkStart w:id="105" w:name="_Toc15396618"/>
      <w:bookmarkStart w:id="106" w:name="_Toc79163635"/>
      <w:bookmarkStart w:id="107" w:name="_Toc79163885"/>
    </w:p>
    <w:p>
      <w:pPr>
        <w:spacing w:line="578" w:lineRule="exact"/>
        <w:jc w:val="center"/>
        <w:outlineLvl w:val="0"/>
        <w:rPr>
          <w:rFonts w:ascii="黑体" w:hAnsi="黑体" w:eastAsia="黑体"/>
          <w:color w:val="000000"/>
          <w:sz w:val="44"/>
          <w:szCs w:val="44"/>
        </w:rPr>
      </w:pPr>
    </w:p>
    <w:p>
      <w:pPr>
        <w:spacing w:line="578" w:lineRule="exact"/>
        <w:jc w:val="center"/>
        <w:outlineLvl w:val="0"/>
        <w:rPr>
          <w:rFonts w:ascii="黑体" w:hAnsi="黑体" w:eastAsia="黑体"/>
          <w:color w:val="000000"/>
          <w:sz w:val="44"/>
          <w:szCs w:val="44"/>
        </w:rPr>
      </w:pPr>
    </w:p>
    <w:p>
      <w:pPr>
        <w:pStyle w:val="2"/>
        <w:ind w:left="820" w:hanging="400"/>
      </w:pPr>
    </w:p>
    <w:p/>
    <w:p>
      <w:pPr>
        <w:pStyle w:val="2"/>
        <w:ind w:left="820" w:hanging="400"/>
      </w:pPr>
    </w:p>
    <w:p/>
    <w:p>
      <w:pPr>
        <w:pStyle w:val="2"/>
        <w:ind w:left="820" w:hanging="400"/>
      </w:pPr>
    </w:p>
    <w:p>
      <w:pPr>
        <w:spacing w:line="578"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五部分附表</w:t>
      </w:r>
      <w:bookmarkEnd w:id="95"/>
      <w:bookmarkEnd w:id="105"/>
      <w:bookmarkEnd w:id="106"/>
      <w:bookmarkEnd w:id="107"/>
    </w:p>
    <w:p>
      <w:pPr>
        <w:pStyle w:val="4"/>
        <w:spacing w:line="578" w:lineRule="exact"/>
        <w:rPr>
          <w:rFonts w:ascii="仿宋" w:hAnsi="仿宋" w:eastAsia="仿宋"/>
          <w:color w:val="000000"/>
        </w:rPr>
      </w:pPr>
      <w:bookmarkStart w:id="108" w:name="_Toc79163636"/>
      <w:bookmarkStart w:id="109" w:name="_Toc15396619"/>
      <w:bookmarkStart w:id="110" w:name="_Toc79163886"/>
      <w:r>
        <w:rPr>
          <w:rFonts w:hint="eastAsia" w:ascii="仿宋" w:hAnsi="仿宋" w:eastAsia="仿宋"/>
          <w:b w:val="0"/>
          <w:color w:val="000000"/>
        </w:rPr>
        <w:t>一、收</w:t>
      </w:r>
      <w:r>
        <w:rPr>
          <w:rStyle w:val="27"/>
          <w:rFonts w:hint="eastAsia" w:ascii="仿宋" w:hAnsi="仿宋" w:eastAsia="仿宋"/>
          <w:b w:val="0"/>
          <w:bCs w:val="0"/>
        </w:rPr>
        <w:t>入支出决算总表</w:t>
      </w:r>
      <w:bookmarkEnd w:id="108"/>
      <w:bookmarkEnd w:id="109"/>
      <w:bookmarkEnd w:id="110"/>
    </w:p>
    <w:p>
      <w:pPr>
        <w:pStyle w:val="4"/>
        <w:spacing w:line="578" w:lineRule="exact"/>
        <w:rPr>
          <w:rFonts w:ascii="仿宋" w:hAnsi="仿宋" w:eastAsia="仿宋"/>
          <w:color w:val="000000"/>
        </w:rPr>
      </w:pPr>
      <w:bookmarkStart w:id="111" w:name="_Toc15396620"/>
      <w:bookmarkStart w:id="112" w:name="_Toc79163637"/>
      <w:bookmarkStart w:id="113" w:name="_Toc79163887"/>
      <w:r>
        <w:rPr>
          <w:rFonts w:hint="eastAsia" w:ascii="仿宋" w:hAnsi="仿宋" w:eastAsia="仿宋"/>
          <w:b w:val="0"/>
          <w:color w:val="000000"/>
        </w:rPr>
        <w:t>二、收</w:t>
      </w:r>
      <w:r>
        <w:rPr>
          <w:rStyle w:val="27"/>
          <w:rFonts w:hint="eastAsia" w:ascii="仿宋" w:hAnsi="仿宋" w:eastAsia="仿宋"/>
          <w:b w:val="0"/>
          <w:bCs w:val="0"/>
        </w:rPr>
        <w:t>入决算表</w:t>
      </w:r>
      <w:bookmarkEnd w:id="111"/>
      <w:bookmarkEnd w:id="112"/>
      <w:bookmarkEnd w:id="113"/>
    </w:p>
    <w:p>
      <w:pPr>
        <w:pStyle w:val="4"/>
        <w:spacing w:line="578" w:lineRule="exact"/>
        <w:rPr>
          <w:rFonts w:ascii="仿宋" w:hAnsi="仿宋" w:eastAsia="仿宋"/>
          <w:color w:val="000000"/>
        </w:rPr>
      </w:pPr>
      <w:bookmarkStart w:id="114" w:name="_Toc79163638"/>
      <w:bookmarkStart w:id="115" w:name="_Toc79163888"/>
      <w:bookmarkStart w:id="116"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14"/>
      <w:bookmarkEnd w:id="115"/>
      <w:bookmarkEnd w:id="116"/>
    </w:p>
    <w:p>
      <w:pPr>
        <w:pStyle w:val="4"/>
        <w:spacing w:line="578" w:lineRule="exact"/>
        <w:rPr>
          <w:rFonts w:ascii="仿宋" w:hAnsi="仿宋" w:eastAsia="仿宋"/>
          <w:b w:val="0"/>
          <w:color w:val="000000"/>
        </w:rPr>
      </w:pPr>
      <w:bookmarkStart w:id="117" w:name="_Toc15396622"/>
      <w:bookmarkStart w:id="118" w:name="_Toc79163639"/>
      <w:bookmarkStart w:id="119" w:name="_Toc79163889"/>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17"/>
      <w:bookmarkEnd w:id="118"/>
      <w:bookmarkEnd w:id="119"/>
    </w:p>
    <w:p>
      <w:pPr>
        <w:pStyle w:val="4"/>
        <w:spacing w:line="578" w:lineRule="exact"/>
        <w:rPr>
          <w:rStyle w:val="27"/>
          <w:rFonts w:ascii="仿宋" w:hAnsi="仿宋" w:eastAsia="仿宋"/>
          <w:b w:val="0"/>
          <w:bCs w:val="0"/>
        </w:rPr>
      </w:pPr>
      <w:bookmarkStart w:id="120" w:name="_Toc79163640"/>
      <w:bookmarkStart w:id="121" w:name="_Toc79163890"/>
      <w:bookmarkStart w:id="122"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20"/>
      <w:bookmarkEnd w:id="121"/>
      <w:bookmarkEnd w:id="122"/>
      <w:bookmarkStart w:id="123" w:name="_Toc15396624"/>
    </w:p>
    <w:p>
      <w:pPr>
        <w:pStyle w:val="4"/>
        <w:spacing w:line="578" w:lineRule="exact"/>
        <w:rPr>
          <w:rFonts w:ascii="仿宋" w:hAnsi="仿宋" w:eastAsia="仿宋"/>
          <w:color w:val="000000"/>
        </w:rPr>
      </w:pPr>
      <w:bookmarkStart w:id="124" w:name="_Toc79163891"/>
      <w:bookmarkStart w:id="125" w:name="_Toc7916364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23"/>
      <w:bookmarkEnd w:id="124"/>
      <w:bookmarkEnd w:id="125"/>
    </w:p>
    <w:p>
      <w:pPr>
        <w:pStyle w:val="4"/>
        <w:spacing w:line="578" w:lineRule="exact"/>
        <w:rPr>
          <w:rFonts w:ascii="仿宋" w:hAnsi="仿宋" w:eastAsia="仿宋"/>
          <w:color w:val="000000"/>
        </w:rPr>
      </w:pPr>
      <w:bookmarkStart w:id="126" w:name="_Toc79163892"/>
      <w:bookmarkStart w:id="127" w:name="_Toc79163642"/>
      <w:bookmarkStart w:id="128"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26"/>
      <w:bookmarkEnd w:id="127"/>
      <w:bookmarkEnd w:id="128"/>
    </w:p>
    <w:p>
      <w:pPr>
        <w:pStyle w:val="4"/>
        <w:spacing w:line="578" w:lineRule="exact"/>
        <w:rPr>
          <w:rFonts w:ascii="仿宋" w:hAnsi="仿宋" w:eastAsia="仿宋"/>
          <w:color w:val="000000"/>
        </w:rPr>
      </w:pPr>
      <w:bookmarkStart w:id="129" w:name="_Toc15396626"/>
      <w:bookmarkStart w:id="130" w:name="_Toc79163893"/>
      <w:bookmarkStart w:id="131" w:name="_Toc79163643"/>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29"/>
      <w:bookmarkEnd w:id="130"/>
      <w:bookmarkEnd w:id="131"/>
    </w:p>
    <w:p>
      <w:pPr>
        <w:pStyle w:val="4"/>
        <w:spacing w:line="578" w:lineRule="exact"/>
        <w:rPr>
          <w:rFonts w:ascii="仿宋" w:hAnsi="仿宋" w:eastAsia="仿宋"/>
          <w:color w:val="000000"/>
        </w:rPr>
      </w:pPr>
      <w:bookmarkStart w:id="132" w:name="_Toc15396627"/>
      <w:bookmarkStart w:id="133" w:name="_Toc79163644"/>
      <w:bookmarkStart w:id="134" w:name="_Toc7916389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32"/>
      <w:bookmarkEnd w:id="133"/>
      <w:bookmarkEnd w:id="134"/>
    </w:p>
    <w:p>
      <w:pPr>
        <w:pStyle w:val="4"/>
        <w:spacing w:line="578" w:lineRule="exact"/>
        <w:rPr>
          <w:rFonts w:ascii="仿宋" w:hAnsi="仿宋" w:eastAsia="仿宋"/>
          <w:color w:val="000000"/>
        </w:rPr>
      </w:pPr>
      <w:bookmarkStart w:id="135" w:name="_Toc79163645"/>
      <w:bookmarkStart w:id="136" w:name="_Toc79163895"/>
      <w:bookmarkStart w:id="137"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35"/>
      <w:bookmarkEnd w:id="136"/>
      <w:bookmarkEnd w:id="137"/>
    </w:p>
    <w:p>
      <w:pPr>
        <w:pStyle w:val="4"/>
        <w:spacing w:line="578" w:lineRule="exact"/>
        <w:rPr>
          <w:rFonts w:ascii="仿宋" w:hAnsi="仿宋" w:eastAsia="仿宋"/>
          <w:color w:val="000000"/>
        </w:rPr>
      </w:pPr>
      <w:bookmarkStart w:id="138" w:name="_Toc79163896"/>
      <w:bookmarkStart w:id="139" w:name="_Toc15396629"/>
      <w:bookmarkStart w:id="140" w:name="_Toc79163646"/>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38"/>
      <w:bookmarkEnd w:id="139"/>
      <w:bookmarkEnd w:id="140"/>
    </w:p>
    <w:p>
      <w:pPr>
        <w:pStyle w:val="4"/>
        <w:spacing w:line="578" w:lineRule="exact"/>
        <w:rPr>
          <w:rFonts w:ascii="仿宋" w:hAnsi="仿宋" w:eastAsia="仿宋"/>
          <w:color w:val="000000"/>
        </w:rPr>
      </w:pPr>
      <w:bookmarkStart w:id="141" w:name="_Toc79163647"/>
      <w:bookmarkStart w:id="142" w:name="_Toc15396630"/>
      <w:bookmarkStart w:id="143" w:name="_Toc79163897"/>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41"/>
      <w:bookmarkEnd w:id="142"/>
      <w:bookmarkEnd w:id="143"/>
    </w:p>
    <w:p>
      <w:pPr>
        <w:pStyle w:val="4"/>
        <w:spacing w:line="578" w:lineRule="exact"/>
        <w:rPr>
          <w:rStyle w:val="27"/>
          <w:rFonts w:ascii="仿宋" w:hAnsi="仿宋" w:eastAsia="仿宋"/>
          <w:b w:val="0"/>
          <w:bCs w:val="0"/>
        </w:rPr>
      </w:pPr>
      <w:bookmarkStart w:id="144" w:name="_Toc79163648"/>
      <w:bookmarkStart w:id="145" w:name="_Toc79163898"/>
      <w:bookmarkStart w:id="146"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有资本经营预算财政拨款支出决算表</w:t>
      </w:r>
      <w:bookmarkEnd w:id="144"/>
      <w:bookmarkEnd w:id="145"/>
      <w:bookmarkEnd w:id="146"/>
    </w:p>
    <w:p>
      <w:pPr>
        <w:pStyle w:val="4"/>
        <w:spacing w:line="578" w:lineRule="exact"/>
        <w:rPr>
          <w:rStyle w:val="27"/>
          <w:rFonts w:ascii="仿宋" w:hAnsi="仿宋" w:eastAsia="仿宋"/>
          <w:b w:val="0"/>
          <w:bCs w:val="0"/>
        </w:rPr>
      </w:pPr>
      <w:bookmarkStart w:id="147" w:name="_Toc79163649"/>
      <w:bookmarkStart w:id="148" w:name="_Toc79163899"/>
      <w:r>
        <w:rPr>
          <w:rStyle w:val="27"/>
          <w:rFonts w:hint="eastAsia" w:ascii="仿宋" w:hAnsi="仿宋" w:eastAsia="仿宋"/>
          <w:b w:val="0"/>
          <w:bCs w:val="0"/>
        </w:rPr>
        <w:t>十四、国有资本经营预算财政拨款支出决算表</w:t>
      </w:r>
      <w:bookmarkEnd w:id="147"/>
      <w:bookmarkEnd w:id="14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jc w:val="center"/>
                </w:pPr>
                <w:r>
                  <w:fldChar w:fldCharType="begin"/>
                </w:r>
                <w:r>
                  <w:instrText xml:space="preserve">PAGE   \* MERGEFORMAT</w:instrText>
                </w:r>
                <w:r>
                  <w:fldChar w:fldCharType="separate"/>
                </w:r>
                <w:r>
                  <w:rPr>
                    <w:lang w:val="zh-CN"/>
                  </w:rPr>
                  <w:t>2</w:t>
                </w:r>
                <w:r>
                  <w:fldChar w:fldCharType="end"/>
                </w:r>
              </w:p>
            </w:txbxContent>
          </v:textbox>
        </v:shape>
      </w:pic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0C706447"/>
    <w:multiLevelType w:val="multilevel"/>
    <w:tmpl w:val="0C706447"/>
    <w:lvl w:ilvl="0" w:tentative="0">
      <w:start w:val="2"/>
      <w:numFmt w:val="japaneseCounting"/>
      <w:lvlText w:val="（%1）"/>
      <w:lvlJc w:val="left"/>
      <w:pPr>
        <w:ind w:left="1720" w:hanging="1080"/>
      </w:pPr>
      <w:rPr>
        <w:rFonts w:hint="default" w:hAnsi="仿宋" w:cs="Times New Roman"/>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5E01D44C"/>
    <w:multiLevelType w:val="singleLevel"/>
    <w:tmpl w:val="5E01D44C"/>
    <w:lvl w:ilvl="0" w:tentative="0">
      <w:start w:val="2"/>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xYmIxOGQyMmFkYzIxMGJmYTcyYWQyNzc5MmRhZDEifQ=="/>
  </w:docVars>
  <w:rsids>
    <w:rsidRoot w:val="00F1361C"/>
    <w:rsid w:val="000222C6"/>
    <w:rsid w:val="0002549F"/>
    <w:rsid w:val="000331F9"/>
    <w:rsid w:val="000468DB"/>
    <w:rsid w:val="0006487A"/>
    <w:rsid w:val="00065F8F"/>
    <w:rsid w:val="00070A43"/>
    <w:rsid w:val="000768F2"/>
    <w:rsid w:val="0009184B"/>
    <w:rsid w:val="00094236"/>
    <w:rsid w:val="0009593C"/>
    <w:rsid w:val="00097322"/>
    <w:rsid w:val="000A06AD"/>
    <w:rsid w:val="000A6A92"/>
    <w:rsid w:val="000B047F"/>
    <w:rsid w:val="000B5923"/>
    <w:rsid w:val="000B5A48"/>
    <w:rsid w:val="000B6FF3"/>
    <w:rsid w:val="000C3467"/>
    <w:rsid w:val="000C3CA6"/>
    <w:rsid w:val="000D1267"/>
    <w:rsid w:val="000D1D50"/>
    <w:rsid w:val="000D5782"/>
    <w:rsid w:val="000E6613"/>
    <w:rsid w:val="000E7119"/>
    <w:rsid w:val="000F24C4"/>
    <w:rsid w:val="00114E9B"/>
    <w:rsid w:val="00115301"/>
    <w:rsid w:val="001319E1"/>
    <w:rsid w:val="00142216"/>
    <w:rsid w:val="00144D6A"/>
    <w:rsid w:val="0014729F"/>
    <w:rsid w:val="00157BAB"/>
    <w:rsid w:val="001654D1"/>
    <w:rsid w:val="00174518"/>
    <w:rsid w:val="0018106D"/>
    <w:rsid w:val="001877A7"/>
    <w:rsid w:val="00191536"/>
    <w:rsid w:val="00196687"/>
    <w:rsid w:val="001B2E6F"/>
    <w:rsid w:val="001B5729"/>
    <w:rsid w:val="001C0962"/>
    <w:rsid w:val="001D054D"/>
    <w:rsid w:val="001D16AB"/>
    <w:rsid w:val="001D7531"/>
    <w:rsid w:val="001E737D"/>
    <w:rsid w:val="001F0592"/>
    <w:rsid w:val="001F74AB"/>
    <w:rsid w:val="001F7506"/>
    <w:rsid w:val="002006CD"/>
    <w:rsid w:val="00202B36"/>
    <w:rsid w:val="00204B7A"/>
    <w:rsid w:val="00204CDE"/>
    <w:rsid w:val="0021101A"/>
    <w:rsid w:val="00220536"/>
    <w:rsid w:val="00235629"/>
    <w:rsid w:val="00243700"/>
    <w:rsid w:val="00256262"/>
    <w:rsid w:val="00260C38"/>
    <w:rsid w:val="002616C0"/>
    <w:rsid w:val="00265372"/>
    <w:rsid w:val="002662AA"/>
    <w:rsid w:val="0027224D"/>
    <w:rsid w:val="00280496"/>
    <w:rsid w:val="0028417F"/>
    <w:rsid w:val="00294DC9"/>
    <w:rsid w:val="00295495"/>
    <w:rsid w:val="002960DF"/>
    <w:rsid w:val="002A31DE"/>
    <w:rsid w:val="002B2613"/>
    <w:rsid w:val="002B2FF7"/>
    <w:rsid w:val="002B6407"/>
    <w:rsid w:val="002B6913"/>
    <w:rsid w:val="002C14B0"/>
    <w:rsid w:val="002C2FF7"/>
    <w:rsid w:val="002D3569"/>
    <w:rsid w:val="002D6D05"/>
    <w:rsid w:val="002F1818"/>
    <w:rsid w:val="002F567B"/>
    <w:rsid w:val="00315A05"/>
    <w:rsid w:val="003216A9"/>
    <w:rsid w:val="00326F21"/>
    <w:rsid w:val="00335A74"/>
    <w:rsid w:val="0034484F"/>
    <w:rsid w:val="0036561B"/>
    <w:rsid w:val="0037013F"/>
    <w:rsid w:val="00380C92"/>
    <w:rsid w:val="003A484F"/>
    <w:rsid w:val="003A4883"/>
    <w:rsid w:val="003B0BE0"/>
    <w:rsid w:val="003B0C1B"/>
    <w:rsid w:val="003B688C"/>
    <w:rsid w:val="003C0291"/>
    <w:rsid w:val="003C39AE"/>
    <w:rsid w:val="003C5C73"/>
    <w:rsid w:val="003C7B60"/>
    <w:rsid w:val="003D0C0F"/>
    <w:rsid w:val="003D1FB2"/>
    <w:rsid w:val="003D66DA"/>
    <w:rsid w:val="003E1310"/>
    <w:rsid w:val="003E6F55"/>
    <w:rsid w:val="003E6FE4"/>
    <w:rsid w:val="00406254"/>
    <w:rsid w:val="00406CB4"/>
    <w:rsid w:val="004223DE"/>
    <w:rsid w:val="00434489"/>
    <w:rsid w:val="00437085"/>
    <w:rsid w:val="00443880"/>
    <w:rsid w:val="00445607"/>
    <w:rsid w:val="004464F4"/>
    <w:rsid w:val="00471401"/>
    <w:rsid w:val="00473F31"/>
    <w:rsid w:val="0048263A"/>
    <w:rsid w:val="00487E5D"/>
    <w:rsid w:val="004915B7"/>
    <w:rsid w:val="004A711F"/>
    <w:rsid w:val="004B199D"/>
    <w:rsid w:val="004B4690"/>
    <w:rsid w:val="004C016C"/>
    <w:rsid w:val="004D5479"/>
    <w:rsid w:val="004E0A2D"/>
    <w:rsid w:val="004E206B"/>
    <w:rsid w:val="004E6DF7"/>
    <w:rsid w:val="004F0FBD"/>
    <w:rsid w:val="00505A47"/>
    <w:rsid w:val="00510242"/>
    <w:rsid w:val="00512FDA"/>
    <w:rsid w:val="00520DA0"/>
    <w:rsid w:val="005269A7"/>
    <w:rsid w:val="005269D7"/>
    <w:rsid w:val="00532448"/>
    <w:rsid w:val="005511F1"/>
    <w:rsid w:val="00562AFE"/>
    <w:rsid w:val="005664BB"/>
    <w:rsid w:val="00566FFA"/>
    <w:rsid w:val="0057481D"/>
    <w:rsid w:val="00583B06"/>
    <w:rsid w:val="0058486E"/>
    <w:rsid w:val="00585B33"/>
    <w:rsid w:val="0059014D"/>
    <w:rsid w:val="005B5C64"/>
    <w:rsid w:val="005C5337"/>
    <w:rsid w:val="005C6BD0"/>
    <w:rsid w:val="005D1C8B"/>
    <w:rsid w:val="005D468D"/>
    <w:rsid w:val="005D5CED"/>
    <w:rsid w:val="005F1A4C"/>
    <w:rsid w:val="005F33FE"/>
    <w:rsid w:val="00605688"/>
    <w:rsid w:val="006070AF"/>
    <w:rsid w:val="00607E6C"/>
    <w:rsid w:val="006101B1"/>
    <w:rsid w:val="00614E44"/>
    <w:rsid w:val="00620F49"/>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492A"/>
    <w:rsid w:val="006A5E34"/>
    <w:rsid w:val="006B2422"/>
    <w:rsid w:val="006B2B9A"/>
    <w:rsid w:val="006B30CB"/>
    <w:rsid w:val="006C1937"/>
    <w:rsid w:val="006F020C"/>
    <w:rsid w:val="00701B29"/>
    <w:rsid w:val="007127B7"/>
    <w:rsid w:val="0071798E"/>
    <w:rsid w:val="007416B6"/>
    <w:rsid w:val="007422F4"/>
    <w:rsid w:val="00746328"/>
    <w:rsid w:val="00746F48"/>
    <w:rsid w:val="0075404D"/>
    <w:rsid w:val="007614B9"/>
    <w:rsid w:val="0076182A"/>
    <w:rsid w:val="00767B7E"/>
    <w:rsid w:val="007712A3"/>
    <w:rsid w:val="007770C3"/>
    <w:rsid w:val="00784D24"/>
    <w:rsid w:val="00785FBA"/>
    <w:rsid w:val="00786E4A"/>
    <w:rsid w:val="007875EB"/>
    <w:rsid w:val="0079426B"/>
    <w:rsid w:val="007C4AAC"/>
    <w:rsid w:val="007D1682"/>
    <w:rsid w:val="007D312A"/>
    <w:rsid w:val="007D3F19"/>
    <w:rsid w:val="007E23B0"/>
    <w:rsid w:val="007E23E5"/>
    <w:rsid w:val="007F1991"/>
    <w:rsid w:val="007F2C2F"/>
    <w:rsid w:val="007F55FC"/>
    <w:rsid w:val="007F5665"/>
    <w:rsid w:val="00800112"/>
    <w:rsid w:val="00810D81"/>
    <w:rsid w:val="008127F4"/>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95C51"/>
    <w:rsid w:val="008A448A"/>
    <w:rsid w:val="008B30A4"/>
    <w:rsid w:val="008B768C"/>
    <w:rsid w:val="008C4DB1"/>
    <w:rsid w:val="008C4EAF"/>
    <w:rsid w:val="008C5176"/>
    <w:rsid w:val="008C7FD0"/>
    <w:rsid w:val="008E1DE7"/>
    <w:rsid w:val="008E707C"/>
    <w:rsid w:val="008F6088"/>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5729E"/>
    <w:rsid w:val="00962656"/>
    <w:rsid w:val="0097099F"/>
    <w:rsid w:val="00971997"/>
    <w:rsid w:val="00971FFC"/>
    <w:rsid w:val="0098660A"/>
    <w:rsid w:val="009913CD"/>
    <w:rsid w:val="009931C3"/>
    <w:rsid w:val="009B2C43"/>
    <w:rsid w:val="009B4EAE"/>
    <w:rsid w:val="009B7573"/>
    <w:rsid w:val="009C22F4"/>
    <w:rsid w:val="009C2A4B"/>
    <w:rsid w:val="009C2E98"/>
    <w:rsid w:val="009D3447"/>
    <w:rsid w:val="009D4711"/>
    <w:rsid w:val="009F1185"/>
    <w:rsid w:val="009F18CD"/>
    <w:rsid w:val="009F2A13"/>
    <w:rsid w:val="009F7527"/>
    <w:rsid w:val="00A00A4C"/>
    <w:rsid w:val="00A04EB0"/>
    <w:rsid w:val="00A13CC1"/>
    <w:rsid w:val="00A163D2"/>
    <w:rsid w:val="00A16847"/>
    <w:rsid w:val="00A237D8"/>
    <w:rsid w:val="00A268C4"/>
    <w:rsid w:val="00A307CD"/>
    <w:rsid w:val="00A331C8"/>
    <w:rsid w:val="00A40A00"/>
    <w:rsid w:val="00A4142F"/>
    <w:rsid w:val="00A422EB"/>
    <w:rsid w:val="00A45BB7"/>
    <w:rsid w:val="00A56DF2"/>
    <w:rsid w:val="00A56E6E"/>
    <w:rsid w:val="00A67AA1"/>
    <w:rsid w:val="00A67AB5"/>
    <w:rsid w:val="00A733B2"/>
    <w:rsid w:val="00A741C2"/>
    <w:rsid w:val="00A91760"/>
    <w:rsid w:val="00A93B00"/>
    <w:rsid w:val="00A93C21"/>
    <w:rsid w:val="00A97D19"/>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369"/>
    <w:rsid w:val="00B425E0"/>
    <w:rsid w:val="00B440AA"/>
    <w:rsid w:val="00B44B70"/>
    <w:rsid w:val="00B53C56"/>
    <w:rsid w:val="00B57DAF"/>
    <w:rsid w:val="00B61F48"/>
    <w:rsid w:val="00B755CE"/>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07D36"/>
    <w:rsid w:val="00C33E72"/>
    <w:rsid w:val="00C354B2"/>
    <w:rsid w:val="00C35554"/>
    <w:rsid w:val="00C42709"/>
    <w:rsid w:val="00C533CC"/>
    <w:rsid w:val="00C5751C"/>
    <w:rsid w:val="00C601B8"/>
    <w:rsid w:val="00C61BFC"/>
    <w:rsid w:val="00C62B85"/>
    <w:rsid w:val="00C65438"/>
    <w:rsid w:val="00C721FF"/>
    <w:rsid w:val="00C87FD8"/>
    <w:rsid w:val="00C90E65"/>
    <w:rsid w:val="00C91381"/>
    <w:rsid w:val="00C91CBB"/>
    <w:rsid w:val="00CA2EBF"/>
    <w:rsid w:val="00CB4E70"/>
    <w:rsid w:val="00CC09B6"/>
    <w:rsid w:val="00CC666F"/>
    <w:rsid w:val="00CD1E3F"/>
    <w:rsid w:val="00CE44F6"/>
    <w:rsid w:val="00CE49DA"/>
    <w:rsid w:val="00CE7B61"/>
    <w:rsid w:val="00CF08D0"/>
    <w:rsid w:val="00CF109D"/>
    <w:rsid w:val="00D00095"/>
    <w:rsid w:val="00D008B5"/>
    <w:rsid w:val="00D114F0"/>
    <w:rsid w:val="00D20620"/>
    <w:rsid w:val="00D233E6"/>
    <w:rsid w:val="00D254F7"/>
    <w:rsid w:val="00D26091"/>
    <w:rsid w:val="00D2685C"/>
    <w:rsid w:val="00D34E7C"/>
    <w:rsid w:val="00D35489"/>
    <w:rsid w:val="00D36AFE"/>
    <w:rsid w:val="00D51276"/>
    <w:rsid w:val="00D7035F"/>
    <w:rsid w:val="00D974E2"/>
    <w:rsid w:val="00DA5890"/>
    <w:rsid w:val="00DA634F"/>
    <w:rsid w:val="00DA65AC"/>
    <w:rsid w:val="00DB1913"/>
    <w:rsid w:val="00DC410D"/>
    <w:rsid w:val="00DC5A81"/>
    <w:rsid w:val="00DC68CA"/>
    <w:rsid w:val="00DC74B0"/>
    <w:rsid w:val="00DC7CBA"/>
    <w:rsid w:val="00DD73B7"/>
    <w:rsid w:val="00DF28BC"/>
    <w:rsid w:val="00DF34B9"/>
    <w:rsid w:val="00E00677"/>
    <w:rsid w:val="00E01053"/>
    <w:rsid w:val="00E07ACF"/>
    <w:rsid w:val="00E306B7"/>
    <w:rsid w:val="00E32CAD"/>
    <w:rsid w:val="00E331A1"/>
    <w:rsid w:val="00E33202"/>
    <w:rsid w:val="00E336A9"/>
    <w:rsid w:val="00E472B1"/>
    <w:rsid w:val="00E50624"/>
    <w:rsid w:val="00E568DF"/>
    <w:rsid w:val="00E64269"/>
    <w:rsid w:val="00E70975"/>
    <w:rsid w:val="00E82267"/>
    <w:rsid w:val="00E853CE"/>
    <w:rsid w:val="00E867B6"/>
    <w:rsid w:val="00E913B0"/>
    <w:rsid w:val="00EA010F"/>
    <w:rsid w:val="00EA05D2"/>
    <w:rsid w:val="00EB3C44"/>
    <w:rsid w:val="00EB5A7C"/>
    <w:rsid w:val="00EC6535"/>
    <w:rsid w:val="00ED1B63"/>
    <w:rsid w:val="00ED3C1F"/>
    <w:rsid w:val="00ED4085"/>
    <w:rsid w:val="00ED420E"/>
    <w:rsid w:val="00ED6FBE"/>
    <w:rsid w:val="00EE2F57"/>
    <w:rsid w:val="00EF2586"/>
    <w:rsid w:val="00EF4C34"/>
    <w:rsid w:val="00EF60EF"/>
    <w:rsid w:val="00EF77C6"/>
    <w:rsid w:val="00EF7DD5"/>
    <w:rsid w:val="00F05438"/>
    <w:rsid w:val="00F10FA8"/>
    <w:rsid w:val="00F1361C"/>
    <w:rsid w:val="00F156F0"/>
    <w:rsid w:val="00F160C7"/>
    <w:rsid w:val="00F177FD"/>
    <w:rsid w:val="00F2408F"/>
    <w:rsid w:val="00F240E9"/>
    <w:rsid w:val="00F3441A"/>
    <w:rsid w:val="00F36D8F"/>
    <w:rsid w:val="00F417B1"/>
    <w:rsid w:val="00F42080"/>
    <w:rsid w:val="00F45853"/>
    <w:rsid w:val="00F45C4D"/>
    <w:rsid w:val="00F5610A"/>
    <w:rsid w:val="00F602DF"/>
    <w:rsid w:val="00F618A6"/>
    <w:rsid w:val="00F67211"/>
    <w:rsid w:val="00F754A1"/>
    <w:rsid w:val="00F81FD9"/>
    <w:rsid w:val="00F841AA"/>
    <w:rsid w:val="00F84A94"/>
    <w:rsid w:val="00F87E96"/>
    <w:rsid w:val="00FA23E8"/>
    <w:rsid w:val="00FD3CC1"/>
    <w:rsid w:val="00FF1E02"/>
    <w:rsid w:val="00FF30B4"/>
    <w:rsid w:val="029F53A6"/>
    <w:rsid w:val="04BC193E"/>
    <w:rsid w:val="0681001E"/>
    <w:rsid w:val="0A2032A3"/>
    <w:rsid w:val="0ED04FD5"/>
    <w:rsid w:val="10C055FF"/>
    <w:rsid w:val="118107EC"/>
    <w:rsid w:val="14790F4A"/>
    <w:rsid w:val="16BB723D"/>
    <w:rsid w:val="1D155CEE"/>
    <w:rsid w:val="1ED87BC6"/>
    <w:rsid w:val="240371BF"/>
    <w:rsid w:val="298E441C"/>
    <w:rsid w:val="29FD04D3"/>
    <w:rsid w:val="2B81390C"/>
    <w:rsid w:val="319F7F4E"/>
    <w:rsid w:val="3501383E"/>
    <w:rsid w:val="3E956CC3"/>
    <w:rsid w:val="45597E12"/>
    <w:rsid w:val="4ECE2238"/>
    <w:rsid w:val="56262255"/>
    <w:rsid w:val="697532C0"/>
    <w:rsid w:val="6A9B6AD1"/>
    <w:rsid w:val="6C4A05C8"/>
    <w:rsid w:val="72734D90"/>
    <w:rsid w:val="7FD74F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spacing w:before="100" w:beforeAutospacing="1" w:after="100" w:afterAutospacing="1"/>
      <w:ind w:left="400" w:leftChars="200" w:hanging="200" w:hangingChars="200"/>
    </w:pPr>
    <w:rPr>
      <w:kern w:val="0"/>
      <w:sz w:val="20"/>
      <w:szCs w:val="21"/>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5"/>
    <w:qFormat/>
    <w:uiPriority w:val="99"/>
    <w:pPr>
      <w:spacing w:beforeLines="30"/>
    </w:pPr>
    <w:rPr>
      <w:rFonts w:ascii="仿宋_GB2312" w:eastAsia="仿宋_GB2312"/>
      <w:kern w:val="0"/>
      <w:sz w:val="24"/>
      <w:szCs w:val="20"/>
    </w:rPr>
  </w:style>
  <w:style w:type="paragraph" w:styleId="8">
    <w:name w:val="Body Text Indent"/>
    <w:basedOn w:val="1"/>
    <w:link w:val="41"/>
    <w:semiHidden/>
    <w:unhideWhenUsed/>
    <w:qFormat/>
    <w:uiPriority w:val="99"/>
    <w:pPr>
      <w:spacing w:after="120"/>
      <w:ind w:left="420" w:leftChars="200"/>
    </w:p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0"/>
    <w:semiHidden/>
    <w:unhideWhenUsed/>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Body Text First Indent 2"/>
    <w:basedOn w:val="8"/>
    <w:link w:val="42"/>
    <w:semiHidden/>
    <w:unhideWhenUsed/>
    <w:qFormat/>
    <w:uiPriority w:val="99"/>
    <w:pPr>
      <w:ind w:firstLine="420" w:firstLineChars="200"/>
    </w:p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Char"/>
    <w:basedOn w:val="23"/>
    <w:link w:val="3"/>
    <w:qFormat/>
    <w:locked/>
    <w:uiPriority w:val="9"/>
    <w:rPr>
      <w:rFonts w:ascii="Times New Roman" w:hAnsi="Times New Roman" w:cs="Times New Roman"/>
      <w:b/>
      <w:bCs/>
      <w:kern w:val="44"/>
      <w:sz w:val="44"/>
      <w:szCs w:val="44"/>
    </w:rPr>
  </w:style>
  <w:style w:type="character" w:customStyle="1" w:styleId="27">
    <w:name w:val="标题 2 Char"/>
    <w:basedOn w:val="23"/>
    <w:link w:val="4"/>
    <w:qFormat/>
    <w:locked/>
    <w:uiPriority w:val="9"/>
    <w:rPr>
      <w:rFonts w:ascii="Cambria" w:hAnsi="Cambria" w:eastAsia="宋体" w:cs="Times New Roman"/>
      <w:b/>
      <w:bCs/>
      <w:kern w:val="2"/>
      <w:sz w:val="32"/>
      <w:szCs w:val="32"/>
    </w:rPr>
  </w:style>
  <w:style w:type="character" w:customStyle="1" w:styleId="28">
    <w:name w:val="标题 3 Char"/>
    <w:basedOn w:val="23"/>
    <w:link w:val="5"/>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Char"/>
    <w:basedOn w:val="23"/>
    <w:link w:val="12"/>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Char"/>
    <w:link w:val="14"/>
    <w:semiHidden/>
    <w:qFormat/>
    <w:locked/>
    <w:uiPriority w:val="99"/>
    <w:rPr>
      <w:sz w:val="18"/>
    </w:rPr>
  </w:style>
  <w:style w:type="character" w:customStyle="1" w:styleId="34">
    <w:name w:val="页脚 Char"/>
    <w:link w:val="13"/>
    <w:qFormat/>
    <w:locked/>
    <w:uiPriority w:val="99"/>
    <w:rPr>
      <w:sz w:val="18"/>
    </w:rPr>
  </w:style>
  <w:style w:type="character" w:customStyle="1" w:styleId="35">
    <w:name w:val="正文文本 Char"/>
    <w:link w:val="7"/>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41">
    <w:name w:val="正文文本缩进 Char"/>
    <w:basedOn w:val="23"/>
    <w:link w:val="8"/>
    <w:semiHidden/>
    <w:qFormat/>
    <w:uiPriority w:val="99"/>
    <w:rPr>
      <w:rFonts w:ascii="Times New Roman" w:hAnsi="Times New Roman"/>
      <w:kern w:val="2"/>
      <w:sz w:val="21"/>
      <w:szCs w:val="24"/>
    </w:rPr>
  </w:style>
  <w:style w:type="character" w:customStyle="1" w:styleId="42">
    <w:name w:val="正文首行缩进 2 Char"/>
    <w:basedOn w:val="41"/>
    <w:link w:val="21"/>
    <w:semiHidden/>
    <w:qFormat/>
    <w:uiPriority w:val="99"/>
  </w:style>
  <w:style w:type="paragraph" w:styleId="4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image" Target="media/image1.png"/><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delete val="1"/>
          </c:dLbls>
          <c:cat>
            <c:strRef>
              <c:f>Sheet1!$B$2:$C$2</c:f>
              <c:strCache>
                <c:ptCount val="2"/>
                <c:pt idx="0">
                  <c:v>收入金额（万元）</c:v>
                </c:pt>
                <c:pt idx="1">
                  <c:v>支出金额（万元）</c:v>
                </c:pt>
              </c:strCache>
            </c:strRef>
          </c:cat>
          <c:val>
            <c:numRef>
              <c:f>Sheet1!$B$3:$C$3</c:f>
              <c:numCache>
                <c:formatCode>General</c:formatCode>
                <c:ptCount val="2"/>
                <c:pt idx="0">
                  <c:v>1117.79</c:v>
                </c:pt>
                <c:pt idx="1">
                  <c:v>1117.79</c:v>
                </c:pt>
              </c:numCache>
            </c:numRef>
          </c:val>
        </c:ser>
        <c:dLbls>
          <c:showLegendKey val="0"/>
          <c:showVal val="0"/>
          <c:showCatName val="0"/>
          <c:showSerName val="0"/>
          <c:showPercent val="0"/>
          <c:showBubbleSize val="0"/>
        </c:dLbls>
        <c:gapWidth val="150"/>
        <c:overlap val="100"/>
        <c:axId val="117575040"/>
        <c:axId val="117618176"/>
      </c:barChart>
      <c:catAx>
        <c:axId val="11757504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618176"/>
        <c:crosses val="autoZero"/>
        <c:auto val="1"/>
        <c:lblAlgn val="ctr"/>
        <c:lblOffset val="100"/>
        <c:noMultiLvlLbl val="0"/>
      </c:catAx>
      <c:valAx>
        <c:axId val="1176181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57504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Sheet2!$B$2</c:f>
              <c:strCache>
                <c:ptCount val="1"/>
                <c:pt idx="0">
                  <c:v>收入金额（万元）</c:v>
                </c:pt>
              </c:strCache>
            </c:strRef>
          </c:tx>
          <c:explosion val="0"/>
          <c:dPt>
            <c:idx val="0"/>
            <c:bubble3D val="0"/>
          </c:dPt>
          <c:dLbls>
            <c:delete val="1"/>
          </c:dLbls>
          <c:val>
            <c:numRef>
              <c:f>Sheet2!$B$3</c:f>
              <c:numCache>
                <c:formatCode>General</c:formatCode>
                <c:ptCount val="1"/>
                <c:pt idx="0">
                  <c:v>1117.79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elete val="1"/>
          </c:dLbls>
          <c:cat>
            <c:strRef>
              <c:f>Sheet3!$B$2:$C$2</c:f>
              <c:strCache>
                <c:ptCount val="2"/>
                <c:pt idx="0">
                  <c:v>基本支出金额（万元）</c:v>
                </c:pt>
                <c:pt idx="1">
                  <c:v>项目支出金额（万元）</c:v>
                </c:pt>
              </c:strCache>
            </c:strRef>
          </c:cat>
          <c:val>
            <c:numRef>
              <c:f>Sheet3!$B$3:$C$3</c:f>
              <c:numCache>
                <c:formatCode>General</c:formatCode>
                <c:ptCount val="2"/>
                <c:pt idx="0">
                  <c:v>1047.79</c:v>
                </c:pt>
                <c:pt idx="1">
                  <c:v>70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delete val="1"/>
          </c:dLbls>
          <c:cat>
            <c:strRef>
              <c:f>Sheet1!$B$2:$C$2</c:f>
              <c:strCache>
                <c:ptCount val="2"/>
                <c:pt idx="0">
                  <c:v>收入金额（万元）</c:v>
                </c:pt>
                <c:pt idx="1">
                  <c:v>支出金额（万元）</c:v>
                </c:pt>
              </c:strCache>
            </c:strRef>
          </c:cat>
          <c:val>
            <c:numRef>
              <c:f>Sheet1!$B$3:$C$3</c:f>
              <c:numCache>
                <c:formatCode>General</c:formatCode>
                <c:ptCount val="2"/>
                <c:pt idx="0">
                  <c:v>1117.79</c:v>
                </c:pt>
                <c:pt idx="1">
                  <c:v>1117.79</c:v>
                </c:pt>
              </c:numCache>
            </c:numRef>
          </c:val>
        </c:ser>
        <c:dLbls>
          <c:showLegendKey val="0"/>
          <c:showVal val="0"/>
          <c:showCatName val="0"/>
          <c:showSerName val="0"/>
          <c:showPercent val="0"/>
          <c:showBubbleSize val="0"/>
        </c:dLbls>
        <c:gapWidth val="150"/>
        <c:overlap val="100"/>
        <c:axId val="117613312"/>
        <c:axId val="117614848"/>
      </c:barChart>
      <c:catAx>
        <c:axId val="1176133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614848"/>
        <c:crosses val="autoZero"/>
        <c:auto val="1"/>
        <c:lblAlgn val="ctr"/>
        <c:lblOffset val="100"/>
        <c:noMultiLvlLbl val="0"/>
      </c:catAx>
      <c:valAx>
        <c:axId val="1176148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6133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Sheet4!$B$2</c:f>
              <c:strCache>
                <c:ptCount val="1"/>
                <c:pt idx="0">
                  <c:v>支出金额（万元）</c:v>
                </c:pt>
              </c:strCache>
            </c:strRef>
          </c:tx>
          <c:invertIfNegative val="0"/>
          <c:dLbls>
            <c:delete val="1"/>
          </c:dLbls>
          <c:val>
            <c:numRef>
              <c:f>Sheet4!$B$3</c:f>
              <c:numCache>
                <c:formatCode>General</c:formatCode>
                <c:ptCount val="1"/>
                <c:pt idx="0">
                  <c:v>1117.79</c:v>
                </c:pt>
              </c:numCache>
            </c:numRef>
          </c:val>
        </c:ser>
        <c:dLbls>
          <c:showLegendKey val="0"/>
          <c:showVal val="0"/>
          <c:showCatName val="0"/>
          <c:showSerName val="0"/>
          <c:showPercent val="0"/>
          <c:showBubbleSize val="0"/>
        </c:dLbls>
        <c:gapWidth val="150"/>
        <c:overlap val="100"/>
        <c:axId val="137999872"/>
        <c:axId val="138001408"/>
      </c:barChart>
      <c:catAx>
        <c:axId val="1379998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8001408"/>
        <c:crosses val="autoZero"/>
        <c:auto val="1"/>
        <c:lblAlgn val="ctr"/>
        <c:lblOffset val="100"/>
        <c:noMultiLvlLbl val="0"/>
      </c:catAx>
      <c:valAx>
        <c:axId val="1380014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79998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三公经费（公务用车运行维护费）万元</c:v>
                </c:pt>
              </c:strCache>
            </c:strRef>
          </c:tx>
          <c:explosion val="0"/>
          <c:dPt>
            <c:idx val="0"/>
            <c:bubble3D val="0"/>
          </c:dPt>
          <c:dLbls>
            <c:delete val="1"/>
          </c:dLbls>
          <c:val>
            <c:numRef>
              <c:f>Sheet1!$B$2</c:f>
              <c:numCache>
                <c:formatCode>General</c:formatCode>
                <c:ptCount val="1"/>
                <c:pt idx="0">
                  <c:v>41.6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27737-D8AF-4CF4-A8F0-CD32B00145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2182</Words>
  <Characters>12438</Characters>
  <Lines>103</Lines>
  <Paragraphs>29</Paragraphs>
  <TotalTime>4</TotalTime>
  <ScaleCrop>false</ScaleCrop>
  <LinksUpToDate>false</LinksUpToDate>
  <CharactersWithSpaces>14591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2023-09-04T09:53:00Z</dcterms:created>
  <dc:creator>曹颖</dc:creator>
  <cp:lastModifiedBy>暖暖</cp:lastModifiedBy>
  <cp:lastPrinted>2023-09-09T09:14:00Z</cp:lastPrinted>
  <dcterms:modified xsi:type="dcterms:W3CDTF">2023-09-10T07:07:47Z</dcterms:modified>
  <dc:title>阿坝州部门决算说明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3D79A830EB48453C8B7F301FB8486EDB_12</vt:lpwstr>
  </property>
</Properties>
</file>