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ascii="方正小标宋简体" w:hAnsi="宋体" w:eastAsia="方正小标宋简体"/>
          <w:color w:val="000000"/>
          <w:sz w:val="72"/>
          <w:szCs w:val="72"/>
        </w:rPr>
      </w:pPr>
      <w:bookmarkStart w:id="0" w:name="_Toc15306267"/>
    </w:p>
    <w:p>
      <w:pPr>
        <w:spacing w:line="900" w:lineRule="exact"/>
        <w:jc w:val="center"/>
        <w:outlineLvl w:val="0"/>
        <w:rPr>
          <w:rFonts w:ascii="方正小标宋简体" w:hAnsi="宋体" w:eastAsia="方正小标宋简体"/>
          <w:color w:val="000000"/>
          <w:sz w:val="72"/>
          <w:szCs w:val="72"/>
        </w:rPr>
      </w:pPr>
    </w:p>
    <w:p>
      <w:pPr>
        <w:adjustRightInd w:val="0"/>
        <w:snapToGrid w:val="0"/>
        <w:spacing w:line="900" w:lineRule="exact"/>
        <w:jc w:val="center"/>
        <w:outlineLvl w:val="0"/>
        <w:rPr>
          <w:rFonts w:ascii="黑体" w:hAnsi="黑体" w:eastAsia="黑体"/>
          <w:b/>
          <w:bCs/>
          <w:color w:val="000000"/>
          <w:sz w:val="52"/>
          <w:szCs w:val="52"/>
        </w:rPr>
      </w:pPr>
      <w:bookmarkStart w:id="1" w:name="_Toc15396597"/>
      <w:bookmarkStart w:id="2" w:name="_Toc15377425"/>
      <w:bookmarkStart w:id="3" w:name="_Toc15396475"/>
      <w:bookmarkStart w:id="4" w:name="_Toc15378441"/>
      <w:bookmarkStart w:id="5" w:name="_Toc15377193"/>
      <w:bookmarkStart w:id="6" w:name="_Toc9728"/>
      <w:bookmarkStart w:id="7" w:name="_Toc27821"/>
      <w:r>
        <w:rPr>
          <w:rFonts w:hint="eastAsia" w:ascii="黑体" w:hAnsi="黑体" w:eastAsia="黑体"/>
          <w:b/>
          <w:bCs/>
          <w:sz w:val="52"/>
          <w:szCs w:val="52"/>
        </w:rPr>
        <w:t>2021年度</w:t>
      </w:r>
      <w:bookmarkEnd w:id="0"/>
      <w:bookmarkEnd w:id="1"/>
      <w:bookmarkEnd w:id="2"/>
      <w:bookmarkEnd w:id="3"/>
      <w:bookmarkEnd w:id="4"/>
      <w:bookmarkEnd w:id="5"/>
      <w:bookmarkStart w:id="8" w:name="_Toc15396476"/>
      <w:bookmarkStart w:id="9" w:name="_Toc15378442"/>
      <w:bookmarkStart w:id="10" w:name="_Toc15396598"/>
      <w:bookmarkStart w:id="11" w:name="_Toc15377426"/>
      <w:bookmarkStart w:id="12" w:name="_Toc15377194"/>
      <w:r>
        <w:rPr>
          <w:rFonts w:hint="eastAsia" w:ascii="黑体" w:hAnsi="黑体" w:eastAsia="黑体"/>
          <w:b/>
          <w:bCs/>
          <w:color w:val="000000"/>
          <w:sz w:val="52"/>
          <w:szCs w:val="52"/>
        </w:rPr>
        <w:t>四川省阿坝州</w:t>
      </w:r>
      <w:bookmarkEnd w:id="6"/>
      <w:bookmarkEnd w:id="7"/>
      <w:bookmarkStart w:id="13" w:name="_Toc15306268"/>
    </w:p>
    <w:p>
      <w:pPr>
        <w:adjustRightInd w:val="0"/>
        <w:snapToGrid w:val="0"/>
        <w:spacing w:line="900" w:lineRule="exact"/>
        <w:jc w:val="center"/>
        <w:outlineLvl w:val="0"/>
        <w:rPr>
          <w:rFonts w:ascii="黑体" w:hAnsi="黑体" w:eastAsia="黑体"/>
          <w:b/>
          <w:bCs/>
          <w:color w:val="000000"/>
          <w:sz w:val="52"/>
          <w:szCs w:val="52"/>
        </w:rPr>
      </w:pPr>
      <w:bookmarkStart w:id="14" w:name="_Toc21817"/>
      <w:bookmarkStart w:id="15" w:name="_Toc6419"/>
      <w:r>
        <w:rPr>
          <w:rFonts w:hint="eastAsia" w:ascii="黑体" w:hAnsi="黑体" w:eastAsia="黑体"/>
          <w:b/>
          <w:bCs/>
          <w:color w:val="000000"/>
          <w:sz w:val="52"/>
          <w:szCs w:val="52"/>
        </w:rPr>
        <w:t>中共松潘县纪律检查委员会</w:t>
      </w:r>
      <w:bookmarkEnd w:id="14"/>
      <w:bookmarkEnd w:id="15"/>
    </w:p>
    <w:p>
      <w:pPr>
        <w:adjustRightInd w:val="0"/>
        <w:snapToGrid w:val="0"/>
        <w:spacing w:line="900" w:lineRule="exact"/>
        <w:jc w:val="center"/>
        <w:outlineLvl w:val="0"/>
        <w:rPr>
          <w:rFonts w:ascii="黑体" w:hAnsi="黑体" w:eastAsia="黑体"/>
          <w:b/>
          <w:bCs/>
          <w:sz w:val="52"/>
          <w:szCs w:val="52"/>
        </w:rPr>
      </w:pPr>
      <w:bookmarkStart w:id="16" w:name="_Toc29973"/>
      <w:bookmarkStart w:id="17" w:name="_Toc15059"/>
      <w:r>
        <w:rPr>
          <w:rFonts w:hint="eastAsia" w:ascii="黑体" w:hAnsi="黑体" w:eastAsia="黑体"/>
          <w:b/>
          <w:bCs/>
          <w:color w:val="000000"/>
          <w:sz w:val="52"/>
          <w:szCs w:val="52"/>
        </w:rPr>
        <w:t>部门决算</w:t>
      </w:r>
      <w:bookmarkEnd w:id="8"/>
      <w:bookmarkEnd w:id="9"/>
      <w:bookmarkEnd w:id="10"/>
      <w:bookmarkEnd w:id="11"/>
      <w:bookmarkEnd w:id="12"/>
      <w:bookmarkEnd w:id="13"/>
      <w:bookmarkEnd w:id="16"/>
      <w:bookmarkEnd w:id="17"/>
    </w:p>
    <w:p>
      <w:pPr>
        <w:widowControl/>
        <w:spacing w:line="900" w:lineRule="exact"/>
        <w:jc w:val="center"/>
        <w:rPr>
          <w:rFonts w:ascii="方正小标宋简体" w:hAnsi="宋体" w:eastAsia="方正小标宋简体"/>
          <w:b/>
          <w:bCs/>
          <w:color w:val="000000"/>
          <w:sz w:val="36"/>
          <w:szCs w:val="36"/>
        </w:rPr>
      </w:pPr>
    </w:p>
    <w:p>
      <w:pPr>
        <w:spacing w:line="900" w:lineRule="exact"/>
        <w:rPr>
          <w:rFonts w:ascii="方正小标宋简体" w:hAnsi="宋体" w:eastAsia="方正小标宋简体"/>
          <w:b/>
          <w:bCs/>
          <w:sz w:val="36"/>
          <w:szCs w:val="36"/>
        </w:rPr>
      </w:pPr>
    </w:p>
    <w:p>
      <w:pPr>
        <w:spacing w:line="578" w:lineRule="exact"/>
        <w:rPr>
          <w:rFonts w:ascii="方正小标宋简体" w:hAnsi="宋体" w:eastAsia="方正小标宋简体"/>
          <w:sz w:val="36"/>
          <w:szCs w:val="36"/>
        </w:rPr>
      </w:pPr>
    </w:p>
    <w:p>
      <w:pPr>
        <w:spacing w:line="578" w:lineRule="exact"/>
        <w:rPr>
          <w:rFonts w:ascii="方正小标宋简体" w:hAnsi="宋体" w:eastAsia="方正小标宋简体"/>
          <w:sz w:val="36"/>
          <w:szCs w:val="36"/>
        </w:rPr>
      </w:pPr>
    </w:p>
    <w:p>
      <w:pPr>
        <w:spacing w:line="578" w:lineRule="exact"/>
        <w:rPr>
          <w:rFonts w:ascii="方正小标宋简体" w:hAnsi="宋体" w:eastAsia="方正小标宋简体"/>
          <w:sz w:val="36"/>
          <w:szCs w:val="36"/>
        </w:rPr>
      </w:pPr>
    </w:p>
    <w:p>
      <w:pPr>
        <w:spacing w:line="578" w:lineRule="exact"/>
        <w:rPr>
          <w:rFonts w:ascii="方正小标宋简体" w:hAnsi="宋体" w:eastAsia="方正小标宋简体"/>
          <w:sz w:val="36"/>
          <w:szCs w:val="36"/>
        </w:rPr>
      </w:pPr>
    </w:p>
    <w:p>
      <w:pPr>
        <w:spacing w:line="578" w:lineRule="exact"/>
        <w:rPr>
          <w:rFonts w:ascii="方正小标宋简体" w:hAnsi="宋体" w:eastAsia="方正小标宋简体"/>
          <w:sz w:val="36"/>
          <w:szCs w:val="36"/>
        </w:rPr>
      </w:pPr>
    </w:p>
    <w:p>
      <w:pPr>
        <w:spacing w:line="578" w:lineRule="exact"/>
        <w:rPr>
          <w:rFonts w:ascii="方正小标宋简体" w:hAnsi="宋体" w:eastAsia="方正小标宋简体"/>
          <w:sz w:val="36"/>
          <w:szCs w:val="36"/>
        </w:rPr>
      </w:pPr>
    </w:p>
    <w:p>
      <w:pPr>
        <w:spacing w:line="578" w:lineRule="exact"/>
        <w:rPr>
          <w:rFonts w:ascii="方正小标宋简体" w:hAnsi="宋体" w:eastAsia="方正小标宋简体"/>
          <w:sz w:val="36"/>
          <w:szCs w:val="36"/>
        </w:rPr>
      </w:pPr>
    </w:p>
    <w:p>
      <w:pPr>
        <w:spacing w:line="578" w:lineRule="exact"/>
        <w:rPr>
          <w:rFonts w:ascii="方正小标宋简体" w:hAnsi="宋体" w:eastAsia="方正小标宋简体"/>
          <w:sz w:val="36"/>
          <w:szCs w:val="36"/>
        </w:rPr>
      </w:pPr>
    </w:p>
    <w:p>
      <w:pPr>
        <w:autoSpaceDE w:val="0"/>
        <w:autoSpaceDN w:val="0"/>
        <w:adjustRightInd w:val="0"/>
        <w:spacing w:line="578" w:lineRule="exact"/>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spacing w:line="578" w:lineRule="exact"/>
        <w:ind w:left="420" w:leftChars="200"/>
        <w:jc w:val="left"/>
        <w:rPr>
          <w:rFonts w:ascii="方正小标宋简体" w:hAnsi="宋体" w:eastAsia="方正小标宋简体"/>
          <w:color w:val="000000"/>
          <w:sz w:val="36"/>
          <w:szCs w:val="36"/>
        </w:rPr>
      </w:pPr>
      <w:r>
        <w:rPr>
          <w:rFonts w:hint="eastAsia" w:ascii="宋体" w:hAnsi="宋体" w:cs="仿宋_GB2312"/>
          <w:sz w:val="32"/>
          <w:szCs w:val="32"/>
        </w:rPr>
        <w:t>部门主要负责人审签情况：已审签，同意对外公开</w:t>
      </w:r>
    </w:p>
    <w:p>
      <w:pPr>
        <w:widowControl/>
        <w:spacing w:line="660" w:lineRule="exact"/>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6"/>
        <w:keepNext w:val="0"/>
        <w:keepLines w:val="0"/>
        <w:pageBreakBefore w:val="0"/>
        <w:widowControl w:val="0"/>
        <w:kinsoku/>
        <w:wordWrap/>
        <w:overflowPunct/>
        <w:topLinePunct w:val="0"/>
        <w:autoSpaceDE/>
        <w:autoSpaceDN/>
        <w:bidi w:val="0"/>
        <w:adjustRightInd/>
        <w:snapToGrid/>
        <w:spacing w:before="0" w:after="0" w:line="320" w:lineRule="exact"/>
        <w:ind w:right="0" w:rightChars="0" w:firstLine="0" w:firstLineChars="0"/>
        <w:jc w:val="center"/>
        <w:textAlignment w:val="auto"/>
        <w:outlineLvl w:val="9"/>
        <w:rPr>
          <w:rFonts w:hAnsiTheme="minorHAnsi"/>
          <w:b w:val="0"/>
          <w:bCs w:val="0"/>
          <w:sz w:val="24"/>
          <w:szCs w:val="24"/>
        </w:rPr>
      </w:pPr>
      <w:r>
        <w:rPr>
          <w:rFonts w:hint="eastAsia" w:hAnsiTheme="minorHAnsi"/>
          <w:b w:val="0"/>
          <w:bCs w:val="0"/>
          <w:sz w:val="24"/>
          <w:szCs w:val="24"/>
        </w:rPr>
        <w:t>公开时间：2021年</w:t>
      </w:r>
      <w:r>
        <w:rPr>
          <w:rFonts w:hAnsiTheme="minorHAnsi"/>
          <w:b w:val="0"/>
          <w:bCs w:val="0"/>
          <w:sz w:val="24"/>
          <w:szCs w:val="24"/>
        </w:rPr>
        <w:t>9</w:t>
      </w:r>
      <w:r>
        <w:rPr>
          <w:rFonts w:hint="eastAsia" w:hAnsiTheme="minorHAnsi"/>
          <w:b w:val="0"/>
          <w:bCs w:val="0"/>
          <w:sz w:val="24"/>
          <w:szCs w:val="24"/>
        </w:rPr>
        <w:t>月2</w:t>
      </w:r>
      <w:r>
        <w:rPr>
          <w:rFonts w:hint="eastAsia" w:hAnsiTheme="minorHAnsi"/>
          <w:b w:val="0"/>
          <w:bCs w:val="0"/>
          <w:sz w:val="24"/>
          <w:szCs w:val="24"/>
          <w:lang w:val="en-US" w:eastAsia="zh-CN"/>
        </w:rPr>
        <w:t>3</w:t>
      </w:r>
      <w:r>
        <w:rPr>
          <w:rFonts w:hint="eastAsia" w:hAnsiTheme="minorHAnsi"/>
          <w:b w:val="0"/>
          <w:bCs w:val="0"/>
          <w:sz w:val="24"/>
          <w:szCs w:val="24"/>
        </w:rPr>
        <w:t>日</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before="0" w:after="0" w:line="320" w:lineRule="exact"/>
        <w:ind w:right="0" w:rightChars="0" w:firstLine="0" w:firstLineChars="0"/>
        <w:textAlignment w:val="auto"/>
        <w:outlineLvl w:val="9"/>
      </w:pPr>
      <w:r>
        <w:rPr>
          <w:b w:val="0"/>
          <w:bCs w:val="0"/>
          <w:caps w:val="0"/>
        </w:rPr>
        <w:fldChar w:fldCharType="begin"/>
      </w:r>
      <w:r>
        <w:rPr>
          <w:b w:val="0"/>
          <w:bCs w:val="0"/>
          <w:caps w:val="0"/>
        </w:rPr>
        <w:instrText xml:space="preserve"> TOC \o \u </w:instrText>
      </w:r>
      <w:r>
        <w:rPr>
          <w:b w:val="0"/>
          <w:bCs w:val="0"/>
          <w:caps w:val="0"/>
        </w:rPr>
        <w:fldChar w:fldCharType="separate"/>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before="0" w:after="0" w:line="320" w:lineRule="exact"/>
        <w:ind w:right="0" w:rightChars="0" w:firstLine="0" w:firstLineChars="0"/>
        <w:textAlignment w:val="auto"/>
        <w:outlineLvl w:val="9"/>
      </w:pPr>
      <w:r>
        <w:rPr>
          <w:rFonts w:hint="eastAsia" w:ascii="黑体" w:hAnsi="黑体" w:eastAsia="黑体"/>
        </w:rPr>
        <w:t>第一部分</w:t>
      </w:r>
      <w:r>
        <w:rPr>
          <w:rFonts w:hint="eastAsia" w:ascii="黑体" w:hAnsi="黑体" w:eastAsia="黑体"/>
          <w:bCs w:val="0"/>
        </w:rPr>
        <w:t>部门概况</w:t>
      </w:r>
      <w:r>
        <w:tab/>
      </w:r>
      <w:r>
        <w:fldChar w:fldCharType="begin"/>
      </w:r>
      <w:r>
        <w:instrText xml:space="preserve"> PAGEREF _Toc31149 </w:instrText>
      </w:r>
      <w:r>
        <w:fldChar w:fldCharType="separate"/>
      </w:r>
      <w:r>
        <w:t>3</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黑体" w:hAnsi="黑体" w:eastAsia="黑体"/>
          <w:color w:val="000000"/>
        </w:rPr>
        <w:t>一、基</w:t>
      </w:r>
      <w:r>
        <w:rPr>
          <w:rFonts w:hint="eastAsia" w:ascii="黑体" w:hAnsi="黑体" w:eastAsia="黑体"/>
          <w:bCs w:val="0"/>
        </w:rPr>
        <w:t>本职能及主要工作</w:t>
      </w:r>
      <w:r>
        <w:tab/>
      </w:r>
      <w:r>
        <w:fldChar w:fldCharType="begin"/>
      </w:r>
      <w:r>
        <w:instrText xml:space="preserve"> PAGEREF _Toc17915 </w:instrText>
      </w:r>
      <w:r>
        <w:fldChar w:fldCharType="separate"/>
      </w:r>
      <w:r>
        <w:t>3</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rPr>
        <w:t>二、机构设置</w:t>
      </w:r>
      <w:r>
        <w:tab/>
      </w:r>
      <w:r>
        <w:fldChar w:fldCharType="begin"/>
      </w:r>
      <w:r>
        <w:instrText xml:space="preserve"> PAGEREF _Toc20135 </w:instrText>
      </w:r>
      <w:r>
        <w:fldChar w:fldCharType="separate"/>
      </w:r>
      <w:r>
        <w:t>8</w:t>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before="0" w:after="0" w:line="320" w:lineRule="exact"/>
        <w:ind w:right="0" w:rightChars="0" w:firstLine="0" w:firstLineChars="0"/>
        <w:textAlignment w:val="auto"/>
        <w:outlineLvl w:val="9"/>
      </w:pPr>
      <w:r>
        <w:rPr>
          <w:rFonts w:hint="eastAsia" w:ascii="黑体" w:hAnsi="黑体" w:eastAsia="黑体"/>
          <w:color w:val="000000"/>
        </w:rPr>
        <w:t>第二部分</w:t>
      </w:r>
      <w:r>
        <w:rPr>
          <w:rFonts w:ascii="黑体" w:hAnsi="黑体" w:eastAsia="黑体"/>
          <w:bCs w:val="0"/>
        </w:rPr>
        <w:t>2020</w:t>
      </w:r>
      <w:r>
        <w:rPr>
          <w:rFonts w:hint="eastAsia" w:ascii="黑体" w:hAnsi="黑体" w:eastAsia="黑体"/>
          <w:bCs w:val="0"/>
        </w:rPr>
        <w:t>年度部门决算情况说明</w:t>
      </w:r>
      <w:r>
        <w:tab/>
      </w:r>
      <w:r>
        <w:fldChar w:fldCharType="begin"/>
      </w:r>
      <w:r>
        <w:instrText xml:space="preserve"> PAGEREF _Toc30034 </w:instrText>
      </w:r>
      <w:r>
        <w:fldChar w:fldCharType="separate"/>
      </w:r>
      <w:r>
        <w:t>14</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default" w:ascii="黑体" w:hAnsi="黑体" w:eastAsia="黑体" w:cs="Times New Roman"/>
        </w:rPr>
        <w:t xml:space="preserve">一、 </w:t>
      </w:r>
      <w:r>
        <w:rPr>
          <w:rFonts w:hint="eastAsia" w:ascii="黑体" w:hAnsi="黑体" w:eastAsia="黑体"/>
          <w:color w:val="000000"/>
          <w:szCs w:val="32"/>
        </w:rPr>
        <w:t>收</w:t>
      </w:r>
      <w:r>
        <w:rPr>
          <w:rFonts w:hint="eastAsia" w:ascii="黑体" w:hAnsi="黑体" w:eastAsia="黑体"/>
        </w:rPr>
        <w:t>入支出决算总体情况说明</w:t>
      </w:r>
      <w:r>
        <w:tab/>
      </w:r>
      <w:r>
        <w:fldChar w:fldCharType="begin"/>
      </w:r>
      <w:r>
        <w:instrText xml:space="preserve"> PAGEREF _Toc10337 </w:instrText>
      </w:r>
      <w:r>
        <w:fldChar w:fldCharType="separate"/>
      </w:r>
      <w:r>
        <w:t>14</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default" w:ascii="黑体" w:hAnsi="黑体" w:eastAsia="黑体" w:cs="Times New Roman"/>
        </w:rPr>
        <w:t xml:space="preserve">二、 </w:t>
      </w:r>
      <w:r>
        <w:rPr>
          <w:rFonts w:hint="eastAsia" w:ascii="黑体" w:hAnsi="黑体" w:eastAsia="黑体"/>
          <w:color w:val="000000"/>
          <w:szCs w:val="32"/>
        </w:rPr>
        <w:t>收</w:t>
      </w:r>
      <w:r>
        <w:rPr>
          <w:rFonts w:hint="eastAsia" w:ascii="黑体" w:hAnsi="黑体" w:eastAsia="黑体"/>
        </w:rPr>
        <w:t>入决算情况说明</w:t>
      </w:r>
      <w:r>
        <w:tab/>
      </w:r>
      <w:r>
        <w:fldChar w:fldCharType="begin"/>
      </w:r>
      <w:r>
        <w:instrText xml:space="preserve"> PAGEREF _Toc20398 </w:instrText>
      </w:r>
      <w:r>
        <w:fldChar w:fldCharType="separate"/>
      </w:r>
      <w:r>
        <w:t>14</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_GB2312" w:hAnsi="仿宋" w:eastAsia="仿宋_GB2312"/>
          <w:bCs/>
          <w:szCs w:val="32"/>
        </w:rPr>
        <w:t>三、</w:t>
      </w:r>
      <w:r>
        <w:rPr>
          <w:rFonts w:hint="eastAsia" w:ascii="黑体" w:hAnsi="黑体" w:eastAsia="黑体"/>
          <w:color w:val="000000"/>
          <w:szCs w:val="32"/>
        </w:rPr>
        <w:t>支</w:t>
      </w:r>
      <w:r>
        <w:rPr>
          <w:rFonts w:hint="eastAsia" w:ascii="黑体" w:hAnsi="黑体" w:eastAsia="黑体"/>
        </w:rPr>
        <w:t>出决算情况说明</w:t>
      </w:r>
      <w:r>
        <w:tab/>
      </w:r>
      <w:r>
        <w:fldChar w:fldCharType="begin"/>
      </w:r>
      <w:r>
        <w:instrText xml:space="preserve"> PAGEREF _Toc17877 </w:instrText>
      </w:r>
      <w:r>
        <w:fldChar w:fldCharType="separate"/>
      </w:r>
      <w:r>
        <w:t>15</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_GB2312" w:hAnsi="仿宋" w:eastAsia="仿宋_GB2312"/>
          <w:szCs w:val="32"/>
        </w:rPr>
        <w:t>四、</w:t>
      </w:r>
      <w:r>
        <w:rPr>
          <w:rFonts w:hint="eastAsia" w:ascii="黑体" w:hAnsi="黑体" w:eastAsia="黑体"/>
          <w:color w:val="000000"/>
          <w:szCs w:val="32"/>
        </w:rPr>
        <w:t>财</w:t>
      </w:r>
      <w:r>
        <w:rPr>
          <w:rFonts w:hint="eastAsia" w:ascii="黑体" w:hAnsi="黑体" w:eastAsia="黑体"/>
          <w:bCs/>
        </w:rPr>
        <w:t>政拨款收入支出决算总体情况说明</w:t>
      </w:r>
      <w:r>
        <w:tab/>
      </w:r>
      <w:r>
        <w:fldChar w:fldCharType="begin"/>
      </w:r>
      <w:r>
        <w:instrText xml:space="preserve"> PAGEREF _Toc12165 </w:instrText>
      </w:r>
      <w:r>
        <w:fldChar w:fldCharType="separate"/>
      </w:r>
      <w:r>
        <w:t>15</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黑体" w:hAnsi="黑体" w:eastAsia="黑体"/>
          <w:color w:val="000000"/>
          <w:szCs w:val="32"/>
        </w:rPr>
        <w:t>五、一</w:t>
      </w:r>
      <w:r>
        <w:rPr>
          <w:rFonts w:hint="eastAsia" w:ascii="黑体" w:hAnsi="黑体" w:eastAsia="黑体"/>
          <w:bCs/>
        </w:rPr>
        <w:t>般公共预算财政拨款支出决算情况说明</w:t>
      </w:r>
      <w:r>
        <w:tab/>
      </w:r>
      <w:r>
        <w:fldChar w:fldCharType="begin"/>
      </w:r>
      <w:r>
        <w:instrText xml:space="preserve"> PAGEREF _Toc12136 </w:instrText>
      </w:r>
      <w:r>
        <w:fldChar w:fldCharType="separate"/>
      </w:r>
      <w:r>
        <w:t>16</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黑体" w:eastAsia="黑体"/>
          <w:color w:val="000000"/>
          <w:szCs w:val="32"/>
        </w:rPr>
        <w:t>六、</w:t>
      </w:r>
      <w:r>
        <w:rPr>
          <w:rFonts w:hint="eastAsia" w:ascii="黑体" w:hAnsi="黑体" w:eastAsia="黑体"/>
          <w:color w:val="000000"/>
          <w:szCs w:val="32"/>
        </w:rPr>
        <w:t>一</w:t>
      </w:r>
      <w:r>
        <w:rPr>
          <w:rFonts w:hint="eastAsia" w:ascii="黑体" w:hAnsi="黑体" w:eastAsia="黑体"/>
          <w:bCs/>
        </w:rPr>
        <w:t>般公共预算财政拨款基</w:t>
      </w:r>
      <w:bookmarkStart w:id="210" w:name="_GoBack"/>
      <w:bookmarkEnd w:id="210"/>
      <w:r>
        <w:rPr>
          <w:rFonts w:hint="eastAsia" w:ascii="黑体" w:hAnsi="黑体" w:eastAsia="黑体"/>
          <w:bCs/>
        </w:rPr>
        <w:t>本支出决算情况说明</w:t>
      </w:r>
      <w:r>
        <w:tab/>
      </w:r>
      <w:r>
        <w:fldChar w:fldCharType="begin"/>
      </w:r>
      <w:r>
        <w:instrText xml:space="preserve"> PAGEREF _Toc17605 </w:instrText>
      </w:r>
      <w:r>
        <w:fldChar w:fldCharType="separate"/>
      </w:r>
      <w:r>
        <w:t>17</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黑体" w:eastAsia="黑体"/>
          <w:color w:val="000000"/>
          <w:szCs w:val="32"/>
        </w:rPr>
        <w:t>七、</w:t>
      </w:r>
      <w:r>
        <w:rPr>
          <w:rFonts w:hint="eastAsia" w:ascii="黑体" w:hAnsi="黑体" w:eastAsia="黑体"/>
          <w:bCs/>
        </w:rPr>
        <w:t>“三公”经费财政拨款支出决算情况说明</w:t>
      </w:r>
      <w:r>
        <w:tab/>
      </w:r>
      <w:r>
        <w:fldChar w:fldCharType="begin"/>
      </w:r>
      <w:r>
        <w:instrText xml:space="preserve"> PAGEREF _Toc20975 </w:instrText>
      </w:r>
      <w:r>
        <w:fldChar w:fldCharType="separate"/>
      </w:r>
      <w:r>
        <w:t>18</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黑体" w:eastAsia="黑体"/>
          <w:color w:val="000000"/>
          <w:szCs w:val="32"/>
        </w:rPr>
        <w:t>八、</w:t>
      </w:r>
      <w:r>
        <w:rPr>
          <w:rFonts w:hint="eastAsia" w:ascii="黑体" w:hAnsi="黑体" w:eastAsia="黑体"/>
          <w:bCs/>
        </w:rPr>
        <w:t>政府性基金预算支出决算情况说明</w:t>
      </w:r>
      <w:r>
        <w:tab/>
      </w:r>
      <w:r>
        <w:fldChar w:fldCharType="begin"/>
      </w:r>
      <w:r>
        <w:instrText xml:space="preserve"> PAGEREF _Toc4560 </w:instrText>
      </w:r>
      <w:r>
        <w:fldChar w:fldCharType="separate"/>
      </w:r>
      <w:r>
        <w:t>18</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黑体" w:hAnsi="黑体" w:eastAsia="黑体" w:cs="Times New Roman"/>
        </w:rPr>
        <w:t>九、</w:t>
      </w:r>
      <w:r>
        <w:rPr>
          <w:rFonts w:hint="eastAsia" w:ascii="黑体" w:hAnsi="黑体" w:eastAsia="黑体"/>
          <w:bCs/>
        </w:rPr>
        <w:t>国有资本经营预算支出决算情况说明</w:t>
      </w:r>
      <w:r>
        <w:tab/>
      </w:r>
      <w:r>
        <w:fldChar w:fldCharType="begin"/>
      </w:r>
      <w:r>
        <w:instrText xml:space="preserve"> PAGEREF _Toc4957 </w:instrText>
      </w:r>
      <w:r>
        <w:fldChar w:fldCharType="separate"/>
      </w:r>
      <w:r>
        <w:t>18</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黑体" w:hAnsi="黑体" w:eastAsia="黑体"/>
          <w:color w:val="000000"/>
          <w:szCs w:val="32"/>
        </w:rPr>
        <w:t>十</w:t>
      </w:r>
      <w:r>
        <w:rPr>
          <w:rFonts w:hint="eastAsia" w:ascii="黑体" w:hAnsi="黑体" w:eastAsia="黑体"/>
          <w:bCs/>
        </w:rPr>
        <w:t>、其他重要事项的情况说明</w:t>
      </w:r>
      <w:r>
        <w:tab/>
      </w:r>
      <w:r>
        <w:fldChar w:fldCharType="begin"/>
      </w:r>
      <w:r>
        <w:instrText xml:space="preserve"> PAGEREF _Toc2216 </w:instrText>
      </w:r>
      <w:r>
        <w:fldChar w:fldCharType="separate"/>
      </w:r>
      <w:r>
        <w:t>19</w:t>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color w:val="000000"/>
          <w:szCs w:val="32"/>
        </w:rPr>
        <w:t>（一）机关运行经费支出情况</w:t>
      </w:r>
      <w:r>
        <w:tab/>
      </w:r>
      <w:r>
        <w:fldChar w:fldCharType="begin"/>
      </w:r>
      <w:r>
        <w:instrText xml:space="preserve"> PAGEREF _Toc11429 </w:instrText>
      </w:r>
      <w:r>
        <w:fldChar w:fldCharType="separate"/>
      </w:r>
      <w:r>
        <w:t>19</w:t>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color w:val="000000"/>
          <w:szCs w:val="32"/>
        </w:rPr>
        <w:t>（二）政府采购支出情况</w:t>
      </w:r>
      <w:r>
        <w:tab/>
      </w:r>
      <w:r>
        <w:fldChar w:fldCharType="begin"/>
      </w:r>
      <w:r>
        <w:instrText xml:space="preserve"> PAGEREF _Toc8196 </w:instrText>
      </w:r>
      <w:r>
        <w:fldChar w:fldCharType="separate"/>
      </w:r>
      <w:r>
        <w:t>19</w:t>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color w:val="000000"/>
          <w:szCs w:val="32"/>
        </w:rPr>
        <w:t>（三）国有资产占有使用情况</w:t>
      </w:r>
      <w:r>
        <w:tab/>
      </w:r>
      <w:r>
        <w:fldChar w:fldCharType="begin"/>
      </w:r>
      <w:r>
        <w:instrText xml:space="preserve"> PAGEREF _Toc10004 </w:instrText>
      </w:r>
      <w:r>
        <w:fldChar w:fldCharType="separate"/>
      </w:r>
      <w:r>
        <w:t>19</w:t>
      </w:r>
      <w: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color w:val="000000"/>
          <w:szCs w:val="32"/>
        </w:rPr>
        <w:t>（四）预算绩效管理情况</w:t>
      </w:r>
      <w:r>
        <w:tab/>
      </w:r>
      <w:r>
        <w:fldChar w:fldCharType="begin"/>
      </w:r>
      <w:r>
        <w:instrText xml:space="preserve"> PAGEREF _Toc12491 </w:instrText>
      </w:r>
      <w:r>
        <w:fldChar w:fldCharType="separate"/>
      </w:r>
      <w:r>
        <w:t>19</w:t>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before="0" w:after="0" w:line="320" w:lineRule="exact"/>
        <w:ind w:right="0" w:rightChars="0" w:firstLine="0" w:firstLineChars="0"/>
        <w:textAlignment w:val="auto"/>
        <w:outlineLvl w:val="9"/>
      </w:pPr>
      <w:r>
        <w:rPr>
          <w:rFonts w:hint="eastAsia" w:ascii="黑体" w:hAnsi="黑体" w:eastAsia="黑体" w:cs="Times New Roman"/>
        </w:rPr>
        <w:t xml:space="preserve">第三部分 </w:t>
      </w:r>
      <w:r>
        <w:rPr>
          <w:rFonts w:hint="eastAsia" w:ascii="黑体" w:hAnsi="黑体" w:eastAsia="黑体"/>
          <w:color w:val="000000"/>
          <w:szCs w:val="44"/>
        </w:rPr>
        <w:t>名</w:t>
      </w:r>
      <w:r>
        <w:rPr>
          <w:rFonts w:hint="eastAsia" w:ascii="黑体" w:hAnsi="黑体" w:eastAsia="黑体"/>
        </w:rPr>
        <w:t>词解释</w:t>
      </w:r>
      <w:r>
        <w:tab/>
      </w:r>
      <w:r>
        <w:fldChar w:fldCharType="begin"/>
      </w:r>
      <w:r>
        <w:instrText xml:space="preserve"> PAGEREF _Toc12195 </w:instrText>
      </w:r>
      <w:r>
        <w:fldChar w:fldCharType="separate"/>
      </w:r>
      <w:r>
        <w:t>21</w:t>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before="0" w:after="0" w:line="320" w:lineRule="exact"/>
        <w:ind w:right="0" w:rightChars="0" w:firstLine="0" w:firstLineChars="0"/>
        <w:textAlignment w:val="auto"/>
        <w:outlineLvl w:val="9"/>
      </w:pPr>
      <w:r>
        <w:rPr>
          <w:rFonts w:hint="eastAsia" w:ascii="黑体" w:hAnsi="黑体" w:eastAsia="黑体"/>
          <w:color w:val="000000"/>
          <w:szCs w:val="44"/>
        </w:rPr>
        <w:t>第</w:t>
      </w:r>
      <w:r>
        <w:rPr>
          <w:rFonts w:hint="eastAsia" w:ascii="黑体" w:hAnsi="黑体" w:eastAsia="黑体"/>
        </w:rPr>
        <w:t>四部分附件</w:t>
      </w:r>
      <w:r>
        <w:tab/>
      </w:r>
      <w:r>
        <w:fldChar w:fldCharType="begin"/>
      </w:r>
      <w:r>
        <w:instrText xml:space="preserve"> PAGEREF _Toc13589 </w:instrText>
      </w:r>
      <w:r>
        <w:fldChar w:fldCharType="separate"/>
      </w:r>
      <w:r>
        <w:t>23</w:t>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before="0" w:after="0" w:line="320" w:lineRule="exact"/>
        <w:ind w:right="0" w:rightChars="0" w:firstLine="0" w:firstLineChars="0"/>
        <w:textAlignment w:val="auto"/>
        <w:outlineLvl w:val="9"/>
      </w:pPr>
      <w:r>
        <w:rPr>
          <w:rFonts w:hint="eastAsia" w:ascii="黑体" w:hAnsi="黑体" w:eastAsia="黑体" w:cs="黑体"/>
          <w:szCs w:val="32"/>
        </w:rPr>
        <w:t>附件</w:t>
      </w:r>
      <w:r>
        <w:rPr>
          <w:rFonts w:ascii="黑体" w:hAnsi="黑体" w:eastAsia="黑体" w:cs="黑体"/>
          <w:szCs w:val="32"/>
        </w:rPr>
        <w:t>1</w:t>
      </w:r>
      <w:r>
        <w:tab/>
      </w:r>
      <w:r>
        <w:fldChar w:fldCharType="begin"/>
      </w:r>
      <w:r>
        <w:instrText xml:space="preserve"> PAGEREF _Toc23808 </w:instrText>
      </w:r>
      <w:r>
        <w:fldChar w:fldCharType="separate"/>
      </w:r>
      <w:r>
        <w:t>23</w:t>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before="0" w:after="0" w:line="320" w:lineRule="exact"/>
        <w:ind w:right="0" w:rightChars="0" w:firstLine="0" w:firstLineChars="0"/>
        <w:textAlignment w:val="auto"/>
        <w:outlineLvl w:val="9"/>
      </w:pPr>
      <w:r>
        <w:rPr>
          <w:rFonts w:hint="eastAsia" w:ascii="方正小标宋简体" w:hAnsi="方正小标宋简体" w:eastAsia="方正小标宋简体" w:cs="方正小标宋简体"/>
          <w:szCs w:val="44"/>
        </w:rPr>
        <w:t>中共松潘县纪律检查委员会</w:t>
      </w:r>
      <w:r>
        <w:rPr>
          <w:rFonts w:ascii="方正小标宋简体" w:hAnsi="黑体" w:eastAsia="方正小标宋简体" w:cs="黑体"/>
          <w:szCs w:val="44"/>
        </w:rPr>
        <w:t>202</w:t>
      </w:r>
      <w:r>
        <w:rPr>
          <w:rFonts w:hint="eastAsia" w:ascii="方正小标宋简体" w:hAnsi="黑体" w:eastAsia="方正小标宋简体" w:cs="黑体"/>
          <w:szCs w:val="44"/>
        </w:rPr>
        <w:t>1年部门整体支出绩效评价报告</w:t>
      </w:r>
      <w:r>
        <w:tab/>
      </w:r>
      <w:r>
        <w:fldChar w:fldCharType="begin"/>
      </w:r>
      <w:r>
        <w:instrText xml:space="preserve"> PAGEREF _Toc16872 </w:instrText>
      </w:r>
      <w:r>
        <w:fldChar w:fldCharType="separate"/>
      </w:r>
      <w:r>
        <w:t>23</w:t>
      </w:r>
      <w: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before="0" w:after="0" w:line="320" w:lineRule="exact"/>
        <w:ind w:right="0" w:rightChars="0" w:firstLine="0" w:firstLineChars="0"/>
        <w:textAlignment w:val="auto"/>
        <w:outlineLvl w:val="9"/>
      </w:pPr>
      <w:r>
        <w:rPr>
          <w:rFonts w:hint="eastAsia" w:ascii="黑体" w:hAnsi="黑体" w:eastAsia="黑体"/>
          <w:color w:val="000000"/>
          <w:szCs w:val="44"/>
        </w:rPr>
        <w:t>第</w:t>
      </w:r>
      <w:r>
        <w:rPr>
          <w:rFonts w:hint="eastAsia" w:ascii="黑体" w:hAnsi="黑体" w:eastAsia="黑体"/>
        </w:rPr>
        <w:t>五部分附表</w:t>
      </w:r>
      <w:r>
        <w:tab/>
      </w:r>
      <w:r>
        <w:fldChar w:fldCharType="begin"/>
      </w:r>
      <w:r>
        <w:instrText xml:space="preserve"> PAGEREF _Toc11496 </w:instrText>
      </w:r>
      <w:r>
        <w:fldChar w:fldCharType="separate"/>
      </w:r>
      <w:r>
        <w:t>32</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color w:val="000000"/>
        </w:rPr>
        <w:t>一、收</w:t>
      </w:r>
      <w:r>
        <w:rPr>
          <w:rFonts w:hint="eastAsia" w:ascii="仿宋" w:hAnsi="仿宋" w:eastAsia="仿宋"/>
          <w:bCs w:val="0"/>
        </w:rPr>
        <w:t>入支出决算总表</w:t>
      </w:r>
      <w:r>
        <w:tab/>
      </w:r>
      <w:r>
        <w:fldChar w:fldCharType="begin"/>
      </w:r>
      <w:r>
        <w:instrText xml:space="preserve"> PAGEREF _Toc20400 </w:instrText>
      </w:r>
      <w:r>
        <w:fldChar w:fldCharType="separate"/>
      </w:r>
      <w:r>
        <w:t>32</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color w:val="000000"/>
        </w:rPr>
        <w:t>二、收</w:t>
      </w:r>
      <w:r>
        <w:rPr>
          <w:rFonts w:hint="eastAsia" w:ascii="仿宋" w:hAnsi="仿宋" w:eastAsia="仿宋"/>
          <w:bCs w:val="0"/>
        </w:rPr>
        <w:t>入决算表</w:t>
      </w:r>
      <w:r>
        <w:tab/>
      </w:r>
      <w:r>
        <w:fldChar w:fldCharType="begin"/>
      </w:r>
      <w:r>
        <w:instrText xml:space="preserve"> PAGEREF _Toc26923 </w:instrText>
      </w:r>
      <w:r>
        <w:fldChar w:fldCharType="separate"/>
      </w:r>
      <w:r>
        <w:t>32</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bCs w:val="0"/>
        </w:rPr>
        <w:t>三、</w:t>
      </w:r>
      <w:r>
        <w:rPr>
          <w:rFonts w:hint="eastAsia" w:ascii="仿宋" w:hAnsi="仿宋" w:eastAsia="仿宋"/>
          <w:color w:val="000000"/>
        </w:rPr>
        <w:t>支</w:t>
      </w:r>
      <w:r>
        <w:rPr>
          <w:rFonts w:hint="eastAsia" w:ascii="仿宋" w:hAnsi="仿宋" w:eastAsia="仿宋"/>
          <w:bCs w:val="0"/>
        </w:rPr>
        <w:t>出决算表</w:t>
      </w:r>
      <w:r>
        <w:tab/>
      </w:r>
      <w:r>
        <w:fldChar w:fldCharType="begin"/>
      </w:r>
      <w:r>
        <w:instrText xml:space="preserve"> PAGEREF _Toc20401 </w:instrText>
      </w:r>
      <w:r>
        <w:fldChar w:fldCharType="separate"/>
      </w:r>
      <w:r>
        <w:t>32</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bCs w:val="0"/>
        </w:rPr>
        <w:t>四、</w:t>
      </w:r>
      <w:r>
        <w:rPr>
          <w:rFonts w:hint="eastAsia" w:ascii="仿宋" w:hAnsi="仿宋" w:eastAsia="仿宋"/>
          <w:color w:val="000000"/>
        </w:rPr>
        <w:t>财</w:t>
      </w:r>
      <w:r>
        <w:rPr>
          <w:rFonts w:hint="eastAsia" w:ascii="仿宋" w:hAnsi="仿宋" w:eastAsia="仿宋"/>
          <w:bCs w:val="0"/>
        </w:rPr>
        <w:t>政拨款收入支出决算总表</w:t>
      </w:r>
      <w:r>
        <w:tab/>
      </w:r>
      <w:r>
        <w:fldChar w:fldCharType="begin"/>
      </w:r>
      <w:r>
        <w:instrText xml:space="preserve"> PAGEREF _Toc6637 </w:instrText>
      </w:r>
      <w:r>
        <w:fldChar w:fldCharType="separate"/>
      </w:r>
      <w:r>
        <w:t>32</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bCs w:val="0"/>
        </w:rPr>
        <w:t>五、</w:t>
      </w:r>
      <w:r>
        <w:rPr>
          <w:rFonts w:hint="eastAsia" w:ascii="仿宋" w:hAnsi="仿宋" w:eastAsia="仿宋"/>
          <w:color w:val="000000"/>
        </w:rPr>
        <w:t>财</w:t>
      </w:r>
      <w:r>
        <w:rPr>
          <w:rFonts w:hint="eastAsia" w:ascii="仿宋" w:hAnsi="仿宋" w:eastAsia="仿宋"/>
          <w:bCs w:val="0"/>
        </w:rPr>
        <w:t>政拨款支出决算明细表</w:t>
      </w:r>
      <w:r>
        <w:tab/>
      </w:r>
      <w:r>
        <w:fldChar w:fldCharType="begin"/>
      </w:r>
      <w:r>
        <w:instrText xml:space="preserve"> PAGEREF _Toc15808 </w:instrText>
      </w:r>
      <w:r>
        <w:fldChar w:fldCharType="separate"/>
      </w:r>
      <w:r>
        <w:t>32</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bCs w:val="0"/>
        </w:rPr>
        <w:t>六、</w:t>
      </w:r>
      <w:r>
        <w:rPr>
          <w:rFonts w:hint="eastAsia" w:ascii="仿宋" w:hAnsi="仿宋" w:eastAsia="仿宋"/>
          <w:color w:val="000000"/>
        </w:rPr>
        <w:t>一</w:t>
      </w:r>
      <w:r>
        <w:rPr>
          <w:rFonts w:hint="eastAsia" w:ascii="仿宋" w:hAnsi="仿宋" w:eastAsia="仿宋"/>
          <w:bCs w:val="0"/>
        </w:rPr>
        <w:t>般公共预算财政拨款支出决算表</w:t>
      </w:r>
      <w:r>
        <w:tab/>
      </w:r>
      <w:r>
        <w:fldChar w:fldCharType="begin"/>
      </w:r>
      <w:r>
        <w:instrText xml:space="preserve"> PAGEREF _Toc5863 </w:instrText>
      </w:r>
      <w:r>
        <w:fldChar w:fldCharType="separate"/>
      </w:r>
      <w:r>
        <w:t>32</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bCs w:val="0"/>
        </w:rPr>
        <w:t>七、</w:t>
      </w:r>
      <w:r>
        <w:rPr>
          <w:rFonts w:hint="eastAsia" w:ascii="仿宋" w:hAnsi="仿宋" w:eastAsia="仿宋"/>
          <w:color w:val="000000"/>
        </w:rPr>
        <w:t>一</w:t>
      </w:r>
      <w:r>
        <w:rPr>
          <w:rFonts w:hint="eastAsia" w:ascii="仿宋" w:hAnsi="仿宋" w:eastAsia="仿宋"/>
          <w:bCs w:val="0"/>
        </w:rPr>
        <w:t>般公共预算财政拨款支出决算明细表</w:t>
      </w:r>
      <w:r>
        <w:tab/>
      </w:r>
      <w:r>
        <w:fldChar w:fldCharType="begin"/>
      </w:r>
      <w:r>
        <w:instrText xml:space="preserve"> PAGEREF _Toc6402 </w:instrText>
      </w:r>
      <w:r>
        <w:fldChar w:fldCharType="separate"/>
      </w:r>
      <w:r>
        <w:t>32</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bCs w:val="0"/>
        </w:rPr>
        <w:t>八、</w:t>
      </w:r>
      <w:r>
        <w:rPr>
          <w:rFonts w:hint="eastAsia" w:ascii="仿宋" w:hAnsi="仿宋" w:eastAsia="仿宋"/>
          <w:color w:val="000000"/>
        </w:rPr>
        <w:t>一</w:t>
      </w:r>
      <w:r>
        <w:rPr>
          <w:rFonts w:hint="eastAsia" w:ascii="仿宋" w:hAnsi="仿宋" w:eastAsia="仿宋"/>
          <w:bCs w:val="0"/>
        </w:rPr>
        <w:t>般公共预算财政拨款基本支出决算表</w:t>
      </w:r>
      <w:r>
        <w:tab/>
      </w:r>
      <w:r>
        <w:fldChar w:fldCharType="begin"/>
      </w:r>
      <w:r>
        <w:instrText xml:space="preserve"> PAGEREF _Toc6066 </w:instrText>
      </w:r>
      <w:r>
        <w:fldChar w:fldCharType="separate"/>
      </w:r>
      <w:r>
        <w:t>32</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bCs w:val="0"/>
        </w:rPr>
        <w:t>九、</w:t>
      </w:r>
      <w:r>
        <w:rPr>
          <w:rFonts w:hint="eastAsia" w:ascii="仿宋" w:hAnsi="仿宋" w:eastAsia="仿宋"/>
          <w:color w:val="000000"/>
        </w:rPr>
        <w:t>一</w:t>
      </w:r>
      <w:r>
        <w:rPr>
          <w:rFonts w:hint="eastAsia" w:ascii="仿宋" w:hAnsi="仿宋" w:eastAsia="仿宋"/>
          <w:bCs w:val="0"/>
        </w:rPr>
        <w:t>般公共预算财政拨款项目支出决算表</w:t>
      </w:r>
      <w:r>
        <w:tab/>
      </w:r>
      <w:r>
        <w:fldChar w:fldCharType="begin"/>
      </w:r>
      <w:r>
        <w:instrText xml:space="preserve"> PAGEREF _Toc17294 </w:instrText>
      </w:r>
      <w:r>
        <w:fldChar w:fldCharType="separate"/>
      </w:r>
      <w:r>
        <w:t>32</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bCs w:val="0"/>
        </w:rPr>
        <w:t>十、</w:t>
      </w:r>
      <w:r>
        <w:rPr>
          <w:rFonts w:hint="eastAsia" w:ascii="仿宋" w:hAnsi="仿宋" w:eastAsia="仿宋"/>
          <w:color w:val="000000"/>
        </w:rPr>
        <w:t>一</w:t>
      </w:r>
      <w:r>
        <w:rPr>
          <w:rFonts w:hint="eastAsia" w:ascii="仿宋" w:hAnsi="仿宋" w:eastAsia="仿宋"/>
          <w:bCs w:val="0"/>
        </w:rPr>
        <w:t>般公共预算财政拨款“三公”经费支出决算表</w:t>
      </w:r>
      <w:r>
        <w:tab/>
      </w:r>
      <w:r>
        <w:fldChar w:fldCharType="begin"/>
      </w:r>
      <w:r>
        <w:instrText xml:space="preserve"> PAGEREF _Toc25441 </w:instrText>
      </w:r>
      <w:r>
        <w:fldChar w:fldCharType="separate"/>
      </w:r>
      <w:r>
        <w:t>32</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bCs w:val="0"/>
        </w:rPr>
        <w:t>十一、</w:t>
      </w:r>
      <w:r>
        <w:rPr>
          <w:rFonts w:hint="eastAsia" w:ascii="仿宋" w:hAnsi="仿宋" w:eastAsia="仿宋"/>
          <w:color w:val="000000"/>
        </w:rPr>
        <w:t>政</w:t>
      </w:r>
      <w:r>
        <w:rPr>
          <w:rFonts w:hint="eastAsia" w:ascii="仿宋" w:hAnsi="仿宋" w:eastAsia="仿宋"/>
          <w:bCs w:val="0"/>
        </w:rPr>
        <w:t>府性基金预算财政拨款收入支出决算表</w:t>
      </w:r>
      <w:r>
        <w:tab/>
      </w:r>
      <w:r>
        <w:fldChar w:fldCharType="begin"/>
      </w:r>
      <w:r>
        <w:instrText xml:space="preserve"> PAGEREF _Toc2078 </w:instrText>
      </w:r>
      <w:r>
        <w:fldChar w:fldCharType="separate"/>
      </w:r>
      <w:r>
        <w:t>32</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bCs w:val="0"/>
        </w:rPr>
        <w:t>十二、</w:t>
      </w:r>
      <w:r>
        <w:rPr>
          <w:rFonts w:hint="eastAsia" w:ascii="仿宋" w:hAnsi="仿宋" w:eastAsia="仿宋"/>
          <w:color w:val="000000"/>
        </w:rPr>
        <w:t>政</w:t>
      </w:r>
      <w:r>
        <w:rPr>
          <w:rFonts w:hint="eastAsia" w:ascii="仿宋" w:hAnsi="仿宋" w:eastAsia="仿宋"/>
          <w:bCs w:val="0"/>
        </w:rPr>
        <w:t>府性基金预算财政拨款“三公”经费支出决算表</w:t>
      </w:r>
      <w:r>
        <w:tab/>
      </w:r>
      <w:r>
        <w:fldChar w:fldCharType="begin"/>
      </w:r>
      <w:r>
        <w:instrText xml:space="preserve"> PAGEREF _Toc503 </w:instrText>
      </w:r>
      <w:r>
        <w:fldChar w:fldCharType="separate"/>
      </w:r>
      <w:r>
        <w:t>32</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bCs w:val="0"/>
        </w:rPr>
        <w:t>十三、</w:t>
      </w:r>
      <w:r>
        <w:rPr>
          <w:rFonts w:hint="eastAsia" w:ascii="仿宋" w:hAnsi="仿宋" w:eastAsia="仿宋"/>
          <w:color w:val="000000"/>
        </w:rPr>
        <w:t>国</w:t>
      </w:r>
      <w:r>
        <w:rPr>
          <w:rFonts w:hint="eastAsia" w:ascii="仿宋" w:hAnsi="仿宋" w:eastAsia="仿宋"/>
          <w:bCs w:val="0"/>
        </w:rPr>
        <w:t>有资本经营预算财政拨款</w:t>
      </w:r>
      <w:r>
        <w:rPr>
          <w:rFonts w:hint="eastAsia" w:ascii="仿宋" w:hAnsi="仿宋" w:eastAsia="仿宋"/>
          <w:bCs w:val="0"/>
          <w:lang w:eastAsia="zh-CN"/>
        </w:rPr>
        <w:t>收入</w:t>
      </w:r>
      <w:r>
        <w:rPr>
          <w:rFonts w:hint="eastAsia" w:ascii="仿宋" w:hAnsi="仿宋" w:eastAsia="仿宋"/>
          <w:bCs w:val="0"/>
        </w:rPr>
        <w:t>支出决算表</w:t>
      </w:r>
      <w:r>
        <w:tab/>
      </w:r>
      <w:r>
        <w:fldChar w:fldCharType="begin"/>
      </w:r>
      <w:r>
        <w:instrText xml:space="preserve"> PAGEREF _Toc15917 </w:instrText>
      </w:r>
      <w:r>
        <w:fldChar w:fldCharType="separate"/>
      </w:r>
      <w:r>
        <w:t>32</w:t>
      </w:r>
      <w: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320" w:lineRule="exact"/>
        <w:ind w:right="0" w:rightChars="0" w:firstLine="0" w:firstLineChars="0"/>
        <w:textAlignment w:val="auto"/>
        <w:outlineLvl w:val="9"/>
      </w:pPr>
      <w:r>
        <w:rPr>
          <w:rFonts w:hint="eastAsia" w:ascii="仿宋" w:hAnsi="仿宋" w:eastAsia="仿宋"/>
          <w:bCs w:val="0"/>
        </w:rPr>
        <w:t>十四、国有资本经营预算财政拨款支出决算表</w:t>
      </w:r>
      <w:r>
        <w:tab/>
      </w:r>
      <w:r>
        <w:fldChar w:fldCharType="begin"/>
      </w:r>
      <w:r>
        <w:instrText xml:space="preserve"> PAGEREF _Toc9849 </w:instrText>
      </w:r>
      <w:r>
        <w:fldChar w:fldCharType="separate"/>
      </w:r>
      <w:r>
        <w:t>32</w:t>
      </w:r>
      <w:r>
        <w:fldChar w:fldCharType="end"/>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0" w:firstLineChars="0"/>
        <w:textAlignment w:val="auto"/>
        <w:outlineLvl w:val="9"/>
      </w:pPr>
      <w:r>
        <w:rPr>
          <w:rFonts w:asciiTheme="minorHAnsi" w:eastAsiaTheme="minorHAnsi"/>
          <w:bCs/>
          <w:caps/>
          <w:szCs w:val="20"/>
        </w:rPr>
        <w:fldChar w:fldCharType="end"/>
      </w:r>
    </w:p>
    <w:p>
      <w:pPr>
        <w:widowControl/>
        <w:spacing w:line="660" w:lineRule="exact"/>
        <w:jc w:val="left"/>
        <w:rPr>
          <w:rFonts w:ascii="仿宋" w:hAnsi="仿宋" w:eastAsia="仿宋"/>
          <w:bCs/>
          <w:kern w:val="44"/>
          <w:sz w:val="24"/>
        </w:rPr>
      </w:pPr>
      <w:bookmarkStart w:id="18" w:name="_Toc15396599"/>
      <w:bookmarkStart w:id="19" w:name="_Toc15377196"/>
      <w:r>
        <w:rPr>
          <w:rFonts w:ascii="仿宋" w:hAnsi="仿宋" w:eastAsia="仿宋"/>
          <w:b/>
          <w:sz w:val="24"/>
        </w:rPr>
        <w:br w:type="page"/>
      </w:r>
    </w:p>
    <w:p>
      <w:pPr>
        <w:pStyle w:val="3"/>
        <w:spacing w:line="578" w:lineRule="exact"/>
        <w:jc w:val="center"/>
        <w:rPr>
          <w:rFonts w:ascii="黑体" w:eastAsia="黑体"/>
          <w:color w:val="000000"/>
          <w:sz w:val="32"/>
          <w:szCs w:val="32"/>
        </w:rPr>
      </w:pPr>
      <w:bookmarkStart w:id="20" w:name="_Toc79163601"/>
      <w:bookmarkStart w:id="21" w:name="_Toc79163851"/>
      <w:bookmarkStart w:id="22" w:name="_Toc31149"/>
      <w:r>
        <w:rPr>
          <w:rFonts w:hint="eastAsia" w:ascii="黑体" w:hAnsi="黑体" w:eastAsia="黑体"/>
          <w:b w:val="0"/>
        </w:rPr>
        <w:t>第一部分</w:t>
      </w:r>
      <w:r>
        <w:rPr>
          <w:rStyle w:val="26"/>
          <w:rFonts w:hint="eastAsia" w:ascii="黑体" w:hAnsi="黑体" w:eastAsia="黑体"/>
          <w:b w:val="0"/>
          <w:bCs w:val="0"/>
        </w:rPr>
        <w:t>部门概况</w:t>
      </w:r>
      <w:bookmarkEnd w:id="18"/>
      <w:bookmarkEnd w:id="19"/>
      <w:bookmarkEnd w:id="20"/>
      <w:bookmarkEnd w:id="21"/>
      <w:bookmarkEnd w:id="22"/>
    </w:p>
    <w:p>
      <w:pPr>
        <w:pStyle w:val="4"/>
        <w:spacing w:line="578" w:lineRule="exact"/>
        <w:rPr>
          <w:rStyle w:val="27"/>
          <w:rFonts w:ascii="黑体" w:hAnsi="黑体" w:eastAsia="黑体"/>
          <w:b w:val="0"/>
          <w:bCs w:val="0"/>
        </w:rPr>
      </w:pPr>
      <w:bookmarkStart w:id="23" w:name="_Toc15396600"/>
      <w:bookmarkStart w:id="24" w:name="_Toc15377197"/>
      <w:bookmarkStart w:id="25" w:name="_Toc79163602"/>
      <w:bookmarkStart w:id="26" w:name="_Toc17915"/>
      <w:r>
        <w:rPr>
          <w:rFonts w:hint="eastAsia" w:ascii="黑体" w:hAnsi="黑体" w:eastAsia="黑体"/>
          <w:b w:val="0"/>
          <w:color w:val="000000"/>
        </w:rPr>
        <w:t>一、基</w:t>
      </w:r>
      <w:r>
        <w:rPr>
          <w:rStyle w:val="27"/>
          <w:rFonts w:hint="eastAsia" w:ascii="黑体" w:hAnsi="黑体" w:eastAsia="黑体"/>
          <w:b w:val="0"/>
          <w:bCs w:val="0"/>
        </w:rPr>
        <w:t>本职能及主要工作</w:t>
      </w:r>
      <w:bookmarkEnd w:id="23"/>
      <w:bookmarkEnd w:id="24"/>
      <w:bookmarkEnd w:id="25"/>
      <w:bookmarkEnd w:id="26"/>
      <w:bookmarkStart w:id="27" w:name="_Toc15396601"/>
      <w:bookmarkStart w:id="28" w:name="_Toc15377200"/>
      <w:bookmarkStart w:id="29" w:name="_Toc79163605"/>
      <w:bookmarkStart w:id="30" w:name="_Toc79163855"/>
    </w:p>
    <w:p>
      <w:pPr>
        <w:pStyle w:val="4"/>
        <w:spacing w:line="578" w:lineRule="exact"/>
        <w:rPr>
          <w:rFonts w:ascii="楷体_GB2312" w:hAnsi="仿宋" w:eastAsia="楷体_GB2312"/>
          <w:b w:val="0"/>
          <w:bCs w:val="0"/>
        </w:rPr>
      </w:pPr>
      <w:bookmarkStart w:id="31" w:name="_Toc9962"/>
      <w:r>
        <w:rPr>
          <w:rFonts w:hint="eastAsia" w:ascii="楷体_GB2312" w:hAnsi="仿宋" w:eastAsia="楷体_GB2312"/>
          <w:b w:val="0"/>
          <w:bCs w:val="0"/>
        </w:rPr>
        <w:t>（一）主要职能</w:t>
      </w:r>
      <w:bookmarkEnd w:id="31"/>
    </w:p>
    <w:p>
      <w:pPr>
        <w:pStyle w:val="4"/>
        <w:spacing w:line="578" w:lineRule="exact"/>
        <w:ind w:firstLine="320" w:firstLineChars="100"/>
        <w:rPr>
          <w:rFonts w:ascii="仿宋_GB2312" w:hAnsi="仿宋" w:eastAsia="仿宋_GB2312"/>
          <w:b w:val="0"/>
          <w:bCs w:val="0"/>
        </w:rPr>
      </w:pPr>
      <w:bookmarkStart w:id="32" w:name="_Toc30007"/>
      <w:bookmarkStart w:id="33" w:name="_Toc20807"/>
      <w:r>
        <w:rPr>
          <w:rFonts w:hint="eastAsia" w:ascii="仿宋_GB2312" w:hAnsi="仿宋" w:eastAsia="仿宋_GB2312"/>
          <w:b w:val="0"/>
          <w:bCs w:val="0"/>
        </w:rPr>
        <w:t>1．主要职能。</w:t>
      </w:r>
      <w:bookmarkEnd w:id="32"/>
      <w:bookmarkEnd w:id="33"/>
    </w:p>
    <w:p>
      <w:pPr>
        <w:snapToGrid w:val="0"/>
        <w:spacing w:line="578"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负责全县党的纪律检查工作。贯彻落实党中央、省委、州委和县委关于纪律检查工作的决定，维护党的章程和其他党内法规，检查党的路线方针政策和决议的执行情况，协助县委推进全面从严治党、加强党风廉政建设和组织协调反腐败工作。</w:t>
      </w:r>
    </w:p>
    <w:p>
      <w:pPr>
        <w:keepNext w:val="0"/>
        <w:keepLines w:val="0"/>
        <w:pageBreakBefore w:val="0"/>
        <w:widowControl w:val="0"/>
        <w:kinsoku/>
        <w:wordWrap/>
        <w:overflowPunct/>
        <w:topLinePunct w:val="0"/>
        <w:autoSpaceDE/>
        <w:autoSpaceDN/>
        <w:bidi w:val="0"/>
        <w:adjustRightInd/>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照党的章程和其他党内法规履行监督、执纪、问责职责。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keepNext w:val="0"/>
        <w:keepLines w:val="0"/>
        <w:pageBreakBefore w:val="0"/>
        <w:widowControl w:val="0"/>
        <w:kinsoku/>
        <w:wordWrap/>
        <w:overflowPunct/>
        <w:topLinePunct w:val="0"/>
        <w:autoSpaceDE/>
        <w:autoSpaceDN/>
        <w:bidi w:val="0"/>
        <w:adjustRightInd/>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负责全县监察工作。贯彻落实党中央、省委、州委和县委关于监察工作的决定，维护宪法法律，依法对县委管理的行使公权力的公职人员进行监察，调查职务违法和职务犯罪，开展廉政建设和反腐败工作。</w:t>
      </w:r>
    </w:p>
    <w:p>
      <w:pPr>
        <w:keepNext w:val="0"/>
        <w:keepLines w:val="0"/>
        <w:pageBreakBefore w:val="0"/>
        <w:widowControl w:val="0"/>
        <w:kinsoku/>
        <w:wordWrap/>
        <w:overflowPunct/>
        <w:topLinePunct w:val="0"/>
        <w:autoSpaceDE/>
        <w:autoSpaceDN/>
        <w:bidi w:val="0"/>
        <w:adjustRightInd/>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负责组织协调全面从严治党、党风廉政建设和反腐败宣传教育工作。负责综合分析全面从严治党、党风廉政建设和反腐败工作情况，对纪检监察工作重要理论及实践问题进行调查研究。参与起草我县规范性文件</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在州纪委监委的领导下，加强对反腐败国际追逃追赃和防逃工作的组织协调，督促有关部门做好相关工作。</w:t>
      </w:r>
    </w:p>
    <w:p>
      <w:pPr>
        <w:keepNext w:val="0"/>
        <w:keepLines w:val="0"/>
        <w:pageBreakBefore w:val="0"/>
        <w:widowControl w:val="0"/>
        <w:kinsoku/>
        <w:wordWrap/>
        <w:overflowPunct/>
        <w:topLinePunct w:val="0"/>
        <w:autoSpaceDE/>
        <w:autoSpaceDN/>
        <w:bidi w:val="0"/>
        <w:adjustRightInd/>
        <w:snapToGrid w:val="0"/>
        <w:spacing w:line="578" w:lineRule="exact"/>
        <w:ind w:left="0" w:leftChars="0" w:right="0" w:rightChars="0" w:firstLine="640" w:firstLineChars="200"/>
        <w:jc w:val="both"/>
        <w:textAlignment w:val="auto"/>
        <w:outlineLvl w:val="9"/>
        <w:rPr>
          <w:rFonts w:ascii="楷体_GB2312" w:hAnsi="仿宋" w:eastAsia="楷体_GB2312"/>
          <w:b/>
          <w:sz w:val="32"/>
          <w:szCs w:val="32"/>
        </w:rPr>
      </w:pPr>
      <w:r>
        <w:rPr>
          <w:rFonts w:hint="eastAsia" w:ascii="仿宋_GB2312" w:hAnsi="仿宋_GB2312" w:eastAsia="仿宋_GB2312" w:cs="仿宋_GB2312"/>
          <w:kern w:val="0"/>
          <w:sz w:val="32"/>
          <w:szCs w:val="32"/>
        </w:rPr>
        <w:t>根据干部管理权限，负责纪检监察系统领导班子建设、干部队伍建设和组织建设的综合规划、政策研究、制度建设和业务指导。会同有关方面做好县纪委监委派驻机构、乡镇纪委监察室、县企事业纪检监察机构领导班子建设有关工作。组织和指导纪检监察系统干部教育培训工作等。完成县委和州纪委监委交办的其他任务。</w:t>
      </w:r>
    </w:p>
    <w:p>
      <w:pPr>
        <w:snapToGrid w:val="0"/>
        <w:spacing w:line="578" w:lineRule="exact"/>
        <w:ind w:firstLine="643" w:firstLineChars="200"/>
      </w:pPr>
      <w:r>
        <w:rPr>
          <w:rFonts w:hint="eastAsia" w:ascii="楷体_GB2312" w:hAnsi="仿宋" w:eastAsia="楷体_GB2312"/>
          <w:b/>
          <w:sz w:val="32"/>
          <w:szCs w:val="32"/>
        </w:rPr>
        <w:t>（二）2021年重点工作完成情况。</w:t>
      </w:r>
    </w:p>
    <w:p>
      <w:pPr>
        <w:adjustRightInd w:val="0"/>
        <w:snapToGrid w:val="0"/>
        <w:spacing w:line="578" w:lineRule="exact"/>
        <w:ind w:firstLine="640" w:firstLineChars="200"/>
        <w:rPr>
          <w:rFonts w:eastAsia="楷体_GB2312"/>
          <w:b/>
          <w:bCs/>
          <w:color w:val="000000" w:themeColor="text1"/>
          <w:sz w:val="32"/>
          <w:szCs w:val="32"/>
        </w:rPr>
      </w:pPr>
      <w:r>
        <w:rPr>
          <w:rFonts w:hint="eastAsia" w:eastAsia="黑体"/>
          <w:color w:val="000000" w:themeColor="text1"/>
          <w:sz w:val="32"/>
          <w:szCs w:val="32"/>
        </w:rPr>
        <w:t>1.</w:t>
      </w:r>
      <w:r>
        <w:rPr>
          <w:rFonts w:eastAsia="黑体"/>
          <w:color w:val="000000" w:themeColor="text1"/>
          <w:sz w:val="32"/>
          <w:szCs w:val="32"/>
        </w:rPr>
        <w:t>坚守为民情怀，干部作风持续好转。</w:t>
      </w:r>
      <w:r>
        <w:rPr>
          <w:rFonts w:eastAsia="仿宋_GB2312"/>
          <w:snapToGrid w:val="0"/>
          <w:color w:val="000000" w:themeColor="text1"/>
          <w:spacing w:val="-2"/>
          <w:kern w:val="0"/>
          <w:sz w:val="32"/>
          <w:szCs w:val="32"/>
        </w:rPr>
        <w:t>坚持“作风建设永远在路上”的理念，持续保持高压态势，强化纪律作风建设。紧盯</w:t>
      </w:r>
      <w:r>
        <w:rPr>
          <w:rFonts w:eastAsia="仿宋_GB2312"/>
          <w:bCs/>
          <w:sz w:val="32"/>
          <w:szCs w:val="32"/>
        </w:rPr>
        <w:t>公务接待超标准超范围，滥发奖金、津补贴和超规定发放绩效奖等</w:t>
      </w:r>
      <w:r>
        <w:rPr>
          <w:rFonts w:eastAsia="仿宋_GB2312"/>
          <w:snapToGrid w:val="0"/>
          <w:color w:val="000000" w:themeColor="text1"/>
          <w:spacing w:val="-2"/>
          <w:kern w:val="0"/>
          <w:sz w:val="32"/>
          <w:szCs w:val="32"/>
        </w:rPr>
        <w:t>“四风”新动向，对</w:t>
      </w:r>
      <w:r>
        <w:rPr>
          <w:rFonts w:eastAsia="仿宋_GB2312"/>
          <w:color w:val="000000" w:themeColor="text1"/>
          <w:sz w:val="32"/>
          <w:szCs w:val="32"/>
        </w:rPr>
        <w:t>17</w:t>
      </w:r>
      <w:r>
        <w:rPr>
          <w:rFonts w:eastAsia="仿宋_GB2312"/>
          <w:snapToGrid w:val="0"/>
          <w:color w:val="000000" w:themeColor="text1"/>
          <w:spacing w:val="-2"/>
          <w:kern w:val="0"/>
          <w:sz w:val="32"/>
          <w:szCs w:val="32"/>
        </w:rPr>
        <w:t>个乡镇、55个部门开展集中督促检查，深挖彻查“四风”隐形变异问题，严防“四风”问题反弹回潮。</w:t>
      </w:r>
      <w:r>
        <w:rPr>
          <w:rFonts w:eastAsia="仿宋_GB2312"/>
          <w:bCs/>
          <w:sz w:val="32"/>
          <w:szCs w:val="32"/>
        </w:rPr>
        <w:t>扎实开展“四为”作风体检诊治工作，反馈发现问题6个，通报曝光2起，着力整治“不想干事、不敢干事、不勤干事、不会干事”等执行不力问题。积极开展公务接待中“吃公函”问题排查清理及“窗口腐败”问题自查整改工作，全力整治办事“推绕拖”、服务“中梗阻”问题，严厉惩处“不收手、不收敛”等群众身边微腐败问题。截止目前，</w:t>
      </w:r>
      <w:r>
        <w:rPr>
          <w:rFonts w:eastAsia="仿宋_GB2312"/>
          <w:color w:val="000000" w:themeColor="text1"/>
          <w:sz w:val="32"/>
          <w:szCs w:val="32"/>
        </w:rPr>
        <w:t>查处违反中央八项规定精神问题9起，处理党员、干部18人，给予党纪政务处分11人、组织处理7人。</w:t>
      </w:r>
    </w:p>
    <w:p>
      <w:pPr>
        <w:spacing w:line="578" w:lineRule="exact"/>
        <w:ind w:firstLine="640" w:firstLineChars="200"/>
        <w:rPr>
          <w:rFonts w:eastAsia="仿宋_GB2312"/>
          <w:color w:val="0000FF"/>
          <w:sz w:val="32"/>
          <w:szCs w:val="32"/>
        </w:rPr>
      </w:pPr>
      <w:r>
        <w:rPr>
          <w:rFonts w:hint="eastAsia" w:eastAsia="黑体"/>
          <w:color w:val="000000" w:themeColor="text1"/>
          <w:sz w:val="32"/>
          <w:szCs w:val="32"/>
        </w:rPr>
        <w:t>2.</w:t>
      </w:r>
      <w:r>
        <w:rPr>
          <w:rFonts w:eastAsia="黑体"/>
          <w:color w:val="000000" w:themeColor="text1"/>
          <w:sz w:val="32"/>
          <w:szCs w:val="32"/>
        </w:rPr>
        <w:t>狠抓惩贪治腐，“三不”一体强力推进。</w:t>
      </w:r>
      <w:r>
        <w:rPr>
          <w:rFonts w:eastAsia="仿宋_GB2312"/>
          <w:snapToGrid w:val="0"/>
          <w:color w:val="000000" w:themeColor="text1"/>
          <w:spacing w:val="-2"/>
          <w:kern w:val="0"/>
          <w:sz w:val="32"/>
          <w:szCs w:val="32"/>
        </w:rPr>
        <w:t>坚持有腐必反、有案必查，始终秉承严的主基调，持续保持反腐败斗争高压态势。紧盯重点领域、重点项目，开展重点行业领域突出问题系统治理，查处发改、住建、卫健等民生领域侵害群众利益问题</w:t>
      </w:r>
      <w:r>
        <w:rPr>
          <w:rFonts w:eastAsia="仿宋_GB2312"/>
          <w:color w:val="000000" w:themeColor="text1"/>
          <w:sz w:val="32"/>
          <w:szCs w:val="32"/>
        </w:rPr>
        <w:t>8个，给予党纪政务处分4人、组织处理4人，主动上交违纪违法所得37.54万元。围绕扶贫领域，严处</w:t>
      </w:r>
      <w:r>
        <w:rPr>
          <w:rFonts w:eastAsia="仿宋_GB2312"/>
          <w:snapToGrid w:val="0"/>
          <w:color w:val="000000" w:themeColor="text1"/>
          <w:spacing w:val="-2"/>
          <w:kern w:val="0"/>
          <w:sz w:val="32"/>
          <w:szCs w:val="32"/>
        </w:rPr>
        <w:t>贪污侵占、虚报冒领、截留挪用、优亲厚友等行为</w:t>
      </w:r>
      <w:r>
        <w:rPr>
          <w:rFonts w:eastAsia="仿宋_GB2312"/>
          <w:color w:val="000000" w:themeColor="text1"/>
          <w:sz w:val="32"/>
          <w:szCs w:val="32"/>
        </w:rPr>
        <w:t>2起，给予党纪处分2人。</w:t>
      </w:r>
      <w:r>
        <w:rPr>
          <w:rFonts w:eastAsia="仿宋_GB2312"/>
          <w:snapToGrid w:val="0"/>
          <w:color w:val="000000" w:themeColor="text1"/>
          <w:spacing w:val="-2"/>
          <w:kern w:val="0"/>
          <w:sz w:val="32"/>
          <w:szCs w:val="32"/>
        </w:rPr>
        <w:t>快查快办政法队伍教育整顿中的问题线索，常态化开展“打伞破网”活动，雷霆推进“扫黑除恶”专项行动，全县政治生态明显改善，基层政权更加巩固。</w:t>
      </w:r>
      <w:r>
        <w:rPr>
          <w:rFonts w:hint="eastAsia" w:eastAsia="仿宋_GB2312"/>
          <w:color w:val="000000" w:themeColor="text1"/>
          <w:sz w:val="32"/>
          <w:szCs w:val="32"/>
        </w:rPr>
        <w:t>持续</w:t>
      </w:r>
      <w:r>
        <w:rPr>
          <w:rFonts w:eastAsia="仿宋_GB2312"/>
          <w:color w:val="000000" w:themeColor="text1"/>
          <w:sz w:val="32"/>
          <w:szCs w:val="32"/>
        </w:rPr>
        <w:t>加强对“一把手”和领导班子监督</w:t>
      </w:r>
      <w:r>
        <w:rPr>
          <w:rFonts w:hint="eastAsia" w:eastAsia="仿宋_GB2312"/>
          <w:color w:val="000000" w:themeColor="text1"/>
          <w:sz w:val="32"/>
          <w:szCs w:val="32"/>
        </w:rPr>
        <w:t>，处置“一把手”6名，</w:t>
      </w:r>
      <w:r>
        <w:rPr>
          <w:rFonts w:eastAsia="仿宋_GB2312"/>
          <w:bCs/>
          <w:sz w:val="32"/>
          <w:szCs w:val="32"/>
        </w:rPr>
        <w:t>有力推动监督执纪由“惩治极少数”向“管住大多数”拓展。</w:t>
      </w:r>
      <w:r>
        <w:rPr>
          <w:rFonts w:eastAsia="仿宋_GB2312"/>
          <w:snapToGrid w:val="0"/>
          <w:color w:val="000000" w:themeColor="text1"/>
          <w:spacing w:val="-2"/>
          <w:kern w:val="0"/>
          <w:sz w:val="32"/>
          <w:szCs w:val="32"/>
        </w:rPr>
        <w:t>截至目前，</w:t>
      </w:r>
      <w:r>
        <w:rPr>
          <w:rFonts w:eastAsia="仿宋_GB2312"/>
          <w:color w:val="000000" w:themeColor="text1"/>
          <w:sz w:val="32"/>
          <w:szCs w:val="32"/>
        </w:rPr>
        <w:t>受理信访举报63件，处置问题线索131条，立案审查调查56件64人，审理办结44件52人，给予党纪政务处分52人、组织处理67人</w:t>
      </w:r>
      <w:r>
        <w:rPr>
          <w:rFonts w:hint="eastAsia" w:eastAsia="仿宋_GB2312"/>
          <w:color w:val="000000" w:themeColor="text1"/>
          <w:sz w:val="32"/>
          <w:szCs w:val="32"/>
        </w:rPr>
        <w:t>。</w:t>
      </w:r>
      <w:r>
        <w:rPr>
          <w:rFonts w:eastAsia="仿宋_GB2312"/>
          <w:snapToGrid w:val="0"/>
          <w:color w:val="000000" w:themeColor="text1"/>
          <w:spacing w:val="-2"/>
          <w:kern w:val="0"/>
          <w:sz w:val="32"/>
          <w:szCs w:val="32"/>
        </w:rPr>
        <w:t>查办留置案件</w:t>
      </w:r>
      <w:r>
        <w:rPr>
          <w:rFonts w:eastAsia="仿宋_GB2312"/>
          <w:color w:val="000000" w:themeColor="text1"/>
          <w:sz w:val="32"/>
          <w:szCs w:val="32"/>
        </w:rPr>
        <w:t>4</w:t>
      </w:r>
      <w:r>
        <w:rPr>
          <w:rFonts w:eastAsia="仿宋_GB2312"/>
          <w:snapToGrid w:val="0"/>
          <w:color w:val="000000" w:themeColor="text1"/>
          <w:spacing w:val="-2"/>
          <w:kern w:val="0"/>
          <w:sz w:val="32"/>
          <w:szCs w:val="32"/>
        </w:rPr>
        <w:t>件，挽回经济损失</w:t>
      </w:r>
      <w:r>
        <w:rPr>
          <w:rFonts w:eastAsia="仿宋_GB2312"/>
          <w:color w:val="000000" w:themeColor="text1"/>
          <w:sz w:val="32"/>
          <w:szCs w:val="32"/>
        </w:rPr>
        <w:t>1100</w:t>
      </w:r>
      <w:r>
        <w:rPr>
          <w:rFonts w:eastAsia="仿宋_GB2312"/>
          <w:snapToGrid w:val="0"/>
          <w:color w:val="000000" w:themeColor="text1"/>
          <w:spacing w:val="-2"/>
          <w:kern w:val="0"/>
          <w:sz w:val="32"/>
          <w:szCs w:val="32"/>
        </w:rPr>
        <w:t>余万元</w:t>
      </w:r>
      <w:r>
        <w:rPr>
          <w:rFonts w:eastAsia="仿宋_GB2312"/>
          <w:color w:val="000000" w:themeColor="text1"/>
          <w:sz w:val="32"/>
          <w:szCs w:val="32"/>
        </w:rPr>
        <w:t>。</w:t>
      </w:r>
    </w:p>
    <w:p>
      <w:pPr>
        <w:spacing w:line="578" w:lineRule="exact"/>
        <w:ind w:firstLine="640" w:firstLineChars="200"/>
        <w:rPr>
          <w:rFonts w:eastAsia="仿宋_GB2312"/>
          <w:color w:val="000000" w:themeColor="text1"/>
          <w:sz w:val="32"/>
          <w:szCs w:val="32"/>
        </w:rPr>
      </w:pPr>
      <w:r>
        <w:rPr>
          <w:rFonts w:hint="eastAsia" w:eastAsia="黑体"/>
          <w:color w:val="000000" w:themeColor="text1"/>
          <w:sz w:val="32"/>
          <w:szCs w:val="32"/>
        </w:rPr>
        <w:t>3.</w:t>
      </w:r>
      <w:r>
        <w:rPr>
          <w:rFonts w:eastAsia="黑体"/>
          <w:color w:val="000000" w:themeColor="text1"/>
          <w:sz w:val="32"/>
          <w:szCs w:val="32"/>
        </w:rPr>
        <w:t>坚守政治定位，巡察质效不断提升。</w:t>
      </w:r>
      <w:r>
        <w:rPr>
          <w:rFonts w:eastAsia="仿宋_GB2312"/>
          <w:color w:val="000000" w:themeColor="text1"/>
          <w:sz w:val="32"/>
          <w:szCs w:val="32"/>
        </w:rPr>
        <w:t>坚持发现问题与整改落实并重，常规巡察与专项巡察结合，高质量开展全县巡察工作。按照“争先进、创一流”要求，完成了第九轮5个单位党组织和6个正科级事业单位的常规巡察，发现问题98个、移送问题线索2件，届内全覆盖巡察任务全面完成。扎实开展疫情防控巡视“回头看”联动巡察，实地巡察乡镇、部门、寺庙及重点场所共63个，反馈发现问题39个，督促立行立改33个，要求整改落实6个，巡察结束前反馈问题全面整改完成。开展森林草原防灭火“上下联动”巡察，查阅资料334卷，个别谈话73人次，明察暗访点位48个，发现问题13个，巡察组将问题及时反馈各单位进行了整改。认真开展粮食购销领域腐败问题专项巡察，反馈发现问题20个。建立健全与县纪委监委机关、县委组织部、派驻纪检组和乡镇纪委、行业主管部门的协作机制，持续推进巡察监督与其他监督贯通融合。</w:t>
      </w:r>
    </w:p>
    <w:p>
      <w:pPr>
        <w:spacing w:line="578" w:lineRule="exact"/>
        <w:ind w:firstLine="640" w:firstLineChars="200"/>
        <w:rPr>
          <w:color w:val="000000" w:themeColor="text1"/>
          <w:szCs w:val="32"/>
        </w:rPr>
      </w:pPr>
      <w:r>
        <w:rPr>
          <w:rFonts w:hint="eastAsia" w:eastAsia="黑体"/>
          <w:color w:val="000000" w:themeColor="text1"/>
          <w:sz w:val="32"/>
          <w:szCs w:val="32"/>
        </w:rPr>
        <w:t>4.</w:t>
      </w:r>
      <w:r>
        <w:rPr>
          <w:rFonts w:eastAsia="黑体"/>
          <w:color w:val="000000" w:themeColor="text1"/>
          <w:sz w:val="32"/>
          <w:szCs w:val="32"/>
        </w:rPr>
        <w:t>强化警示宣传，廉政教育取得实效。</w:t>
      </w:r>
      <w:r>
        <w:rPr>
          <w:rFonts w:eastAsia="仿宋_GB2312"/>
          <w:color w:val="000000" w:themeColor="text1"/>
          <w:sz w:val="32"/>
          <w:szCs w:val="32"/>
        </w:rPr>
        <w:t>坚持惩前毖后、治病救人原则，“以案示警、以案明纪、以案促改”警示宣传教育工作持续深化。强化省廉政教育基地建设，50万余名党员干部及旅客在红军长征纪念碑碑园接受党性教育和廉政教育。组织召开处分决定公开宣布暨警示教育会议23场次，受教育人数达407人次。对62人开展回访教育，正面鼓励引导、消除受处分人员思想顾虑。扎实开展处分决定执行情况自查自纠，坚决纠正和防止纪律处分执行不到位问题。组织观看《坍塌》《白衣黑幕》《折翼的青春》等警示教育片</w:t>
      </w:r>
      <w:r>
        <w:rPr>
          <w:rFonts w:hint="eastAsia" w:eastAsia="仿宋_GB2312"/>
          <w:color w:val="000000" w:themeColor="text1"/>
          <w:sz w:val="32"/>
          <w:szCs w:val="32"/>
        </w:rPr>
        <w:t>74</w:t>
      </w:r>
      <w:r>
        <w:rPr>
          <w:rFonts w:eastAsia="仿宋_GB2312"/>
          <w:color w:val="000000" w:themeColor="text1"/>
          <w:sz w:val="32"/>
          <w:szCs w:val="32"/>
        </w:rPr>
        <w:t>场次，开展政策宣讲</w:t>
      </w:r>
      <w:r>
        <w:rPr>
          <w:rFonts w:eastAsia="仿宋_GB2312"/>
          <w:color w:val="000000" w:themeColor="text1"/>
          <w:sz w:val="32"/>
          <w:szCs w:val="32"/>
        </w:rPr>
        <w:sym w:font="Wingdings 2" w:char="00A3"/>
      </w:r>
      <w:r>
        <w:rPr>
          <w:rFonts w:eastAsia="仿宋_GB2312"/>
          <w:color w:val="000000" w:themeColor="text1"/>
          <w:sz w:val="32"/>
          <w:szCs w:val="32"/>
        </w:rPr>
        <w:sym w:font="Wingdings 2" w:char="00A3"/>
      </w:r>
      <w:r>
        <w:rPr>
          <w:rFonts w:eastAsia="仿宋_GB2312"/>
          <w:color w:val="000000" w:themeColor="text1"/>
          <w:sz w:val="32"/>
          <w:szCs w:val="32"/>
        </w:rPr>
        <w:t>次</w:t>
      </w:r>
      <w:r>
        <w:rPr>
          <w:rFonts w:hint="eastAsia" w:eastAsia="仿宋_GB2312"/>
          <w:color w:val="000000" w:themeColor="text1"/>
          <w:sz w:val="32"/>
          <w:szCs w:val="32"/>
        </w:rPr>
        <w:t>，</w:t>
      </w:r>
      <w:r>
        <w:rPr>
          <w:rFonts w:eastAsia="仿宋_GB2312"/>
          <w:color w:val="000000" w:themeColor="text1"/>
          <w:sz w:val="32"/>
          <w:szCs w:val="32"/>
        </w:rPr>
        <w:t>15名干部主动说清问题。与团县委联合印发《松潘县年轻干部廉洁警示教育活动方案》，不断筑牢年轻干部拒腐防变思想防线。</w:t>
      </w:r>
      <w:r>
        <w:rPr>
          <w:rFonts w:hint="eastAsia" w:eastAsia="仿宋_GB2312"/>
          <w:color w:val="000000" w:themeColor="text1"/>
          <w:sz w:val="32"/>
          <w:szCs w:val="32"/>
        </w:rPr>
        <w:t>预计全年</w:t>
      </w:r>
      <w:r>
        <w:rPr>
          <w:rFonts w:eastAsia="仿宋_GB2312"/>
          <w:color w:val="000000" w:themeColor="text1"/>
          <w:sz w:val="32"/>
          <w:szCs w:val="32"/>
        </w:rPr>
        <w:t>开展“阳光问廉”坝坝会</w:t>
      </w:r>
      <w:r>
        <w:rPr>
          <w:rFonts w:hint="eastAsia" w:eastAsia="仿宋_GB2312"/>
          <w:color w:val="000000" w:themeColor="text1"/>
          <w:sz w:val="32"/>
          <w:szCs w:val="32"/>
        </w:rPr>
        <w:t>122</w:t>
      </w:r>
      <w:r>
        <w:rPr>
          <w:rFonts w:eastAsia="仿宋_GB2312"/>
          <w:color w:val="000000" w:themeColor="text1"/>
          <w:sz w:val="32"/>
          <w:szCs w:val="32"/>
        </w:rPr>
        <w:t>场次、覆盖</w:t>
      </w:r>
      <w:r>
        <w:rPr>
          <w:rFonts w:hint="eastAsia" w:eastAsia="仿宋_GB2312"/>
          <w:color w:val="000000" w:themeColor="text1"/>
          <w:sz w:val="32"/>
          <w:szCs w:val="32"/>
        </w:rPr>
        <w:t>5600余</w:t>
      </w:r>
      <w:r>
        <w:rPr>
          <w:rFonts w:eastAsia="仿宋_GB2312"/>
          <w:color w:val="000000" w:themeColor="text1"/>
          <w:sz w:val="32"/>
          <w:szCs w:val="32"/>
        </w:rPr>
        <w:t>人次。通报曝光典型案例</w:t>
      </w:r>
      <w:r>
        <w:rPr>
          <w:rFonts w:hint="eastAsia" w:eastAsia="仿宋_GB2312"/>
          <w:color w:val="000000" w:themeColor="text1"/>
          <w:sz w:val="32"/>
          <w:szCs w:val="32"/>
        </w:rPr>
        <w:t>5</w:t>
      </w:r>
      <w:r>
        <w:rPr>
          <w:rFonts w:eastAsia="仿宋_GB2312"/>
          <w:color w:val="000000" w:themeColor="text1"/>
          <w:sz w:val="32"/>
          <w:szCs w:val="32"/>
        </w:rPr>
        <w:t>起</w:t>
      </w:r>
      <w:r>
        <w:rPr>
          <w:rFonts w:hint="eastAsia" w:eastAsia="仿宋_GB2312"/>
          <w:color w:val="000000" w:themeColor="text1"/>
          <w:sz w:val="32"/>
          <w:szCs w:val="32"/>
        </w:rPr>
        <w:t>，涉及26个党组织、5人</w:t>
      </w:r>
      <w:r>
        <w:rPr>
          <w:rFonts w:hint="eastAsia" w:eastAsia="仿宋_GB2312"/>
          <w:bCs/>
          <w:sz w:val="32"/>
          <w:szCs w:val="32"/>
        </w:rPr>
        <w:t>，不断强化警示震慑，释放违纪违法必究的强烈信号。</w:t>
      </w:r>
    </w:p>
    <w:p>
      <w:pPr>
        <w:spacing w:line="578" w:lineRule="exact"/>
        <w:ind w:firstLine="640" w:firstLineChars="200"/>
        <w:rPr>
          <w:rFonts w:eastAsia="仿宋_GB2312"/>
          <w:color w:val="000000" w:themeColor="text1"/>
          <w:sz w:val="32"/>
          <w:szCs w:val="32"/>
        </w:rPr>
      </w:pPr>
      <w:r>
        <w:rPr>
          <w:rFonts w:hint="eastAsia" w:eastAsia="黑体"/>
          <w:color w:val="000000" w:themeColor="text1"/>
          <w:sz w:val="32"/>
          <w:szCs w:val="32"/>
        </w:rPr>
        <w:t>5.</w:t>
      </w:r>
      <w:r>
        <w:rPr>
          <w:rFonts w:eastAsia="黑体"/>
          <w:color w:val="000000" w:themeColor="text1"/>
          <w:sz w:val="32"/>
          <w:szCs w:val="32"/>
        </w:rPr>
        <w:t>用心用情联系，群众工作持续深入。</w:t>
      </w:r>
      <w:r>
        <w:rPr>
          <w:rFonts w:eastAsia="仿宋_GB2312"/>
          <w:color w:val="000000" w:themeColor="text1"/>
          <w:sz w:val="32"/>
          <w:szCs w:val="32"/>
        </w:rPr>
        <w:t>坚持密切联系群众与激励保护干部并重，聚焦整治干部、群众反映强烈的突出问题，制定《2021年党风廉政建设社会评价责任分工方案》，推动党风廉政建设持续深入。扎实开展</w:t>
      </w:r>
      <w:r>
        <w:rPr>
          <w:rFonts w:eastAsia="仿宋_GB2312"/>
          <w:snapToGrid w:val="0"/>
          <w:color w:val="000000" w:themeColor="text1"/>
          <w:spacing w:val="-2"/>
          <w:kern w:val="0"/>
          <w:sz w:val="32"/>
          <w:szCs w:val="32"/>
        </w:rPr>
        <w:t>党史学习教育“我为群众办实事”实践活动</w:t>
      </w:r>
      <w:r>
        <w:rPr>
          <w:rFonts w:eastAsia="仿宋_GB2312"/>
          <w:color w:val="000000" w:themeColor="text1"/>
          <w:sz w:val="32"/>
          <w:szCs w:val="32"/>
        </w:rPr>
        <w:t>巡回督导，督促解决群众身边“急难愁盼”问题</w:t>
      </w:r>
      <w:r>
        <w:rPr>
          <w:rFonts w:eastAsia="仿宋_GB2312"/>
          <w:snapToGrid w:val="0"/>
          <w:color w:val="000000" w:themeColor="text1"/>
          <w:spacing w:val="-2"/>
          <w:kern w:val="0"/>
          <w:sz w:val="32"/>
          <w:szCs w:val="32"/>
        </w:rPr>
        <w:t>。</w:t>
      </w:r>
      <w:r>
        <w:rPr>
          <w:rFonts w:eastAsia="仿宋_GB2312"/>
          <w:color w:val="000000" w:themeColor="text1"/>
          <w:sz w:val="32"/>
          <w:szCs w:val="32"/>
        </w:rPr>
        <w:t>在重大节假日，开展慰问离休干部2次10人，鼓励离休老干部建言献策，发挥余热。</w:t>
      </w:r>
      <w:r>
        <w:rPr>
          <w:rFonts w:eastAsia="仿宋_GB2312"/>
          <w:snapToGrid w:val="0"/>
          <w:color w:val="000000" w:themeColor="text1"/>
          <w:spacing w:val="-2"/>
          <w:kern w:val="0"/>
          <w:sz w:val="32"/>
          <w:szCs w:val="32"/>
        </w:rPr>
        <w:t>全面</w:t>
      </w:r>
      <w:r>
        <w:rPr>
          <w:rFonts w:eastAsia="仿宋_GB2312"/>
          <w:color w:val="000000" w:themeColor="text1"/>
          <w:sz w:val="32"/>
          <w:szCs w:val="32"/>
        </w:rPr>
        <w:t>落实容错纠错机制，精准运用监督执纪“四种形态”，具体落实“三个区分开来”，精准运用“第一种形态”处理67人，为15名干部澄清是非，干部干事创业积极性持续释放。扎实开展</w:t>
      </w:r>
      <w:r>
        <w:rPr>
          <w:rFonts w:eastAsia="仿宋_GB2312"/>
          <w:snapToGrid w:val="0"/>
          <w:color w:val="000000" w:themeColor="text1"/>
          <w:spacing w:val="-2"/>
          <w:kern w:val="0"/>
          <w:sz w:val="32"/>
          <w:szCs w:val="32"/>
        </w:rPr>
        <w:t>“两联一进”</w:t>
      </w:r>
      <w:r>
        <w:rPr>
          <w:rFonts w:eastAsia="仿宋_GB2312"/>
          <w:color w:val="000000" w:themeColor="text1"/>
          <w:sz w:val="32"/>
          <w:szCs w:val="32"/>
        </w:rPr>
        <w:t>群众工作全覆盖、“户户访、人人忙”实践活动，解决群众难题54件，解释答复问题200件，走访困难群众1860人次。</w:t>
      </w:r>
    </w:p>
    <w:p>
      <w:pPr>
        <w:spacing w:line="578" w:lineRule="exact"/>
        <w:ind w:firstLine="640" w:firstLineChars="200"/>
        <w:rPr>
          <w:rFonts w:eastAsia="仿宋_GB2312"/>
          <w:snapToGrid w:val="0"/>
          <w:color w:val="000000" w:themeColor="text1"/>
          <w:spacing w:val="-2"/>
          <w:kern w:val="0"/>
          <w:sz w:val="32"/>
          <w:szCs w:val="32"/>
        </w:rPr>
      </w:pPr>
      <w:r>
        <w:rPr>
          <w:rFonts w:hint="eastAsia" w:eastAsia="黑体"/>
          <w:color w:val="000000" w:themeColor="text1"/>
          <w:sz w:val="32"/>
          <w:szCs w:val="32"/>
        </w:rPr>
        <w:t>6.</w:t>
      </w:r>
      <w:r>
        <w:rPr>
          <w:rFonts w:eastAsia="黑体"/>
          <w:color w:val="000000" w:themeColor="text1"/>
          <w:sz w:val="32"/>
          <w:szCs w:val="32"/>
        </w:rPr>
        <w:t>严肃换届纪律，换届风气清明清正。</w:t>
      </w:r>
      <w:r>
        <w:rPr>
          <w:rFonts w:eastAsia="仿宋_GB2312"/>
          <w:color w:val="000000" w:themeColor="text1"/>
          <w:sz w:val="32"/>
          <w:szCs w:val="32"/>
        </w:rPr>
        <w:t>坚持把严肃换届纪律、加强换届风气监督与县委中心工作同谋划同部署同落实，强化换届纪律宣传宣讲，着力营造换届工作良好氛围。召开纪检系统严肃换届纪律谈心谈话会</w:t>
      </w:r>
      <w:r>
        <w:rPr>
          <w:rFonts w:hint="eastAsia" w:eastAsia="仿宋_GB2312"/>
          <w:color w:val="000000" w:themeColor="text1"/>
          <w:sz w:val="32"/>
          <w:szCs w:val="32"/>
        </w:rPr>
        <w:t>4</w:t>
      </w:r>
      <w:r>
        <w:rPr>
          <w:rFonts w:eastAsia="仿宋_GB2312"/>
          <w:color w:val="000000" w:themeColor="text1"/>
          <w:sz w:val="32"/>
          <w:szCs w:val="32"/>
        </w:rPr>
        <w:t>次</w:t>
      </w:r>
      <w:r>
        <w:rPr>
          <w:rFonts w:hint="eastAsia" w:eastAsia="仿宋_GB2312"/>
          <w:color w:val="000000" w:themeColor="text1"/>
          <w:sz w:val="32"/>
          <w:szCs w:val="32"/>
        </w:rPr>
        <w:t>，</w:t>
      </w:r>
      <w:r>
        <w:rPr>
          <w:rFonts w:eastAsia="仿宋_GB2312"/>
          <w:color w:val="000000" w:themeColor="text1"/>
          <w:sz w:val="32"/>
          <w:szCs w:val="32"/>
        </w:rPr>
        <w:t>干部任前廉政谈话</w:t>
      </w:r>
      <w:r>
        <w:rPr>
          <w:rFonts w:hint="eastAsia" w:eastAsia="仿宋_GB2312"/>
          <w:color w:val="000000" w:themeColor="text1"/>
          <w:sz w:val="32"/>
          <w:szCs w:val="32"/>
        </w:rPr>
        <w:t>4</w:t>
      </w:r>
      <w:r>
        <w:rPr>
          <w:rFonts w:eastAsia="仿宋_GB2312"/>
          <w:color w:val="000000" w:themeColor="text1"/>
          <w:sz w:val="32"/>
          <w:szCs w:val="32"/>
        </w:rPr>
        <w:t>次，有力推动纪检干部主动作为</w:t>
      </w:r>
      <w:r>
        <w:rPr>
          <w:rFonts w:hint="eastAsia" w:eastAsia="仿宋_GB2312"/>
          <w:color w:val="000000" w:themeColor="text1"/>
          <w:sz w:val="32"/>
          <w:szCs w:val="32"/>
        </w:rPr>
        <w:t>，确保换届风清气正、海晏河清</w:t>
      </w:r>
      <w:r>
        <w:rPr>
          <w:rFonts w:eastAsia="仿宋_GB2312"/>
          <w:color w:val="000000" w:themeColor="text1"/>
          <w:sz w:val="32"/>
          <w:szCs w:val="32"/>
        </w:rPr>
        <w:t>。常态化加强换届工作监督检查，着力整改州换届风气督查组反馈的4个方面问题，全面排查并及时清除换届风险隐患。县党代会期间，发放严肃换届纪律《提醒卡》《明白卡》2000余份、发送廉政提醒短信900余条。从严从实查处干扰破坏换届工作的违纪违法行为，</w:t>
      </w:r>
      <w:r>
        <w:rPr>
          <w:rFonts w:eastAsia="仿宋_GB2312"/>
          <w:snapToGrid w:val="0"/>
          <w:color w:val="000000" w:themeColor="text1"/>
          <w:spacing w:val="-2"/>
          <w:kern w:val="0"/>
          <w:sz w:val="32"/>
          <w:szCs w:val="32"/>
        </w:rPr>
        <w:t>在县乡换届工作中查处</w:t>
      </w:r>
      <w:r>
        <w:rPr>
          <w:rFonts w:eastAsia="仿宋_GB2312"/>
          <w:color w:val="000000" w:themeColor="text1"/>
          <w:sz w:val="32"/>
          <w:szCs w:val="32"/>
        </w:rPr>
        <w:t>3</w:t>
      </w:r>
      <w:r>
        <w:rPr>
          <w:rFonts w:eastAsia="仿宋_GB2312"/>
          <w:snapToGrid w:val="0"/>
          <w:color w:val="000000" w:themeColor="text1"/>
          <w:spacing w:val="-2"/>
          <w:kern w:val="0"/>
          <w:sz w:val="32"/>
          <w:szCs w:val="32"/>
        </w:rPr>
        <w:t>起</w:t>
      </w:r>
      <w:r>
        <w:rPr>
          <w:rFonts w:eastAsia="仿宋_GB2312"/>
          <w:color w:val="000000" w:themeColor="text1"/>
          <w:sz w:val="32"/>
          <w:szCs w:val="32"/>
        </w:rPr>
        <w:t>13</w:t>
      </w:r>
      <w:r>
        <w:rPr>
          <w:rFonts w:eastAsia="仿宋_GB2312"/>
          <w:snapToGrid w:val="0"/>
          <w:color w:val="000000" w:themeColor="text1"/>
          <w:spacing w:val="-2"/>
          <w:kern w:val="0"/>
          <w:sz w:val="32"/>
          <w:szCs w:val="32"/>
        </w:rPr>
        <w:t>人，组织处9人，</w:t>
      </w:r>
      <w:r>
        <w:rPr>
          <w:rFonts w:eastAsia="仿宋_GB2312"/>
          <w:snapToGrid w:val="0"/>
          <w:spacing w:val="-2"/>
          <w:kern w:val="0"/>
          <w:sz w:val="32"/>
          <w:szCs w:val="32"/>
        </w:rPr>
        <w:t>立案审查调查并给予党纪政务处分4人</w:t>
      </w:r>
      <w:r>
        <w:rPr>
          <w:rFonts w:eastAsia="仿宋_GB2312"/>
          <w:snapToGrid w:val="0"/>
          <w:color w:val="000000" w:themeColor="text1"/>
          <w:spacing w:val="-2"/>
          <w:kern w:val="0"/>
          <w:sz w:val="32"/>
          <w:szCs w:val="32"/>
        </w:rPr>
        <w:t>。</w:t>
      </w:r>
    </w:p>
    <w:p>
      <w:pPr>
        <w:spacing w:line="578" w:lineRule="exact"/>
        <w:ind w:firstLine="640" w:firstLineChars="200"/>
        <w:rPr>
          <w:szCs w:val="32"/>
        </w:rPr>
      </w:pPr>
      <w:r>
        <w:rPr>
          <w:rFonts w:hint="eastAsia" w:eastAsia="黑体"/>
          <w:color w:val="000000" w:themeColor="text1"/>
          <w:sz w:val="32"/>
          <w:szCs w:val="32"/>
        </w:rPr>
        <w:t>7.</w:t>
      </w:r>
      <w:r>
        <w:rPr>
          <w:rFonts w:eastAsia="黑体"/>
          <w:color w:val="000000" w:themeColor="text1"/>
          <w:sz w:val="32"/>
          <w:szCs w:val="32"/>
        </w:rPr>
        <w:t>加强自身建设，干部队</w:t>
      </w:r>
      <w:r>
        <w:rPr>
          <w:rFonts w:eastAsia="仿宋_GB2312"/>
          <w:color w:val="000000" w:themeColor="text1"/>
          <w:kern w:val="0"/>
          <w:sz w:val="32"/>
          <w:szCs w:val="32"/>
        </w:rPr>
        <w:t>伍担当作为。坚</w:t>
      </w:r>
      <w:r>
        <w:rPr>
          <w:rFonts w:eastAsia="仿宋_GB2312"/>
          <w:color w:val="000000" w:themeColor="text1"/>
          <w:sz w:val="32"/>
          <w:szCs w:val="32"/>
        </w:rPr>
        <w:t>持</w:t>
      </w:r>
      <w:r>
        <w:rPr>
          <w:rFonts w:eastAsia="仿宋_GB2312"/>
          <w:bCs/>
          <w:sz w:val="32"/>
          <w:szCs w:val="32"/>
        </w:rPr>
        <w:t>“打铁必须自身硬”原则，</w:t>
      </w:r>
      <w:r>
        <w:rPr>
          <w:rFonts w:eastAsia="仿宋_GB2312"/>
          <w:color w:val="000000" w:themeColor="text1"/>
          <w:sz w:val="32"/>
          <w:szCs w:val="32"/>
        </w:rPr>
        <w:t>以政治建设为统领，在实战中锻造政治过硬、本领高强、忠诚干净担当的纪检监察干部队伍。</w:t>
      </w:r>
      <w:r>
        <w:rPr>
          <w:rFonts w:eastAsia="仿宋_GB2312"/>
          <w:color w:val="000000" w:themeColor="text1"/>
          <w:kern w:val="0"/>
          <w:sz w:val="32"/>
          <w:szCs w:val="32"/>
        </w:rPr>
        <w:t>持续深化“三转”，加强业务培训，不断提升</w:t>
      </w:r>
      <w:r>
        <w:rPr>
          <w:rFonts w:eastAsia="仿宋_GB2312"/>
          <w:color w:val="000000" w:themeColor="text1"/>
          <w:sz w:val="32"/>
          <w:szCs w:val="32"/>
        </w:rPr>
        <w:t>纪检监察</w:t>
      </w:r>
      <w:r>
        <w:rPr>
          <w:rFonts w:eastAsia="仿宋_GB2312"/>
          <w:color w:val="000000" w:themeColor="text1"/>
          <w:kern w:val="0"/>
          <w:sz w:val="32"/>
          <w:szCs w:val="32"/>
        </w:rPr>
        <w:t>队伍综合素质和能力。强化建章立制，</w:t>
      </w:r>
      <w:r>
        <w:rPr>
          <w:rFonts w:eastAsia="仿宋_GB2312"/>
          <w:color w:val="000000" w:themeColor="text1"/>
          <w:sz w:val="32"/>
          <w:szCs w:val="32"/>
        </w:rPr>
        <w:t>规范案件查办机制，完善信访办理、审查调查、案件审理工作流程，</w:t>
      </w:r>
      <w:r>
        <w:rPr>
          <w:rFonts w:eastAsia="仿宋_GB2312"/>
          <w:color w:val="000000" w:themeColor="text1"/>
          <w:kern w:val="0"/>
          <w:sz w:val="32"/>
          <w:szCs w:val="32"/>
        </w:rPr>
        <w:t>不断提升办案专业化水平。</w:t>
      </w:r>
      <w:r>
        <w:rPr>
          <w:rFonts w:eastAsia="仿宋_GB2312"/>
          <w:color w:val="000000" w:themeColor="text1"/>
          <w:sz w:val="32"/>
          <w:szCs w:val="32"/>
        </w:rPr>
        <w:t>加强基层业务指导，规范化建设乡镇、村（社区）纪检监察组织，保障基层依规依纪办案，发挥好监督效能。积极引导基层纪检监察组织充分发挥“前哨”作用，各乡镇纪委（监察室）、派驻纪检监察组立案审查调查25件25人，实现全面消除基层执纪审查调查空白点。开展纪检监察系统全覆盖培训2轮，受训学员达300余人次，切实为纪检监察干部赋能充电。</w:t>
      </w:r>
    </w:p>
    <w:p>
      <w:pPr>
        <w:pStyle w:val="4"/>
      </w:pPr>
      <w:bookmarkStart w:id="34" w:name="_Toc20135"/>
      <w:r>
        <w:rPr>
          <w:rFonts w:hint="eastAsia"/>
        </w:rPr>
        <w:t>二、机构设置</w:t>
      </w:r>
      <w:bookmarkEnd w:id="34"/>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办公室。负责县纪委监委机关日常运转工作。筹备组织重要会议、活动；组织起草县纪委监委有关文件文稿；督促检查上级批办交办事项、县纪委全会工作部署和县纪委常委会（县监委委务会）等决定事项及委领导批办交办事项的落实情况；负责机关机要保密工作，负责机关财务管理、车辆管理、国有资产管理、安全保卫、干部职工医疗、卫生防疫等后勤管理服务工作，负责派驻机构差旅费报销、工资津补贴发放等后勤保障（办公场所、办公设施设备、办公日常运行费、车辆保障由驻在部门负责）工作；负责县纪委委员的联络工作，组织协调特约监察员工作；负责机关及派驻机构档案和涉案款物保管工作；负责县纪委监委机关党的建设、工会、共青团和妇代小组工作；负责组织开展有关党风廉政建设法律法规、理论政策、形势任务、决策部署和先进典型等宣传及舆论引导工作；负责县纪委监委机关的新闻事务和有关网络信息工作等；指导全县纪检监察系统的宣传教育、廉政文化建设和网络信息工作。负责综合分析全县全面从严治党、党风廉政建设和反腐败工作情况，开展政策理论及重大课题调查研究；起草领导同志文稿，会同、协助有关内设机构起草机关重要文件文稿；汇总、整理全县党风廉政建设和反腐败工作研究成果和信息资料，组织开展对纪检监察工作历史及规律的研究。</w:t>
      </w:r>
    </w:p>
    <w:p>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党风政风监督室。负责综合协调贯彻执行党的路线方针政策和决议、国家法律法规等情况的监督检查，组织协调重要监督检查活动，负责汇总党风廉政建设和反腐败工情况；综合协调党的政治纪律和政治规矩执行；综合协调贯彻落实中央八项规定精神、纠正“四风”工作；综合协调整治群众身边和扶贫领域的腐败和作风问题；综合协调党内监督、党的问责等方面工作，推动管党治党政治责任落实；综合协调县纪委监委机关参与调查的事故、事件中涉及的监督对象违纪违法行为和需要问责情形的调查处理工作；综合分析党风政风监督工作情况，开展调查研究，提出工作建议；组织开展党风政风监督专项检查活动；协调办理县管干部任职前回复县委组织部意见工作；负责组织协调全县全面从严治党、党风廉政建设和反腐败宣传教育以及廉洁文化建设工作；指导全县纪检监察系统的党风政风监督工作。</w:t>
      </w:r>
    </w:p>
    <w:p>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三）信访室。负责受理对党的组织、党员违反党纪行为，对监察对象不依法履职，违反秉公用权、廉洁从政从业及道德操守等规定，涉嫌职务违法、职务犯罪行为的检举控告；归口受理对县委管理的党的组织、党员、监察对象的上述信访举报，统一接收上级转办和县纪委监委派驻机构、乡镇纪委监察室报送的相关信访举报，分类摘要后将问题线索类信访举报移交案件监督管理室；受理党员对县纪委作出的党纪处分或者其他处理不服的申诉、监察对象对县监委作出的涉及本人的处理决定不服的复审申请；综合分析信访举报情况；接待群众来访，处理群众来信和电话网络举报事项等；指导全县纪检监察系统的信访举报工作。</w:t>
      </w:r>
    </w:p>
    <w:p>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四）案件监督管理室。负责对监督检查、审查调查工作全过程进行监督管理，履行线索管理、组织协调、监督检查、督促办理、统计分析等职责；统一受理巡视巡察工作机构和审计机关、行政执法机关、司法机关等单位移交的相关问题线索。对问题线索实行集中管理，动态更新、定期汇总核对，提出分办意见，按程序移送承办机构；统一受理下级纪检监察机关线索处置和案件查办报告，定期汇总、核对问题线索及处置情况，分送有关内设机构；归口管理审查调查工作中与有关部门的联系协调事项；对调查措施使用进行监督管理；负责对依纪依法安全办案情况进行监督检查，对纪委监委办案场所的安全保卫、保密等工作进行监督检查，落实办案安全工作责任制；指导乡镇纪委监察室案件监督管理工作；在州纪委监委领导下，承担反腐败国际追逃追赃和防逃工作的组织协调；负责监督检查、审查调查工作中的信息技术保障工作。</w:t>
      </w:r>
    </w:p>
    <w:p>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五）第一至第四纪检监察室。负责监督检查的纪检监察室主要履行依纪依法监督的职责。监督检查联系单位（乡、镇）领导班子及县管干部遵守和执行党的章程和其他党内法规，遵守和执行党的路线方针政策和决议、国家法律法规，推进全面从严治党，依法履职、秉公用权、廉洁从政从业以及道德操守等方面的情况；监督检查联系单位（乡、镇）党委（党组）落实管党治党主体责任的情况，指导、检查、督促联系纪委（派驻机构）落实纪检、监察责任，实施问责；向监察对象所在单位提出监察建议；综合分析研判问题线索，对适用“四种形态”中第一种、第二种形态的，按程序提出处置意见；对适用第三种、第四种形态的，按程序移交负责审查调查的纪检监察室；综合、协调、指导联系单位（乡、镇）纪检监察工作等。负责审查调查的纪检监察室主要履行执纪审查和依法调查处置的职责。承办涉嫌严重违纪或者职务违法、职务犯罪问题线索的初步核实和立案审查调查，以及其他比较重要或者复杂案件的初步核实、审查调查，并提出处理建议；向监察对象所在单位提出监察建议；可以办理下一级监察机关管辖范围内的监察事项，对在审查调查中发现的相关问题线索，送案件监督管理室按程序处置。</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案件审理室。负责审理县纪委监委机关直接审查调查和科级党组织、纪检监察机关报批或备案的违反党纪和职务违法、职务犯罪案件，严格依规依纪依法提出处理或者处分意见；协助机关内设机构规范性文件起草工作；负责纪检监察法规制度和规范性文件的咨询答复、解释指导、备案清查、清理、审核、评估、编纂等工作；承办党员对县纪委作出的党纪处分或者其他处理不服的申诉案件、监察对象对县监委作出的涉及本人的处理决定不服的申请复审案件，以及其他需要由县纪委监委办理的申诉、复核案件等；指导全县纪检监察系统案件审理等工作。</w:t>
      </w:r>
    </w:p>
    <w:p>
      <w:pPr>
        <w:snapToGrid w:val="0"/>
        <w:spacing w:line="578"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七）纪检监察干部监督室。按照干部管理权限，负责全县纪检监察系统领导班子建设、干部队伍建设和组织建设的综合规划、政策研究、制度建设和业务指导；负责县纪委监委机关、派驻机构及乡镇纪委监察室人事工作；会同有关部门，负责乡镇纪委监察室、县纪委监委派驻机构、县属企事业纪委领导班子成员提名、考察、任免等干部人事工作；组织和指导全县纪检监察系统干部教育培训工作；负责县纪委监委机关离退休老干部的管理服务工作；负责派驻机构干部日常管理和监督工作。负责监督检查全县纪检监察系统干部遵守和执行党的章程和其他党内法规、党的路线方针政策和决议、国家法律法规等方面的情况；负责受理对县纪委监委机关各内设机构、直属单位、县纪委监委派驻机构和县委巡察办干部，乡镇纪委监察室和县属企事业单位纪委领导班子及其成员涉嫌违反党纪、职务违法和职务犯罪等问题的举报，提出处置意见并负责问题线索初步核实及立案审查调查工作等；负责县纪委监委机关干部日常管理和监督，承担绩效考核工作；指导全县纪检监察系统干部监督工作。</w:t>
      </w:r>
    </w:p>
    <w:p>
      <w:pPr>
        <w:numPr>
          <w:ilvl w:val="0"/>
          <w:numId w:val="1"/>
        </w:numPr>
        <w:snapToGri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人员情况。</w:t>
      </w:r>
    </w:p>
    <w:p>
      <w:pPr>
        <w:snapToGrid w:val="0"/>
        <w:spacing w:line="578" w:lineRule="exact"/>
        <w:ind w:firstLine="645"/>
        <w:rPr>
          <w:rFonts w:ascii="仿宋_GB2312" w:hAnsi="仿宋" w:eastAsia="仿宋_GB2312"/>
          <w:sz w:val="32"/>
          <w:szCs w:val="32"/>
        </w:rPr>
      </w:pPr>
      <w:r>
        <w:rPr>
          <w:rFonts w:hint="eastAsia" w:ascii="仿宋_GB2312" w:hAnsi="仿宋" w:eastAsia="仿宋_GB2312"/>
          <w:sz w:val="32"/>
          <w:szCs w:val="32"/>
        </w:rPr>
        <w:t>县纪委、监察委机关编数为27人，综合管理类职位编制数25人，工勤2人，县纪委监察派出机构综合管理类职位编制数22名,财务帐中还含县委巡察办综合管理类职位编制数7人，工勤1人。</w:t>
      </w:r>
      <w:bookmarkEnd w:id="27"/>
      <w:bookmarkEnd w:id="28"/>
      <w:bookmarkEnd w:id="29"/>
      <w:bookmarkEnd w:id="30"/>
      <w:bookmarkStart w:id="35" w:name="_Toc15377204"/>
      <w:bookmarkStart w:id="36" w:name="_Toc15396602"/>
      <w:bookmarkStart w:id="37" w:name="_Toc79163609"/>
      <w:bookmarkStart w:id="38" w:name="_Toc79163859"/>
    </w:p>
    <w:p>
      <w:pPr>
        <w:pStyle w:val="2"/>
        <w:ind w:left="820" w:hanging="400"/>
      </w:pPr>
    </w:p>
    <w:p/>
    <w:p>
      <w:pPr>
        <w:pStyle w:val="2"/>
        <w:ind w:left="820" w:hanging="400"/>
      </w:pPr>
    </w:p>
    <w:p/>
    <w:p>
      <w:pPr>
        <w:pStyle w:val="2"/>
        <w:ind w:left="820" w:hanging="400"/>
      </w:pPr>
    </w:p>
    <w:p/>
    <w:p>
      <w:pPr>
        <w:pStyle w:val="2"/>
        <w:ind w:left="820" w:hanging="400"/>
      </w:pPr>
    </w:p>
    <w:p>
      <w:pPr>
        <w:pStyle w:val="3"/>
        <w:spacing w:line="578" w:lineRule="exact"/>
        <w:ind w:right="440"/>
        <w:jc w:val="right"/>
        <w:rPr>
          <w:rFonts w:hint="eastAsia" w:ascii="黑体" w:hAnsi="黑体" w:eastAsia="黑体"/>
          <w:b w:val="0"/>
          <w:color w:val="000000"/>
        </w:rPr>
      </w:pPr>
    </w:p>
    <w:p>
      <w:pPr>
        <w:pStyle w:val="3"/>
        <w:spacing w:line="578" w:lineRule="exact"/>
        <w:ind w:right="440"/>
        <w:jc w:val="right"/>
      </w:pPr>
      <w:bookmarkStart w:id="39" w:name="_Toc30034"/>
      <w:r>
        <w:rPr>
          <w:rFonts w:hint="eastAsia" w:ascii="黑体" w:hAnsi="黑体" w:eastAsia="黑体"/>
          <w:b w:val="0"/>
          <w:color w:val="000000"/>
        </w:rPr>
        <w:t>第二部分</w:t>
      </w:r>
      <w:r>
        <w:rPr>
          <w:rStyle w:val="26"/>
          <w:rFonts w:ascii="黑体" w:hAnsi="黑体" w:eastAsia="黑体"/>
          <w:b w:val="0"/>
          <w:bCs w:val="0"/>
        </w:rPr>
        <w:t>2020</w:t>
      </w:r>
      <w:r>
        <w:rPr>
          <w:rStyle w:val="26"/>
          <w:rFonts w:hint="eastAsia" w:ascii="黑体" w:hAnsi="黑体" w:eastAsia="黑体"/>
          <w:b w:val="0"/>
          <w:bCs w:val="0"/>
        </w:rPr>
        <w:t>年度部门决算情况说明</w:t>
      </w:r>
      <w:bookmarkEnd w:id="35"/>
      <w:bookmarkEnd w:id="36"/>
      <w:bookmarkEnd w:id="37"/>
      <w:bookmarkEnd w:id="38"/>
      <w:bookmarkEnd w:id="39"/>
    </w:p>
    <w:p>
      <w:pPr>
        <w:pStyle w:val="37"/>
        <w:numPr>
          <w:ilvl w:val="0"/>
          <w:numId w:val="2"/>
        </w:numPr>
        <w:spacing w:line="578" w:lineRule="exact"/>
        <w:ind w:firstLineChars="0"/>
        <w:outlineLvl w:val="1"/>
        <w:rPr>
          <w:rStyle w:val="27"/>
          <w:rFonts w:ascii="黑体" w:hAnsi="黑体" w:eastAsia="黑体"/>
          <w:b w:val="0"/>
        </w:rPr>
      </w:pPr>
      <w:bookmarkStart w:id="40" w:name="_Toc79163860"/>
      <w:bookmarkStart w:id="41" w:name="_Toc15396603"/>
      <w:bookmarkStart w:id="42" w:name="_Toc15377205"/>
      <w:bookmarkStart w:id="43" w:name="_Toc79163610"/>
      <w:bookmarkStart w:id="44" w:name="_Toc10337"/>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40"/>
      <w:bookmarkEnd w:id="41"/>
      <w:bookmarkEnd w:id="42"/>
      <w:bookmarkEnd w:id="43"/>
      <w:bookmarkEnd w:id="44"/>
    </w:p>
    <w:p>
      <w:pPr>
        <w:snapToGrid w:val="0"/>
        <w:spacing w:line="520" w:lineRule="exact"/>
        <w:ind w:firstLine="320" w:firstLineChars="100"/>
      </w:pPr>
      <w:r>
        <w:rPr>
          <w:rFonts w:hint="eastAsia" w:ascii="仿宋_GB2312" w:hAnsi="仿宋" w:eastAsia="仿宋_GB2312"/>
          <w:sz w:val="32"/>
          <w:szCs w:val="32"/>
        </w:rPr>
        <w:t>2021年度收入合计1056.92万元，比上年度增加29.75%；本年支出1061.92万元，比上年度增加加28.08%。增加的主要原因一是本年度调进人员较多；二是换届纪检人员变动大培训费用增加；三是购买两台执法执勤用车，致使费用增加较大。</w:t>
      </w:r>
    </w:p>
    <w:p>
      <w:pPr>
        <w:snapToGrid w:val="0"/>
        <w:ind w:firstLine="420" w:firstLineChars="200"/>
        <w:rPr>
          <w:rFonts w:hint="eastAsia"/>
        </w:rPr>
      </w:pPr>
    </w:p>
    <w:p>
      <w:pPr>
        <w:snapToGrid w:val="0"/>
        <w:ind w:firstLine="2100" w:firstLineChars="1000"/>
      </w:pPr>
      <w:r>
        <w:drawing>
          <wp:inline distT="0" distB="0" distL="0" distR="0">
            <wp:extent cx="2905125" cy="1981200"/>
            <wp:effectExtent l="19050" t="0" r="9525" b="0"/>
            <wp:docPr id="1" name="图片 3" descr="C:\Users\Administrator\AppData\Roaming\Tencent\Users\876747027\QQ\WinTemp\RichOle\`K[HIR@LHQGDMNKJZK)MPX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Administrator\AppData\Roaming\Tencent\Users\876747027\QQ\WinTemp\RichOle\`K[HIR@LHQGDMNKJZK)MPXJ.png"/>
                    <pic:cNvPicPr>
                      <a:picLocks noChangeAspect="1" noChangeArrowheads="1"/>
                    </pic:cNvPicPr>
                  </pic:nvPicPr>
                  <pic:blipFill>
                    <a:blip r:embed="rId6" cstate="print"/>
                    <a:srcRect/>
                    <a:stretch>
                      <a:fillRect/>
                    </a:stretch>
                  </pic:blipFill>
                  <pic:spPr>
                    <a:xfrm>
                      <a:off x="0" y="0"/>
                      <a:ext cx="2905125" cy="1981200"/>
                    </a:xfrm>
                    <a:prstGeom prst="rect">
                      <a:avLst/>
                    </a:prstGeom>
                    <a:noFill/>
                    <a:ln w="9525">
                      <a:noFill/>
                      <a:miter lim="800000"/>
                      <a:headEnd/>
                      <a:tailEnd/>
                    </a:ln>
                  </pic:spPr>
                </pic:pic>
              </a:graphicData>
            </a:graphic>
          </wp:inline>
        </w:drawing>
      </w:r>
    </w:p>
    <w:p>
      <w:pPr>
        <w:pStyle w:val="37"/>
        <w:numPr>
          <w:ilvl w:val="0"/>
          <w:numId w:val="2"/>
        </w:numPr>
        <w:spacing w:line="578" w:lineRule="exact"/>
        <w:ind w:firstLineChars="0"/>
        <w:outlineLvl w:val="1"/>
        <w:rPr>
          <w:rStyle w:val="27"/>
          <w:rFonts w:ascii="黑体" w:hAnsi="黑体" w:eastAsia="黑体"/>
          <w:b w:val="0"/>
        </w:rPr>
      </w:pPr>
      <w:bookmarkStart w:id="45" w:name="_Toc79163611"/>
      <w:bookmarkStart w:id="46" w:name="_Toc79163861"/>
      <w:bookmarkStart w:id="47" w:name="_Toc15377206"/>
      <w:bookmarkStart w:id="48" w:name="_Toc15396604"/>
      <w:bookmarkStart w:id="49" w:name="_Toc20398"/>
      <w:r>
        <w:rPr>
          <w:rFonts w:hint="eastAsia" w:ascii="黑体" w:hAnsi="黑体" w:eastAsia="黑体"/>
          <w:color w:val="000000"/>
          <w:sz w:val="32"/>
          <w:szCs w:val="32"/>
        </w:rPr>
        <w:t>收</w:t>
      </w:r>
      <w:r>
        <w:rPr>
          <w:rStyle w:val="27"/>
          <w:rFonts w:hint="eastAsia" w:ascii="黑体" w:hAnsi="黑体" w:eastAsia="黑体"/>
          <w:b w:val="0"/>
        </w:rPr>
        <w:t>入决算情况说明</w:t>
      </w:r>
      <w:bookmarkEnd w:id="45"/>
      <w:bookmarkEnd w:id="46"/>
      <w:bookmarkEnd w:id="47"/>
      <w:bookmarkEnd w:id="48"/>
      <w:bookmarkEnd w:id="49"/>
    </w:p>
    <w:p>
      <w:pPr>
        <w:pStyle w:val="37"/>
        <w:spacing w:line="578" w:lineRule="exact"/>
        <w:ind w:left="120" w:leftChars="57" w:firstLine="755" w:firstLineChars="236"/>
        <w:outlineLvl w:val="1"/>
        <w:rPr>
          <w:rFonts w:ascii="仿宋_GB2312" w:hAnsi="仿宋" w:eastAsia="仿宋_GB2312"/>
          <w:sz w:val="32"/>
          <w:szCs w:val="32"/>
        </w:rPr>
      </w:pPr>
      <w:bookmarkStart w:id="50" w:name="_Toc1435"/>
      <w:bookmarkStart w:id="51" w:name="_Toc14152"/>
      <w:bookmarkStart w:id="52" w:name="_Toc15396605"/>
      <w:bookmarkStart w:id="53" w:name="_Toc15377207"/>
      <w:bookmarkStart w:id="54" w:name="_Toc79163612"/>
      <w:bookmarkStart w:id="55" w:name="_Toc79163862"/>
      <w:r>
        <w:rPr>
          <w:rFonts w:hint="eastAsia" w:ascii="仿宋_GB2312" w:hAnsi="仿宋" w:eastAsia="仿宋_GB2312"/>
          <w:sz w:val="32"/>
          <w:szCs w:val="32"/>
        </w:rPr>
        <w:t>2021年度收入合计1056.92万元，一般公共预算1056.92万元，占100%。</w:t>
      </w:r>
      <w:bookmarkEnd w:id="50"/>
      <w:bookmarkEnd w:id="51"/>
    </w:p>
    <w:p>
      <w:pPr>
        <w:pStyle w:val="37"/>
        <w:ind w:left="120" w:leftChars="57" w:firstLine="2515" w:firstLineChars="786"/>
        <w:outlineLvl w:val="1"/>
        <w:rPr>
          <w:rFonts w:ascii="仿宋_GB2312" w:hAnsi="仿宋" w:eastAsia="仿宋_GB2312"/>
          <w:sz w:val="32"/>
          <w:szCs w:val="32"/>
        </w:rPr>
      </w:pPr>
      <w:bookmarkStart w:id="56" w:name="_Toc7261"/>
      <w:bookmarkStart w:id="57" w:name="_Toc19245"/>
      <w:r>
        <w:rPr>
          <w:rFonts w:ascii="仿宋_GB2312" w:hAnsi="仿宋" w:eastAsia="仿宋_GB2312"/>
          <w:sz w:val="32"/>
          <w:szCs w:val="32"/>
        </w:rPr>
        <w:drawing>
          <wp:inline distT="0" distB="0" distL="0" distR="0">
            <wp:extent cx="2971800" cy="2200275"/>
            <wp:effectExtent l="19050" t="0" r="0" b="0"/>
            <wp:docPr id="14" name="图片 14" descr="C:\Users\Administrator\AppData\Roaming\Tencent\Users\876747027\QQ\WinTemp\RichOle\RQ[D@M7QO]$L`AJ4_KP9]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AppData\Roaming\Tencent\Users\876747027\QQ\WinTemp\RichOle\RQ[D@M7QO]$L`AJ4_KP9]CM.png"/>
                    <pic:cNvPicPr>
                      <a:picLocks noChangeAspect="1" noChangeArrowheads="1"/>
                    </pic:cNvPicPr>
                  </pic:nvPicPr>
                  <pic:blipFill>
                    <a:blip r:embed="rId7" cstate="print"/>
                    <a:srcRect/>
                    <a:stretch>
                      <a:fillRect/>
                    </a:stretch>
                  </pic:blipFill>
                  <pic:spPr>
                    <a:xfrm>
                      <a:off x="0" y="0"/>
                      <a:ext cx="2971800" cy="2200275"/>
                    </a:xfrm>
                    <a:prstGeom prst="rect">
                      <a:avLst/>
                    </a:prstGeom>
                    <a:noFill/>
                    <a:ln w="9525">
                      <a:noFill/>
                      <a:miter lim="800000"/>
                      <a:headEnd/>
                      <a:tailEnd/>
                    </a:ln>
                  </pic:spPr>
                </pic:pic>
              </a:graphicData>
            </a:graphic>
          </wp:inline>
        </w:drawing>
      </w:r>
      <w:bookmarkEnd w:id="56"/>
      <w:bookmarkEnd w:id="57"/>
    </w:p>
    <w:p>
      <w:pPr>
        <w:pStyle w:val="37"/>
        <w:spacing w:line="578" w:lineRule="exact"/>
        <w:ind w:left="120" w:leftChars="57" w:firstLine="440" w:firstLineChars="137"/>
        <w:outlineLvl w:val="1"/>
        <w:rPr>
          <w:rStyle w:val="27"/>
          <w:rFonts w:ascii="黑体" w:hAnsi="黑体" w:eastAsia="黑体"/>
          <w:b w:val="0"/>
        </w:rPr>
      </w:pPr>
      <w:bookmarkStart w:id="58" w:name="_Toc17877"/>
      <w:r>
        <w:rPr>
          <w:rFonts w:hint="eastAsia" w:ascii="仿宋_GB2312" w:hAnsi="仿宋" w:eastAsia="仿宋_GB2312"/>
          <w:b/>
          <w:bCs/>
          <w:sz w:val="32"/>
          <w:szCs w:val="32"/>
        </w:rPr>
        <w:t>三、</w:t>
      </w:r>
      <w:r>
        <w:rPr>
          <w:rFonts w:hint="eastAsia" w:ascii="黑体" w:hAnsi="黑体" w:eastAsia="黑体"/>
          <w:color w:val="000000"/>
          <w:sz w:val="32"/>
          <w:szCs w:val="32"/>
        </w:rPr>
        <w:t>支</w:t>
      </w:r>
      <w:r>
        <w:rPr>
          <w:rStyle w:val="27"/>
          <w:rFonts w:hint="eastAsia" w:ascii="黑体" w:hAnsi="黑体" w:eastAsia="黑体"/>
          <w:b w:val="0"/>
        </w:rPr>
        <w:t>出决算情况说明</w:t>
      </w:r>
      <w:bookmarkEnd w:id="52"/>
      <w:bookmarkEnd w:id="53"/>
      <w:bookmarkEnd w:id="54"/>
      <w:bookmarkEnd w:id="55"/>
      <w:bookmarkEnd w:id="58"/>
    </w:p>
    <w:p>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2021年度支出合计1061.92万元，其中：基本支出871.93万元，占82.1%，项目支出189.99万元，占17.9%。</w:t>
      </w:r>
      <w:bookmarkStart w:id="59" w:name="_Toc15396606"/>
      <w:bookmarkStart w:id="60" w:name="_Toc79163863"/>
      <w:bookmarkStart w:id="61" w:name="_Toc79163613"/>
      <w:bookmarkStart w:id="62" w:name="_Toc15377208"/>
    </w:p>
    <w:p>
      <w:pPr>
        <w:snapToGrid w:val="0"/>
        <w:spacing w:line="360" w:lineRule="auto"/>
        <w:ind w:firstLine="2240" w:firstLineChars="700"/>
        <w:rPr>
          <w:rFonts w:ascii="仿宋_GB2312" w:hAnsi="仿宋" w:eastAsia="仿宋_GB2312"/>
          <w:sz w:val="32"/>
          <w:szCs w:val="32"/>
        </w:rPr>
      </w:pPr>
      <w:r>
        <w:rPr>
          <w:rFonts w:ascii="仿宋_GB2312" w:hAnsi="仿宋" w:eastAsia="仿宋_GB2312"/>
          <w:sz w:val="32"/>
          <w:szCs w:val="32"/>
        </w:rPr>
        <w:drawing>
          <wp:inline distT="0" distB="0" distL="0" distR="0">
            <wp:extent cx="2743200" cy="1866900"/>
            <wp:effectExtent l="19050" t="0" r="0" b="0"/>
            <wp:docPr id="16" name="图片 16" descr="C:\Users\Administrator\AppData\Roaming\Tencent\Users\876747027\QQ\WinTemp\RichOle\88B%P@52S1VOOQ}6}RHMK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strator\AppData\Roaming\Tencent\Users\876747027\QQ\WinTemp\RichOle\88B%P@52S1VOOQ}6}RHMKP3.png"/>
                    <pic:cNvPicPr>
                      <a:picLocks noChangeAspect="1" noChangeArrowheads="1"/>
                    </pic:cNvPicPr>
                  </pic:nvPicPr>
                  <pic:blipFill>
                    <a:blip r:embed="rId8" cstate="print"/>
                    <a:srcRect/>
                    <a:stretch>
                      <a:fillRect/>
                    </a:stretch>
                  </pic:blipFill>
                  <pic:spPr>
                    <a:xfrm>
                      <a:off x="0" y="0"/>
                      <a:ext cx="2743200" cy="1866900"/>
                    </a:xfrm>
                    <a:prstGeom prst="rect">
                      <a:avLst/>
                    </a:prstGeom>
                    <a:noFill/>
                    <a:ln w="9525">
                      <a:noFill/>
                      <a:miter lim="800000"/>
                      <a:headEnd/>
                      <a:tailEnd/>
                    </a:ln>
                  </pic:spPr>
                </pic:pic>
              </a:graphicData>
            </a:graphic>
          </wp:inline>
        </w:drawing>
      </w:r>
    </w:p>
    <w:p>
      <w:pPr>
        <w:pStyle w:val="4"/>
        <w:rPr>
          <w:rStyle w:val="27"/>
          <w:rFonts w:ascii="黑体" w:hAnsi="黑体" w:eastAsia="黑体"/>
          <w:b w:val="0"/>
          <w:bCs/>
        </w:rPr>
      </w:pPr>
      <w:bookmarkStart w:id="63" w:name="_Toc12165"/>
      <w:r>
        <w:rPr>
          <w:rFonts w:hint="eastAsia" w:ascii="仿宋_GB2312" w:hAnsi="仿宋" w:eastAsia="仿宋_GB2312"/>
          <w:b/>
          <w:sz w:val="32"/>
          <w:szCs w:val="32"/>
        </w:rPr>
        <w:t>四、</w:t>
      </w:r>
      <w:r>
        <w:rPr>
          <w:rFonts w:hint="eastAsia" w:ascii="黑体" w:hAnsi="黑体" w:eastAsia="黑体"/>
          <w:b/>
          <w:color w:val="000000"/>
          <w:sz w:val="32"/>
          <w:szCs w:val="32"/>
        </w:rPr>
        <w:t>财</w:t>
      </w:r>
      <w:r>
        <w:rPr>
          <w:rStyle w:val="27"/>
          <w:rFonts w:hint="eastAsia" w:ascii="黑体" w:hAnsi="黑体" w:eastAsia="黑体"/>
          <w:b w:val="0"/>
          <w:bCs/>
        </w:rPr>
        <w:t>政拨款收入支出决算总体情况说明</w:t>
      </w:r>
      <w:bookmarkEnd w:id="59"/>
      <w:bookmarkEnd w:id="60"/>
      <w:bookmarkEnd w:id="61"/>
      <w:bookmarkEnd w:id="62"/>
      <w:bookmarkEnd w:id="63"/>
      <w:bookmarkStart w:id="64" w:name="_Toc79163614"/>
      <w:bookmarkStart w:id="65" w:name="_Toc15396607"/>
      <w:bookmarkStart w:id="66" w:name="_Toc15377209"/>
      <w:bookmarkStart w:id="67" w:name="_Toc79163864"/>
    </w:p>
    <w:p>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2021年度收入合计1056.92万元，比2020度增加29.75%；本年支出1061.92万元，比2020度增加加28.08%。增加的主要原因一是本年度调进人员较多；二是换届纪检人员变动大培训费用增加；三是购买两台执法执勤用车，致使费用增加较大。</w:t>
      </w:r>
    </w:p>
    <w:p>
      <w:pPr>
        <w:pStyle w:val="2"/>
        <w:ind w:left="840" w:leftChars="400" w:firstLine="800" w:firstLineChars="400"/>
      </w:pPr>
      <w:r>
        <w:drawing>
          <wp:inline distT="0" distB="0" distL="0" distR="0">
            <wp:extent cx="2914650" cy="1743075"/>
            <wp:effectExtent l="19050" t="0" r="0" b="0"/>
            <wp:docPr id="4" name="图片 3" descr="C:\Users\Administrator\AppData\Roaming\Tencent\Users\876747027\QQ\WinTemp\RichOle\`K[HIR@LHQGDMNKJZK)MPX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AppData\Roaming\Tencent\Users\876747027\QQ\WinTemp\RichOle\`K[HIR@LHQGDMNKJZK)MPXJ.png"/>
                    <pic:cNvPicPr>
                      <a:picLocks noChangeAspect="1" noChangeArrowheads="1"/>
                    </pic:cNvPicPr>
                  </pic:nvPicPr>
                  <pic:blipFill>
                    <a:blip r:embed="rId6" cstate="print"/>
                    <a:srcRect/>
                    <a:stretch>
                      <a:fillRect/>
                    </a:stretch>
                  </pic:blipFill>
                  <pic:spPr>
                    <a:xfrm>
                      <a:off x="0" y="0"/>
                      <a:ext cx="2914650" cy="1743075"/>
                    </a:xfrm>
                    <a:prstGeom prst="rect">
                      <a:avLst/>
                    </a:prstGeom>
                    <a:noFill/>
                    <a:ln w="9525">
                      <a:noFill/>
                      <a:miter lim="800000"/>
                      <a:headEnd/>
                      <a:tailEnd/>
                    </a:ln>
                  </pic:spPr>
                </pic:pic>
              </a:graphicData>
            </a:graphic>
          </wp:inline>
        </w:drawing>
      </w:r>
    </w:p>
    <w:p>
      <w:pPr>
        <w:pStyle w:val="4"/>
        <w:rPr>
          <w:rStyle w:val="27"/>
          <w:rFonts w:ascii="黑体" w:hAnsi="黑体" w:eastAsia="黑体"/>
          <w:b w:val="0"/>
          <w:bCs/>
        </w:rPr>
      </w:pPr>
      <w:bookmarkStart w:id="68" w:name="_Toc12136"/>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bCs/>
        </w:rPr>
        <w:t>般公共预算财政拨款支出决算情况说明</w:t>
      </w:r>
      <w:bookmarkEnd w:id="64"/>
      <w:bookmarkEnd w:id="65"/>
      <w:bookmarkEnd w:id="66"/>
      <w:bookmarkEnd w:id="67"/>
      <w:bookmarkEnd w:id="68"/>
    </w:p>
    <w:p>
      <w:pPr>
        <w:snapToGrid w:val="0"/>
        <w:spacing w:line="578" w:lineRule="exact"/>
        <w:ind w:firstLine="643" w:firstLineChars="200"/>
        <w:rPr>
          <w:rFonts w:ascii="仿宋" w:hAnsi="仿宋" w:eastAsia="仿宋"/>
          <w:b/>
          <w:color w:val="000000"/>
          <w:sz w:val="32"/>
          <w:szCs w:val="32"/>
        </w:rPr>
      </w:pPr>
      <w:bookmarkStart w:id="69" w:name="_Toc79163615"/>
      <w:bookmarkStart w:id="70" w:name="_Toc15377210"/>
      <w:bookmarkStart w:id="71" w:name="_Toc79163865"/>
      <w:r>
        <w:rPr>
          <w:rFonts w:hint="eastAsia" w:ascii="仿宋" w:hAnsi="仿宋" w:eastAsia="仿宋"/>
          <w:b/>
          <w:color w:val="000000"/>
          <w:sz w:val="32"/>
          <w:szCs w:val="32"/>
        </w:rPr>
        <w:t>（一）一般公共预算财政拨款支出决算总体情况</w:t>
      </w:r>
      <w:bookmarkEnd w:id="69"/>
      <w:bookmarkEnd w:id="70"/>
      <w:bookmarkEnd w:id="71"/>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2021年度一般公共预算财政拨款支出合计1061.92万元，占本年支出100%，比2020年度相比一般公共预算财政拨款增加252.36万元，增加28.08%。增加的主要原因一是本年度调进人员较多；二是换届纪检人员变动大培训费用增加；三是购买两台执法执勤用车，致使费用增加较大。</w:t>
      </w:r>
    </w:p>
    <w:p>
      <w:pPr>
        <w:pStyle w:val="2"/>
        <w:ind w:left="840" w:leftChars="400" w:firstLine="800" w:firstLineChars="400"/>
      </w:pPr>
      <w:r>
        <w:drawing>
          <wp:inline distT="0" distB="0" distL="0" distR="0">
            <wp:extent cx="3162300" cy="1857375"/>
            <wp:effectExtent l="19050" t="0" r="0" b="0"/>
            <wp:docPr id="18" name="图片 18" descr="C:\Users\Administrator\AppData\Roaming\Tencent\Users\876747027\QQ\WinTemp\RichOle\Z%BXS6IRLU28()VKDF75T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Administrator\AppData\Roaming\Tencent\Users\876747027\QQ\WinTemp\RichOle\Z%BXS6IRLU28()VKDF75TV8.png"/>
                    <pic:cNvPicPr>
                      <a:picLocks noChangeAspect="1" noChangeArrowheads="1"/>
                    </pic:cNvPicPr>
                  </pic:nvPicPr>
                  <pic:blipFill>
                    <a:blip r:embed="rId9" cstate="print"/>
                    <a:srcRect/>
                    <a:stretch>
                      <a:fillRect/>
                    </a:stretch>
                  </pic:blipFill>
                  <pic:spPr>
                    <a:xfrm>
                      <a:off x="0" y="0"/>
                      <a:ext cx="3162300" cy="1857375"/>
                    </a:xfrm>
                    <a:prstGeom prst="rect">
                      <a:avLst/>
                    </a:prstGeom>
                    <a:noFill/>
                    <a:ln w="9525">
                      <a:noFill/>
                      <a:miter lim="800000"/>
                      <a:headEnd/>
                      <a:tailEnd/>
                    </a:ln>
                  </pic:spPr>
                </pic:pic>
              </a:graphicData>
            </a:graphic>
          </wp:inline>
        </w:drawing>
      </w:r>
    </w:p>
    <w:p>
      <w:pPr>
        <w:spacing w:line="578" w:lineRule="exact"/>
        <w:ind w:firstLine="643" w:firstLineChars="200"/>
        <w:outlineLvl w:val="2"/>
        <w:rPr>
          <w:rFonts w:ascii="仿宋" w:hAnsi="仿宋" w:eastAsia="仿宋"/>
          <w:b/>
          <w:color w:val="000000"/>
          <w:sz w:val="32"/>
          <w:szCs w:val="32"/>
        </w:rPr>
      </w:pPr>
      <w:bookmarkStart w:id="72" w:name="_Toc79163616"/>
      <w:bookmarkStart w:id="73" w:name="_Toc79163866"/>
      <w:bookmarkStart w:id="74" w:name="_Toc15377211"/>
      <w:bookmarkStart w:id="75" w:name="_Toc7845"/>
      <w:bookmarkStart w:id="76" w:name="_Toc23320"/>
      <w:r>
        <w:rPr>
          <w:rFonts w:hint="eastAsia" w:ascii="仿宋" w:hAnsi="仿宋" w:eastAsia="仿宋"/>
          <w:b/>
          <w:color w:val="000000"/>
          <w:sz w:val="32"/>
          <w:szCs w:val="32"/>
        </w:rPr>
        <w:t>（二）一般公共预算财政拨款支出决算结构情况</w:t>
      </w:r>
      <w:bookmarkEnd w:id="72"/>
      <w:bookmarkEnd w:id="73"/>
      <w:bookmarkEnd w:id="74"/>
      <w:bookmarkEnd w:id="75"/>
      <w:bookmarkEnd w:id="76"/>
      <w:bookmarkStart w:id="77" w:name="_Toc79163867"/>
      <w:bookmarkStart w:id="78" w:name="_Toc79163617"/>
      <w:bookmarkStart w:id="79" w:name="_Toc15377212"/>
    </w:p>
    <w:p>
      <w:pPr>
        <w:spacing w:line="578" w:lineRule="exact"/>
        <w:ind w:firstLine="640" w:firstLineChars="200"/>
        <w:outlineLvl w:val="2"/>
        <w:rPr>
          <w:rFonts w:hint="eastAsia" w:ascii="仿宋_GB2312" w:hAnsi="仿宋" w:eastAsia="仿宋_GB2312"/>
          <w:sz w:val="32"/>
          <w:szCs w:val="32"/>
        </w:rPr>
      </w:pPr>
      <w:bookmarkStart w:id="80" w:name="_Toc1344"/>
      <w:bookmarkStart w:id="81" w:name="_Toc28528"/>
      <w:r>
        <w:rPr>
          <w:rFonts w:hint="eastAsia" w:ascii="仿宋_GB2312" w:hAnsi="仿宋" w:eastAsia="仿宋_GB2312"/>
          <w:sz w:val="32"/>
          <w:szCs w:val="32"/>
        </w:rPr>
        <w:t>2021年度支出合计1061.92万元，主要用于以下方面：一般公共服务867.79万元，占81.72%；社会保障和就业97.27万元，占9.16%；卫生健康36.36万元，3.42%；住房保障60.5万元，占5.7%。</w:t>
      </w:r>
      <w:bookmarkEnd w:id="80"/>
      <w:bookmarkEnd w:id="81"/>
    </w:p>
    <w:p>
      <w:pPr>
        <w:pStyle w:val="2"/>
        <w:ind w:left="840" w:leftChars="400" w:firstLine="800" w:firstLineChars="400"/>
      </w:pPr>
      <w:r>
        <w:drawing>
          <wp:inline distT="0" distB="0" distL="0" distR="0">
            <wp:extent cx="2905125" cy="2038350"/>
            <wp:effectExtent l="19050" t="0" r="9525" b="0"/>
            <wp:docPr id="20" name="图片 20" descr="C:\Users\Administrator\AppData\Roaming\Tencent\Users\876747027\QQ\WinTemp\RichOle\S8W7@_KUG]TZ_$%ST6_$21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strator\AppData\Roaming\Tencent\Users\876747027\QQ\WinTemp\RichOle\S8W7@_KUG]TZ_$%ST6_$21N.png"/>
                    <pic:cNvPicPr>
                      <a:picLocks noChangeAspect="1" noChangeArrowheads="1"/>
                    </pic:cNvPicPr>
                  </pic:nvPicPr>
                  <pic:blipFill>
                    <a:blip r:embed="rId10" cstate="print"/>
                    <a:srcRect/>
                    <a:stretch>
                      <a:fillRect/>
                    </a:stretch>
                  </pic:blipFill>
                  <pic:spPr>
                    <a:xfrm>
                      <a:off x="0" y="0"/>
                      <a:ext cx="2905125" cy="2038350"/>
                    </a:xfrm>
                    <a:prstGeom prst="rect">
                      <a:avLst/>
                    </a:prstGeom>
                    <a:noFill/>
                    <a:ln w="9525">
                      <a:noFill/>
                      <a:miter lim="800000"/>
                      <a:headEnd/>
                      <a:tailEnd/>
                    </a:ln>
                  </pic:spPr>
                </pic:pic>
              </a:graphicData>
            </a:graphic>
          </wp:inline>
        </w:drawing>
      </w:r>
    </w:p>
    <w:p>
      <w:pPr>
        <w:spacing w:line="578" w:lineRule="exact"/>
        <w:ind w:firstLine="643" w:firstLineChars="200"/>
        <w:outlineLvl w:val="2"/>
        <w:rPr>
          <w:rFonts w:ascii="仿宋" w:hAnsi="仿宋" w:eastAsia="仿宋"/>
          <w:b/>
          <w:color w:val="000000"/>
          <w:sz w:val="32"/>
          <w:szCs w:val="32"/>
        </w:rPr>
      </w:pPr>
      <w:bookmarkStart w:id="82" w:name="_Toc5750"/>
      <w:bookmarkStart w:id="83" w:name="_Toc24542"/>
      <w:r>
        <w:rPr>
          <w:rFonts w:hint="eastAsia" w:ascii="仿宋" w:hAnsi="仿宋" w:eastAsia="仿宋"/>
          <w:b/>
          <w:color w:val="000000"/>
          <w:sz w:val="32"/>
          <w:szCs w:val="32"/>
        </w:rPr>
        <w:t>（三）一般公共预算财政拨款支出决算具体情况</w:t>
      </w:r>
      <w:bookmarkEnd w:id="77"/>
      <w:bookmarkEnd w:id="78"/>
      <w:bookmarkEnd w:id="79"/>
      <w:bookmarkEnd w:id="82"/>
      <w:bookmarkEnd w:id="83"/>
    </w:p>
    <w:p>
      <w:pPr>
        <w:spacing w:line="578" w:lineRule="exact"/>
        <w:ind w:firstLine="640" w:firstLineChars="200"/>
        <w:outlineLvl w:val="2"/>
      </w:pPr>
      <w:bookmarkStart w:id="84" w:name="_Toc21233"/>
      <w:bookmarkStart w:id="85" w:name="_Toc27430"/>
      <w:bookmarkStart w:id="86" w:name="_Toc15396608"/>
      <w:bookmarkStart w:id="87" w:name="_Toc15377214"/>
      <w:bookmarkStart w:id="88" w:name="_Toc79163618"/>
      <w:bookmarkStart w:id="89" w:name="_Toc79163868"/>
      <w:r>
        <w:rPr>
          <w:rFonts w:hint="eastAsia" w:ascii="仿宋_GB2312" w:hAnsi="仿宋" w:eastAsia="仿宋_GB2312"/>
          <w:sz w:val="32"/>
          <w:szCs w:val="32"/>
        </w:rPr>
        <w:t>2021年度支出合计1061.92万元，完成预算100%。主要用于以下方面：一般公共服务867.79万元，完成预算100%；社会保障和就业97.27万元，完成预算100%；卫生健康36.36万元，完成预算100%；住房保障60.5万元，完成预算100%。</w:t>
      </w:r>
      <w:bookmarkEnd w:id="84"/>
      <w:bookmarkEnd w:id="85"/>
    </w:p>
    <w:p>
      <w:pPr>
        <w:pStyle w:val="4"/>
        <w:rPr>
          <w:rStyle w:val="27"/>
          <w:b/>
          <w:bCs/>
        </w:rPr>
      </w:pPr>
      <w:bookmarkStart w:id="90" w:name="_Toc17605"/>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bCs/>
        </w:rPr>
        <w:t>般公共预算财政拨款基本支出决算情况说明</w:t>
      </w:r>
      <w:bookmarkEnd w:id="86"/>
      <w:bookmarkEnd w:id="87"/>
      <w:bookmarkEnd w:id="88"/>
      <w:bookmarkEnd w:id="89"/>
      <w:bookmarkEnd w:id="90"/>
      <w:r>
        <w:rPr>
          <w:rStyle w:val="27"/>
          <w:rFonts w:ascii="黑体" w:hAnsi="黑体" w:eastAsia="黑体"/>
          <w:b w:val="0"/>
          <w:bCs/>
        </w:rPr>
        <w:tab/>
      </w:r>
    </w:p>
    <w:p>
      <w:pPr>
        <w:spacing w:line="578"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1年一般公共预算财政拨款基本支出871.93万元，其中：</w:t>
      </w:r>
    </w:p>
    <w:p>
      <w:pPr>
        <w:spacing w:line="578"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756.12万元，主要包括：基本工资、津贴补贴、奖金、伙食补助费、机关事业单位基本养老保险缴费、职业年金缴费、其他社会保障缴费、其他工资福利支出、生活补助、医疗费补助、奖励金、住房公积金、其他对个人和家庭的补助支出等。</w:t>
      </w:r>
    </w:p>
    <w:p>
      <w:pPr>
        <w:spacing w:line="578" w:lineRule="exact"/>
        <w:ind w:firstLine="645"/>
        <w:rPr>
          <w:rFonts w:ascii="黑体" w:eastAsia="黑体"/>
          <w:color w:val="000000"/>
          <w:sz w:val="32"/>
          <w:szCs w:val="32"/>
        </w:rPr>
      </w:pPr>
      <w:r>
        <w:rPr>
          <w:rFonts w:hint="eastAsia" w:ascii="仿宋" w:hAnsi="仿宋" w:eastAsia="仿宋"/>
          <w:color w:val="000000"/>
          <w:sz w:val="32"/>
          <w:szCs w:val="32"/>
        </w:rPr>
        <w:t>日常公用经费114.11万元，主要包括：办公费、手续费、水费、电费、邮电费、差旅费、培训费、劳务费、公务用车运行维护费、办公设备购置等。</w:t>
      </w:r>
      <w:bookmarkStart w:id="91" w:name="_Toc15377215"/>
      <w:bookmarkStart w:id="92" w:name="_Toc15396609"/>
      <w:bookmarkStart w:id="93" w:name="_Toc79163869"/>
      <w:bookmarkStart w:id="94" w:name="_Toc79163619"/>
    </w:p>
    <w:p>
      <w:pPr>
        <w:pStyle w:val="4"/>
        <w:rPr>
          <w:rStyle w:val="27"/>
          <w:rFonts w:ascii="黑体" w:hAnsi="黑体" w:eastAsia="黑体"/>
          <w:b w:val="0"/>
          <w:bCs/>
        </w:rPr>
      </w:pPr>
      <w:bookmarkStart w:id="95" w:name="_Toc20975"/>
      <w:r>
        <w:rPr>
          <w:rFonts w:hint="eastAsia" w:ascii="黑体" w:eastAsia="黑体"/>
          <w:color w:val="000000"/>
          <w:sz w:val="32"/>
          <w:szCs w:val="32"/>
        </w:rPr>
        <w:t>七、</w:t>
      </w:r>
      <w:r>
        <w:rPr>
          <w:rStyle w:val="27"/>
          <w:rFonts w:hint="eastAsia" w:ascii="黑体" w:hAnsi="黑体" w:eastAsia="黑体"/>
          <w:b/>
          <w:bCs/>
        </w:rPr>
        <w:t>“</w:t>
      </w:r>
      <w:r>
        <w:rPr>
          <w:rStyle w:val="27"/>
          <w:rFonts w:hint="eastAsia" w:ascii="黑体" w:hAnsi="黑体" w:eastAsia="黑体"/>
          <w:b w:val="0"/>
          <w:bCs/>
        </w:rPr>
        <w:t>三公”经费财政拨款支出决算情况说明</w:t>
      </w:r>
      <w:bookmarkEnd w:id="91"/>
      <w:bookmarkEnd w:id="92"/>
      <w:bookmarkEnd w:id="93"/>
      <w:bookmarkEnd w:id="94"/>
      <w:bookmarkEnd w:id="95"/>
    </w:p>
    <w:p>
      <w:pPr>
        <w:spacing w:line="578" w:lineRule="exact"/>
        <w:ind w:firstLine="640"/>
        <w:outlineLvl w:val="2"/>
        <w:rPr>
          <w:rFonts w:ascii="仿宋" w:hAnsi="仿宋" w:eastAsia="仿宋"/>
          <w:b/>
          <w:color w:val="000000"/>
          <w:sz w:val="32"/>
          <w:szCs w:val="32"/>
        </w:rPr>
      </w:pPr>
      <w:bookmarkStart w:id="96" w:name="_Toc15377216"/>
      <w:bookmarkStart w:id="97" w:name="_Toc79163870"/>
      <w:bookmarkStart w:id="98" w:name="_Toc79163620"/>
      <w:bookmarkStart w:id="99" w:name="_Toc30477"/>
      <w:r>
        <w:rPr>
          <w:rFonts w:hint="eastAsia" w:ascii="仿宋" w:hAnsi="仿宋" w:eastAsia="仿宋"/>
          <w:b/>
          <w:color w:val="000000"/>
          <w:sz w:val="32"/>
          <w:szCs w:val="32"/>
        </w:rPr>
        <w:t>（一）“三公”经费财政拨款支出决算总体情况说明</w:t>
      </w:r>
      <w:bookmarkEnd w:id="96"/>
      <w:bookmarkEnd w:id="97"/>
      <w:bookmarkEnd w:id="98"/>
      <w:bookmarkEnd w:id="99"/>
    </w:p>
    <w:p>
      <w:pPr>
        <w:spacing w:line="578" w:lineRule="exact"/>
        <w:ind w:firstLine="640"/>
        <w:rPr>
          <w:rFonts w:ascii="仿宋" w:hAnsi="仿宋" w:eastAsia="仿宋"/>
          <w:b/>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1年“三公”经费财政拨款支出决算为104.75万元，完成预算100</w:t>
      </w:r>
      <w:r>
        <w:rPr>
          <w:rFonts w:ascii="仿宋" w:hAnsi="仿宋" w:eastAsia="仿宋"/>
          <w:color w:val="000000"/>
          <w:sz w:val="32"/>
          <w:szCs w:val="32"/>
        </w:rPr>
        <w:t>%</w:t>
      </w:r>
      <w:r>
        <w:rPr>
          <w:rFonts w:hint="eastAsia" w:ascii="仿宋" w:hAnsi="仿宋" w:eastAsia="仿宋"/>
          <w:color w:val="000000"/>
          <w:sz w:val="32"/>
          <w:szCs w:val="32"/>
        </w:rPr>
        <w:t>。</w:t>
      </w:r>
    </w:p>
    <w:p>
      <w:pPr>
        <w:snapToGrid w:val="0"/>
        <w:spacing w:line="520" w:lineRule="exact"/>
        <w:ind w:firstLine="643" w:firstLineChars="200"/>
        <w:rPr>
          <w:rFonts w:ascii="仿宋" w:hAnsi="仿宋" w:eastAsia="仿宋"/>
          <w:b/>
          <w:color w:val="000000"/>
          <w:sz w:val="32"/>
          <w:szCs w:val="32"/>
        </w:rPr>
      </w:pPr>
      <w:bookmarkStart w:id="100" w:name="_Toc15377217"/>
      <w:bookmarkStart w:id="101" w:name="_Toc79163621"/>
      <w:bookmarkStart w:id="102" w:name="_Toc79163871"/>
      <w:r>
        <w:rPr>
          <w:rFonts w:hint="eastAsia" w:ascii="仿宋" w:hAnsi="仿宋" w:eastAsia="仿宋"/>
          <w:b/>
          <w:color w:val="000000"/>
          <w:sz w:val="32"/>
          <w:szCs w:val="32"/>
        </w:rPr>
        <w:t>（二）“三公”经费财政拨款支出决算具体情况说明</w:t>
      </w:r>
      <w:bookmarkEnd w:id="100"/>
      <w:bookmarkEnd w:id="101"/>
      <w:bookmarkEnd w:id="102"/>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2021年“三公”经费财政拨款支出决算中：其中：公务用车运行维护费54.76万元，占52.28%，公车购置费49.99万元，占47.72%。无公务接待费。上年度“三公”经费47.35万元，与上年度相比增加57.4万元，增加的主要原因一是本年度购置两台执法执勤用车；二是调进人员增加较多。</w:t>
      </w:r>
    </w:p>
    <w:p>
      <w:pPr>
        <w:pStyle w:val="2"/>
        <w:ind w:left="0" w:leftChars="0" w:firstLine="0" w:firstLineChars="0"/>
        <w:jc w:val="center"/>
      </w:pPr>
      <w:r>
        <w:drawing>
          <wp:inline distT="0" distB="0" distL="0" distR="0">
            <wp:extent cx="2867025" cy="1914525"/>
            <wp:effectExtent l="19050" t="0" r="9525" b="0"/>
            <wp:docPr id="22" name="图片 22" descr="C:\Users\Administrator\AppData\Roaming\Tencent\Users\876747027\QQ\WinTemp\RichOle\(UTIB@3Y{DG0W`LBM3W]V0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Administrator\AppData\Roaming\Tencent\Users\876747027\QQ\WinTemp\RichOle\(UTIB@3Y{DG0W`LBM3W]V0O.png"/>
                    <pic:cNvPicPr>
                      <a:picLocks noChangeAspect="1" noChangeArrowheads="1"/>
                    </pic:cNvPicPr>
                  </pic:nvPicPr>
                  <pic:blipFill>
                    <a:blip r:embed="rId11" cstate="print"/>
                    <a:srcRect/>
                    <a:stretch>
                      <a:fillRect/>
                    </a:stretch>
                  </pic:blipFill>
                  <pic:spPr>
                    <a:xfrm>
                      <a:off x="0" y="0"/>
                      <a:ext cx="2867025" cy="1914525"/>
                    </a:xfrm>
                    <a:prstGeom prst="rect">
                      <a:avLst/>
                    </a:prstGeom>
                    <a:noFill/>
                    <a:ln w="9525">
                      <a:noFill/>
                      <a:miter lim="800000"/>
                      <a:headEnd/>
                      <a:tailEnd/>
                    </a:ln>
                  </pic:spPr>
                </pic:pic>
              </a:graphicData>
            </a:graphic>
          </wp:inline>
        </w:drawing>
      </w:r>
    </w:p>
    <w:p>
      <w:pPr>
        <w:pStyle w:val="4"/>
        <w:rPr>
          <w:rStyle w:val="27"/>
          <w:rFonts w:ascii="黑体" w:hAnsi="黑体" w:eastAsia="黑体"/>
          <w:b w:val="0"/>
          <w:bCs/>
        </w:rPr>
      </w:pPr>
      <w:bookmarkStart w:id="103" w:name="_Toc79163622"/>
      <w:bookmarkStart w:id="104" w:name="_Toc15377218"/>
      <w:bookmarkStart w:id="105" w:name="_Toc15396610"/>
      <w:bookmarkStart w:id="106" w:name="_Toc79163872"/>
      <w:bookmarkStart w:id="107" w:name="_Toc4560"/>
      <w:r>
        <w:rPr>
          <w:rFonts w:hint="eastAsia" w:ascii="黑体" w:eastAsia="黑体"/>
          <w:color w:val="000000"/>
          <w:sz w:val="32"/>
          <w:szCs w:val="32"/>
        </w:rPr>
        <w:t>八、</w:t>
      </w:r>
      <w:r>
        <w:rPr>
          <w:rStyle w:val="27"/>
          <w:rFonts w:hint="eastAsia" w:ascii="黑体" w:hAnsi="黑体" w:eastAsia="黑体"/>
          <w:b w:val="0"/>
          <w:bCs/>
        </w:rPr>
        <w:t>政府性基金预算支出决算情况说明</w:t>
      </w:r>
      <w:bookmarkEnd w:id="103"/>
      <w:bookmarkEnd w:id="104"/>
      <w:bookmarkEnd w:id="105"/>
      <w:bookmarkEnd w:id="106"/>
      <w:bookmarkEnd w:id="107"/>
    </w:p>
    <w:p>
      <w:pPr>
        <w:spacing w:line="578" w:lineRule="exact"/>
        <w:ind w:firstLine="960" w:firstLineChars="300"/>
        <w:rPr>
          <w:rFonts w:ascii="仿宋_GB2312" w:eastAsia="仿宋_GB2312"/>
          <w:color w:val="000000"/>
          <w:sz w:val="32"/>
          <w:szCs w:val="32"/>
        </w:rPr>
      </w:pPr>
      <w:r>
        <w:rPr>
          <w:rFonts w:hint="eastAsia" w:ascii="仿宋_GB2312" w:eastAsia="仿宋_GB2312"/>
          <w:color w:val="000000"/>
          <w:sz w:val="32"/>
          <w:szCs w:val="32"/>
        </w:rPr>
        <w:t>无</w:t>
      </w:r>
    </w:p>
    <w:p>
      <w:pPr>
        <w:pStyle w:val="4"/>
        <w:numPr>
          <w:ilvl w:val="0"/>
          <w:numId w:val="3"/>
        </w:numPr>
        <w:rPr>
          <w:rStyle w:val="27"/>
          <w:rFonts w:ascii="黑体" w:hAnsi="黑体" w:eastAsia="黑体"/>
          <w:b w:val="0"/>
          <w:bCs/>
        </w:rPr>
      </w:pPr>
      <w:bookmarkStart w:id="108" w:name="_Toc15377219"/>
      <w:bookmarkStart w:id="109" w:name="_Toc15396611"/>
      <w:bookmarkStart w:id="110" w:name="_Toc79163623"/>
      <w:bookmarkStart w:id="111" w:name="_Toc79163873"/>
      <w:bookmarkStart w:id="112" w:name="_Toc4957"/>
      <w:r>
        <w:rPr>
          <w:rStyle w:val="27"/>
          <w:rFonts w:hint="eastAsia" w:ascii="黑体" w:hAnsi="黑体" w:eastAsia="黑体"/>
          <w:b w:val="0"/>
          <w:bCs/>
        </w:rPr>
        <w:t>国有资本经营预算支出决算情况说明</w:t>
      </w:r>
      <w:bookmarkEnd w:id="108"/>
      <w:bookmarkEnd w:id="109"/>
      <w:bookmarkEnd w:id="110"/>
      <w:bookmarkEnd w:id="111"/>
      <w:bookmarkEnd w:id="112"/>
    </w:p>
    <w:p>
      <w:pPr>
        <w:spacing w:line="578"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rPr>
        <w:t>无</w:t>
      </w:r>
    </w:p>
    <w:p>
      <w:pPr>
        <w:pStyle w:val="4"/>
        <w:rPr>
          <w:rStyle w:val="27"/>
          <w:rFonts w:ascii="黑体" w:hAnsi="黑体" w:eastAsia="黑体"/>
          <w:b/>
          <w:bCs/>
        </w:rPr>
      </w:pPr>
      <w:bookmarkStart w:id="113" w:name="_Toc15396612"/>
      <w:bookmarkStart w:id="114" w:name="_Toc15377221"/>
      <w:bookmarkStart w:id="115" w:name="_Toc79163874"/>
      <w:bookmarkStart w:id="116" w:name="_Toc79163624"/>
      <w:bookmarkStart w:id="117" w:name="_Toc2216"/>
      <w:r>
        <w:rPr>
          <w:rFonts w:hint="eastAsia" w:ascii="黑体" w:hAnsi="黑体" w:eastAsia="黑体"/>
          <w:color w:val="000000"/>
          <w:sz w:val="32"/>
          <w:szCs w:val="32"/>
        </w:rPr>
        <w:t>十</w:t>
      </w:r>
      <w:r>
        <w:rPr>
          <w:rStyle w:val="27"/>
          <w:rFonts w:hint="eastAsia" w:ascii="黑体" w:hAnsi="黑体" w:eastAsia="黑体"/>
          <w:b/>
          <w:bCs/>
        </w:rPr>
        <w:t>、</w:t>
      </w:r>
      <w:r>
        <w:rPr>
          <w:rStyle w:val="27"/>
          <w:rFonts w:hint="eastAsia" w:ascii="黑体" w:hAnsi="黑体" w:eastAsia="黑体"/>
          <w:b w:val="0"/>
          <w:bCs/>
        </w:rPr>
        <w:t>其他重要事项的情况说明</w:t>
      </w:r>
      <w:bookmarkEnd w:id="113"/>
      <w:bookmarkEnd w:id="114"/>
      <w:bookmarkEnd w:id="115"/>
      <w:bookmarkEnd w:id="116"/>
      <w:bookmarkEnd w:id="117"/>
    </w:p>
    <w:p>
      <w:pPr>
        <w:spacing w:line="578" w:lineRule="exact"/>
        <w:ind w:firstLine="643" w:firstLineChars="200"/>
        <w:outlineLvl w:val="2"/>
        <w:rPr>
          <w:rFonts w:ascii="仿宋" w:hAnsi="仿宋" w:eastAsia="仿宋"/>
          <w:color w:val="000000"/>
          <w:sz w:val="32"/>
          <w:szCs w:val="32"/>
        </w:rPr>
      </w:pPr>
      <w:bookmarkStart w:id="118" w:name="_Toc15377222"/>
      <w:bookmarkStart w:id="119" w:name="_Toc79163625"/>
      <w:bookmarkStart w:id="120" w:name="_Toc79163875"/>
      <w:bookmarkStart w:id="121" w:name="_Toc11429"/>
      <w:r>
        <w:rPr>
          <w:rFonts w:hint="eastAsia" w:ascii="仿宋" w:hAnsi="仿宋" w:eastAsia="仿宋"/>
          <w:b/>
          <w:color w:val="000000"/>
          <w:sz w:val="32"/>
          <w:szCs w:val="32"/>
        </w:rPr>
        <w:t>（一）机关运行经费支出情况</w:t>
      </w:r>
      <w:bookmarkEnd w:id="118"/>
      <w:bookmarkEnd w:id="119"/>
      <w:bookmarkEnd w:id="120"/>
      <w:bookmarkEnd w:id="121"/>
    </w:p>
    <w:p>
      <w:pPr>
        <w:spacing w:line="578" w:lineRule="exact"/>
        <w:ind w:firstLine="640" w:firstLineChars="200"/>
        <w:rPr>
          <w:rFonts w:ascii="仿宋" w:hAnsi="仿宋" w:eastAsia="仿宋"/>
          <w:b/>
          <w:color w:val="FF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1年，我委机关运行经费支出</w:t>
      </w:r>
      <w:r>
        <w:rPr>
          <w:rFonts w:hint="eastAsia" w:ascii="仿宋_GB2312" w:eastAsia="仿宋_GB2312"/>
          <w:color w:val="000000"/>
          <w:sz w:val="36"/>
          <w:szCs w:val="36"/>
        </w:rPr>
        <w:t>114.11</w:t>
      </w:r>
      <w:r>
        <w:rPr>
          <w:rFonts w:hint="eastAsia" w:ascii="仿宋_GB2312" w:eastAsia="仿宋_GB2312"/>
          <w:color w:val="000000"/>
          <w:sz w:val="32"/>
          <w:szCs w:val="32"/>
        </w:rPr>
        <w:t>万元，与2020年度相比基本持平</w:t>
      </w:r>
      <w:r>
        <w:rPr>
          <w:rFonts w:hint="eastAsia" w:ascii="仿宋_GB2312" w:hAnsi="仿宋" w:eastAsia="仿宋_GB2312"/>
          <w:sz w:val="32"/>
          <w:szCs w:val="32"/>
        </w:rPr>
        <w:t>。</w:t>
      </w:r>
    </w:p>
    <w:p>
      <w:pPr>
        <w:autoSpaceDE w:val="0"/>
        <w:autoSpaceDN w:val="0"/>
        <w:adjustRightInd w:val="0"/>
        <w:spacing w:line="578" w:lineRule="exact"/>
        <w:ind w:firstLine="643" w:firstLineChars="200"/>
        <w:jc w:val="left"/>
        <w:outlineLvl w:val="2"/>
        <w:rPr>
          <w:rFonts w:ascii="仿宋" w:hAnsi="仿宋" w:eastAsia="仿宋"/>
          <w:b/>
          <w:color w:val="000000"/>
          <w:sz w:val="32"/>
          <w:szCs w:val="32"/>
        </w:rPr>
      </w:pPr>
      <w:bookmarkStart w:id="122" w:name="_Toc15377223"/>
      <w:bookmarkStart w:id="123" w:name="_Toc79163626"/>
      <w:bookmarkStart w:id="124" w:name="_Toc79163876"/>
      <w:bookmarkStart w:id="125" w:name="_Toc8196"/>
      <w:r>
        <w:rPr>
          <w:rFonts w:hint="eastAsia" w:ascii="仿宋" w:hAnsi="仿宋" w:eastAsia="仿宋"/>
          <w:b/>
          <w:color w:val="000000"/>
          <w:sz w:val="32"/>
          <w:szCs w:val="32"/>
        </w:rPr>
        <w:t>（二）政府采购支出情况</w:t>
      </w:r>
      <w:bookmarkEnd w:id="122"/>
      <w:bookmarkEnd w:id="123"/>
      <w:bookmarkEnd w:id="124"/>
      <w:bookmarkEnd w:id="125"/>
    </w:p>
    <w:p>
      <w:pPr>
        <w:spacing w:line="578" w:lineRule="exact"/>
        <w:ind w:firstLine="640" w:firstLineChars="200"/>
        <w:rPr>
          <w:rFonts w:ascii="仿宋" w:hAnsi="仿宋" w:eastAsia="仿宋_GB2312"/>
          <w:b/>
          <w:color w:val="FF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1年，我委政府采购支出总额49.99万元，政府采购货物支出49.99万元为采购公务用车两台。</w:t>
      </w:r>
    </w:p>
    <w:p>
      <w:pPr>
        <w:autoSpaceDE w:val="0"/>
        <w:autoSpaceDN w:val="0"/>
        <w:adjustRightInd w:val="0"/>
        <w:spacing w:line="578" w:lineRule="exact"/>
        <w:ind w:firstLine="643" w:firstLineChars="200"/>
        <w:jc w:val="left"/>
        <w:outlineLvl w:val="2"/>
        <w:rPr>
          <w:rFonts w:ascii="仿宋" w:hAnsi="仿宋" w:eastAsia="仿宋"/>
          <w:b/>
          <w:color w:val="000000"/>
          <w:sz w:val="32"/>
          <w:szCs w:val="32"/>
        </w:rPr>
      </w:pPr>
      <w:bookmarkStart w:id="126" w:name="_Toc15377224"/>
      <w:bookmarkStart w:id="127" w:name="_Toc79163877"/>
      <w:bookmarkStart w:id="128" w:name="_Toc79163627"/>
      <w:bookmarkStart w:id="129" w:name="_Toc10004"/>
      <w:r>
        <w:rPr>
          <w:rFonts w:hint="eastAsia" w:ascii="仿宋" w:hAnsi="仿宋" w:eastAsia="仿宋"/>
          <w:b/>
          <w:color w:val="000000"/>
          <w:sz w:val="32"/>
          <w:szCs w:val="32"/>
        </w:rPr>
        <w:t>（三）国有资产占有使用情况</w:t>
      </w:r>
      <w:bookmarkEnd w:id="126"/>
      <w:bookmarkEnd w:id="127"/>
      <w:bookmarkEnd w:id="128"/>
      <w:bookmarkEnd w:id="129"/>
    </w:p>
    <w:p>
      <w:pPr>
        <w:autoSpaceDE w:val="0"/>
        <w:autoSpaceDN w:val="0"/>
        <w:adjustRightInd w:val="0"/>
        <w:spacing w:line="578"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截至2021年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日，我委共有车辆7辆，主要用于执法执勤用车，无</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p>
    <w:p>
      <w:pPr>
        <w:autoSpaceDE w:val="0"/>
        <w:autoSpaceDN w:val="0"/>
        <w:adjustRightInd w:val="0"/>
        <w:spacing w:line="578" w:lineRule="exact"/>
        <w:ind w:firstLine="643" w:firstLineChars="200"/>
        <w:jc w:val="left"/>
        <w:outlineLvl w:val="2"/>
        <w:rPr>
          <w:rFonts w:ascii="仿宋" w:hAnsi="仿宋" w:eastAsia="仿宋"/>
          <w:b/>
          <w:color w:val="000000"/>
          <w:sz w:val="32"/>
          <w:szCs w:val="32"/>
        </w:rPr>
      </w:pPr>
      <w:bookmarkStart w:id="130" w:name="_Toc79163878"/>
      <w:bookmarkStart w:id="131" w:name="_Toc79163628"/>
      <w:bookmarkStart w:id="132" w:name="_Toc12491"/>
      <w:r>
        <w:rPr>
          <w:rFonts w:hint="eastAsia" w:ascii="仿宋" w:hAnsi="仿宋" w:eastAsia="仿宋"/>
          <w:b/>
          <w:color w:val="000000"/>
          <w:sz w:val="32"/>
          <w:szCs w:val="32"/>
        </w:rPr>
        <w:t>（四）预算绩效管理情况。</w:t>
      </w:r>
      <w:bookmarkEnd w:id="130"/>
      <w:bookmarkEnd w:id="131"/>
      <w:bookmarkEnd w:id="132"/>
    </w:p>
    <w:p>
      <w:pPr>
        <w:pStyle w:val="21"/>
        <w:spacing w:before="0" w:beforeAutospacing="0" w:after="0" w:afterAutospacing="0" w:line="578" w:lineRule="exact"/>
        <w:ind w:firstLine="640" w:firstLineChars="200"/>
        <w:rPr>
          <w:rFonts w:ascii="仿宋_GB2312" w:hAnsi="仿宋_GB2312" w:eastAsia="仿宋_GB2312" w:cs="仿宋_GB2312"/>
          <w:color w:val="000000"/>
          <w:sz w:val="32"/>
          <w:szCs w:val="32"/>
        </w:rPr>
      </w:pPr>
      <w:bookmarkStart w:id="133" w:name="_Toc15396613"/>
      <w:bookmarkStart w:id="134" w:name="_Toc15377225"/>
      <w:bookmarkStart w:id="135" w:name="_Toc79163629"/>
      <w:bookmarkStart w:id="136" w:name="_Toc79163879"/>
      <w:r>
        <w:rPr>
          <w:rFonts w:hint="eastAsia" w:ascii="仿宋_GB2312" w:hAnsi="仿宋_GB2312" w:eastAsia="仿宋_GB2312" w:cs="仿宋_GB2312"/>
          <w:sz w:val="32"/>
          <w:szCs w:val="32"/>
        </w:rPr>
        <w:t>我委按要求对2021年部门整体支出开展绩效自评，从评价情况来看，</w:t>
      </w:r>
      <w:r>
        <w:rPr>
          <w:rFonts w:hint="eastAsia" w:ascii="仿宋_GB2312" w:hAnsi="仿宋_GB2312" w:eastAsia="仿宋_GB2312" w:cs="仿宋_GB2312"/>
          <w:b/>
          <w:bCs/>
          <w:color w:val="000000"/>
          <w:sz w:val="32"/>
          <w:szCs w:val="32"/>
          <w:lang w:val="zh-CN"/>
        </w:rPr>
        <w:t>执行管理情况：</w:t>
      </w:r>
      <w:r>
        <w:rPr>
          <w:rFonts w:hint="eastAsia" w:ascii="仿宋_GB2312" w:hAnsi="仿宋_GB2312" w:eastAsia="仿宋_GB2312" w:cs="仿宋_GB2312"/>
          <w:color w:val="000000"/>
          <w:sz w:val="32"/>
          <w:szCs w:val="32"/>
          <w:shd w:val="clear" w:color="auto" w:fill="FFFFFF"/>
        </w:rPr>
        <w:t>一是行政运行保障情况。我委严格按照年初预算安排,严格执行中央八项规定和省、州相关规定,厉行节约规范使用预算资金。收入上，严格执行 "收支两条线"管理制度，按规定使用非税票据（罚没票据），无隐瞒收入和其他违反国家收费管理规定的行为。在支出管理中,严格执行国库集中支付、政府采购、公务卡报销等相关财务管理制度。认真做好每月与银行等的对账工作，加强动态监控，保障机关各项工作顺利开展。二是“三公”经费预算执行情况。我局严格按照中央省州的相关文件要求, 严控“三公经费”支出。</w:t>
      </w:r>
      <w:r>
        <w:rPr>
          <w:rFonts w:hint="eastAsia" w:ascii="仿宋_GB2312" w:hAnsi="仿宋_GB2312" w:eastAsia="仿宋_GB2312" w:cs="仿宋_GB2312"/>
          <w:b/>
          <w:bCs/>
          <w:color w:val="000000"/>
          <w:sz w:val="32"/>
          <w:szCs w:val="32"/>
          <w:lang w:val="zh-CN"/>
        </w:rPr>
        <w:t>综合管理情况：</w:t>
      </w:r>
      <w:r>
        <w:rPr>
          <w:rFonts w:hint="eastAsia" w:ascii="仿宋_GB2312" w:hAnsi="仿宋_GB2312" w:eastAsia="仿宋_GB2312" w:cs="仿宋_GB2312"/>
          <w:sz w:val="32"/>
          <w:szCs w:val="32"/>
        </w:rPr>
        <w:t>一是我委无政府性债务。二是</w:t>
      </w:r>
      <w:r>
        <w:rPr>
          <w:rFonts w:hint="eastAsia" w:ascii="仿宋_GB2312" w:hAnsi="仿宋_GB2312" w:eastAsia="仿宋_GB2312" w:cs="仿宋_GB2312"/>
          <w:color w:val="000000"/>
          <w:sz w:val="32"/>
          <w:szCs w:val="32"/>
          <w:shd w:val="clear" w:color="auto" w:fill="FFFFFF"/>
        </w:rPr>
        <w:t>加强政府采购管理。严格按照《政府采购法》和《政府采购法实施条例》等相关管理规定。采购前,单位与财政等做好相关事项事前沟通,做好采购政策咨询，了解相关业务规范；采购中,合理选择采购方式，确保采购流程合理合规，做好采购项目信息的公开公示工作；采购后,抓好采购项目的监管工作，严把质量关力求实效。三是</w:t>
      </w:r>
      <w:r>
        <w:rPr>
          <w:rFonts w:hint="eastAsia" w:ascii="仿宋_GB2312" w:hAnsi="仿宋_GB2312" w:eastAsia="仿宋_GB2312" w:cs="仿宋_GB2312"/>
          <w:sz w:val="32"/>
          <w:szCs w:val="32"/>
        </w:rPr>
        <w:t>资产管理严格按照资产管理制度执行，</w:t>
      </w:r>
      <w:r>
        <w:rPr>
          <w:rFonts w:hint="eastAsia" w:ascii="仿宋_GB2312" w:hAnsi="仿宋_GB2312" w:eastAsia="仿宋_GB2312" w:cs="仿宋_GB2312"/>
          <w:color w:val="000000"/>
          <w:sz w:val="32"/>
          <w:szCs w:val="32"/>
          <w:shd w:val="clear" w:color="auto" w:fill="FFFFFF"/>
        </w:rPr>
        <w:t>做好固定资产采买、报废、调整等相关管理工作。我委资产录入固定资产管理系统,建资产管理卡片,及时更新资产管理信息系统数据，做到账实相符、账卡相符。</w:t>
      </w:r>
      <w:r>
        <w:rPr>
          <w:rFonts w:hint="eastAsia" w:ascii="仿宋_GB2312" w:hAnsi="仿宋_GB2312" w:eastAsia="仿宋_GB2312" w:cs="仿宋_GB2312"/>
          <w:color w:val="000000"/>
          <w:sz w:val="32"/>
          <w:szCs w:val="32"/>
        </w:rPr>
        <w:t>为我委履行职能需要相适应;科学合理,充分发挥资产使用效益;勤俭节约,从严控制。四是建立单位内控制度，</w:t>
      </w:r>
      <w:r>
        <w:rPr>
          <w:rFonts w:hint="eastAsia" w:ascii="仿宋_GB2312" w:hAnsi="仿宋_GB2312" w:eastAsia="仿宋_GB2312" w:cs="仿宋_GB2312"/>
          <w:sz w:val="32"/>
          <w:szCs w:val="32"/>
        </w:rPr>
        <w:t>我委已借助第三方中介机构建立本单位的内控体系。五是我委将同级财政部门批复的本部门预决算报表及相关说明全部在政府门户网站公开，</w:t>
      </w:r>
      <w:r>
        <w:rPr>
          <w:rFonts w:hint="eastAsia" w:ascii="仿宋_GB2312" w:hAnsi="仿宋_GB2312" w:eastAsia="仿宋_GB2312" w:cs="仿宋_GB2312"/>
          <w:color w:val="000000"/>
          <w:sz w:val="32"/>
          <w:szCs w:val="32"/>
        </w:rPr>
        <w:t>包括部门收支总体情况和财政拨款收支情况，公开公示了我委“三公”经费财政拨款预决算总额和分项数额。公开预决算的同时，一并公开了我委的职责、机构设置情况、预决算收支增减变化、机关运行经费安排以及政府采购等情况的说明，并对专业性较强的名词进行解释。</w:t>
      </w:r>
    </w:p>
    <w:p>
      <w:pPr>
        <w:pStyle w:val="21"/>
        <w:spacing w:before="0" w:beforeAutospacing="0" w:after="0" w:afterAutospacing="0" w:line="578" w:lineRule="exact"/>
        <w:ind w:firstLine="640" w:firstLineChars="200"/>
        <w:rPr>
          <w:rFonts w:ascii="仿宋_GB2312" w:hAnsi="仿宋_GB2312" w:eastAsia="仿宋_GB2312" w:cs="仿宋_GB2312"/>
          <w:color w:val="000000"/>
          <w:sz w:val="32"/>
          <w:szCs w:val="32"/>
        </w:rPr>
      </w:pPr>
    </w:p>
    <w:p>
      <w:pPr>
        <w:pStyle w:val="21"/>
        <w:spacing w:before="0" w:beforeAutospacing="0" w:after="0" w:afterAutospacing="0" w:line="578" w:lineRule="exact"/>
        <w:ind w:firstLine="640" w:firstLineChars="200"/>
        <w:rPr>
          <w:rFonts w:ascii="仿宋_GB2312" w:hAnsi="仿宋_GB2312" w:eastAsia="仿宋_GB2312" w:cs="仿宋_GB2312"/>
          <w:color w:val="000000"/>
          <w:sz w:val="32"/>
          <w:szCs w:val="32"/>
        </w:rPr>
      </w:pPr>
    </w:p>
    <w:p>
      <w:pPr>
        <w:pStyle w:val="21"/>
        <w:spacing w:before="0" w:beforeAutospacing="0" w:after="0" w:afterAutospacing="0" w:line="578" w:lineRule="exact"/>
        <w:ind w:firstLine="640" w:firstLineChars="200"/>
        <w:rPr>
          <w:rFonts w:ascii="仿宋_GB2312" w:hAnsi="仿宋_GB2312" w:eastAsia="仿宋_GB2312" w:cs="仿宋_GB2312"/>
          <w:color w:val="000000"/>
          <w:sz w:val="32"/>
          <w:szCs w:val="32"/>
        </w:rPr>
      </w:pPr>
    </w:p>
    <w:p>
      <w:pPr>
        <w:pStyle w:val="21"/>
        <w:spacing w:before="0" w:beforeAutospacing="0" w:after="0" w:afterAutospacing="0" w:line="578" w:lineRule="exact"/>
        <w:ind w:firstLine="640" w:firstLineChars="200"/>
        <w:rPr>
          <w:rFonts w:hint="eastAsia" w:ascii="仿宋_GB2312" w:hAnsi="仿宋_GB2312" w:eastAsia="仿宋_GB2312" w:cs="仿宋_GB2312"/>
          <w:color w:val="000000"/>
          <w:sz w:val="32"/>
          <w:szCs w:val="32"/>
        </w:rPr>
      </w:pPr>
    </w:p>
    <w:p>
      <w:pPr>
        <w:pStyle w:val="21"/>
        <w:spacing w:before="0" w:beforeAutospacing="0" w:after="0" w:afterAutospacing="0" w:line="578" w:lineRule="exact"/>
        <w:ind w:firstLine="640" w:firstLineChars="200"/>
        <w:rPr>
          <w:rFonts w:hint="eastAsia" w:ascii="仿宋_GB2312" w:hAnsi="仿宋_GB2312" w:eastAsia="仿宋_GB2312" w:cs="仿宋_GB2312"/>
          <w:color w:val="000000"/>
          <w:sz w:val="32"/>
          <w:szCs w:val="32"/>
        </w:rPr>
      </w:pPr>
    </w:p>
    <w:p>
      <w:pPr>
        <w:pStyle w:val="21"/>
        <w:spacing w:before="0" w:beforeAutospacing="0" w:after="0" w:afterAutospacing="0" w:line="578" w:lineRule="exact"/>
        <w:ind w:firstLine="640" w:firstLineChars="200"/>
        <w:rPr>
          <w:rFonts w:hint="eastAsia" w:ascii="仿宋_GB2312" w:hAnsi="仿宋_GB2312" w:eastAsia="仿宋_GB2312" w:cs="仿宋_GB2312"/>
          <w:color w:val="000000"/>
          <w:sz w:val="32"/>
          <w:szCs w:val="32"/>
        </w:rPr>
      </w:pPr>
    </w:p>
    <w:p>
      <w:pPr>
        <w:pStyle w:val="21"/>
        <w:spacing w:before="0" w:beforeAutospacing="0" w:after="0" w:afterAutospacing="0" w:line="578" w:lineRule="exact"/>
        <w:rPr>
          <w:rFonts w:ascii="仿宋_GB2312" w:hAnsi="仿宋_GB2312" w:eastAsia="仿宋_GB2312" w:cs="仿宋_GB2312"/>
          <w:color w:val="000000"/>
          <w:sz w:val="32"/>
          <w:szCs w:val="32"/>
        </w:rPr>
      </w:pPr>
    </w:p>
    <w:p>
      <w:pPr>
        <w:numPr>
          <w:ilvl w:val="0"/>
          <w:numId w:val="4"/>
        </w:numPr>
        <w:spacing w:line="578" w:lineRule="exact"/>
        <w:ind w:firstLine="660" w:firstLineChars="150"/>
        <w:jc w:val="center"/>
        <w:outlineLvl w:val="0"/>
        <w:rPr>
          <w:rStyle w:val="26"/>
          <w:rFonts w:ascii="黑体" w:hAnsi="黑体" w:eastAsia="黑体"/>
          <w:b w:val="0"/>
        </w:rPr>
      </w:pPr>
      <w:bookmarkStart w:id="137" w:name="_Toc12195"/>
      <w:r>
        <w:rPr>
          <w:rFonts w:hint="eastAsia" w:ascii="黑体" w:hAnsi="黑体" w:eastAsia="黑体"/>
          <w:color w:val="000000"/>
          <w:sz w:val="44"/>
          <w:szCs w:val="44"/>
        </w:rPr>
        <w:t>名</w:t>
      </w:r>
      <w:r>
        <w:rPr>
          <w:rStyle w:val="26"/>
          <w:rFonts w:hint="eastAsia" w:ascii="黑体" w:hAnsi="黑体" w:eastAsia="黑体"/>
          <w:b w:val="0"/>
        </w:rPr>
        <w:t>词解释</w:t>
      </w:r>
      <w:bookmarkEnd w:id="133"/>
      <w:bookmarkEnd w:id="134"/>
      <w:bookmarkEnd w:id="135"/>
      <w:bookmarkEnd w:id="136"/>
      <w:bookmarkEnd w:id="137"/>
    </w:p>
    <w:p>
      <w:pPr>
        <w:spacing w:line="578" w:lineRule="exact"/>
        <w:jc w:val="left"/>
        <w:rPr>
          <w:rFonts w:ascii="宋体"/>
          <w:b/>
          <w:color w:val="000000"/>
          <w:sz w:val="44"/>
          <w:szCs w:val="44"/>
        </w:rPr>
      </w:pPr>
    </w:p>
    <w:p>
      <w:pPr>
        <w:pStyle w:val="36"/>
        <w:spacing w:line="578" w:lineRule="exact"/>
        <w:ind w:firstLine="640" w:firstLineChars="200"/>
        <w:rPr>
          <w:rFonts w:ascii="仿宋_GB2312" w:eastAsia="仿宋_GB2312"/>
          <w:sz w:val="32"/>
          <w:szCs w:val="32"/>
        </w:rPr>
      </w:pPr>
      <w:bookmarkStart w:id="138"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spacing w:line="578"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一般公共服务（类）201（款）11（项）01：</w:t>
      </w:r>
      <w:r>
        <w:rPr>
          <w:rFonts w:hint="eastAsia" w:ascii="仿宋_GB2312" w:hAnsi="宋体" w:eastAsia="仿宋_GB2312"/>
          <w:sz w:val="32"/>
          <w:szCs w:val="32"/>
        </w:rPr>
        <w:t>指行政运行</w:t>
      </w:r>
      <w:r>
        <w:rPr>
          <w:rFonts w:hint="eastAsia" w:ascii="仿宋_GB2312" w:eastAsia="仿宋_GB2312"/>
          <w:color w:val="000000"/>
          <w:sz w:val="32"/>
          <w:szCs w:val="32"/>
        </w:rPr>
        <w:t>。</w:t>
      </w:r>
    </w:p>
    <w:p>
      <w:pPr>
        <w:spacing w:line="578" w:lineRule="exact"/>
        <w:ind w:firstLine="640" w:firstLineChars="200"/>
        <w:rPr>
          <w:rFonts w:ascii="仿宋_GB2312" w:hAnsi="宋体" w:eastAsia="仿宋_GB2312"/>
          <w:sz w:val="32"/>
          <w:szCs w:val="32"/>
        </w:rPr>
      </w:pPr>
      <w:r>
        <w:rPr>
          <w:rFonts w:hint="eastAsia" w:ascii="仿宋_GB2312" w:eastAsia="仿宋_GB2312"/>
          <w:color w:val="000000"/>
          <w:sz w:val="32"/>
          <w:szCs w:val="32"/>
        </w:rPr>
        <w:t>3.</w:t>
      </w:r>
      <w:r>
        <w:rPr>
          <w:rFonts w:hint="eastAsia" w:ascii="仿宋_GB2312" w:hAnsi="宋体" w:eastAsia="仿宋_GB2312"/>
          <w:sz w:val="32"/>
          <w:szCs w:val="32"/>
        </w:rPr>
        <w:t>社会保障和就业（类）208（款）05（项）05：指机关事业单位基本养老保险。（类）208（款）08（项）01：指死亡抚恤。</w:t>
      </w:r>
    </w:p>
    <w:p>
      <w:pPr>
        <w:spacing w:line="578" w:lineRule="exact"/>
        <w:ind w:firstLine="640" w:firstLineChars="200"/>
        <w:rPr>
          <w:rFonts w:ascii="仿宋_GB2312" w:hAnsi="宋体" w:eastAsia="仿宋_GB2312"/>
          <w:sz w:val="32"/>
          <w:szCs w:val="32"/>
        </w:rPr>
      </w:pPr>
      <w:r>
        <w:rPr>
          <w:rFonts w:hint="eastAsia" w:ascii="仿宋_GB2312" w:eastAsia="仿宋_GB2312"/>
          <w:color w:val="000000"/>
          <w:sz w:val="32"/>
          <w:szCs w:val="32"/>
        </w:rPr>
        <w:t>4.</w:t>
      </w:r>
      <w:r>
        <w:rPr>
          <w:rFonts w:hint="eastAsia" w:ascii="仿宋_GB2312" w:hAnsi="宋体" w:eastAsia="仿宋_GB2312"/>
          <w:sz w:val="32"/>
          <w:szCs w:val="32"/>
        </w:rPr>
        <w:t>医疗卫生与计划生育（类）210（款）05（项）01：指行政单位医疗。</w:t>
      </w:r>
    </w:p>
    <w:p>
      <w:pPr>
        <w:spacing w:line="578" w:lineRule="exact"/>
        <w:ind w:firstLine="640" w:firstLineChars="200"/>
        <w:rPr>
          <w:rFonts w:ascii="仿宋_GB2312" w:eastAsia="仿宋_GB2312"/>
          <w:color w:val="000000"/>
          <w:sz w:val="32"/>
          <w:szCs w:val="32"/>
        </w:rPr>
      </w:pPr>
      <w:r>
        <w:rPr>
          <w:rFonts w:hint="eastAsia" w:ascii="仿宋_GB2312" w:hAnsi="宋体" w:eastAsia="仿宋_GB2312"/>
          <w:sz w:val="32"/>
          <w:szCs w:val="32"/>
        </w:rPr>
        <w:t>5.住房保障（类）221（款）02（项）01：指住房公积金。</w:t>
      </w:r>
    </w:p>
    <w:p>
      <w:pPr>
        <w:spacing w:line="578"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578"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pStyle w:val="36"/>
        <w:spacing w:line="578" w:lineRule="exact"/>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6"/>
        <w:spacing w:line="578" w:lineRule="exact"/>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8" w:lineRule="exact"/>
        <w:jc w:val="center"/>
        <w:outlineLvl w:val="0"/>
        <w:rPr>
          <w:rStyle w:val="26"/>
          <w:rFonts w:ascii="黑体" w:hAnsi="黑体" w:eastAsia="黑体"/>
          <w:b w:val="0"/>
        </w:rPr>
      </w:pPr>
      <w:r>
        <w:rPr>
          <w:rFonts w:ascii="宋体"/>
          <w:b/>
          <w:color w:val="000000"/>
          <w:sz w:val="44"/>
          <w:szCs w:val="44"/>
        </w:rPr>
        <w:br w:type="page"/>
      </w:r>
      <w:bookmarkStart w:id="139" w:name="_Toc15396614"/>
      <w:bookmarkStart w:id="140" w:name="_Toc79163630"/>
      <w:bookmarkStart w:id="141" w:name="_Toc79163880"/>
      <w:bookmarkStart w:id="142" w:name="_Toc13589"/>
      <w:r>
        <w:rPr>
          <w:rFonts w:hint="eastAsia" w:ascii="黑体" w:hAnsi="黑体" w:eastAsia="黑体"/>
          <w:color w:val="000000"/>
          <w:sz w:val="44"/>
          <w:szCs w:val="44"/>
        </w:rPr>
        <w:t>第</w:t>
      </w:r>
      <w:r>
        <w:rPr>
          <w:rStyle w:val="26"/>
          <w:rFonts w:hint="eastAsia" w:ascii="黑体" w:hAnsi="黑体" w:eastAsia="黑体"/>
          <w:b w:val="0"/>
        </w:rPr>
        <w:t>四部分附件</w:t>
      </w:r>
      <w:bookmarkEnd w:id="139"/>
      <w:bookmarkEnd w:id="140"/>
      <w:bookmarkEnd w:id="141"/>
      <w:bookmarkEnd w:id="142"/>
    </w:p>
    <w:p>
      <w:pPr>
        <w:spacing w:line="578" w:lineRule="exact"/>
        <w:jc w:val="left"/>
        <w:outlineLvl w:val="0"/>
        <w:rPr>
          <w:rFonts w:ascii="方正小标宋简体" w:hAnsi="方正小标宋简体" w:eastAsia="方正小标宋简体" w:cs="方正小标宋简体"/>
          <w:sz w:val="32"/>
          <w:szCs w:val="32"/>
        </w:rPr>
      </w:pPr>
      <w:bookmarkStart w:id="143" w:name="_Toc79163881"/>
      <w:bookmarkStart w:id="144" w:name="_Toc79163631"/>
      <w:bookmarkStart w:id="145" w:name="_Toc23808"/>
      <w:r>
        <w:rPr>
          <w:rFonts w:hint="eastAsia" w:ascii="黑体" w:hAnsi="黑体" w:eastAsia="黑体" w:cs="黑体"/>
          <w:sz w:val="32"/>
          <w:szCs w:val="32"/>
        </w:rPr>
        <w:t>附件</w:t>
      </w:r>
      <w:r>
        <w:rPr>
          <w:rFonts w:ascii="黑体" w:hAnsi="黑体" w:eastAsia="黑体" w:cs="黑体"/>
          <w:sz w:val="32"/>
          <w:szCs w:val="32"/>
        </w:rPr>
        <w:t>1</w:t>
      </w:r>
      <w:bookmarkEnd w:id="143"/>
      <w:bookmarkEnd w:id="144"/>
      <w:bookmarkEnd w:id="145"/>
    </w:p>
    <w:p>
      <w:pPr>
        <w:spacing w:line="578" w:lineRule="exact"/>
        <w:jc w:val="center"/>
        <w:rPr>
          <w:rFonts w:ascii="方正小标宋简体" w:hAnsi="方正小标宋简体" w:eastAsia="方正小标宋简体" w:cs="方正小标宋简体"/>
          <w:sz w:val="44"/>
          <w:szCs w:val="44"/>
        </w:rPr>
      </w:pPr>
    </w:p>
    <w:p>
      <w:pPr>
        <w:spacing w:line="578" w:lineRule="exact"/>
        <w:jc w:val="center"/>
        <w:outlineLvl w:val="0"/>
        <w:rPr>
          <w:rFonts w:ascii="仿宋_GB2312" w:hAnsi="宋体" w:eastAsia="仿宋_GB2312"/>
          <w:sz w:val="32"/>
          <w:szCs w:val="32"/>
          <w:shd w:val="clear" w:color="auto" w:fill="FFFFFF"/>
        </w:rPr>
      </w:pPr>
      <w:bookmarkStart w:id="146" w:name="_Toc79163632"/>
      <w:bookmarkStart w:id="147" w:name="_Toc79163882"/>
      <w:bookmarkStart w:id="148" w:name="_Toc16872"/>
      <w:r>
        <w:rPr>
          <w:rFonts w:hint="eastAsia" w:ascii="方正小标宋简体" w:hAnsi="方正小标宋简体" w:eastAsia="方正小标宋简体" w:cs="方正小标宋简体"/>
          <w:sz w:val="44"/>
          <w:szCs w:val="44"/>
        </w:rPr>
        <w:t>中共松潘县纪律检查委员会</w:t>
      </w:r>
      <w:r>
        <w:rPr>
          <w:rFonts w:ascii="方正小标宋简体" w:hAnsi="黑体" w:eastAsia="方正小标宋简体" w:cs="黑体"/>
          <w:sz w:val="44"/>
          <w:szCs w:val="44"/>
        </w:rPr>
        <w:t>202</w:t>
      </w:r>
      <w:r>
        <w:rPr>
          <w:rFonts w:hint="eastAsia" w:ascii="方正小标宋简体" w:hAnsi="黑体" w:eastAsia="方正小标宋简体" w:cs="黑体"/>
          <w:sz w:val="44"/>
          <w:szCs w:val="44"/>
        </w:rPr>
        <w:t>1年部门整体支出绩效评价报告</w:t>
      </w:r>
      <w:bookmarkEnd w:id="146"/>
      <w:bookmarkEnd w:id="147"/>
      <w:bookmarkEnd w:id="148"/>
    </w:p>
    <w:p>
      <w:pPr>
        <w:widowControl/>
        <w:adjustRightInd w:val="0"/>
        <w:snapToGrid w:val="0"/>
        <w:spacing w:line="578"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78"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1．主要职能。</w:t>
      </w:r>
    </w:p>
    <w:p>
      <w:pPr>
        <w:widowControl/>
        <w:spacing w:line="578"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一）负责全县党的纪律检查工作。贯彻落实党中央、省委、州委和县委关于纪律检查工作的决定，维护党的章程和其他党内法规，检查党的路线方针政策和决议的执行情况，协助县委推进全面从严治党、加强党风廉政建设和组织协调反腐败工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二）依照党的章程和其他党内法规履行监督、执纪、问责职责。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（三）负责全县监察工作。贯彻落实党中央、省委、州委和县委关于监察工作的决定，维护宪法法律，依法对县委管理的行使公权力的公职人员进行监察，调查职务违法和职务犯罪，开展廉政建设和反腐败工作。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四）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（五）负责组织协调全面从严治党、党风廉政建设和反腐败宣传教育工作。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（六）负责综合分析全面从严治党、党风廉政建设和反腐败工作情况，对纪检监察工作重要理论及实践问题进行调查研究。参与起草我县规范性文件。</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（七）在州纪委监委的领导下，加强对反腐败国际追逃追赃和防逃工作的组织协调，督促有关部门做好相关工作。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八）根据干部管理权限，负责纪检监察系统领导班子建设、干部队伍建设和组织建设的综合规划、政策研究、制度建设和业务指导。会同有关方面做好县纪委监委派驻机构、乡镇纪委监察室、县企事业纪检监察机构领导班子建设有关工作。组织和指导纪检监察系统干部教育培训工作等。</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（九）完成县委和州纪委监委交办的其他任务。</w:t>
      </w:r>
    </w:p>
    <w:p>
      <w:pPr>
        <w:numPr>
          <w:ilvl w:val="0"/>
          <w:numId w:val="1"/>
        </w:num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机构情况。</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办公室。负责县纪委监委机关日常运转工作。筹备组织重要会议、活动；组织起草县纪委监委有关文件文稿；督促检查上级批办交办事项、县纪委全会工作部署和县纪委常委会（县监委委务会）等决定事项及委领导批办交办事项的落实情况；负责机关机要保密工作，负责机关财务管理、车辆管理、国有资产管理、安全保卫、干部职工医疗、卫生防疫等后勤管理服务工作，负责派驻机构差旅费报销、工资津补贴发放等后勤保障（办公场所、办公设施设备、办公日常运行费、车辆保障由驻在部门负责）工作；负责县纪委委员的联络工作，组织协调特约监察员工作；负责机关及派驻机构档案和涉案款物保管工作；负责县纪委监委机关党的建设、工会、共青团和妇代小组工作；负责组织开展有关党风廉政建设法律法规、理论政策、形势任务、决策部署和先进典型等宣传及舆论引导工作；负责县纪委监委机关的新闻事务和有关网络信息工作等；指导全县纪检监察系统的宣传教育、廉政文化建设和网络信息工作。负责综合分析全县全面从严治党、党风廉政建设和反腐败工作情况，开展政策理论及重大课题调查研究；起草领导同志文稿，会同、协助有关内设机构起草机关重要文件文稿；汇总、整理全县党风廉政建设和反腐败工作研究成果和信息资料，组织开展对纪检监察工作历史及规律的研究。</w:t>
      </w:r>
    </w:p>
    <w:p>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党风政风监督室。负责综合协调贯彻执行党的路线方针政策和决议、国家法律法规等情况的监督检查，组织协调重要监督检查活动，负责汇总党风廉政建设和反腐败工情况；综合协调党的政治纪律和政治规矩执行；综合协调贯彻落实中央八项规定精神、纠正“四风”工作；综合协调整治群众身边和扶贫领域的腐败和作风问题；综合协调党内监督、党的问责等方面工作，推动管党治党政治责任落实；综合协调县纪委监委机关参与调查的事故、事件中涉及的监督对象违纪违法行为和需要问责情形的调查处理工作；综合分析党风政风监督工作情况，开展调查研究，提出工作建议；组织开展党风政风监督专项检查活动；协调办理县管干部任职前回复县委组织部意见工作；负责组织协调全县全面从严治党、党风廉政建设和反腐败宣传教育以及廉洁文化建设工作；指导全县纪检监察系统的党风政风监督工作。</w:t>
      </w:r>
    </w:p>
    <w:p>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三）信访室。负责受理对党的组织、党员违反党纪行为，对监察对象不依法履职，违反秉公用权、廉洁从政从业及道德操守等规定，涉嫌职务违法、职务犯罪行为的检举控告；归口受理对县委管理的党的组织、党员、监察对象的上述信访举报，统一接收上级转办和县纪委监委派驻机构、乡镇纪委监察室报送的相关信访举报，分类摘要后将问题线索类信访举报移交案件监督管理室；受理党员对县纪委作出的党纪处分或者其他处理不服的申诉、监察对象对县监委作出的涉及本人的处理决定不服的复审申请；综合分析信访举报情况；接待群众来访，处理群众来信和电话网络举报事项等；指导全县纪检监察系统的信访举报工作。</w:t>
      </w:r>
    </w:p>
    <w:p>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四）案件监督管理室。负责对监督检查、审查调查工作全过程进行监督管理，履行线索管理、组织协调、监督检查、督促办理、统计分析等职责；统一受理巡视巡察工作机构和审计机关、行政执法机关、司法机关等单位移交的相关问题线索。对问题线索实行集中管理，动态更新、定期汇总核对，提出分办意见，按程序移送承办机构；统一受理下级纪检监察机关线索处置和案件查办报告，定期汇总、核对问题线索及处置情况，分送有关内设机构；归口管理审查调查工作中与有关部门的联系协调事项；对调查措施使用进行监督管理；负责对依纪依法安全办案情况进行监督检查，对纪委监委办案场所的安全保卫、保密等工作进行监督检查，落实办案安全工作责任制；指导乡镇纪委监察室案件监督管理工作；在州纪委监委领导下，承担反腐败国际追逃追赃和防逃工作的组织协调；负责监督检查、审查调查工作中的信息技术保障工作。</w:t>
      </w:r>
    </w:p>
    <w:p>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五）第一至第四纪检监察室。负责监督检查的纪检监察室主要履行依纪依法监督的职责。监督检查联系单位（乡、镇）领导班子及县管干部遵守和执行党的章程和其他党内法规，遵守和执行党的路线方针政策和决议、国家法律法规，推进全面从严治党，依法履职、秉公用权、廉洁从政从业以及道德操守等方面的情况；监督检查联系单位（乡、镇）党委（党组）落实管党治党主体责任的情况，指导、检查、督促联系纪委（派驻机构）落实纪检、监察责任，实施问责；向监察对象所在单位提出监察建议；综合分析研判问题线索，对适用“四种形态”中第一种、第二种形态的，按程序提出处置意见；对适用第三种、第四种形态的，按程序移交负责审查调查的纪检监察室；综合、协调、指导联系单位（乡、镇）纪检监察工作等。负责审查调查的纪检监察室主要履行执纪审查和依法调查处置的职责。承办涉嫌严重违纪或者职务违法、职务犯罪问题线索的初步核实和立案审查调查，以及其他比较重要或者复杂案件的初步核实、审查调查，并提出处理建议；向监察对象所在单位提出监察建议；可以办理下一级监察机关管辖范围内的监察事项，对在审查调查中发现的相关问题线索，送案件监督管理室按程序处置。</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案件审理室。负责审理县纪委监委机关直接审查调查和科级党组织、纪检监察机关报批或备案的违反党纪和职务违法、职务犯罪案件，严格依规依纪依法提出处理或者处分意见；协助机关内设机构规范性文件起草工作；负责纪检监察法规制度和规范性文件的咨询答复、解释指导、备案清查、清理、审核、评估、编纂等工作；承办党员对县纪委作出的党纪处分或者其他处理不服的申诉案件、监察对象对县监委作出的涉及本人的处理决定不服的申请复审案件，以及其他需要由县纪委监委办理的申诉、复核案件等；指导全县纪检监察系统案件审理等工作。</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纪检监察干部监督室。按照干部管理权限，负责全县纪检监察系统领导班子建设、干部队伍建设和组织建设的综合规划、政策研究、制度建设和业务指导；负责县纪委监委机关、派驻机构及乡镇纪委监察室人事工作；会同有关部门，负责乡镇纪委监察室、县纪委监委派驻机构、县属企事业纪委领导班子成员提名、考察、任免等干部人事工作；组织和指导全县纪检监察系统干部教育培训工作；负责县纪委监委机关离退休老干部的管理服务工作；负责派驻机构干部日常管理和监督工作。负责监督检查全县纪检监察系统干部遵守和执行党的章程和其他党内法规、党的路线方针政策和决议、国家法律法规等方面的情况；负责受理对县纪委监委机关各内设机构、直属单位、县纪委监委派驻机构和县委巡察办干部，乡镇纪委监察室和县属企事业单位纪委领导班子及其成员涉嫌违反党纪、职务违法和职务犯罪等问题的举报，提出处置意见并负责问题线索初步核实及立案审查调查工作等；负责县纪委监委机关干部日常管理和监督，承担绩效考核工作；指导全县纪检监察系统干部监督工作</w:t>
      </w:r>
    </w:p>
    <w:p>
      <w:pPr>
        <w:numPr>
          <w:ilvl w:val="0"/>
          <w:numId w:val="1"/>
        </w:num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人员情况。</w:t>
      </w:r>
    </w:p>
    <w:p>
      <w:pPr>
        <w:snapToGrid w:val="0"/>
        <w:spacing w:line="578"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县纪委、监察委机关编数为27人，综合管理类职位编制数25人，工勤2人</w:t>
      </w:r>
      <w:r>
        <w:rPr>
          <w:rFonts w:hint="eastAsia" w:ascii="仿宋_GB2312" w:hAnsi="仿宋_GB2312" w:cs="仿宋_GB2312"/>
          <w:sz w:val="32"/>
          <w:szCs w:val="32"/>
        </w:rPr>
        <w:t>；</w:t>
      </w:r>
      <w:r>
        <w:rPr>
          <w:rFonts w:hint="eastAsia" w:ascii="仿宋_GB2312" w:hAnsi="仿宋_GB2312" w:eastAsia="仿宋_GB2312" w:cs="仿宋_GB2312"/>
          <w:sz w:val="32"/>
          <w:szCs w:val="32"/>
        </w:rPr>
        <w:t>县纪委监察派出机构综合管理类职位编制数</w:t>
      </w:r>
      <w:r>
        <w:rPr>
          <w:rFonts w:hint="eastAsia" w:ascii="仿宋_GB2312" w:hAnsi="仿宋_GB2312" w:cs="仿宋_GB2312"/>
          <w:sz w:val="32"/>
          <w:szCs w:val="32"/>
        </w:rPr>
        <w:t>22</w:t>
      </w:r>
      <w:r>
        <w:rPr>
          <w:rFonts w:hint="eastAsia" w:ascii="仿宋_GB2312" w:hAnsi="仿宋_GB2312" w:eastAsia="仿宋_GB2312" w:cs="仿宋_GB2312"/>
          <w:sz w:val="32"/>
          <w:szCs w:val="32"/>
        </w:rPr>
        <w:t>名</w:t>
      </w:r>
      <w:r>
        <w:rPr>
          <w:rFonts w:hint="eastAsia" w:ascii="仿宋_GB2312" w:hAnsi="仿宋_GB2312" w:cs="仿宋_GB2312"/>
          <w:sz w:val="32"/>
          <w:szCs w:val="32"/>
        </w:rPr>
        <w:t>；</w:t>
      </w:r>
      <w:r>
        <w:rPr>
          <w:rFonts w:hint="eastAsia" w:ascii="仿宋_GB2312" w:hAnsi="仿宋_GB2312" w:eastAsia="仿宋_GB2312" w:cs="仿宋_GB2312"/>
          <w:sz w:val="32"/>
          <w:szCs w:val="32"/>
        </w:rPr>
        <w:t>财务帐中还含县委巡察办综合管理类职位编制数</w:t>
      </w:r>
      <w:r>
        <w:rPr>
          <w:rFonts w:hint="eastAsia" w:ascii="仿宋_GB2312" w:hAnsi="仿宋_GB2312" w:cs="仿宋_GB2312"/>
          <w:sz w:val="32"/>
          <w:szCs w:val="32"/>
        </w:rPr>
        <w:t>6</w:t>
      </w:r>
      <w:r>
        <w:rPr>
          <w:rFonts w:hint="eastAsia" w:ascii="仿宋_GB2312" w:hAnsi="仿宋_GB2312" w:eastAsia="仿宋_GB2312" w:cs="仿宋_GB2312"/>
          <w:sz w:val="32"/>
          <w:szCs w:val="32"/>
        </w:rPr>
        <w:t>人，工勤1人。</w:t>
      </w:r>
    </w:p>
    <w:p>
      <w:pPr>
        <w:snapToGrid w:val="0"/>
        <w:spacing w:line="578" w:lineRule="exact"/>
        <w:ind w:firstLine="645"/>
        <w:rPr>
          <w:rFonts w:ascii="黑体" w:hAnsi="宋体" w:eastAsia="黑体" w:cs="宋体"/>
          <w:color w:val="000000"/>
          <w:kern w:val="0"/>
          <w:sz w:val="32"/>
          <w:szCs w:val="32"/>
          <w:shd w:val="clear" w:color="auto" w:fill="FFFFFF"/>
        </w:rPr>
      </w:pPr>
      <w:r>
        <w:rPr>
          <w:rFonts w:hint="eastAsia" w:ascii="仿宋_GB2312" w:hAnsi="仿宋_GB2312" w:eastAsia="仿宋_GB2312" w:cs="仿宋_GB2312"/>
          <w:sz w:val="32"/>
          <w:szCs w:val="32"/>
        </w:rPr>
        <w:t>二、</w:t>
      </w:r>
      <w:r>
        <w:rPr>
          <w:rFonts w:hint="eastAsia" w:ascii="黑体" w:hAnsi="宋体" w:eastAsia="黑体" w:cs="宋体"/>
          <w:color w:val="000000"/>
          <w:kern w:val="0"/>
          <w:sz w:val="32"/>
          <w:szCs w:val="32"/>
          <w:shd w:val="clear" w:color="auto" w:fill="FFFFFF"/>
        </w:rPr>
        <w:t>部门财政资金收支情况</w:t>
      </w:r>
    </w:p>
    <w:p>
      <w:pPr>
        <w:widowControl/>
        <w:adjustRightInd w:val="0"/>
        <w:snapToGrid w:val="0"/>
        <w:spacing w:line="578"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78"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2021年度收入合计1056.92万元，比上年度增加29.75%；增加的主要原因一是本年度调进人员较多；二是换届纪检人员变动大培训费用增加；三是购买两台执法执勤用车，致使费用增加较大。</w:t>
      </w:r>
    </w:p>
    <w:p>
      <w:pPr>
        <w:pStyle w:val="43"/>
        <w:widowControl/>
        <w:numPr>
          <w:ilvl w:val="0"/>
          <w:numId w:val="5"/>
        </w:numPr>
        <w:adjustRightInd w:val="0"/>
        <w:snapToGrid w:val="0"/>
        <w:spacing w:line="578" w:lineRule="exact"/>
        <w:ind w:firstLineChars="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pStyle w:val="43"/>
        <w:snapToGrid w:val="0"/>
        <w:spacing w:line="520" w:lineRule="exact"/>
        <w:ind w:left="160" w:firstLine="480" w:firstLineChars="150"/>
        <w:rPr>
          <w:rFonts w:ascii="仿宋_GB2312" w:hAnsi="仿宋" w:eastAsia="仿宋_GB2312"/>
          <w:sz w:val="32"/>
          <w:szCs w:val="32"/>
        </w:rPr>
      </w:pPr>
      <w:r>
        <w:rPr>
          <w:rFonts w:hint="eastAsia" w:ascii="仿宋_GB2312" w:hAnsi="仿宋" w:eastAsia="仿宋_GB2312"/>
          <w:sz w:val="32"/>
          <w:szCs w:val="32"/>
        </w:rPr>
        <w:t>本年支出本年支出1061.92万元，比上年度增加加28.08%。增加的主要原因一是本年度调进人员较多；二是换届纪检人员变动大培训费用增加；三是购买两台执法执勤用车，致使费用增加较大。</w:t>
      </w:r>
    </w:p>
    <w:p>
      <w:pPr>
        <w:snapToGrid w:val="0"/>
        <w:spacing w:line="578" w:lineRule="exact"/>
        <w:ind w:firstLine="640" w:firstLineChars="20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78"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78" w:lineRule="exact"/>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严格按照预算管理的相关规定和本部门预算编制要求,科学合理编制项目预算,按时完成了预算编制工作。</w:t>
      </w:r>
    </w:p>
    <w:p>
      <w:pPr>
        <w:widowControl/>
        <w:adjustRightInd w:val="0"/>
        <w:snapToGrid w:val="0"/>
        <w:spacing w:line="578"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spacing w:line="578"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一是行政运行保障情况。我委严格按照年初预算安排,严格执行中央八项规定和省、州相关规定,厉行节约规范使用预算资金。收入上，严格执行 "收支两条线"管理制度，按规定使用非税票据（罚没票据），无隐瞒收入和其他违反国家收费管理规定的行为。在支出管理中,严格执行国库集中支付、政府采购、公务卡报销等相关财务管理制度。认真做好每月与银行等的对账工作，加强动态监控，保障机关各项工作顺利开展。</w:t>
      </w:r>
    </w:p>
    <w:p>
      <w:pPr>
        <w:widowControl/>
        <w:adjustRightInd w:val="0"/>
        <w:snapToGrid w:val="0"/>
        <w:spacing w:line="578"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78"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2021度我委严格按照年初预算批复认真组织实施,</w:t>
      </w:r>
      <w:r>
        <w:rPr>
          <w:rFonts w:hint="eastAsia" w:ascii="宋体" w:hAnsi="宋体" w:cs="宋体"/>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严格执行财经纪律相关管理规定，做到各项收支安排使用符合事发展计划和财政政策的要求，确保了我委正常运行，较好地完成了2020年度决算编制工作,但仍存在预算编制、预算执行不够完善，绩效管理工作有待加强等问题。</w:t>
      </w:r>
    </w:p>
    <w:p>
      <w:pPr>
        <w:pStyle w:val="21"/>
        <w:shd w:val="clear" w:color="auto" w:fill="FFFFFF"/>
        <w:spacing w:before="0" w:beforeAutospacing="0" w:after="0" w:afterAutospacing="0" w:line="578"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在今后的工作中,我委将严格按照新《预算法》的要求，加强预算编制的科学性、合理性,让预算编制更贴合实际，使项目预算与工作结合更加紧密。严格按照批复预算执行，并按照单位各项工作开展进度有计划申请资金及时支付。加强预算绩效管理，增强预算约束力，做好预算支出绩效目标及各项绩效指标的细化、量化工作,用好用活各类财政资金，提高财政资金的使用效益。</w:t>
      </w:r>
    </w:p>
    <w:p>
      <w:pPr>
        <w:widowControl/>
        <w:spacing w:line="57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建议财政部门能组织各单位财务人员到外地进行业务的培训，不断提升各单位财务人员的业务素质和职业道德。</w:t>
      </w:r>
    </w:p>
    <w:p>
      <w:pPr>
        <w:spacing w:line="578" w:lineRule="exact"/>
        <w:ind w:firstLine="640" w:firstLineChars="200"/>
        <w:rPr>
          <w:rFonts w:ascii="仿宋_GB2312" w:hAnsi="仿宋_GB2312" w:eastAsia="仿宋_GB2312" w:cs="仿宋_GB2312"/>
          <w:sz w:val="32"/>
          <w:szCs w:val="32"/>
        </w:rPr>
      </w:pPr>
    </w:p>
    <w:p>
      <w:pPr>
        <w:spacing w:line="578" w:lineRule="exact"/>
        <w:jc w:val="left"/>
        <w:outlineLvl w:val="0"/>
        <w:rPr>
          <w:rFonts w:ascii="黑体" w:hAnsi="黑体" w:eastAsia="黑体" w:cs="黑体"/>
          <w:sz w:val="32"/>
          <w:szCs w:val="32"/>
        </w:rPr>
      </w:pPr>
      <w:bookmarkStart w:id="149" w:name="_Toc79163633"/>
      <w:bookmarkStart w:id="150" w:name="_Toc79163883"/>
    </w:p>
    <w:p>
      <w:pPr>
        <w:spacing w:line="578" w:lineRule="exact"/>
        <w:jc w:val="left"/>
        <w:outlineLvl w:val="0"/>
        <w:rPr>
          <w:rFonts w:ascii="黑体" w:hAnsi="黑体" w:eastAsia="黑体" w:cs="黑体"/>
          <w:sz w:val="32"/>
          <w:szCs w:val="32"/>
        </w:rPr>
      </w:pPr>
    </w:p>
    <w:p>
      <w:pPr>
        <w:spacing w:line="578" w:lineRule="exact"/>
        <w:jc w:val="left"/>
        <w:outlineLvl w:val="0"/>
        <w:rPr>
          <w:rFonts w:ascii="黑体" w:hAnsi="黑体" w:eastAsia="黑体" w:cs="黑体"/>
          <w:sz w:val="32"/>
          <w:szCs w:val="32"/>
        </w:rPr>
      </w:pPr>
    </w:p>
    <w:p>
      <w:pPr>
        <w:spacing w:line="578" w:lineRule="exact"/>
        <w:jc w:val="left"/>
        <w:outlineLvl w:val="0"/>
        <w:rPr>
          <w:rFonts w:ascii="黑体" w:hAnsi="黑体" w:eastAsia="黑体" w:cs="黑体"/>
          <w:sz w:val="32"/>
          <w:szCs w:val="32"/>
        </w:rPr>
      </w:pPr>
    </w:p>
    <w:p>
      <w:pPr>
        <w:spacing w:line="578" w:lineRule="exact"/>
        <w:jc w:val="left"/>
        <w:outlineLvl w:val="0"/>
        <w:rPr>
          <w:rFonts w:ascii="黑体" w:hAnsi="黑体" w:eastAsia="黑体" w:cs="黑体"/>
          <w:sz w:val="32"/>
          <w:szCs w:val="32"/>
        </w:rPr>
      </w:pPr>
    </w:p>
    <w:p>
      <w:pPr>
        <w:spacing w:line="578" w:lineRule="exact"/>
        <w:jc w:val="left"/>
        <w:outlineLvl w:val="0"/>
        <w:rPr>
          <w:rFonts w:ascii="黑体" w:hAnsi="黑体" w:eastAsia="黑体" w:cs="黑体"/>
          <w:sz w:val="32"/>
          <w:szCs w:val="32"/>
        </w:rPr>
      </w:pPr>
    </w:p>
    <w:p>
      <w:pPr>
        <w:spacing w:line="578" w:lineRule="exact"/>
        <w:jc w:val="left"/>
        <w:outlineLvl w:val="0"/>
        <w:rPr>
          <w:rFonts w:ascii="黑体" w:hAnsi="黑体" w:eastAsia="黑体" w:cs="黑体"/>
          <w:sz w:val="32"/>
          <w:szCs w:val="32"/>
        </w:rPr>
      </w:pPr>
    </w:p>
    <w:p>
      <w:pPr>
        <w:spacing w:line="578" w:lineRule="exact"/>
        <w:jc w:val="left"/>
        <w:outlineLvl w:val="0"/>
        <w:rPr>
          <w:rFonts w:ascii="黑体" w:hAnsi="黑体" w:eastAsia="黑体" w:cs="黑体"/>
          <w:sz w:val="32"/>
          <w:szCs w:val="32"/>
        </w:rPr>
      </w:pPr>
    </w:p>
    <w:p>
      <w:pPr>
        <w:spacing w:line="578" w:lineRule="exact"/>
        <w:jc w:val="left"/>
        <w:outlineLvl w:val="0"/>
        <w:rPr>
          <w:rFonts w:ascii="黑体" w:hAnsi="黑体" w:eastAsia="黑体" w:cs="黑体"/>
          <w:sz w:val="32"/>
          <w:szCs w:val="32"/>
        </w:rPr>
      </w:pPr>
    </w:p>
    <w:bookmarkEnd w:id="149"/>
    <w:bookmarkEnd w:id="150"/>
    <w:p>
      <w:pPr>
        <w:spacing w:line="578" w:lineRule="exact"/>
        <w:jc w:val="center"/>
        <w:outlineLvl w:val="0"/>
        <w:rPr>
          <w:rFonts w:ascii="黑体" w:hAnsi="黑体" w:eastAsia="黑体"/>
          <w:color w:val="000000"/>
          <w:sz w:val="44"/>
          <w:szCs w:val="44"/>
        </w:rPr>
      </w:pPr>
      <w:bookmarkStart w:id="151" w:name="_Toc15396618"/>
      <w:bookmarkStart w:id="152" w:name="_Toc79163635"/>
      <w:bookmarkStart w:id="153" w:name="_Toc79163885"/>
    </w:p>
    <w:p>
      <w:pPr>
        <w:spacing w:line="578" w:lineRule="exact"/>
        <w:jc w:val="center"/>
        <w:outlineLvl w:val="0"/>
        <w:rPr>
          <w:rFonts w:ascii="黑体" w:hAnsi="黑体" w:eastAsia="黑体"/>
          <w:color w:val="000000"/>
          <w:sz w:val="44"/>
          <w:szCs w:val="44"/>
        </w:rPr>
      </w:pPr>
    </w:p>
    <w:p>
      <w:pPr>
        <w:spacing w:line="578" w:lineRule="exact"/>
        <w:jc w:val="center"/>
        <w:outlineLvl w:val="0"/>
        <w:rPr>
          <w:rFonts w:ascii="黑体" w:hAnsi="黑体" w:eastAsia="黑体"/>
          <w:color w:val="000000"/>
          <w:sz w:val="44"/>
          <w:szCs w:val="44"/>
        </w:rPr>
      </w:pPr>
    </w:p>
    <w:p>
      <w:pPr>
        <w:spacing w:line="578" w:lineRule="exact"/>
        <w:jc w:val="center"/>
        <w:outlineLvl w:val="0"/>
        <w:rPr>
          <w:rStyle w:val="26"/>
          <w:rFonts w:ascii="黑体" w:hAnsi="黑体" w:eastAsia="黑体"/>
          <w:b w:val="0"/>
        </w:rPr>
      </w:pPr>
      <w:bookmarkStart w:id="154" w:name="_Toc11496"/>
      <w:r>
        <w:rPr>
          <w:rFonts w:hint="eastAsia" w:ascii="黑体" w:hAnsi="黑体" w:eastAsia="黑体"/>
          <w:color w:val="000000"/>
          <w:sz w:val="44"/>
          <w:szCs w:val="44"/>
        </w:rPr>
        <w:t>第</w:t>
      </w:r>
      <w:r>
        <w:rPr>
          <w:rStyle w:val="26"/>
          <w:rFonts w:hint="eastAsia" w:ascii="黑体" w:hAnsi="黑体" w:eastAsia="黑体"/>
          <w:b w:val="0"/>
        </w:rPr>
        <w:t>五部分附表</w:t>
      </w:r>
      <w:bookmarkEnd w:id="138"/>
      <w:bookmarkEnd w:id="151"/>
      <w:bookmarkEnd w:id="152"/>
      <w:bookmarkEnd w:id="153"/>
      <w:bookmarkEnd w:id="154"/>
    </w:p>
    <w:p>
      <w:pPr>
        <w:pStyle w:val="4"/>
        <w:spacing w:line="578" w:lineRule="exact"/>
        <w:rPr>
          <w:rFonts w:ascii="仿宋" w:hAnsi="仿宋" w:eastAsia="仿宋"/>
          <w:color w:val="000000"/>
        </w:rPr>
      </w:pPr>
      <w:bookmarkStart w:id="155" w:name="_Toc15396619"/>
      <w:bookmarkStart w:id="156" w:name="_Toc79163636"/>
      <w:bookmarkStart w:id="157" w:name="_Toc79163886"/>
      <w:bookmarkStart w:id="158" w:name="_Toc20400"/>
      <w:r>
        <w:rPr>
          <w:rFonts w:hint="eastAsia" w:ascii="仿宋" w:hAnsi="仿宋" w:eastAsia="仿宋"/>
          <w:b w:val="0"/>
          <w:color w:val="000000"/>
        </w:rPr>
        <w:t>一、收</w:t>
      </w:r>
      <w:r>
        <w:rPr>
          <w:rStyle w:val="27"/>
          <w:rFonts w:hint="eastAsia" w:ascii="仿宋" w:hAnsi="仿宋" w:eastAsia="仿宋"/>
          <w:b w:val="0"/>
          <w:bCs w:val="0"/>
        </w:rPr>
        <w:t>入支出决算总表</w:t>
      </w:r>
      <w:bookmarkEnd w:id="155"/>
      <w:bookmarkEnd w:id="156"/>
      <w:bookmarkEnd w:id="157"/>
      <w:bookmarkEnd w:id="158"/>
    </w:p>
    <w:p>
      <w:pPr>
        <w:pStyle w:val="4"/>
        <w:spacing w:line="578" w:lineRule="exact"/>
        <w:rPr>
          <w:rFonts w:ascii="仿宋" w:hAnsi="仿宋" w:eastAsia="仿宋"/>
          <w:color w:val="000000"/>
        </w:rPr>
      </w:pPr>
      <w:bookmarkStart w:id="159" w:name="_Toc15396620"/>
      <w:bookmarkStart w:id="160" w:name="_Toc79163637"/>
      <w:bookmarkStart w:id="161" w:name="_Toc79163887"/>
      <w:bookmarkStart w:id="162" w:name="_Toc26923"/>
      <w:r>
        <w:rPr>
          <w:rFonts w:hint="eastAsia" w:ascii="仿宋" w:hAnsi="仿宋" w:eastAsia="仿宋"/>
          <w:b w:val="0"/>
          <w:color w:val="000000"/>
        </w:rPr>
        <w:t>二、收</w:t>
      </w:r>
      <w:r>
        <w:rPr>
          <w:rStyle w:val="27"/>
          <w:rFonts w:hint="eastAsia" w:ascii="仿宋" w:hAnsi="仿宋" w:eastAsia="仿宋"/>
          <w:b w:val="0"/>
          <w:bCs w:val="0"/>
        </w:rPr>
        <w:t>入决算表</w:t>
      </w:r>
      <w:bookmarkEnd w:id="159"/>
      <w:bookmarkEnd w:id="160"/>
      <w:bookmarkEnd w:id="161"/>
      <w:bookmarkEnd w:id="162"/>
    </w:p>
    <w:p>
      <w:pPr>
        <w:pStyle w:val="4"/>
        <w:spacing w:line="578" w:lineRule="exact"/>
        <w:rPr>
          <w:rFonts w:ascii="仿宋" w:hAnsi="仿宋" w:eastAsia="仿宋"/>
          <w:color w:val="000000"/>
        </w:rPr>
      </w:pPr>
      <w:bookmarkStart w:id="163" w:name="_Toc15396621"/>
      <w:bookmarkStart w:id="164" w:name="_Toc79163638"/>
      <w:bookmarkStart w:id="165" w:name="_Toc79163888"/>
      <w:bookmarkStart w:id="166" w:name="_Toc2040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63"/>
      <w:bookmarkEnd w:id="164"/>
      <w:bookmarkEnd w:id="165"/>
      <w:bookmarkEnd w:id="166"/>
    </w:p>
    <w:p>
      <w:pPr>
        <w:pStyle w:val="4"/>
        <w:spacing w:line="578" w:lineRule="exact"/>
        <w:rPr>
          <w:rFonts w:ascii="仿宋" w:hAnsi="仿宋" w:eastAsia="仿宋"/>
          <w:b w:val="0"/>
          <w:color w:val="000000"/>
        </w:rPr>
      </w:pPr>
      <w:bookmarkStart w:id="167" w:name="_Toc15396622"/>
      <w:bookmarkStart w:id="168" w:name="_Toc79163639"/>
      <w:bookmarkStart w:id="169" w:name="_Toc79163889"/>
      <w:bookmarkStart w:id="170" w:name="_Toc6637"/>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67"/>
      <w:bookmarkEnd w:id="168"/>
      <w:bookmarkEnd w:id="169"/>
      <w:bookmarkEnd w:id="170"/>
    </w:p>
    <w:p>
      <w:pPr>
        <w:pStyle w:val="4"/>
        <w:spacing w:line="578" w:lineRule="exact"/>
        <w:rPr>
          <w:rStyle w:val="27"/>
          <w:rFonts w:ascii="仿宋" w:hAnsi="仿宋" w:eastAsia="仿宋"/>
          <w:b w:val="0"/>
          <w:bCs w:val="0"/>
        </w:rPr>
      </w:pPr>
      <w:bookmarkStart w:id="171" w:name="_Toc15396623"/>
      <w:bookmarkStart w:id="172" w:name="_Toc79163640"/>
      <w:bookmarkStart w:id="173" w:name="_Toc79163890"/>
      <w:bookmarkStart w:id="174" w:name="_Toc15808"/>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71"/>
      <w:bookmarkEnd w:id="172"/>
      <w:bookmarkEnd w:id="173"/>
      <w:bookmarkEnd w:id="174"/>
      <w:bookmarkStart w:id="175" w:name="_Toc15396624"/>
    </w:p>
    <w:p>
      <w:pPr>
        <w:pStyle w:val="4"/>
        <w:spacing w:line="578" w:lineRule="exact"/>
        <w:rPr>
          <w:rFonts w:ascii="仿宋" w:hAnsi="仿宋" w:eastAsia="仿宋"/>
          <w:color w:val="000000"/>
        </w:rPr>
      </w:pPr>
      <w:bookmarkStart w:id="176" w:name="_Toc79163641"/>
      <w:bookmarkStart w:id="177" w:name="_Toc79163891"/>
      <w:bookmarkStart w:id="178" w:name="_Toc5863"/>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75"/>
      <w:bookmarkEnd w:id="176"/>
      <w:bookmarkEnd w:id="177"/>
      <w:bookmarkEnd w:id="178"/>
    </w:p>
    <w:p>
      <w:pPr>
        <w:pStyle w:val="4"/>
        <w:spacing w:line="578" w:lineRule="exact"/>
        <w:rPr>
          <w:rFonts w:ascii="仿宋" w:hAnsi="仿宋" w:eastAsia="仿宋"/>
          <w:color w:val="000000"/>
        </w:rPr>
      </w:pPr>
      <w:bookmarkStart w:id="179" w:name="_Toc15396625"/>
      <w:bookmarkStart w:id="180" w:name="_Toc79163642"/>
      <w:bookmarkStart w:id="181" w:name="_Toc79163892"/>
      <w:bookmarkStart w:id="182" w:name="_Toc6402"/>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79"/>
      <w:bookmarkEnd w:id="180"/>
      <w:bookmarkEnd w:id="181"/>
      <w:bookmarkEnd w:id="182"/>
    </w:p>
    <w:p>
      <w:pPr>
        <w:pStyle w:val="4"/>
        <w:spacing w:line="578" w:lineRule="exact"/>
        <w:rPr>
          <w:rFonts w:ascii="仿宋" w:hAnsi="仿宋" w:eastAsia="仿宋"/>
          <w:color w:val="000000"/>
        </w:rPr>
      </w:pPr>
      <w:bookmarkStart w:id="183" w:name="_Toc15396626"/>
      <w:bookmarkStart w:id="184" w:name="_Toc79163643"/>
      <w:bookmarkStart w:id="185" w:name="_Toc79163893"/>
      <w:bookmarkStart w:id="186" w:name="_Toc606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83"/>
      <w:bookmarkEnd w:id="184"/>
      <w:bookmarkEnd w:id="185"/>
      <w:bookmarkEnd w:id="186"/>
    </w:p>
    <w:p>
      <w:pPr>
        <w:pStyle w:val="4"/>
        <w:spacing w:line="578" w:lineRule="exact"/>
        <w:rPr>
          <w:rFonts w:ascii="仿宋" w:hAnsi="仿宋" w:eastAsia="仿宋"/>
          <w:color w:val="000000"/>
        </w:rPr>
      </w:pPr>
      <w:bookmarkStart w:id="187" w:name="_Toc15396627"/>
      <w:bookmarkStart w:id="188" w:name="_Toc79163644"/>
      <w:bookmarkStart w:id="189" w:name="_Toc79163894"/>
      <w:bookmarkStart w:id="190" w:name="_Toc17294"/>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87"/>
      <w:bookmarkEnd w:id="188"/>
      <w:bookmarkEnd w:id="189"/>
      <w:bookmarkEnd w:id="190"/>
    </w:p>
    <w:p>
      <w:pPr>
        <w:pStyle w:val="4"/>
        <w:spacing w:line="578" w:lineRule="exact"/>
        <w:rPr>
          <w:rFonts w:ascii="仿宋" w:hAnsi="仿宋" w:eastAsia="仿宋"/>
          <w:color w:val="000000"/>
        </w:rPr>
      </w:pPr>
      <w:bookmarkStart w:id="191" w:name="_Toc15396628"/>
      <w:bookmarkStart w:id="192" w:name="_Toc79163645"/>
      <w:bookmarkStart w:id="193" w:name="_Toc79163895"/>
      <w:bookmarkStart w:id="194" w:name="_Toc25441"/>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91"/>
      <w:bookmarkEnd w:id="192"/>
      <w:bookmarkEnd w:id="193"/>
      <w:bookmarkEnd w:id="194"/>
    </w:p>
    <w:p>
      <w:pPr>
        <w:pStyle w:val="4"/>
        <w:spacing w:line="578" w:lineRule="exact"/>
        <w:rPr>
          <w:rFonts w:ascii="仿宋" w:hAnsi="仿宋" w:eastAsia="仿宋"/>
          <w:color w:val="000000"/>
        </w:rPr>
      </w:pPr>
      <w:bookmarkStart w:id="195" w:name="_Toc15396629"/>
      <w:bookmarkStart w:id="196" w:name="_Toc79163646"/>
      <w:bookmarkStart w:id="197" w:name="_Toc79163896"/>
      <w:bookmarkStart w:id="198" w:name="_Toc2078"/>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95"/>
      <w:bookmarkEnd w:id="196"/>
      <w:bookmarkEnd w:id="197"/>
      <w:bookmarkEnd w:id="198"/>
    </w:p>
    <w:p>
      <w:pPr>
        <w:pStyle w:val="4"/>
        <w:spacing w:line="578" w:lineRule="exact"/>
        <w:rPr>
          <w:rFonts w:ascii="仿宋" w:hAnsi="仿宋" w:eastAsia="仿宋"/>
          <w:color w:val="000000"/>
        </w:rPr>
      </w:pPr>
      <w:bookmarkStart w:id="199" w:name="_Toc15396630"/>
      <w:bookmarkStart w:id="200" w:name="_Toc79163647"/>
      <w:bookmarkStart w:id="201" w:name="_Toc79163897"/>
      <w:bookmarkStart w:id="202" w:name="_Toc503"/>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99"/>
      <w:bookmarkEnd w:id="200"/>
      <w:bookmarkEnd w:id="201"/>
      <w:bookmarkEnd w:id="202"/>
    </w:p>
    <w:p>
      <w:pPr>
        <w:pStyle w:val="4"/>
        <w:spacing w:line="578" w:lineRule="exact"/>
        <w:rPr>
          <w:rStyle w:val="27"/>
          <w:rFonts w:ascii="仿宋" w:hAnsi="仿宋" w:eastAsia="仿宋"/>
          <w:b w:val="0"/>
          <w:bCs w:val="0"/>
        </w:rPr>
      </w:pPr>
      <w:bookmarkStart w:id="203" w:name="_Toc15396631"/>
      <w:bookmarkStart w:id="204" w:name="_Toc79163648"/>
      <w:bookmarkStart w:id="205" w:name="_Toc79163898"/>
      <w:bookmarkStart w:id="206" w:name="_Toc15917"/>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有资本经营预算财政拨款</w:t>
      </w:r>
      <w:r>
        <w:rPr>
          <w:rStyle w:val="27"/>
          <w:rFonts w:hint="eastAsia" w:ascii="仿宋" w:hAnsi="仿宋" w:eastAsia="仿宋"/>
          <w:b w:val="0"/>
          <w:bCs w:val="0"/>
          <w:lang w:eastAsia="zh-CN"/>
        </w:rPr>
        <w:t>收入</w:t>
      </w:r>
      <w:r>
        <w:rPr>
          <w:rStyle w:val="27"/>
          <w:rFonts w:hint="eastAsia" w:ascii="仿宋" w:hAnsi="仿宋" w:eastAsia="仿宋"/>
          <w:b w:val="0"/>
          <w:bCs w:val="0"/>
        </w:rPr>
        <w:t>支出决算表</w:t>
      </w:r>
      <w:bookmarkEnd w:id="203"/>
      <w:bookmarkEnd w:id="204"/>
      <w:bookmarkEnd w:id="205"/>
      <w:bookmarkEnd w:id="206"/>
    </w:p>
    <w:p>
      <w:pPr>
        <w:pStyle w:val="4"/>
        <w:spacing w:line="578" w:lineRule="exact"/>
        <w:rPr>
          <w:rStyle w:val="27"/>
          <w:rFonts w:ascii="仿宋" w:hAnsi="仿宋" w:eastAsia="仿宋"/>
          <w:b w:val="0"/>
          <w:bCs w:val="0"/>
        </w:rPr>
      </w:pPr>
      <w:bookmarkStart w:id="207" w:name="_Toc79163649"/>
      <w:bookmarkStart w:id="208" w:name="_Toc79163899"/>
      <w:bookmarkStart w:id="209" w:name="_Toc9849"/>
      <w:r>
        <w:rPr>
          <w:rStyle w:val="27"/>
          <w:rFonts w:hint="eastAsia" w:ascii="仿宋" w:hAnsi="仿宋" w:eastAsia="仿宋"/>
          <w:b w:val="0"/>
          <w:bCs w:val="0"/>
        </w:rPr>
        <w:t>十四、国有资本经营预算财政拨款支出决算表</w:t>
      </w:r>
      <w:bookmarkEnd w:id="207"/>
      <w:bookmarkEnd w:id="208"/>
      <w:bookmarkEnd w:id="20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jc w:val="center"/>
                </w:pPr>
                <w:r>
                  <w:fldChar w:fldCharType="begin"/>
                </w:r>
                <w:r>
                  <w:instrText xml:space="preserve">PAGE   \* MERGEFORMAT</w:instrText>
                </w:r>
                <w:r>
                  <w:fldChar w:fldCharType="separate"/>
                </w:r>
                <w:r>
                  <w:rPr>
                    <w:lang w:val="zh-CN"/>
                  </w:rPr>
                  <w:t>4</w:t>
                </w:r>
                <w:r>
                  <w:fldChar w:fldCharType="end"/>
                </w:r>
              </w:p>
            </w:txbxContent>
          </v:textbox>
        </v:shape>
      </w:pic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0C706447"/>
    <w:multiLevelType w:val="multilevel"/>
    <w:tmpl w:val="0C706447"/>
    <w:lvl w:ilvl="0" w:tentative="0">
      <w:start w:val="2"/>
      <w:numFmt w:val="japaneseCounting"/>
      <w:lvlText w:val="（%1）"/>
      <w:lvlJc w:val="left"/>
      <w:pPr>
        <w:ind w:left="1720" w:hanging="1080"/>
      </w:pPr>
      <w:rPr>
        <w:rFonts w:hint="default" w:hAnsi="仿宋" w:cs="Times New Roman"/>
        <w:color w:val="auto"/>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5E01D44C"/>
    <w:multiLevelType w:val="singleLevel"/>
    <w:tmpl w:val="5E01D44C"/>
    <w:lvl w:ilvl="0" w:tentative="0">
      <w:start w:val="2"/>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wYjMwMjQ3M2ZjYjI4ZmRhZjViNWQwOTIzNjNmMj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24C4"/>
    <w:rsid w:val="00114E9B"/>
    <w:rsid w:val="00115301"/>
    <w:rsid w:val="001319E1"/>
    <w:rsid w:val="00142216"/>
    <w:rsid w:val="00144D6A"/>
    <w:rsid w:val="0014729F"/>
    <w:rsid w:val="00157BAB"/>
    <w:rsid w:val="001654D1"/>
    <w:rsid w:val="00174518"/>
    <w:rsid w:val="0018106D"/>
    <w:rsid w:val="001877A7"/>
    <w:rsid w:val="00191536"/>
    <w:rsid w:val="00196687"/>
    <w:rsid w:val="001B5729"/>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8417F"/>
    <w:rsid w:val="00294DC9"/>
    <w:rsid w:val="00295495"/>
    <w:rsid w:val="002960DF"/>
    <w:rsid w:val="002A31DE"/>
    <w:rsid w:val="002B2613"/>
    <w:rsid w:val="002B2FF7"/>
    <w:rsid w:val="002B6407"/>
    <w:rsid w:val="002C14B0"/>
    <w:rsid w:val="002C2FF7"/>
    <w:rsid w:val="002D3569"/>
    <w:rsid w:val="002D6D05"/>
    <w:rsid w:val="002F1818"/>
    <w:rsid w:val="002F567B"/>
    <w:rsid w:val="00315A05"/>
    <w:rsid w:val="003216A9"/>
    <w:rsid w:val="00326F21"/>
    <w:rsid w:val="00335A74"/>
    <w:rsid w:val="0034484F"/>
    <w:rsid w:val="0036561B"/>
    <w:rsid w:val="0037013F"/>
    <w:rsid w:val="00380C92"/>
    <w:rsid w:val="003A484F"/>
    <w:rsid w:val="003A4883"/>
    <w:rsid w:val="003B0BE0"/>
    <w:rsid w:val="003B0C1B"/>
    <w:rsid w:val="003B688C"/>
    <w:rsid w:val="003C0291"/>
    <w:rsid w:val="003C39AE"/>
    <w:rsid w:val="003C5C73"/>
    <w:rsid w:val="003C7B60"/>
    <w:rsid w:val="003D0C0F"/>
    <w:rsid w:val="003D1FB2"/>
    <w:rsid w:val="003D66DA"/>
    <w:rsid w:val="003E1310"/>
    <w:rsid w:val="003E6F55"/>
    <w:rsid w:val="003E6FE4"/>
    <w:rsid w:val="00406254"/>
    <w:rsid w:val="00406CB4"/>
    <w:rsid w:val="004223DE"/>
    <w:rsid w:val="00434489"/>
    <w:rsid w:val="00437085"/>
    <w:rsid w:val="00443880"/>
    <w:rsid w:val="00445607"/>
    <w:rsid w:val="004464F4"/>
    <w:rsid w:val="00471401"/>
    <w:rsid w:val="00473F31"/>
    <w:rsid w:val="0048263A"/>
    <w:rsid w:val="00487E5D"/>
    <w:rsid w:val="004A711F"/>
    <w:rsid w:val="004B199D"/>
    <w:rsid w:val="004B4690"/>
    <w:rsid w:val="004C016C"/>
    <w:rsid w:val="004D5479"/>
    <w:rsid w:val="004E0A2D"/>
    <w:rsid w:val="004E206B"/>
    <w:rsid w:val="004E6DF7"/>
    <w:rsid w:val="004F0FBD"/>
    <w:rsid w:val="00505A47"/>
    <w:rsid w:val="00510242"/>
    <w:rsid w:val="00512FDA"/>
    <w:rsid w:val="00520DA0"/>
    <w:rsid w:val="005269A7"/>
    <w:rsid w:val="005269D7"/>
    <w:rsid w:val="00532448"/>
    <w:rsid w:val="00562AFE"/>
    <w:rsid w:val="005664BB"/>
    <w:rsid w:val="00566FFA"/>
    <w:rsid w:val="0057481D"/>
    <w:rsid w:val="0058486E"/>
    <w:rsid w:val="00585B33"/>
    <w:rsid w:val="0059014D"/>
    <w:rsid w:val="005B5C64"/>
    <w:rsid w:val="005C5337"/>
    <w:rsid w:val="005C6BD0"/>
    <w:rsid w:val="005D1C8B"/>
    <w:rsid w:val="005D468D"/>
    <w:rsid w:val="005D5CED"/>
    <w:rsid w:val="005F1A4C"/>
    <w:rsid w:val="005F33FE"/>
    <w:rsid w:val="00605688"/>
    <w:rsid w:val="006070AF"/>
    <w:rsid w:val="00607E6C"/>
    <w:rsid w:val="006101B1"/>
    <w:rsid w:val="00614E44"/>
    <w:rsid w:val="00620F49"/>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01B29"/>
    <w:rsid w:val="007127B7"/>
    <w:rsid w:val="0071798E"/>
    <w:rsid w:val="007416B6"/>
    <w:rsid w:val="007422F4"/>
    <w:rsid w:val="00746328"/>
    <w:rsid w:val="00746F48"/>
    <w:rsid w:val="0075404D"/>
    <w:rsid w:val="007614B9"/>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95C51"/>
    <w:rsid w:val="008B30A4"/>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3D2"/>
    <w:rsid w:val="00A16847"/>
    <w:rsid w:val="00A237D8"/>
    <w:rsid w:val="00A268C4"/>
    <w:rsid w:val="00A307CD"/>
    <w:rsid w:val="00A331C8"/>
    <w:rsid w:val="00A40A00"/>
    <w:rsid w:val="00A4142F"/>
    <w:rsid w:val="00A422EB"/>
    <w:rsid w:val="00A45BB7"/>
    <w:rsid w:val="00A56DF2"/>
    <w:rsid w:val="00A56E6E"/>
    <w:rsid w:val="00A67AA1"/>
    <w:rsid w:val="00A67AB5"/>
    <w:rsid w:val="00A733B2"/>
    <w:rsid w:val="00A741C2"/>
    <w:rsid w:val="00A91760"/>
    <w:rsid w:val="00A93B00"/>
    <w:rsid w:val="00A93C21"/>
    <w:rsid w:val="00A97D19"/>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07D36"/>
    <w:rsid w:val="00C33E72"/>
    <w:rsid w:val="00C354B2"/>
    <w:rsid w:val="00C35554"/>
    <w:rsid w:val="00C42709"/>
    <w:rsid w:val="00C533CC"/>
    <w:rsid w:val="00C5751C"/>
    <w:rsid w:val="00C601B8"/>
    <w:rsid w:val="00C61BFC"/>
    <w:rsid w:val="00C62B85"/>
    <w:rsid w:val="00C65438"/>
    <w:rsid w:val="00C721FF"/>
    <w:rsid w:val="00C87FD8"/>
    <w:rsid w:val="00C91381"/>
    <w:rsid w:val="00C91CBB"/>
    <w:rsid w:val="00CB4E70"/>
    <w:rsid w:val="00CC09B6"/>
    <w:rsid w:val="00CC666F"/>
    <w:rsid w:val="00CD1E3F"/>
    <w:rsid w:val="00CE44F6"/>
    <w:rsid w:val="00CE49DA"/>
    <w:rsid w:val="00CE7B61"/>
    <w:rsid w:val="00D00095"/>
    <w:rsid w:val="00D114F0"/>
    <w:rsid w:val="00D20620"/>
    <w:rsid w:val="00D233E6"/>
    <w:rsid w:val="00D254F7"/>
    <w:rsid w:val="00D26091"/>
    <w:rsid w:val="00D2685C"/>
    <w:rsid w:val="00D34E7C"/>
    <w:rsid w:val="00D35489"/>
    <w:rsid w:val="00D36AFE"/>
    <w:rsid w:val="00D51276"/>
    <w:rsid w:val="00D7035F"/>
    <w:rsid w:val="00D974E2"/>
    <w:rsid w:val="00DA634F"/>
    <w:rsid w:val="00DA65AC"/>
    <w:rsid w:val="00DB1913"/>
    <w:rsid w:val="00DC410D"/>
    <w:rsid w:val="00DC5A81"/>
    <w:rsid w:val="00DC68CA"/>
    <w:rsid w:val="00DC74B0"/>
    <w:rsid w:val="00DC7CBA"/>
    <w:rsid w:val="00DD73B7"/>
    <w:rsid w:val="00DF28BC"/>
    <w:rsid w:val="00DF34B9"/>
    <w:rsid w:val="00E01053"/>
    <w:rsid w:val="00E07ACF"/>
    <w:rsid w:val="00E306B7"/>
    <w:rsid w:val="00E32CAD"/>
    <w:rsid w:val="00E331A1"/>
    <w:rsid w:val="00E33202"/>
    <w:rsid w:val="00E336A9"/>
    <w:rsid w:val="00E472B1"/>
    <w:rsid w:val="00E50624"/>
    <w:rsid w:val="00E568DF"/>
    <w:rsid w:val="00E64269"/>
    <w:rsid w:val="00E70975"/>
    <w:rsid w:val="00E82267"/>
    <w:rsid w:val="00E853CE"/>
    <w:rsid w:val="00E867B6"/>
    <w:rsid w:val="00EA010F"/>
    <w:rsid w:val="00EA05D2"/>
    <w:rsid w:val="00ED1B63"/>
    <w:rsid w:val="00ED3C1F"/>
    <w:rsid w:val="00ED4085"/>
    <w:rsid w:val="00ED420E"/>
    <w:rsid w:val="00ED6FBE"/>
    <w:rsid w:val="00EE2F57"/>
    <w:rsid w:val="00EF2586"/>
    <w:rsid w:val="00EF4C34"/>
    <w:rsid w:val="00EF60EF"/>
    <w:rsid w:val="00EF77C6"/>
    <w:rsid w:val="00EF7DD5"/>
    <w:rsid w:val="00F05438"/>
    <w:rsid w:val="00F10FA8"/>
    <w:rsid w:val="00F1361C"/>
    <w:rsid w:val="00F156F0"/>
    <w:rsid w:val="00F160C7"/>
    <w:rsid w:val="00F177FD"/>
    <w:rsid w:val="00F2408F"/>
    <w:rsid w:val="00F240E9"/>
    <w:rsid w:val="00F36D8F"/>
    <w:rsid w:val="00F417B1"/>
    <w:rsid w:val="00F45853"/>
    <w:rsid w:val="00F5610A"/>
    <w:rsid w:val="00F602DF"/>
    <w:rsid w:val="00F67211"/>
    <w:rsid w:val="00F754A1"/>
    <w:rsid w:val="00F81FD9"/>
    <w:rsid w:val="00F841AA"/>
    <w:rsid w:val="00F84A94"/>
    <w:rsid w:val="00F87E96"/>
    <w:rsid w:val="00FA23E8"/>
    <w:rsid w:val="00FD3CC1"/>
    <w:rsid w:val="00FF1E02"/>
    <w:rsid w:val="00FF30B4"/>
    <w:rsid w:val="03CF23D1"/>
    <w:rsid w:val="04BC193E"/>
    <w:rsid w:val="0681001E"/>
    <w:rsid w:val="0A2032A3"/>
    <w:rsid w:val="0ED04FD5"/>
    <w:rsid w:val="10C055FF"/>
    <w:rsid w:val="118107EC"/>
    <w:rsid w:val="14790F4A"/>
    <w:rsid w:val="16BB723D"/>
    <w:rsid w:val="1D155CEE"/>
    <w:rsid w:val="1ED87BC6"/>
    <w:rsid w:val="240371BF"/>
    <w:rsid w:val="298E441C"/>
    <w:rsid w:val="29FD04D3"/>
    <w:rsid w:val="2B81390C"/>
    <w:rsid w:val="2EFE1B14"/>
    <w:rsid w:val="319F7F4E"/>
    <w:rsid w:val="3501383E"/>
    <w:rsid w:val="3D751D92"/>
    <w:rsid w:val="4ECE2238"/>
    <w:rsid w:val="56262255"/>
    <w:rsid w:val="697532C0"/>
    <w:rsid w:val="6A9B6AD1"/>
    <w:rsid w:val="6C4A05C8"/>
    <w:rsid w:val="72734D90"/>
    <w:rsid w:val="7FD74F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2">
    <w:name w:val="table of figures"/>
    <w:basedOn w:val="1"/>
    <w:next w:val="1"/>
    <w:unhideWhenUsed/>
    <w:qFormat/>
    <w:uiPriority w:val="99"/>
    <w:pPr>
      <w:spacing w:before="100" w:beforeAutospacing="1" w:after="100" w:afterAutospacing="1"/>
      <w:ind w:left="400" w:leftChars="200" w:hanging="200" w:hangingChars="200"/>
    </w:pPr>
    <w:rPr>
      <w:kern w:val="0"/>
      <w:sz w:val="20"/>
      <w:szCs w:val="21"/>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5"/>
    <w:qFormat/>
    <w:uiPriority w:val="99"/>
    <w:pPr>
      <w:spacing w:beforeLines="30"/>
    </w:pPr>
    <w:rPr>
      <w:rFonts w:ascii="仿宋_GB2312" w:eastAsia="仿宋_GB2312"/>
      <w:kern w:val="0"/>
      <w:sz w:val="24"/>
      <w:szCs w:val="20"/>
    </w:rPr>
  </w:style>
  <w:style w:type="paragraph" w:styleId="8">
    <w:name w:val="Body Text Indent"/>
    <w:basedOn w:val="1"/>
    <w:link w:val="41"/>
    <w:unhideWhenUsed/>
    <w:qFormat/>
    <w:uiPriority w:val="99"/>
    <w:pPr>
      <w:spacing w:after="120"/>
      <w:ind w:left="420" w:leftChars="200"/>
    </w:p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0"/>
    <w:unhideWhenUsed/>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14">
    <w:name w:val="Body Text First Indent 2"/>
    <w:basedOn w:val="8"/>
    <w:link w:val="42"/>
    <w:unhideWhenUsed/>
    <w:qFormat/>
    <w:uiPriority w:val="99"/>
    <w:pPr>
      <w:ind w:firstLine="420" w:firstLineChars="200"/>
    </w:pPr>
  </w:style>
  <w:style w:type="paragraph" w:styleId="15">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3">
    <w:name w:val="Strong"/>
    <w:basedOn w:val="22"/>
    <w:qFormat/>
    <w:uiPriority w:val="99"/>
    <w:rPr>
      <w:rFonts w:cs="Times New Roman"/>
      <w:b/>
    </w:rPr>
  </w:style>
  <w:style w:type="character" w:styleId="24">
    <w:name w:val="Hyperlink"/>
    <w:basedOn w:val="22"/>
    <w:unhideWhenUsed/>
    <w:qFormat/>
    <w:uiPriority w:val="99"/>
    <w:rPr>
      <w:rFonts w:cs="Times New Roman"/>
      <w:color w:val="0000FF"/>
      <w:u w:val="single"/>
    </w:rPr>
  </w:style>
  <w:style w:type="character" w:customStyle="1" w:styleId="26">
    <w:name w:val="标题 1 Char"/>
    <w:basedOn w:val="22"/>
    <w:link w:val="3"/>
    <w:qFormat/>
    <w:locked/>
    <w:uiPriority w:val="9"/>
    <w:rPr>
      <w:rFonts w:ascii="Times New Roman" w:hAnsi="Times New Roman" w:cs="Times New Roman"/>
      <w:b/>
      <w:bCs/>
      <w:kern w:val="44"/>
      <w:sz w:val="44"/>
      <w:szCs w:val="44"/>
    </w:rPr>
  </w:style>
  <w:style w:type="character" w:customStyle="1" w:styleId="27">
    <w:name w:val="标题 2 Char"/>
    <w:basedOn w:val="22"/>
    <w:link w:val="4"/>
    <w:qFormat/>
    <w:locked/>
    <w:uiPriority w:val="9"/>
    <w:rPr>
      <w:rFonts w:ascii="Cambria" w:hAnsi="Cambria" w:eastAsia="宋体" w:cs="Times New Roman"/>
      <w:b/>
      <w:bCs/>
      <w:kern w:val="2"/>
      <w:sz w:val="32"/>
      <w:szCs w:val="32"/>
    </w:rPr>
  </w:style>
  <w:style w:type="character" w:customStyle="1" w:styleId="28">
    <w:name w:val="标题 3 Char"/>
    <w:basedOn w:val="22"/>
    <w:link w:val="5"/>
    <w:qFormat/>
    <w:locked/>
    <w:uiPriority w:val="9"/>
    <w:rPr>
      <w:rFonts w:ascii="Times New Roman" w:hAnsi="Times New Roman" w:cs="Times New Roman"/>
      <w:b/>
      <w:bCs/>
      <w:kern w:val="2"/>
      <w:sz w:val="32"/>
      <w:szCs w:val="32"/>
    </w:rPr>
  </w:style>
  <w:style w:type="character" w:customStyle="1" w:styleId="29">
    <w:name w:val="Body Text Char"/>
    <w:basedOn w:val="22"/>
    <w:semiHidden/>
    <w:qFormat/>
    <w:uiPriority w:val="99"/>
    <w:rPr>
      <w:rFonts w:ascii="Times New Roman" w:hAnsi="Times New Roman" w:cs="Times New Roman"/>
      <w:sz w:val="24"/>
      <w:szCs w:val="24"/>
    </w:rPr>
  </w:style>
  <w:style w:type="character" w:customStyle="1" w:styleId="30">
    <w:name w:val="批注框文本 Char"/>
    <w:basedOn w:val="22"/>
    <w:link w:val="12"/>
    <w:semiHidden/>
    <w:qFormat/>
    <w:locked/>
    <w:uiPriority w:val="99"/>
    <w:rPr>
      <w:rFonts w:ascii="Times New Roman" w:hAnsi="Times New Roman" w:cs="Times New Roman"/>
      <w:kern w:val="2"/>
      <w:sz w:val="18"/>
      <w:szCs w:val="18"/>
    </w:rPr>
  </w:style>
  <w:style w:type="character" w:customStyle="1" w:styleId="31">
    <w:name w:val="Footer Char"/>
    <w:basedOn w:val="22"/>
    <w:semiHidden/>
    <w:qFormat/>
    <w:uiPriority w:val="99"/>
    <w:rPr>
      <w:rFonts w:ascii="Times New Roman" w:hAnsi="Times New Roman" w:cs="Times New Roman"/>
      <w:sz w:val="18"/>
      <w:szCs w:val="18"/>
    </w:rPr>
  </w:style>
  <w:style w:type="character" w:customStyle="1" w:styleId="32">
    <w:name w:val="Header Char"/>
    <w:basedOn w:val="22"/>
    <w:semiHidden/>
    <w:qFormat/>
    <w:uiPriority w:val="99"/>
    <w:rPr>
      <w:rFonts w:ascii="Times New Roman" w:hAnsi="Times New Roman" w:cs="Times New Roman"/>
      <w:sz w:val="18"/>
      <w:szCs w:val="18"/>
    </w:rPr>
  </w:style>
  <w:style w:type="character" w:customStyle="1" w:styleId="33">
    <w:name w:val="页眉 Char"/>
    <w:link w:val="15"/>
    <w:semiHidden/>
    <w:qFormat/>
    <w:locked/>
    <w:uiPriority w:val="99"/>
    <w:rPr>
      <w:sz w:val="18"/>
    </w:rPr>
  </w:style>
  <w:style w:type="character" w:customStyle="1" w:styleId="34">
    <w:name w:val="页脚 Char"/>
    <w:link w:val="13"/>
    <w:qFormat/>
    <w:locked/>
    <w:uiPriority w:val="99"/>
    <w:rPr>
      <w:sz w:val="18"/>
    </w:rPr>
  </w:style>
  <w:style w:type="character" w:customStyle="1" w:styleId="35">
    <w:name w:val="正文文本 Char"/>
    <w:link w:val="7"/>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41">
    <w:name w:val="正文文本缩进 Char"/>
    <w:basedOn w:val="22"/>
    <w:link w:val="8"/>
    <w:semiHidden/>
    <w:qFormat/>
    <w:uiPriority w:val="99"/>
    <w:rPr>
      <w:rFonts w:ascii="Times New Roman" w:hAnsi="Times New Roman"/>
      <w:kern w:val="2"/>
      <w:sz w:val="21"/>
      <w:szCs w:val="24"/>
    </w:rPr>
  </w:style>
  <w:style w:type="character" w:customStyle="1" w:styleId="42">
    <w:name w:val="正文首行缩进 2 Char"/>
    <w:basedOn w:val="41"/>
    <w:link w:val="14"/>
    <w:semiHidden/>
    <w:qFormat/>
    <w:uiPriority w:val="99"/>
  </w:style>
  <w:style w:type="paragraph" w:customStyle="1" w:styleId="4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27737-D8AF-4CF4-A8F0-CD32B0014589}">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14411</Words>
  <Characters>14946</Characters>
  <Lines>109</Lines>
  <Paragraphs>30</Paragraphs>
  <TotalTime>0</TotalTime>
  <ScaleCrop>false</ScaleCrop>
  <LinksUpToDate>false</LinksUpToDate>
  <CharactersWithSpaces>15088</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2021-09-16T08:44:00Z</dcterms:created>
  <dc:creator>曹颖</dc:creator>
  <cp:lastModifiedBy>123</cp:lastModifiedBy>
  <cp:lastPrinted>2022-09-20T02:42:00Z</cp:lastPrinted>
  <dcterms:modified xsi:type="dcterms:W3CDTF">2022-09-27T03:08:21Z</dcterms:modified>
  <dc:title>阿坝州部门决算说明</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92E1A2C9CB564B43A2EFA9DD0B5DFED7</vt:lpwstr>
  </property>
</Properties>
</file>