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BAC42" w14:textId="77777777" w:rsidR="00521A05" w:rsidRDefault="00521A05">
      <w:pPr>
        <w:spacing w:line="578" w:lineRule="exact"/>
        <w:jc w:val="center"/>
        <w:outlineLvl w:val="0"/>
        <w:rPr>
          <w:rFonts w:ascii="方正小标宋简体" w:eastAsia="方正小标宋简体" w:hAnsi="宋体"/>
          <w:color w:val="000000"/>
          <w:sz w:val="72"/>
          <w:szCs w:val="72"/>
        </w:rPr>
      </w:pPr>
      <w:bookmarkStart w:id="0" w:name="_Toc15306267"/>
    </w:p>
    <w:p w14:paraId="5A6C5DDB" w14:textId="77777777" w:rsidR="00521A05" w:rsidRDefault="00521A05">
      <w:pPr>
        <w:spacing w:line="900" w:lineRule="exact"/>
        <w:jc w:val="center"/>
        <w:outlineLvl w:val="0"/>
        <w:rPr>
          <w:rFonts w:ascii="方正小标宋简体" w:eastAsia="方正小标宋简体" w:hAnsi="宋体"/>
          <w:color w:val="000000"/>
          <w:sz w:val="72"/>
          <w:szCs w:val="72"/>
        </w:rPr>
      </w:pPr>
    </w:p>
    <w:p w14:paraId="0A597A65" w14:textId="77777777" w:rsidR="00521A05" w:rsidRDefault="00000000">
      <w:pPr>
        <w:adjustRightInd w:val="0"/>
        <w:snapToGrid w:val="0"/>
        <w:spacing w:line="900" w:lineRule="exact"/>
        <w:jc w:val="center"/>
        <w:outlineLvl w:val="0"/>
        <w:rPr>
          <w:rFonts w:ascii="方正小标宋简体" w:eastAsia="方正小标宋简体" w:hAnsi="宋体"/>
          <w:b/>
          <w:bCs/>
          <w:color w:val="000000"/>
          <w:sz w:val="72"/>
          <w:szCs w:val="72"/>
        </w:rPr>
      </w:pPr>
      <w:bookmarkStart w:id="1" w:name="_Toc15377425"/>
      <w:bookmarkStart w:id="2" w:name="_Toc15396597"/>
      <w:bookmarkStart w:id="3" w:name="_Toc15377193"/>
      <w:bookmarkStart w:id="4" w:name="_Toc15396475"/>
      <w:bookmarkStart w:id="5" w:name="_Toc15378441"/>
      <w:r>
        <w:rPr>
          <w:rFonts w:ascii="黑体" w:eastAsia="黑体" w:hAnsi="黑体"/>
          <w:b/>
          <w:bCs/>
          <w:sz w:val="72"/>
          <w:szCs w:val="72"/>
        </w:rPr>
        <w:t>2020</w:t>
      </w:r>
      <w:r>
        <w:rPr>
          <w:rFonts w:ascii="黑体" w:eastAsia="黑体" w:hAnsi="黑体" w:hint="eastAsia"/>
          <w:b/>
          <w:bCs/>
          <w:sz w:val="72"/>
          <w:szCs w:val="72"/>
        </w:rPr>
        <w:t>年度</w:t>
      </w:r>
      <w:bookmarkEnd w:id="0"/>
      <w:bookmarkEnd w:id="1"/>
      <w:bookmarkEnd w:id="2"/>
      <w:bookmarkEnd w:id="3"/>
      <w:bookmarkEnd w:id="4"/>
      <w:bookmarkEnd w:id="5"/>
      <w:proofErr w:type="gramStart"/>
      <w:r>
        <w:rPr>
          <w:rFonts w:ascii="方正小标宋简体" w:eastAsia="方正小标宋简体" w:hAnsi="宋体" w:hint="eastAsia"/>
          <w:b/>
          <w:bCs/>
          <w:color w:val="000000"/>
          <w:sz w:val="72"/>
          <w:szCs w:val="72"/>
        </w:rPr>
        <w:t>年度</w:t>
      </w:r>
      <w:proofErr w:type="gramEnd"/>
    </w:p>
    <w:p w14:paraId="25B93462" w14:textId="77777777" w:rsidR="00521A05" w:rsidRDefault="00000000">
      <w:pPr>
        <w:spacing w:line="900" w:lineRule="exact"/>
        <w:jc w:val="center"/>
        <w:rPr>
          <w:rFonts w:ascii="方正小标宋简体" w:eastAsia="方正小标宋简体"/>
          <w:b/>
          <w:bCs/>
          <w:sz w:val="72"/>
          <w:szCs w:val="72"/>
        </w:rPr>
      </w:pPr>
      <w:bookmarkStart w:id="6" w:name="_Toc15396476"/>
      <w:bookmarkStart w:id="7" w:name="_Toc15378442"/>
      <w:bookmarkStart w:id="8" w:name="_Toc15377426"/>
      <w:bookmarkStart w:id="9" w:name="_Toc15377194"/>
      <w:bookmarkStart w:id="10" w:name="_Toc15396598"/>
      <w:r>
        <w:rPr>
          <w:rFonts w:ascii="方正小标宋简体" w:eastAsia="方正小标宋简体" w:hAnsi="宋体" w:hint="eastAsia"/>
          <w:b/>
          <w:bCs/>
          <w:color w:val="000000"/>
          <w:sz w:val="72"/>
          <w:szCs w:val="72"/>
        </w:rPr>
        <w:t>阿坝州</w:t>
      </w:r>
      <w:bookmarkStart w:id="11" w:name="_Toc15306268"/>
      <w:r>
        <w:rPr>
          <w:rFonts w:ascii="方正小标宋简体" w:eastAsia="方正小标宋简体" w:hAnsi="宋体" w:hint="eastAsia"/>
          <w:b/>
          <w:bCs/>
          <w:color w:val="000000"/>
          <w:sz w:val="72"/>
          <w:szCs w:val="72"/>
        </w:rPr>
        <w:t>中共松潘县纪律检查委员会部门决算</w:t>
      </w:r>
      <w:bookmarkEnd w:id="6"/>
      <w:bookmarkEnd w:id="7"/>
      <w:bookmarkEnd w:id="8"/>
      <w:bookmarkEnd w:id="9"/>
      <w:bookmarkEnd w:id="10"/>
      <w:bookmarkEnd w:id="11"/>
    </w:p>
    <w:p w14:paraId="4D1B5636" w14:textId="77777777" w:rsidR="00521A05" w:rsidRDefault="00521A05">
      <w:pPr>
        <w:widowControl/>
        <w:spacing w:line="900" w:lineRule="exact"/>
        <w:jc w:val="center"/>
        <w:rPr>
          <w:rFonts w:ascii="方正小标宋简体" w:eastAsia="方正小标宋简体" w:hAnsi="宋体"/>
          <w:b/>
          <w:bCs/>
          <w:color w:val="000000"/>
          <w:sz w:val="36"/>
          <w:szCs w:val="36"/>
        </w:rPr>
      </w:pPr>
    </w:p>
    <w:p w14:paraId="2CC741D1" w14:textId="77777777" w:rsidR="00521A05" w:rsidRDefault="00521A05">
      <w:pPr>
        <w:spacing w:line="900" w:lineRule="exact"/>
        <w:rPr>
          <w:rFonts w:ascii="方正小标宋简体" w:eastAsia="方正小标宋简体" w:hAnsi="宋体"/>
          <w:b/>
          <w:bCs/>
          <w:sz w:val="36"/>
          <w:szCs w:val="36"/>
        </w:rPr>
      </w:pPr>
    </w:p>
    <w:p w14:paraId="7334AD7D" w14:textId="77777777" w:rsidR="00521A05" w:rsidRDefault="00521A05">
      <w:pPr>
        <w:spacing w:line="578" w:lineRule="exact"/>
        <w:rPr>
          <w:rFonts w:ascii="方正小标宋简体" w:eastAsia="方正小标宋简体" w:hAnsi="宋体"/>
          <w:sz w:val="36"/>
          <w:szCs w:val="36"/>
        </w:rPr>
      </w:pPr>
    </w:p>
    <w:p w14:paraId="46F087F3" w14:textId="77777777" w:rsidR="00521A05" w:rsidRDefault="00521A05">
      <w:pPr>
        <w:spacing w:line="578" w:lineRule="exact"/>
        <w:rPr>
          <w:rFonts w:ascii="方正小标宋简体" w:eastAsia="方正小标宋简体" w:hAnsi="宋体"/>
          <w:sz w:val="36"/>
          <w:szCs w:val="36"/>
        </w:rPr>
      </w:pPr>
    </w:p>
    <w:p w14:paraId="149C52B7" w14:textId="77777777" w:rsidR="00521A05" w:rsidRDefault="00521A05">
      <w:pPr>
        <w:spacing w:line="578" w:lineRule="exact"/>
        <w:rPr>
          <w:rFonts w:ascii="方正小标宋简体" w:eastAsia="方正小标宋简体" w:hAnsi="宋体"/>
          <w:sz w:val="36"/>
          <w:szCs w:val="36"/>
        </w:rPr>
      </w:pPr>
    </w:p>
    <w:p w14:paraId="4C1DFD5D" w14:textId="77777777" w:rsidR="00521A05" w:rsidRDefault="00521A05">
      <w:pPr>
        <w:spacing w:line="578" w:lineRule="exact"/>
        <w:rPr>
          <w:rFonts w:ascii="方正小标宋简体" w:eastAsia="方正小标宋简体" w:hAnsi="宋体"/>
          <w:sz w:val="36"/>
          <w:szCs w:val="36"/>
        </w:rPr>
      </w:pPr>
    </w:p>
    <w:p w14:paraId="358DAC2E" w14:textId="77777777" w:rsidR="00521A05" w:rsidRDefault="00521A05">
      <w:pPr>
        <w:spacing w:line="578" w:lineRule="exact"/>
        <w:rPr>
          <w:rFonts w:ascii="方正小标宋简体" w:eastAsia="方正小标宋简体" w:hAnsi="宋体"/>
          <w:sz w:val="36"/>
          <w:szCs w:val="36"/>
        </w:rPr>
      </w:pPr>
    </w:p>
    <w:p w14:paraId="171340EC" w14:textId="77777777" w:rsidR="00521A05" w:rsidRDefault="00521A05">
      <w:pPr>
        <w:spacing w:line="578" w:lineRule="exact"/>
        <w:rPr>
          <w:rFonts w:ascii="方正小标宋简体" w:eastAsia="方正小标宋简体" w:hAnsi="宋体"/>
          <w:sz w:val="36"/>
          <w:szCs w:val="36"/>
        </w:rPr>
      </w:pPr>
    </w:p>
    <w:p w14:paraId="58AE59E7" w14:textId="77777777" w:rsidR="00521A05" w:rsidRDefault="00521A05">
      <w:pPr>
        <w:spacing w:line="578" w:lineRule="exact"/>
        <w:rPr>
          <w:rFonts w:ascii="方正小标宋简体" w:eastAsia="方正小标宋简体" w:hAnsi="宋体"/>
          <w:sz w:val="36"/>
          <w:szCs w:val="36"/>
        </w:rPr>
      </w:pPr>
    </w:p>
    <w:p w14:paraId="33BBC74A" w14:textId="77777777" w:rsidR="00521A05" w:rsidRDefault="00521A05">
      <w:pPr>
        <w:spacing w:line="578" w:lineRule="exact"/>
        <w:rPr>
          <w:rFonts w:ascii="方正小标宋简体" w:eastAsia="方正小标宋简体" w:hAnsi="宋体"/>
          <w:sz w:val="36"/>
          <w:szCs w:val="36"/>
        </w:rPr>
      </w:pPr>
    </w:p>
    <w:p w14:paraId="45D92997" w14:textId="77777777" w:rsidR="00521A05" w:rsidRDefault="00000000">
      <w:pPr>
        <w:autoSpaceDE w:val="0"/>
        <w:autoSpaceDN w:val="0"/>
        <w:adjustRightInd w:val="0"/>
        <w:spacing w:line="578" w:lineRule="exact"/>
        <w:ind w:leftChars="200" w:left="420"/>
        <w:jc w:val="left"/>
        <w:rPr>
          <w:rFonts w:ascii="宋体" w:hAnsi="宋体"/>
          <w:sz w:val="32"/>
          <w:szCs w:val="32"/>
        </w:rPr>
      </w:pPr>
      <w:r>
        <w:rPr>
          <w:rFonts w:ascii="宋体" w:hAnsi="宋体" w:cs="仿宋_GB2312" w:hint="eastAsia"/>
          <w:sz w:val="32"/>
          <w:szCs w:val="32"/>
        </w:rPr>
        <w:t>保密审查情况：已审查，内容审定</w:t>
      </w:r>
    </w:p>
    <w:p w14:paraId="371D592D" w14:textId="77777777" w:rsidR="00521A05" w:rsidRDefault="00000000">
      <w:pPr>
        <w:autoSpaceDE w:val="0"/>
        <w:autoSpaceDN w:val="0"/>
        <w:adjustRightInd w:val="0"/>
        <w:spacing w:line="578" w:lineRule="exact"/>
        <w:ind w:leftChars="200" w:left="420"/>
        <w:jc w:val="left"/>
        <w:rPr>
          <w:rFonts w:ascii="方正小标宋简体" w:eastAsia="方正小标宋简体" w:hAnsi="宋体"/>
          <w:color w:val="000000"/>
          <w:sz w:val="36"/>
          <w:szCs w:val="36"/>
        </w:rPr>
      </w:pPr>
      <w:r>
        <w:rPr>
          <w:rFonts w:ascii="宋体" w:hAnsi="宋体" w:cs="仿宋_GB2312" w:hint="eastAsia"/>
          <w:sz w:val="32"/>
          <w:szCs w:val="32"/>
        </w:rPr>
        <w:t>部门主要负责人审签情况：已审签，同意对外公开</w:t>
      </w:r>
    </w:p>
    <w:p w14:paraId="7BF2EC95" w14:textId="77777777" w:rsidR="00521A05" w:rsidRDefault="00000000">
      <w:pPr>
        <w:widowControl/>
        <w:spacing w:line="660" w:lineRule="exact"/>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316B1D25" w14:textId="77777777" w:rsidR="00521A05" w:rsidRDefault="00000000">
      <w:pPr>
        <w:pStyle w:val="TOC1"/>
        <w:spacing w:line="660" w:lineRule="exact"/>
        <w:jc w:val="center"/>
        <w:rPr>
          <w:rFonts w:hAnsiTheme="minorHAnsi"/>
          <w:b w:val="0"/>
          <w:bCs w:val="0"/>
          <w:sz w:val="24"/>
          <w:szCs w:val="24"/>
        </w:rPr>
      </w:pPr>
      <w:r>
        <w:rPr>
          <w:rFonts w:hAnsiTheme="minorHAnsi" w:hint="eastAsia"/>
          <w:b w:val="0"/>
          <w:bCs w:val="0"/>
          <w:sz w:val="24"/>
          <w:szCs w:val="24"/>
        </w:rPr>
        <w:t>公开时间：2021年</w:t>
      </w:r>
      <w:r>
        <w:rPr>
          <w:rFonts w:hAnsiTheme="minorHAnsi"/>
          <w:b w:val="0"/>
          <w:bCs w:val="0"/>
          <w:sz w:val="24"/>
          <w:szCs w:val="24"/>
        </w:rPr>
        <w:t>9</w:t>
      </w:r>
      <w:r>
        <w:rPr>
          <w:rFonts w:hAnsiTheme="minorHAnsi" w:hint="eastAsia"/>
          <w:b w:val="0"/>
          <w:bCs w:val="0"/>
          <w:sz w:val="24"/>
          <w:szCs w:val="24"/>
        </w:rPr>
        <w:t>月24日</w:t>
      </w:r>
    </w:p>
    <w:p w14:paraId="7549E895" w14:textId="77777777" w:rsidR="00521A05" w:rsidRDefault="00000000">
      <w:pPr>
        <w:pStyle w:val="TOC1"/>
        <w:tabs>
          <w:tab w:val="right" w:leader="dot" w:pos="8296"/>
        </w:tabs>
        <w:spacing w:line="660" w:lineRule="exact"/>
        <w:rPr>
          <w:rFonts w:eastAsiaTheme="minorEastAsia" w:hAnsiTheme="minorHAnsi"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b w:val="0"/>
        </w:rPr>
        <w:t xml:space="preserve">第一部分 </w:t>
      </w:r>
      <w:r>
        <w:rPr>
          <w:rFonts w:ascii="黑体" w:eastAsia="黑体" w:hAnsi="黑体"/>
          <w:b w:val="0"/>
          <w:bCs w:val="0"/>
        </w:rPr>
        <w:t>部门概况</w:t>
      </w:r>
      <w:r>
        <w:tab/>
      </w:r>
      <w:r>
        <w:rPr>
          <w:rFonts w:hint="eastAsia"/>
        </w:rPr>
        <w:t>5</w:t>
      </w:r>
    </w:p>
    <w:p w14:paraId="2F6C9BA9" w14:textId="77777777" w:rsidR="00521A05" w:rsidRDefault="00000000">
      <w:pPr>
        <w:pStyle w:val="TOC2"/>
        <w:tabs>
          <w:tab w:val="right" w:leader="dot" w:pos="8296"/>
        </w:tabs>
        <w:spacing w:line="660" w:lineRule="exact"/>
        <w:rPr>
          <w:rFonts w:eastAsiaTheme="minorEastAsia" w:hAnsiTheme="minorHAnsi" w:cstheme="minorBidi"/>
          <w:smallCaps w:val="0"/>
          <w:sz w:val="21"/>
          <w:szCs w:val="22"/>
        </w:rPr>
      </w:pPr>
      <w:r>
        <w:rPr>
          <w:rFonts w:ascii="黑体" w:eastAsia="黑体" w:hAnsi="黑体"/>
          <w:color w:val="000000"/>
        </w:rPr>
        <w:t>一、基</w:t>
      </w:r>
      <w:r>
        <w:rPr>
          <w:rFonts w:ascii="黑体" w:eastAsia="黑体" w:hAnsi="黑体"/>
        </w:rPr>
        <w:t>本职能及主要工作</w:t>
      </w:r>
      <w:r>
        <w:tab/>
      </w:r>
      <w:r>
        <w:rPr>
          <w:rFonts w:hint="eastAsia"/>
        </w:rPr>
        <w:t>5</w:t>
      </w:r>
    </w:p>
    <w:p w14:paraId="749C5BDD" w14:textId="77777777" w:rsidR="00521A05" w:rsidRDefault="00000000">
      <w:pPr>
        <w:pStyle w:val="TOC3"/>
        <w:tabs>
          <w:tab w:val="right" w:leader="dot" w:pos="8296"/>
        </w:tabs>
        <w:spacing w:line="660" w:lineRule="exact"/>
      </w:pPr>
      <w:r>
        <w:rPr>
          <w:rFonts w:ascii="仿宋" w:eastAsia="仿宋" w:hAnsi="仿宋"/>
          <w:bCs/>
          <w:color w:val="000000"/>
        </w:rPr>
        <w:t>（一）主要职能。</w:t>
      </w:r>
      <w:r>
        <w:tab/>
      </w:r>
      <w:r>
        <w:rPr>
          <w:rFonts w:hint="eastAsia"/>
        </w:rPr>
        <w:t>5</w:t>
      </w:r>
    </w:p>
    <w:p w14:paraId="2D7D1357"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Cs/>
          <w:color w:val="000000"/>
        </w:rPr>
        <w:t>（二）2020年重点工作完成情况。</w:t>
      </w:r>
      <w:r>
        <w:tab/>
      </w:r>
      <w:r>
        <w:rPr>
          <w:rFonts w:hint="eastAsia"/>
        </w:rPr>
        <w:t>7</w:t>
      </w:r>
    </w:p>
    <w:p w14:paraId="325BB35E" w14:textId="77777777" w:rsidR="00521A05" w:rsidRDefault="00000000">
      <w:pPr>
        <w:pStyle w:val="TOC2"/>
        <w:tabs>
          <w:tab w:val="right" w:leader="dot" w:pos="8296"/>
        </w:tabs>
        <w:spacing w:line="660" w:lineRule="exact"/>
        <w:rPr>
          <w:rFonts w:eastAsiaTheme="minorEastAsia" w:hAnsiTheme="minorHAnsi" w:cstheme="minorBidi"/>
          <w:sz w:val="21"/>
          <w:szCs w:val="22"/>
        </w:rPr>
      </w:pPr>
      <w:r>
        <w:rPr>
          <w:rFonts w:ascii="黑体" w:eastAsia="黑体"/>
          <w:color w:val="000000"/>
        </w:rPr>
        <w:t>二、</w:t>
      </w:r>
      <w:r>
        <w:rPr>
          <w:rFonts w:ascii="黑体" w:eastAsia="黑体" w:hAnsi="黑体"/>
          <w:color w:val="000000"/>
        </w:rPr>
        <w:t>机</w:t>
      </w:r>
      <w:r>
        <w:rPr>
          <w:rFonts w:ascii="黑体" w:eastAsia="黑体" w:hAnsi="黑体"/>
        </w:rPr>
        <w:t>构设置</w:t>
      </w:r>
      <w:r>
        <w:tab/>
      </w:r>
      <w:r>
        <w:rPr>
          <w:rFonts w:hint="eastAsia"/>
        </w:rPr>
        <w:t>9</w:t>
      </w:r>
    </w:p>
    <w:p w14:paraId="02FCF0EC" w14:textId="77777777" w:rsidR="00521A05" w:rsidRDefault="00000000">
      <w:pPr>
        <w:pStyle w:val="TOC1"/>
        <w:tabs>
          <w:tab w:val="right" w:leader="dot" w:pos="8296"/>
        </w:tabs>
        <w:spacing w:line="660" w:lineRule="exact"/>
        <w:rPr>
          <w:rFonts w:hAnsiTheme="minorHAnsi" w:cstheme="minorBidi"/>
          <w:b w:val="0"/>
          <w:bCs w:val="0"/>
          <w:caps w:val="0"/>
          <w:sz w:val="21"/>
          <w:szCs w:val="22"/>
        </w:rPr>
      </w:pPr>
      <w:r>
        <w:rPr>
          <w:rFonts w:ascii="黑体" w:eastAsia="黑体" w:hAnsi="黑体"/>
          <w:b w:val="0"/>
          <w:color w:val="000000"/>
        </w:rPr>
        <w:t>第二部分</w:t>
      </w:r>
      <w:r>
        <w:rPr>
          <w:rFonts w:ascii="黑体" w:eastAsia="黑体" w:hAnsi="黑体"/>
          <w:b w:val="0"/>
          <w:bCs w:val="0"/>
        </w:rPr>
        <w:t>2020年度部门决算情况说明</w:t>
      </w:r>
      <w:r>
        <w:tab/>
      </w:r>
      <w:r>
        <w:rPr>
          <w:rFonts w:hint="eastAsia"/>
        </w:rPr>
        <w:t>14</w:t>
      </w:r>
    </w:p>
    <w:p w14:paraId="3CB3440F" w14:textId="77777777" w:rsidR="00521A05" w:rsidRDefault="00000000">
      <w:pPr>
        <w:pStyle w:val="TOC2"/>
        <w:tabs>
          <w:tab w:val="left" w:pos="840"/>
          <w:tab w:val="right" w:leader="dot" w:pos="8296"/>
        </w:tabs>
        <w:spacing w:line="660" w:lineRule="exact"/>
        <w:rPr>
          <w:rFonts w:hAnsiTheme="minorHAnsi" w:cstheme="minorBidi"/>
          <w:smallCaps w:val="0"/>
          <w:sz w:val="21"/>
          <w:szCs w:val="22"/>
        </w:rPr>
      </w:pPr>
      <w:r>
        <w:rPr>
          <w:rFonts w:ascii="黑体" w:eastAsia="黑体" w:hAnsi="黑体"/>
          <w:bCs/>
        </w:rPr>
        <w:t>一、</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入支出决算总体情况说明</w:t>
      </w:r>
      <w:r>
        <w:tab/>
      </w:r>
      <w:r>
        <w:rPr>
          <w:rFonts w:hint="eastAsia"/>
        </w:rPr>
        <w:t>14</w:t>
      </w:r>
    </w:p>
    <w:p w14:paraId="4446C161" w14:textId="77777777" w:rsidR="00521A05" w:rsidRDefault="00000000">
      <w:pPr>
        <w:pStyle w:val="TOC2"/>
        <w:tabs>
          <w:tab w:val="left" w:pos="840"/>
          <w:tab w:val="right" w:leader="dot" w:pos="8296"/>
        </w:tabs>
        <w:spacing w:line="660" w:lineRule="exact"/>
        <w:rPr>
          <w:rFonts w:hAnsiTheme="minorHAnsi" w:cstheme="minorBidi"/>
          <w:smallCaps w:val="0"/>
          <w:sz w:val="21"/>
          <w:szCs w:val="22"/>
        </w:rPr>
      </w:pPr>
      <w:r>
        <w:rPr>
          <w:rFonts w:ascii="黑体" w:eastAsia="黑体" w:hAnsi="黑体"/>
          <w:bCs/>
        </w:rPr>
        <w:t>二、</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入决算情况说明</w:t>
      </w:r>
      <w:r>
        <w:tab/>
      </w:r>
      <w:r>
        <w:rPr>
          <w:rFonts w:hint="eastAsia"/>
        </w:rPr>
        <w:t>14</w:t>
      </w:r>
    </w:p>
    <w:p w14:paraId="69756D1E" w14:textId="77777777" w:rsidR="00521A05" w:rsidRDefault="00000000">
      <w:pPr>
        <w:pStyle w:val="TOC2"/>
        <w:tabs>
          <w:tab w:val="left" w:pos="840"/>
          <w:tab w:val="right" w:leader="dot" w:pos="8296"/>
        </w:tabs>
        <w:spacing w:line="660" w:lineRule="exact"/>
        <w:rPr>
          <w:rFonts w:eastAsiaTheme="minorEastAsia" w:hAnsiTheme="minorHAnsi" w:cstheme="minorBidi"/>
          <w:smallCaps w:val="0"/>
          <w:sz w:val="21"/>
          <w:szCs w:val="22"/>
        </w:rPr>
      </w:pPr>
      <w:r>
        <w:rPr>
          <w:rFonts w:ascii="黑体" w:eastAsia="黑体" w:hAnsi="黑体"/>
          <w:bCs/>
        </w:rPr>
        <w:t>三、</w:t>
      </w:r>
      <w:r>
        <w:rPr>
          <w:rFonts w:eastAsiaTheme="minorEastAsia" w:hAnsiTheme="minorHAnsi" w:cstheme="minorBidi"/>
          <w:smallCaps w:val="0"/>
          <w:sz w:val="21"/>
          <w:szCs w:val="22"/>
        </w:rPr>
        <w:tab/>
      </w:r>
      <w:r>
        <w:rPr>
          <w:rFonts w:ascii="黑体" w:eastAsia="黑体" w:hAnsi="黑体"/>
          <w:color w:val="000000"/>
        </w:rPr>
        <w:t>支</w:t>
      </w:r>
      <w:r>
        <w:rPr>
          <w:rFonts w:ascii="黑体" w:eastAsia="黑体" w:hAnsi="黑体"/>
          <w:bCs/>
        </w:rPr>
        <w:t>出决算情况说明</w:t>
      </w:r>
      <w:r>
        <w:tab/>
      </w:r>
      <w:r>
        <w:rPr>
          <w:rFonts w:hint="eastAsia"/>
        </w:rPr>
        <w:t>15</w:t>
      </w:r>
    </w:p>
    <w:p w14:paraId="58E811A8"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黑体" w:eastAsia="黑体" w:hAnsi="黑体"/>
          <w:color w:val="000000"/>
        </w:rPr>
        <w:t>四、财</w:t>
      </w:r>
      <w:r>
        <w:rPr>
          <w:rFonts w:ascii="黑体" w:eastAsia="黑体" w:hAnsi="黑体"/>
          <w:bCs/>
        </w:rPr>
        <w:t>政拨款收入支出决算总体情况说明</w:t>
      </w:r>
      <w:r>
        <w:tab/>
      </w:r>
      <w:r>
        <w:rPr>
          <w:rFonts w:hint="eastAsia"/>
        </w:rPr>
        <w:t>15</w:t>
      </w:r>
    </w:p>
    <w:p w14:paraId="59FA3A3D"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黑体" w:eastAsia="黑体" w:hAnsi="黑体"/>
          <w:color w:val="000000"/>
        </w:rPr>
        <w:t>五、</w:t>
      </w:r>
      <w:r>
        <w:rPr>
          <w:rFonts w:ascii="黑体" w:eastAsia="黑体" w:hAnsi="黑体"/>
          <w:b/>
          <w:color w:val="000000"/>
        </w:rPr>
        <w:t>一</w:t>
      </w:r>
      <w:r>
        <w:rPr>
          <w:rFonts w:ascii="黑体" w:eastAsia="黑体" w:hAnsi="黑体"/>
          <w:bCs/>
        </w:rPr>
        <w:t>般公共预算财政拨款支出决算情况说明</w:t>
      </w:r>
      <w:r>
        <w:tab/>
      </w:r>
      <w:r>
        <w:rPr>
          <w:rFonts w:hint="eastAsia"/>
        </w:rPr>
        <w:t>15</w:t>
      </w:r>
    </w:p>
    <w:p w14:paraId="6F9918B0"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（一）一般公共预算财政拨款支出决算总体情况</w:t>
      </w:r>
      <w:r>
        <w:tab/>
      </w:r>
      <w:r>
        <w:rPr>
          <w:rFonts w:hint="eastAsia"/>
        </w:rPr>
        <w:t>15-16</w:t>
      </w:r>
    </w:p>
    <w:p w14:paraId="5F5512AB"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（二）一般公共预算财政拨款支出决算结构情况</w:t>
      </w:r>
      <w:r>
        <w:tab/>
      </w:r>
      <w:r>
        <w:rPr>
          <w:rFonts w:hint="eastAsia"/>
        </w:rPr>
        <w:t>16</w:t>
      </w:r>
    </w:p>
    <w:p w14:paraId="5DBA1857"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（三）一般公共预算财政拨款支出决算具体情况</w:t>
      </w:r>
      <w:r>
        <w:tab/>
      </w:r>
      <w:r>
        <w:rPr>
          <w:rFonts w:hint="eastAsia"/>
        </w:rPr>
        <w:t>17</w:t>
      </w:r>
    </w:p>
    <w:p w14:paraId="4744A2DD"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eastAsia="黑体" w:hAnsi="黑体"/>
          <w:b/>
          <w:color w:val="000000"/>
        </w:rPr>
        <w:t>一</w:t>
      </w:r>
      <w:r>
        <w:rPr>
          <w:rFonts w:ascii="黑体" w:eastAsia="黑体" w:hAnsi="黑体"/>
          <w:bCs/>
        </w:rPr>
        <w:t>般公共预算财政拨款基本支出决算情况说明</w:t>
      </w:r>
      <w:r>
        <w:tab/>
      </w:r>
      <w:r>
        <w:rPr>
          <w:rFonts w:hint="eastAsia"/>
        </w:rPr>
        <w:t>17</w:t>
      </w:r>
    </w:p>
    <w:p w14:paraId="2F28C949"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黑体" w:eastAsia="黑体"/>
          <w:color w:val="000000"/>
        </w:rPr>
        <w:t>七、</w:t>
      </w:r>
      <w:r>
        <w:rPr>
          <w:rFonts w:ascii="黑体" w:eastAsia="黑体" w:hAnsi="黑体"/>
          <w:b/>
          <w:bCs/>
        </w:rPr>
        <w:t>“</w:t>
      </w:r>
      <w:r>
        <w:rPr>
          <w:rFonts w:ascii="黑体" w:eastAsia="黑体" w:hAnsi="黑体"/>
          <w:bCs/>
        </w:rPr>
        <w:t>三公”经费财政拨款支出决算情况说明</w:t>
      </w:r>
      <w:r>
        <w:tab/>
      </w:r>
      <w:r>
        <w:rPr>
          <w:rFonts w:hint="eastAsia"/>
        </w:rPr>
        <w:t>18</w:t>
      </w:r>
    </w:p>
    <w:p w14:paraId="4ABEB68F"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（一）“三公”经费财政拨款支出决算总体情况说明</w:t>
      </w:r>
      <w:r>
        <w:tab/>
      </w:r>
      <w:r>
        <w:rPr>
          <w:rFonts w:hint="eastAsia"/>
        </w:rPr>
        <w:t>18</w:t>
      </w:r>
    </w:p>
    <w:p w14:paraId="116E58E7"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（二）“三公”经费财政拨款支出决算具体情况说明</w:t>
      </w:r>
      <w:r>
        <w:tab/>
      </w:r>
      <w:r>
        <w:rPr>
          <w:rFonts w:hint="eastAsia"/>
        </w:rPr>
        <w:t>18</w:t>
      </w:r>
    </w:p>
    <w:p w14:paraId="51555E4C"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黑体" w:eastAsia="黑体"/>
          <w:color w:val="000000"/>
        </w:rPr>
        <w:lastRenderedPageBreak/>
        <w:t>八、</w:t>
      </w:r>
      <w:r>
        <w:rPr>
          <w:rFonts w:ascii="黑体" w:eastAsia="黑体" w:hAnsi="黑体"/>
          <w:bCs/>
        </w:rPr>
        <w:t>政府性基金预算支出决算情况说明</w:t>
      </w:r>
      <w:r>
        <w:tab/>
      </w:r>
      <w:r>
        <w:rPr>
          <w:rFonts w:hint="eastAsia"/>
        </w:rPr>
        <w:t>19</w:t>
      </w:r>
    </w:p>
    <w:p w14:paraId="530F7548"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黑体" w:eastAsia="黑体" w:hAnsi="黑体"/>
          <w:bCs/>
        </w:rPr>
        <w:t>九、 国有资本经营预算支出决算情况说明</w:t>
      </w:r>
      <w:r>
        <w:tab/>
      </w:r>
      <w:r>
        <w:rPr>
          <w:rFonts w:hint="eastAsia"/>
        </w:rPr>
        <w:t>19</w:t>
      </w:r>
    </w:p>
    <w:p w14:paraId="131325AC"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黑体" w:eastAsia="黑体" w:hAnsi="黑体"/>
          <w:color w:val="000000"/>
        </w:rPr>
        <w:t>十</w:t>
      </w:r>
      <w:r>
        <w:rPr>
          <w:rFonts w:ascii="黑体" w:eastAsia="黑体" w:hAnsi="黑体"/>
          <w:b/>
          <w:bCs/>
        </w:rPr>
        <w:t>、</w:t>
      </w:r>
      <w:r>
        <w:rPr>
          <w:rFonts w:ascii="黑体" w:eastAsia="黑体" w:hAnsi="黑体"/>
          <w:bCs/>
        </w:rPr>
        <w:t>其他重要事项的情况说明</w:t>
      </w:r>
      <w:r>
        <w:tab/>
      </w:r>
      <w:r>
        <w:rPr>
          <w:rFonts w:hint="eastAsia"/>
        </w:rPr>
        <w:t>19</w:t>
      </w:r>
    </w:p>
    <w:p w14:paraId="6098FB25"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（一）机关运行经费支出情况</w:t>
      </w:r>
      <w:r>
        <w:tab/>
      </w:r>
      <w:r>
        <w:rPr>
          <w:rFonts w:hint="eastAsia"/>
        </w:rPr>
        <w:t>19</w:t>
      </w:r>
    </w:p>
    <w:p w14:paraId="67E7951A"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（二）政府采购支出情况</w:t>
      </w:r>
      <w:r>
        <w:tab/>
      </w:r>
      <w:r>
        <w:rPr>
          <w:rFonts w:hint="eastAsia"/>
        </w:rPr>
        <w:t>19</w:t>
      </w:r>
    </w:p>
    <w:p w14:paraId="3A4FFE68"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（三）国有资产占有使用情况</w:t>
      </w:r>
      <w:r>
        <w:tab/>
      </w:r>
      <w:r>
        <w:rPr>
          <w:rFonts w:hint="eastAsia"/>
        </w:rPr>
        <w:t>19</w:t>
      </w:r>
    </w:p>
    <w:p w14:paraId="29DFAE34" w14:textId="77777777" w:rsidR="00521A05" w:rsidRDefault="00000000">
      <w:pPr>
        <w:pStyle w:val="TOC3"/>
        <w:tabs>
          <w:tab w:val="right" w:leader="dot" w:pos="8296"/>
        </w:tabs>
        <w:spacing w:line="660" w:lineRule="exact"/>
        <w:rPr>
          <w:rFonts w:hAnsiTheme="minorHAnsi" w:cstheme="minorBidi"/>
          <w:i w:val="0"/>
          <w:iCs w:val="0"/>
          <w:sz w:val="21"/>
          <w:szCs w:val="22"/>
        </w:rPr>
      </w:pPr>
      <w:r>
        <w:rPr>
          <w:rFonts w:ascii="仿宋" w:eastAsia="仿宋" w:hAnsi="仿宋"/>
          <w:b/>
          <w:color w:val="000000"/>
        </w:rPr>
        <w:t>（四）预算绩效管理情况。</w:t>
      </w:r>
      <w:r>
        <w:tab/>
      </w:r>
      <w:r>
        <w:rPr>
          <w:rFonts w:hint="eastAsia"/>
        </w:rPr>
        <w:t>19</w:t>
      </w:r>
    </w:p>
    <w:p w14:paraId="052AD33E" w14:textId="77777777" w:rsidR="00521A05" w:rsidRDefault="00000000">
      <w:pPr>
        <w:pStyle w:val="TOC1"/>
        <w:tabs>
          <w:tab w:val="right" w:leader="dot" w:pos="8296"/>
        </w:tabs>
        <w:spacing w:line="660" w:lineRule="exact"/>
      </w:pPr>
      <w:r>
        <w:rPr>
          <w:rFonts w:ascii="黑体" w:eastAsia="黑体" w:hAnsi="黑体"/>
          <w:kern w:val="44"/>
        </w:rPr>
        <w:t>第三部分</w:t>
      </w:r>
      <w:r>
        <w:rPr>
          <w:rFonts w:ascii="黑体" w:eastAsia="黑体" w:hAnsi="黑体"/>
          <w:color w:val="000000"/>
        </w:rPr>
        <w:t xml:space="preserve"> 名</w:t>
      </w:r>
      <w:r>
        <w:rPr>
          <w:rFonts w:ascii="黑体" w:eastAsia="黑体" w:hAnsi="黑体"/>
          <w:kern w:val="44"/>
        </w:rPr>
        <w:t>词解释</w:t>
      </w:r>
      <w:r>
        <w:tab/>
      </w:r>
      <w:r>
        <w:rPr>
          <w:rFonts w:hint="eastAsia"/>
        </w:rPr>
        <w:t>21</w:t>
      </w:r>
    </w:p>
    <w:p w14:paraId="56F69689" w14:textId="77777777" w:rsidR="00521A05" w:rsidRDefault="00000000">
      <w:pPr>
        <w:pStyle w:val="TOC1"/>
        <w:tabs>
          <w:tab w:val="right" w:leader="dot" w:pos="8296"/>
        </w:tabs>
        <w:spacing w:line="660" w:lineRule="exact"/>
        <w:rPr>
          <w:rFonts w:hAnsiTheme="minorHAnsi" w:cstheme="minorBidi"/>
          <w:b w:val="0"/>
          <w:bCs w:val="0"/>
          <w:caps w:val="0"/>
          <w:sz w:val="21"/>
          <w:szCs w:val="22"/>
        </w:rPr>
      </w:pPr>
      <w:r>
        <w:rPr>
          <w:rFonts w:ascii="黑体" w:eastAsia="黑体" w:hAnsi="黑体"/>
          <w:color w:val="000000"/>
        </w:rPr>
        <w:t>第</w:t>
      </w:r>
      <w:r>
        <w:rPr>
          <w:rFonts w:ascii="黑体" w:eastAsia="黑体" w:hAnsi="黑体"/>
          <w:kern w:val="44"/>
        </w:rPr>
        <w:t>四部分 附件</w:t>
      </w:r>
      <w:r>
        <w:tab/>
      </w:r>
      <w:r>
        <w:rPr>
          <w:rFonts w:hint="eastAsia"/>
        </w:rPr>
        <w:t>23</w:t>
      </w:r>
    </w:p>
    <w:p w14:paraId="4CF9FBA2" w14:textId="77777777" w:rsidR="00521A05" w:rsidRDefault="00000000">
      <w:pPr>
        <w:pStyle w:val="TOC1"/>
        <w:tabs>
          <w:tab w:val="right" w:leader="dot" w:pos="8296"/>
        </w:tabs>
        <w:spacing w:line="660" w:lineRule="exact"/>
      </w:pPr>
      <w:r>
        <w:rPr>
          <w:rFonts w:ascii="黑体" w:eastAsia="黑体" w:hAnsi="黑体" w:cs="黑体"/>
        </w:rPr>
        <w:t>附件1</w:t>
      </w:r>
      <w:r>
        <w:tab/>
      </w:r>
      <w:r>
        <w:rPr>
          <w:rFonts w:hint="eastAsia"/>
        </w:rPr>
        <w:t>23</w:t>
      </w:r>
    </w:p>
    <w:p w14:paraId="2D3744FA" w14:textId="77777777" w:rsidR="00521A05" w:rsidRDefault="00000000">
      <w:pPr>
        <w:pStyle w:val="TOC1"/>
        <w:tabs>
          <w:tab w:val="right" w:leader="dot" w:pos="8296"/>
        </w:tabs>
        <w:spacing w:line="660" w:lineRule="exact"/>
      </w:pPr>
      <w:r>
        <w:rPr>
          <w:rFonts w:ascii="方正小标宋简体" w:eastAsia="方正小标宋简体" w:hAnsi="黑体" w:cs="黑体"/>
        </w:rPr>
        <w:t>部门2020年部门整体支出绩效评价报告</w:t>
      </w:r>
      <w:r>
        <w:tab/>
      </w:r>
      <w:r>
        <w:rPr>
          <w:rFonts w:hint="eastAsia"/>
        </w:rPr>
        <w:t>23</w:t>
      </w:r>
    </w:p>
    <w:p w14:paraId="3C5DFD77" w14:textId="77777777" w:rsidR="00521A05" w:rsidRDefault="00000000">
      <w:pPr>
        <w:pStyle w:val="TOC1"/>
        <w:tabs>
          <w:tab w:val="right" w:leader="dot" w:pos="8296"/>
        </w:tabs>
        <w:spacing w:line="660" w:lineRule="exact"/>
        <w:rPr>
          <w:rFonts w:hAnsiTheme="minorHAnsi" w:cstheme="minorBidi"/>
          <w:b w:val="0"/>
          <w:bCs w:val="0"/>
          <w:caps w:val="0"/>
          <w:sz w:val="21"/>
          <w:szCs w:val="22"/>
        </w:rPr>
      </w:pPr>
      <w:r>
        <w:rPr>
          <w:rFonts w:ascii="黑体" w:eastAsia="黑体" w:hAnsi="黑体"/>
          <w:color w:val="000000"/>
        </w:rPr>
        <w:t>第</w:t>
      </w:r>
      <w:r>
        <w:rPr>
          <w:rFonts w:ascii="黑体" w:eastAsia="黑体" w:hAnsi="黑体"/>
          <w:kern w:val="44"/>
        </w:rPr>
        <w:t>五部分 附表</w:t>
      </w:r>
      <w:r>
        <w:tab/>
      </w:r>
      <w:r>
        <w:rPr>
          <w:rFonts w:hint="eastAsia"/>
        </w:rPr>
        <w:t>32</w:t>
      </w:r>
    </w:p>
    <w:p w14:paraId="7CD1A57A"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color w:val="000000"/>
        </w:rPr>
        <w:t>一、收</w:t>
      </w:r>
      <w:r>
        <w:rPr>
          <w:rFonts w:ascii="仿宋" w:eastAsia="仿宋" w:hAnsi="仿宋"/>
        </w:rPr>
        <w:t>入支出决算总表</w:t>
      </w:r>
      <w:r>
        <w:tab/>
      </w:r>
      <w:r>
        <w:rPr>
          <w:rFonts w:hint="eastAsia"/>
        </w:rPr>
        <w:t>32</w:t>
      </w:r>
    </w:p>
    <w:p w14:paraId="11C64511"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color w:val="000000"/>
        </w:rPr>
        <w:t>二、收</w:t>
      </w:r>
      <w:r>
        <w:rPr>
          <w:rFonts w:ascii="仿宋" w:eastAsia="仿宋" w:hAnsi="仿宋"/>
        </w:rPr>
        <w:t>入决算表</w:t>
      </w:r>
      <w:r>
        <w:tab/>
      </w:r>
      <w:r>
        <w:rPr>
          <w:rFonts w:hint="eastAsia"/>
        </w:rPr>
        <w:t>32</w:t>
      </w:r>
    </w:p>
    <w:p w14:paraId="7E544782"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三、</w:t>
      </w:r>
      <w:r>
        <w:rPr>
          <w:rFonts w:ascii="仿宋" w:eastAsia="仿宋" w:hAnsi="仿宋"/>
          <w:color w:val="000000"/>
        </w:rPr>
        <w:t>支</w:t>
      </w:r>
      <w:r>
        <w:rPr>
          <w:rFonts w:ascii="仿宋" w:eastAsia="仿宋" w:hAnsi="仿宋"/>
        </w:rPr>
        <w:t>出决算表</w:t>
      </w:r>
      <w:r>
        <w:tab/>
      </w:r>
      <w:r>
        <w:rPr>
          <w:rFonts w:hint="eastAsia"/>
        </w:rPr>
        <w:t>32</w:t>
      </w:r>
    </w:p>
    <w:p w14:paraId="0248381F"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四、</w:t>
      </w:r>
      <w:r>
        <w:rPr>
          <w:rFonts w:ascii="仿宋" w:eastAsia="仿宋" w:hAnsi="仿宋"/>
          <w:color w:val="000000"/>
        </w:rPr>
        <w:t>财</w:t>
      </w:r>
      <w:r>
        <w:rPr>
          <w:rFonts w:ascii="仿宋" w:eastAsia="仿宋" w:hAnsi="仿宋"/>
        </w:rPr>
        <w:t>政拨款收入支出决算总表</w:t>
      </w:r>
      <w:r>
        <w:tab/>
      </w:r>
      <w:r>
        <w:rPr>
          <w:rFonts w:hint="eastAsia"/>
        </w:rPr>
        <w:t>32</w:t>
      </w:r>
    </w:p>
    <w:p w14:paraId="279DB456"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五、</w:t>
      </w:r>
      <w:r>
        <w:rPr>
          <w:rFonts w:ascii="仿宋" w:eastAsia="仿宋" w:hAnsi="仿宋"/>
          <w:color w:val="000000"/>
        </w:rPr>
        <w:t>财</w:t>
      </w:r>
      <w:r>
        <w:rPr>
          <w:rFonts w:ascii="仿宋" w:eastAsia="仿宋" w:hAnsi="仿宋"/>
        </w:rPr>
        <w:t>政拨款支出决算明细表</w:t>
      </w:r>
      <w:r>
        <w:tab/>
      </w:r>
      <w:r>
        <w:rPr>
          <w:rFonts w:hint="eastAsia"/>
        </w:rPr>
        <w:t>32</w:t>
      </w:r>
    </w:p>
    <w:p w14:paraId="681C0E20"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六、</w:t>
      </w:r>
      <w:r>
        <w:rPr>
          <w:rFonts w:ascii="仿宋" w:eastAsia="仿宋" w:hAnsi="仿宋"/>
          <w:color w:val="000000"/>
        </w:rPr>
        <w:t>一</w:t>
      </w:r>
      <w:r>
        <w:rPr>
          <w:rFonts w:ascii="仿宋" w:eastAsia="仿宋" w:hAnsi="仿宋"/>
        </w:rPr>
        <w:t>般公共预算财政拨款支出决算表</w:t>
      </w:r>
      <w:r>
        <w:tab/>
      </w:r>
      <w:r>
        <w:rPr>
          <w:rFonts w:hint="eastAsia"/>
        </w:rPr>
        <w:t>32</w:t>
      </w:r>
    </w:p>
    <w:p w14:paraId="1756CC07"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七、</w:t>
      </w:r>
      <w:r>
        <w:rPr>
          <w:rFonts w:ascii="仿宋" w:eastAsia="仿宋" w:hAnsi="仿宋"/>
          <w:color w:val="000000"/>
        </w:rPr>
        <w:t>一</w:t>
      </w:r>
      <w:r>
        <w:rPr>
          <w:rFonts w:ascii="仿宋" w:eastAsia="仿宋" w:hAnsi="仿宋"/>
        </w:rPr>
        <w:t>般公共预算财政拨款支出决算明细表</w:t>
      </w:r>
      <w:r>
        <w:tab/>
      </w:r>
      <w:r>
        <w:rPr>
          <w:rFonts w:hint="eastAsia"/>
        </w:rPr>
        <w:t>32</w:t>
      </w:r>
    </w:p>
    <w:p w14:paraId="77DDD951"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八、</w:t>
      </w:r>
      <w:r>
        <w:rPr>
          <w:rFonts w:ascii="仿宋" w:eastAsia="仿宋" w:hAnsi="仿宋"/>
          <w:color w:val="000000"/>
        </w:rPr>
        <w:t>一</w:t>
      </w:r>
      <w:r>
        <w:rPr>
          <w:rFonts w:ascii="仿宋" w:eastAsia="仿宋" w:hAnsi="仿宋"/>
        </w:rPr>
        <w:t>般公共预算财政拨款基本支出决算表</w:t>
      </w:r>
      <w:r>
        <w:tab/>
      </w:r>
      <w:r>
        <w:rPr>
          <w:rFonts w:hint="eastAsia"/>
        </w:rPr>
        <w:t>32</w:t>
      </w:r>
    </w:p>
    <w:p w14:paraId="14E70226"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lastRenderedPageBreak/>
        <w:t>九、</w:t>
      </w:r>
      <w:r>
        <w:rPr>
          <w:rFonts w:ascii="仿宋" w:eastAsia="仿宋" w:hAnsi="仿宋"/>
          <w:color w:val="000000"/>
        </w:rPr>
        <w:t>一</w:t>
      </w:r>
      <w:r>
        <w:rPr>
          <w:rFonts w:ascii="仿宋" w:eastAsia="仿宋" w:hAnsi="仿宋"/>
        </w:rPr>
        <w:t>般公共预算财政拨款项目支出决算表</w:t>
      </w:r>
      <w:r>
        <w:tab/>
      </w:r>
      <w:r>
        <w:rPr>
          <w:rFonts w:hint="eastAsia"/>
        </w:rPr>
        <w:t>32</w:t>
      </w:r>
    </w:p>
    <w:p w14:paraId="7D4A19E2"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十、</w:t>
      </w:r>
      <w:r>
        <w:rPr>
          <w:rFonts w:ascii="仿宋" w:eastAsia="仿宋" w:hAnsi="仿宋"/>
          <w:color w:val="000000"/>
        </w:rPr>
        <w:t>一</w:t>
      </w:r>
      <w:r>
        <w:rPr>
          <w:rFonts w:ascii="仿宋" w:eastAsia="仿宋" w:hAnsi="仿宋"/>
        </w:rPr>
        <w:t>般公共预算财政拨款“三公”经费支出决算表</w:t>
      </w:r>
      <w:r>
        <w:tab/>
      </w:r>
      <w:r>
        <w:rPr>
          <w:rFonts w:hint="eastAsia"/>
        </w:rPr>
        <w:t>32</w:t>
      </w:r>
    </w:p>
    <w:p w14:paraId="1ECFE824"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十一、</w:t>
      </w:r>
      <w:r>
        <w:rPr>
          <w:rFonts w:ascii="仿宋" w:eastAsia="仿宋" w:hAnsi="仿宋"/>
          <w:color w:val="000000"/>
        </w:rPr>
        <w:t>政</w:t>
      </w:r>
      <w:r>
        <w:rPr>
          <w:rFonts w:ascii="仿宋" w:eastAsia="仿宋" w:hAnsi="仿宋"/>
        </w:rPr>
        <w:t>府性基金预算财政拨款收入支出决算表</w:t>
      </w:r>
      <w:r>
        <w:tab/>
      </w:r>
      <w:r>
        <w:rPr>
          <w:rFonts w:hint="eastAsia"/>
        </w:rPr>
        <w:t>32</w:t>
      </w:r>
    </w:p>
    <w:p w14:paraId="29097C6E"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十二、</w:t>
      </w:r>
      <w:r>
        <w:rPr>
          <w:rFonts w:ascii="仿宋" w:eastAsia="仿宋" w:hAnsi="仿宋"/>
          <w:color w:val="000000"/>
        </w:rPr>
        <w:t>政</w:t>
      </w:r>
      <w:r>
        <w:rPr>
          <w:rFonts w:ascii="仿宋" w:eastAsia="仿宋" w:hAnsi="仿宋"/>
        </w:rPr>
        <w:t>府性基金预算财政拨款“三公”经费支出决算表</w:t>
      </w:r>
      <w:r>
        <w:tab/>
      </w:r>
      <w:r>
        <w:rPr>
          <w:rFonts w:hint="eastAsia"/>
        </w:rPr>
        <w:t>32</w:t>
      </w:r>
    </w:p>
    <w:p w14:paraId="6BF74925"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十三、</w:t>
      </w:r>
      <w:r>
        <w:rPr>
          <w:rFonts w:ascii="仿宋" w:eastAsia="仿宋" w:hAnsi="仿宋"/>
          <w:color w:val="000000"/>
        </w:rPr>
        <w:t>国</w:t>
      </w:r>
      <w:r>
        <w:rPr>
          <w:rFonts w:ascii="仿宋" w:eastAsia="仿宋" w:hAnsi="仿宋"/>
        </w:rPr>
        <w:t>有资本经营预算财政拨款支出决算表</w:t>
      </w:r>
      <w:r>
        <w:tab/>
      </w:r>
      <w:r>
        <w:rPr>
          <w:rFonts w:hint="eastAsia"/>
        </w:rPr>
        <w:t>32</w:t>
      </w:r>
    </w:p>
    <w:p w14:paraId="08BE11B2" w14:textId="77777777" w:rsidR="00521A05" w:rsidRDefault="00000000">
      <w:pPr>
        <w:pStyle w:val="TOC2"/>
        <w:tabs>
          <w:tab w:val="right" w:leader="dot" w:pos="8296"/>
        </w:tabs>
        <w:spacing w:line="660" w:lineRule="exact"/>
        <w:rPr>
          <w:rFonts w:hAnsiTheme="minorHAnsi" w:cstheme="minorBidi"/>
          <w:smallCaps w:val="0"/>
          <w:sz w:val="21"/>
          <w:szCs w:val="22"/>
        </w:rPr>
      </w:pPr>
      <w:r>
        <w:rPr>
          <w:rFonts w:ascii="仿宋" w:eastAsia="仿宋" w:hAnsi="仿宋"/>
        </w:rPr>
        <w:t>十四、国有资本经营预算财政拨款支出决算表</w:t>
      </w:r>
      <w:r>
        <w:tab/>
      </w:r>
      <w:r>
        <w:rPr>
          <w:rFonts w:hint="eastAsia"/>
        </w:rPr>
        <w:t>32</w:t>
      </w:r>
    </w:p>
    <w:p w14:paraId="7EB999E0" w14:textId="77777777" w:rsidR="00521A05" w:rsidRDefault="00000000">
      <w:pPr>
        <w:spacing w:line="660" w:lineRule="exact"/>
      </w:pPr>
      <w:r>
        <w:rPr>
          <w:rFonts w:asciiTheme="minorHAnsi" w:eastAsiaTheme="minorHAnsi"/>
          <w:b/>
          <w:bCs/>
          <w:caps/>
          <w:sz w:val="20"/>
          <w:szCs w:val="20"/>
        </w:rPr>
        <w:fldChar w:fldCharType="end"/>
      </w:r>
    </w:p>
    <w:p w14:paraId="315119C4" w14:textId="77777777" w:rsidR="00521A05" w:rsidRDefault="00000000">
      <w:pPr>
        <w:widowControl/>
        <w:spacing w:line="66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14:paraId="0F56438E" w14:textId="77777777" w:rsidR="00521A05" w:rsidRDefault="00000000">
      <w:pPr>
        <w:pStyle w:val="1"/>
        <w:spacing w:line="578" w:lineRule="exact"/>
        <w:jc w:val="center"/>
        <w:rPr>
          <w:rFonts w:ascii="黑体" w:eastAsia="黑体"/>
          <w:color w:val="000000"/>
          <w:sz w:val="32"/>
          <w:szCs w:val="32"/>
        </w:rPr>
      </w:pPr>
      <w:bookmarkStart w:id="14" w:name="_Toc79163601"/>
      <w:bookmarkStart w:id="15" w:name="_Toc79163851"/>
      <w:r>
        <w:rPr>
          <w:rFonts w:ascii="黑体" w:eastAsia="黑体" w:hAnsi="黑体" w:hint="eastAsia"/>
          <w:b w:val="0"/>
        </w:rPr>
        <w:lastRenderedPageBreak/>
        <w:t>第一部分</w:t>
      </w:r>
      <w:r>
        <w:rPr>
          <w:rStyle w:val="10"/>
          <w:rFonts w:ascii="黑体" w:eastAsia="黑体" w:hAnsi="黑体" w:hint="eastAsia"/>
        </w:rPr>
        <w:t>部门概况</w:t>
      </w:r>
      <w:bookmarkEnd w:id="12"/>
      <w:bookmarkEnd w:id="13"/>
      <w:bookmarkEnd w:id="14"/>
      <w:bookmarkEnd w:id="15"/>
    </w:p>
    <w:p w14:paraId="7B6A5FC5" w14:textId="77777777" w:rsidR="00521A05" w:rsidRDefault="00000000">
      <w:pPr>
        <w:pStyle w:val="2"/>
        <w:spacing w:line="578" w:lineRule="exact"/>
        <w:rPr>
          <w:rStyle w:val="20"/>
          <w:rFonts w:ascii="黑体" w:eastAsia="黑体" w:hAnsi="黑体"/>
        </w:rPr>
      </w:pPr>
      <w:bookmarkStart w:id="16" w:name="_Toc79163852"/>
      <w:bookmarkStart w:id="17" w:name="_Toc15396600"/>
      <w:bookmarkStart w:id="18" w:name="_Toc15377197"/>
      <w:bookmarkStart w:id="19" w:name="_Toc79163602"/>
      <w:r>
        <w:rPr>
          <w:rFonts w:ascii="黑体" w:eastAsia="黑体" w:hAnsi="黑体" w:hint="eastAsia"/>
          <w:b w:val="0"/>
          <w:color w:val="000000"/>
        </w:rPr>
        <w:t>一、基</w:t>
      </w:r>
      <w:r>
        <w:rPr>
          <w:rStyle w:val="20"/>
          <w:rFonts w:ascii="黑体" w:eastAsia="黑体" w:hAnsi="黑体" w:hint="eastAsia"/>
        </w:rPr>
        <w:t>本职能及主要工作</w:t>
      </w:r>
      <w:bookmarkStart w:id="20" w:name="_Toc15396601"/>
      <w:bookmarkStart w:id="21" w:name="_Toc79163855"/>
      <w:bookmarkStart w:id="22" w:name="_Toc15377200"/>
      <w:bookmarkStart w:id="23" w:name="_Toc79163605"/>
      <w:bookmarkEnd w:id="16"/>
      <w:bookmarkEnd w:id="17"/>
      <w:bookmarkEnd w:id="18"/>
      <w:bookmarkEnd w:id="19"/>
    </w:p>
    <w:p w14:paraId="3AE909D1" w14:textId="77777777" w:rsidR="00521A05" w:rsidRDefault="00000000">
      <w:pPr>
        <w:pStyle w:val="2"/>
        <w:spacing w:line="578" w:lineRule="exact"/>
        <w:rPr>
          <w:rFonts w:ascii="楷体_GB2312" w:eastAsia="楷体_GB2312" w:hAnsi="仿宋"/>
          <w:b w:val="0"/>
          <w:bCs w:val="0"/>
        </w:rPr>
      </w:pPr>
      <w:r>
        <w:rPr>
          <w:rFonts w:ascii="楷体_GB2312" w:eastAsia="楷体_GB2312" w:hAnsi="仿宋" w:hint="eastAsia"/>
          <w:b w:val="0"/>
          <w:bCs w:val="0"/>
        </w:rPr>
        <w:t>（一）主要职能</w:t>
      </w:r>
    </w:p>
    <w:p w14:paraId="192A7D81" w14:textId="77777777" w:rsidR="00521A05" w:rsidRDefault="00000000">
      <w:pPr>
        <w:pStyle w:val="2"/>
        <w:spacing w:line="578" w:lineRule="exact"/>
        <w:ind w:firstLineChars="100" w:firstLine="320"/>
        <w:rPr>
          <w:rFonts w:ascii="仿宋_GB2312" w:eastAsia="仿宋_GB2312" w:hAnsi="仿宋"/>
          <w:b w:val="0"/>
          <w:bCs w:val="0"/>
        </w:rPr>
      </w:pPr>
      <w:r>
        <w:rPr>
          <w:rFonts w:ascii="仿宋_GB2312" w:eastAsia="仿宋_GB2312" w:hAnsi="仿宋" w:hint="eastAsia"/>
          <w:b w:val="0"/>
          <w:bCs w:val="0"/>
        </w:rPr>
        <w:t>1．主要职能。</w:t>
      </w:r>
    </w:p>
    <w:p w14:paraId="0E1D8AE5" w14:textId="77777777" w:rsidR="00521A05" w:rsidRDefault="00000000">
      <w:pPr>
        <w:snapToGrid w:val="0"/>
        <w:spacing w:line="578"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负责</w:t>
      </w:r>
      <w:proofErr w:type="gramStart"/>
      <w:r>
        <w:rPr>
          <w:rFonts w:ascii="仿宋_GB2312" w:eastAsia="仿宋_GB2312" w:hAnsi="仿宋_GB2312" w:cs="仿宋_GB2312" w:hint="eastAsia"/>
          <w:kern w:val="0"/>
          <w:sz w:val="32"/>
          <w:szCs w:val="32"/>
        </w:rPr>
        <w:t>全县党</w:t>
      </w:r>
      <w:proofErr w:type="gramEnd"/>
      <w:r>
        <w:rPr>
          <w:rFonts w:ascii="仿宋_GB2312" w:eastAsia="仿宋_GB2312" w:hAnsi="仿宋_GB2312" w:cs="仿宋_GB2312" w:hint="eastAsia"/>
          <w:kern w:val="0"/>
          <w:sz w:val="32"/>
          <w:szCs w:val="32"/>
        </w:rPr>
        <w:t>的纪律检查工作。贯彻落实党中央、省委、州委和县委关于纪律检查工作的决定，维护党的章程和其他党内法规，检查党的路线方针政策和决议的执行情况，协助县委推进全面从严治党、加强党风廉政建设和组织协调反腐败工作。</w:t>
      </w:r>
      <w:r>
        <w:rPr>
          <w:rFonts w:ascii="仿宋_GB2312" w:eastAsia="仿宋_GB2312" w:hAnsi="仿宋_GB2312" w:cs="仿宋_GB2312" w:hint="eastAsia"/>
          <w:kern w:val="0"/>
          <w:sz w:val="32"/>
          <w:szCs w:val="32"/>
        </w:rPr>
        <w:br/>
        <w:t>     依照党的章程和其他党内法规履行监督、执纪、问责职责。负责经常对党员进行遵守纪律的教育，</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w:t>
      </w:r>
      <w:proofErr w:type="gramStart"/>
      <w:r>
        <w:rPr>
          <w:rFonts w:ascii="仿宋_GB2312" w:eastAsia="仿宋_GB2312" w:hAnsi="仿宋_GB2312" w:cs="仿宋_GB2312" w:hint="eastAsia"/>
          <w:kern w:val="0"/>
          <w:sz w:val="32"/>
          <w:szCs w:val="32"/>
        </w:rPr>
        <w:t>责或者</w:t>
      </w:r>
      <w:proofErr w:type="gramEnd"/>
      <w:r>
        <w:rPr>
          <w:rFonts w:ascii="仿宋_GB2312" w:eastAsia="仿宋_GB2312" w:hAnsi="仿宋_GB2312" w:cs="仿宋_GB2312" w:hint="eastAsia"/>
          <w:kern w:val="0"/>
          <w:sz w:val="32"/>
          <w:szCs w:val="32"/>
        </w:rPr>
        <w:t>提出责任追究的建议。受理党员的控告和申诉。保障党员的权利。</w:t>
      </w:r>
      <w:r>
        <w:rPr>
          <w:rFonts w:ascii="仿宋_GB2312" w:eastAsia="仿宋_GB2312" w:hAnsi="仿宋_GB2312" w:cs="仿宋_GB2312" w:hint="eastAsia"/>
          <w:kern w:val="0"/>
          <w:sz w:val="32"/>
          <w:szCs w:val="32"/>
        </w:rPr>
        <w:br/>
        <w:t>     负责全县监察工作。贯彻落实党中央、省委、州委和县委关于监察工作的决定，维护宪法法律，依法对县委管理的行使公权力的公职人员进行监察，调查职务违法和职</w:t>
      </w:r>
      <w:r>
        <w:rPr>
          <w:rFonts w:ascii="仿宋_GB2312" w:eastAsia="仿宋_GB2312" w:hAnsi="仿宋_GB2312" w:cs="仿宋_GB2312" w:hint="eastAsia"/>
          <w:kern w:val="0"/>
          <w:sz w:val="32"/>
          <w:szCs w:val="32"/>
        </w:rPr>
        <w:lastRenderedPageBreak/>
        <w:t>务犯罪，开展廉政建设和反腐败工作。</w:t>
      </w:r>
      <w:r>
        <w:rPr>
          <w:rFonts w:ascii="仿宋_GB2312" w:eastAsia="仿宋_GB2312" w:hAnsi="仿宋_GB2312" w:cs="仿宋_GB2312" w:hint="eastAsia"/>
          <w:kern w:val="0"/>
          <w:sz w:val="32"/>
          <w:szCs w:val="32"/>
        </w:rPr>
        <w:br/>
        <w:t>     依照法律规定履行监督、调查、处置职责。推动开展廉政教育，对县委管理的行使公权力的公职人员依法履职、</w:t>
      </w:r>
      <w:proofErr w:type="gramStart"/>
      <w:r>
        <w:rPr>
          <w:rFonts w:ascii="仿宋_GB2312" w:eastAsia="仿宋_GB2312" w:hAnsi="仿宋_GB2312" w:cs="仿宋_GB2312" w:hint="eastAsia"/>
          <w:kern w:val="0"/>
          <w:sz w:val="32"/>
          <w:szCs w:val="32"/>
        </w:rPr>
        <w:t>秉</w:t>
      </w:r>
      <w:proofErr w:type="gramEnd"/>
      <w:r>
        <w:rPr>
          <w:rFonts w:ascii="仿宋_GB2312" w:eastAsia="仿宋_GB2312" w:hAnsi="仿宋_GB2312" w:cs="仿宋_GB2312" w:hint="eastAsia"/>
          <w:kern w:val="0"/>
          <w:sz w:val="32"/>
          <w:szCs w:val="32"/>
        </w:rPr>
        <w:t>公用权、廉洁从政从业以及道德操守情况进行监督检查。对涉嫌贪污贿赂、滥用职权、玩忽职守、权力寻租、利益输送、徇私舞弊以及浪费国家资财等职务违法和职务犯罪进行调查。对违法的公职人员依法</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政务处分决定。对履行职责不力、失职失责的领导人员进行问责。对涉嫌职务犯罪的，将调查结果移送人民检察院依法审查、提起公诉。向监察对象所在单位提出监察建议。</w:t>
      </w:r>
      <w:r>
        <w:rPr>
          <w:rFonts w:ascii="仿宋_GB2312" w:eastAsia="仿宋_GB2312" w:hAnsi="仿宋_GB2312" w:cs="仿宋_GB2312" w:hint="eastAsia"/>
          <w:kern w:val="0"/>
          <w:sz w:val="32"/>
          <w:szCs w:val="32"/>
        </w:rPr>
        <w:br/>
        <w:t>     负责组织协调全面从严治党、党风廉政建设和反腐败宣传教育工作。</w:t>
      </w:r>
      <w:r>
        <w:rPr>
          <w:rFonts w:ascii="仿宋_GB2312" w:eastAsia="仿宋_GB2312" w:hAnsi="仿宋_GB2312" w:cs="仿宋_GB2312" w:hint="eastAsia"/>
          <w:kern w:val="0"/>
          <w:sz w:val="32"/>
          <w:szCs w:val="32"/>
        </w:rPr>
        <w:br/>
        <w:t>     负责综合分析全面从严治党、党风廉政建设和反腐败工作情况，对纪检监察工作重要理论及实践问题进行调查研究。参与起草我县规范性文件。</w:t>
      </w:r>
      <w:r>
        <w:rPr>
          <w:rFonts w:ascii="仿宋_GB2312" w:eastAsia="仿宋_GB2312" w:hAnsi="仿宋_GB2312" w:cs="仿宋_GB2312" w:hint="eastAsia"/>
          <w:kern w:val="0"/>
          <w:sz w:val="32"/>
          <w:szCs w:val="32"/>
        </w:rPr>
        <w:br/>
        <w:t>     在州纪委监委的领导下，加强对反腐败国际追逃追赃和防逃工作的组织协调，督促有关部门做好相关工作。</w:t>
      </w:r>
      <w:r>
        <w:rPr>
          <w:rFonts w:ascii="仿宋_GB2312" w:eastAsia="仿宋_GB2312" w:hAnsi="仿宋_GB2312" w:cs="仿宋_GB2312" w:hint="eastAsia"/>
          <w:kern w:val="0"/>
          <w:sz w:val="32"/>
          <w:szCs w:val="32"/>
        </w:rPr>
        <w:br/>
        <w:t>     根据干部管理权限，负责纪检监察系统领导班子建设、干部队伍建设和组织建设的综合规划、政策研究、制度建设和业务指导。会同有关方面做好县纪委监委派驻机构、乡镇纪委监察室、县企事业纪检监察机构领导班子建设有关工作。组织和指导纪检监察系统干部教育培训工作等。</w:t>
      </w:r>
      <w:r>
        <w:rPr>
          <w:rFonts w:ascii="仿宋_GB2312" w:eastAsia="仿宋_GB2312" w:hAnsi="仿宋_GB2312" w:cs="仿宋_GB2312" w:hint="eastAsia"/>
          <w:kern w:val="0"/>
          <w:sz w:val="32"/>
          <w:szCs w:val="32"/>
        </w:rPr>
        <w:br/>
        <w:t>     完成县委和州纪委监委交办的其他任务。</w:t>
      </w:r>
    </w:p>
    <w:p w14:paraId="1E661C2E" w14:textId="77777777" w:rsidR="00521A05" w:rsidRDefault="00521A05">
      <w:pPr>
        <w:snapToGrid w:val="0"/>
        <w:spacing w:line="578" w:lineRule="exact"/>
        <w:ind w:firstLineChars="200" w:firstLine="643"/>
        <w:rPr>
          <w:rFonts w:ascii="楷体_GB2312" w:eastAsia="楷体_GB2312" w:hAnsi="仿宋"/>
          <w:b/>
          <w:sz w:val="32"/>
          <w:szCs w:val="32"/>
        </w:rPr>
      </w:pPr>
    </w:p>
    <w:p w14:paraId="4E53D1E6" w14:textId="77777777" w:rsidR="00521A05" w:rsidRDefault="00000000">
      <w:pPr>
        <w:snapToGrid w:val="0"/>
        <w:spacing w:line="578" w:lineRule="exact"/>
        <w:ind w:firstLineChars="200" w:firstLine="643"/>
      </w:pPr>
      <w:r>
        <w:rPr>
          <w:rFonts w:ascii="楷体_GB2312" w:eastAsia="楷体_GB2312" w:hAnsi="仿宋" w:hint="eastAsia"/>
          <w:b/>
          <w:sz w:val="32"/>
          <w:szCs w:val="32"/>
        </w:rPr>
        <w:lastRenderedPageBreak/>
        <w:t>（二）2020年重点工作完成情况。</w:t>
      </w:r>
    </w:p>
    <w:p w14:paraId="00A83F72" w14:textId="29A2A6AE" w:rsidR="00521A05" w:rsidRDefault="00000000">
      <w:pPr>
        <w:spacing w:line="578" w:lineRule="exact"/>
        <w:ind w:firstLineChars="200" w:firstLine="643"/>
        <w:rPr>
          <w:rFonts w:eastAsia="仿宋_GB2312"/>
          <w:snapToGrid w:val="0"/>
          <w:spacing w:val="-2"/>
          <w:kern w:val="0"/>
          <w:sz w:val="32"/>
          <w:szCs w:val="32"/>
        </w:rPr>
      </w:pPr>
      <w:r>
        <w:rPr>
          <w:rFonts w:ascii="楷体_GB2312" w:eastAsia="楷体_GB2312" w:hAnsi="楷体_GB2312" w:cs="楷体_GB2312" w:hint="eastAsia"/>
          <w:b/>
          <w:bCs/>
          <w:sz w:val="32"/>
          <w:szCs w:val="32"/>
        </w:rPr>
        <w:t>1.聚焦中心强化监督。</w:t>
      </w:r>
      <w:r>
        <w:rPr>
          <w:rFonts w:eastAsia="仿宋_GB2312"/>
          <w:sz w:val="32"/>
          <w:szCs w:val="32"/>
        </w:rPr>
        <w:t>常态化推进政治监督，以问题为导向，加强对中央、省委、州委和县委决策部署落实情况的监督检查，扎实开展</w:t>
      </w:r>
      <w:r>
        <w:rPr>
          <w:rFonts w:eastAsia="仿宋_GB2312"/>
          <w:sz w:val="32"/>
          <w:szCs w:val="32"/>
        </w:rPr>
        <w:t>“</w:t>
      </w:r>
      <w:r>
        <w:rPr>
          <w:rFonts w:eastAsia="仿宋_GB2312"/>
          <w:sz w:val="32"/>
          <w:szCs w:val="32"/>
        </w:rPr>
        <w:t>三察三治</w:t>
      </w:r>
      <w:r>
        <w:rPr>
          <w:rFonts w:eastAsia="仿宋_GB2312"/>
          <w:sz w:val="32"/>
          <w:szCs w:val="32"/>
        </w:rPr>
        <w:t>”</w:t>
      </w:r>
      <w:r>
        <w:rPr>
          <w:rFonts w:eastAsia="仿宋_GB2312"/>
          <w:sz w:val="32"/>
          <w:szCs w:val="32"/>
        </w:rPr>
        <w:t>问题专项行动，围绕</w:t>
      </w:r>
      <w:r>
        <w:rPr>
          <w:rFonts w:eastAsia="仿宋_GB2312" w:hint="eastAsia"/>
          <w:kern w:val="0"/>
          <w:sz w:val="32"/>
          <w:szCs w:val="32"/>
        </w:rPr>
        <w:t>县委</w:t>
      </w:r>
      <w:r w:rsidR="007E2268">
        <w:rPr>
          <w:rFonts w:eastAsia="仿宋_GB2312" w:hint="eastAsia"/>
          <w:kern w:val="0"/>
          <w:sz w:val="32"/>
          <w:szCs w:val="32"/>
        </w:rPr>
        <w:t>、县</w:t>
      </w:r>
      <w:r>
        <w:rPr>
          <w:rFonts w:eastAsia="仿宋_GB2312" w:hint="eastAsia"/>
          <w:kern w:val="0"/>
          <w:sz w:val="32"/>
          <w:szCs w:val="32"/>
        </w:rPr>
        <w:t>政府中心工作</w:t>
      </w:r>
      <w:r>
        <w:rPr>
          <w:rFonts w:eastAsia="仿宋_GB2312"/>
          <w:kern w:val="0"/>
          <w:sz w:val="32"/>
          <w:szCs w:val="32"/>
        </w:rPr>
        <w:t>，开展</w:t>
      </w:r>
      <w:r>
        <w:rPr>
          <w:rFonts w:eastAsia="仿宋_GB2312"/>
          <w:sz w:val="32"/>
          <w:szCs w:val="32"/>
        </w:rPr>
        <w:t>各类监督</w:t>
      </w:r>
      <w:r>
        <w:rPr>
          <w:rFonts w:eastAsia="仿宋_GB2312" w:hint="eastAsia"/>
          <w:sz w:val="32"/>
          <w:szCs w:val="32"/>
        </w:rPr>
        <w:t>13</w:t>
      </w:r>
      <w:r>
        <w:rPr>
          <w:rFonts w:eastAsia="仿宋_GB2312"/>
          <w:sz w:val="32"/>
          <w:szCs w:val="32"/>
        </w:rPr>
        <w:t>次，发现问题</w:t>
      </w:r>
      <w:r>
        <w:rPr>
          <w:rFonts w:eastAsia="仿宋_GB2312" w:hint="eastAsia"/>
          <w:sz w:val="32"/>
          <w:szCs w:val="32"/>
        </w:rPr>
        <w:t>54</w:t>
      </w:r>
      <w:r>
        <w:rPr>
          <w:rFonts w:eastAsia="仿宋_GB2312"/>
          <w:sz w:val="32"/>
          <w:szCs w:val="32"/>
        </w:rPr>
        <w:t>个，提出整改建议</w:t>
      </w:r>
      <w:r>
        <w:rPr>
          <w:rFonts w:eastAsia="仿宋_GB2312" w:hint="eastAsia"/>
          <w:sz w:val="32"/>
          <w:szCs w:val="32"/>
        </w:rPr>
        <w:t>27</w:t>
      </w:r>
      <w:r>
        <w:rPr>
          <w:rFonts w:eastAsia="仿宋_GB2312"/>
          <w:sz w:val="32"/>
          <w:szCs w:val="32"/>
        </w:rPr>
        <w:t>条。</w:t>
      </w:r>
      <w:r>
        <w:rPr>
          <w:rFonts w:eastAsia="仿宋_GB2312" w:hint="eastAsia"/>
          <w:sz w:val="32"/>
          <w:szCs w:val="32"/>
        </w:rPr>
        <w:t>今年还将</w:t>
      </w:r>
      <w:r>
        <w:rPr>
          <w:rFonts w:eastAsia="仿宋_GB2312"/>
          <w:kern w:val="0"/>
          <w:sz w:val="32"/>
          <w:szCs w:val="32"/>
        </w:rPr>
        <w:t>新冠肺炎疫情防控</w:t>
      </w:r>
      <w:r>
        <w:rPr>
          <w:rFonts w:eastAsia="仿宋_GB2312" w:hint="eastAsia"/>
          <w:kern w:val="0"/>
          <w:sz w:val="32"/>
          <w:szCs w:val="32"/>
        </w:rPr>
        <w:t>和</w:t>
      </w:r>
      <w:r>
        <w:rPr>
          <w:rFonts w:eastAsia="仿宋_GB2312"/>
          <w:sz w:val="32"/>
          <w:szCs w:val="32"/>
        </w:rPr>
        <w:t>对</w:t>
      </w:r>
      <w:r>
        <w:rPr>
          <w:rFonts w:eastAsia="仿宋_GB2312"/>
          <w:sz w:val="32"/>
          <w:szCs w:val="32"/>
        </w:rPr>
        <w:t>“</w:t>
      </w:r>
      <w:r>
        <w:rPr>
          <w:rFonts w:eastAsia="仿宋_GB2312"/>
          <w:sz w:val="32"/>
          <w:szCs w:val="32"/>
        </w:rPr>
        <w:t>一把手</w:t>
      </w:r>
      <w:r>
        <w:rPr>
          <w:rFonts w:eastAsia="仿宋_GB2312"/>
          <w:sz w:val="32"/>
          <w:szCs w:val="32"/>
        </w:rPr>
        <w:t>”</w:t>
      </w:r>
      <w:r>
        <w:rPr>
          <w:rFonts w:eastAsia="仿宋_GB2312"/>
          <w:sz w:val="32"/>
          <w:szCs w:val="32"/>
        </w:rPr>
        <w:t>和</w:t>
      </w:r>
      <w:r>
        <w:rPr>
          <w:rFonts w:eastAsia="仿宋_GB2312"/>
          <w:kern w:val="0"/>
          <w:sz w:val="32"/>
          <w:szCs w:val="32"/>
        </w:rPr>
        <w:t>“</w:t>
      </w:r>
      <w:r>
        <w:rPr>
          <w:rFonts w:eastAsia="仿宋_GB2312"/>
          <w:kern w:val="0"/>
          <w:sz w:val="32"/>
          <w:szCs w:val="32"/>
        </w:rPr>
        <w:t>两委委员</w:t>
      </w:r>
      <w:r>
        <w:rPr>
          <w:rFonts w:eastAsia="仿宋_GB2312"/>
          <w:kern w:val="0"/>
          <w:sz w:val="32"/>
          <w:szCs w:val="32"/>
        </w:rPr>
        <w:t>”</w:t>
      </w:r>
      <w:r>
        <w:rPr>
          <w:rFonts w:eastAsia="仿宋_GB2312"/>
          <w:kern w:val="0"/>
          <w:sz w:val="32"/>
          <w:szCs w:val="32"/>
        </w:rPr>
        <w:t>的日常监督</w:t>
      </w:r>
      <w:r>
        <w:rPr>
          <w:rFonts w:eastAsia="仿宋_GB2312" w:hint="eastAsia"/>
          <w:kern w:val="0"/>
          <w:sz w:val="32"/>
          <w:szCs w:val="32"/>
        </w:rPr>
        <w:t>作为</w:t>
      </w:r>
      <w:r>
        <w:rPr>
          <w:rFonts w:eastAsia="仿宋_GB2312"/>
          <w:kern w:val="0"/>
          <w:sz w:val="32"/>
          <w:szCs w:val="32"/>
        </w:rPr>
        <w:t>监督重点，</w:t>
      </w:r>
      <w:r>
        <w:rPr>
          <w:rFonts w:eastAsia="仿宋_GB2312"/>
          <w:sz w:val="32"/>
          <w:szCs w:val="32"/>
        </w:rPr>
        <w:t>切实强化对</w:t>
      </w:r>
      <w:r>
        <w:rPr>
          <w:rFonts w:eastAsia="仿宋_GB2312"/>
          <w:sz w:val="32"/>
          <w:szCs w:val="32"/>
        </w:rPr>
        <w:t>“</w:t>
      </w:r>
      <w:r>
        <w:rPr>
          <w:rFonts w:eastAsia="仿宋_GB2312"/>
          <w:sz w:val="32"/>
          <w:szCs w:val="32"/>
        </w:rPr>
        <w:t>一肩挑</w:t>
      </w:r>
      <w:r>
        <w:rPr>
          <w:rFonts w:eastAsia="仿宋_GB2312"/>
          <w:sz w:val="32"/>
          <w:szCs w:val="32"/>
        </w:rPr>
        <w:t>”</w:t>
      </w:r>
      <w:r>
        <w:rPr>
          <w:rFonts w:eastAsia="仿宋_GB2312"/>
          <w:sz w:val="32"/>
          <w:szCs w:val="32"/>
        </w:rPr>
        <w:t>后村（社区）党支部书记的监督</w:t>
      </w:r>
      <w:r>
        <w:rPr>
          <w:rFonts w:eastAsia="仿宋_GB2312"/>
          <w:kern w:val="0"/>
          <w:sz w:val="32"/>
          <w:szCs w:val="32"/>
        </w:rPr>
        <w:t>，提升监督实效</w:t>
      </w:r>
      <w:r>
        <w:rPr>
          <w:rFonts w:eastAsia="仿宋_GB2312"/>
          <w:snapToGrid w:val="0"/>
          <w:spacing w:val="-2"/>
          <w:kern w:val="0"/>
          <w:sz w:val="32"/>
          <w:szCs w:val="32"/>
        </w:rPr>
        <w:t>。</w:t>
      </w:r>
    </w:p>
    <w:p w14:paraId="5196B88D" w14:textId="77777777" w:rsidR="00521A05" w:rsidRDefault="00000000">
      <w:pPr>
        <w:spacing w:line="578" w:lineRule="exact"/>
        <w:ind w:firstLineChars="200" w:firstLine="643"/>
        <w:rPr>
          <w:rFonts w:eastAsia="仿宋_GB2312"/>
          <w:spacing w:val="-11"/>
          <w:sz w:val="32"/>
          <w:szCs w:val="32"/>
        </w:rPr>
      </w:pPr>
      <w:r>
        <w:rPr>
          <w:rFonts w:ascii="楷体_GB2312" w:eastAsia="楷体_GB2312" w:hAnsi="楷体_GB2312" w:cs="楷体_GB2312" w:hint="eastAsia"/>
          <w:b/>
          <w:bCs/>
          <w:sz w:val="32"/>
          <w:szCs w:val="32"/>
        </w:rPr>
        <w:t>2.持续加强政治巡察。</w:t>
      </w:r>
      <w:r>
        <w:rPr>
          <w:rFonts w:eastAsia="仿宋_GB2312" w:hint="eastAsia"/>
          <w:sz w:val="32"/>
          <w:szCs w:val="32"/>
        </w:rPr>
        <w:t>完成了第六轮和第七轮常规巡察共巡察</w:t>
      </w:r>
      <w:r>
        <w:rPr>
          <w:rFonts w:eastAsia="仿宋_GB2312" w:hint="eastAsia"/>
          <w:sz w:val="32"/>
          <w:szCs w:val="32"/>
        </w:rPr>
        <w:t>18</w:t>
      </w:r>
      <w:r>
        <w:rPr>
          <w:rFonts w:eastAsia="仿宋_GB2312" w:hint="eastAsia"/>
          <w:sz w:val="32"/>
          <w:szCs w:val="32"/>
        </w:rPr>
        <w:t>个党组织，发现问题</w:t>
      </w:r>
      <w:r>
        <w:rPr>
          <w:rFonts w:eastAsia="仿宋_GB2312" w:hint="eastAsia"/>
          <w:sz w:val="32"/>
          <w:szCs w:val="32"/>
        </w:rPr>
        <w:t>248</w:t>
      </w:r>
      <w:r>
        <w:rPr>
          <w:rFonts w:eastAsia="仿宋_GB2312" w:hint="eastAsia"/>
          <w:sz w:val="32"/>
          <w:szCs w:val="32"/>
        </w:rPr>
        <w:t>个，</w:t>
      </w:r>
      <w:proofErr w:type="gramStart"/>
      <w:r>
        <w:rPr>
          <w:rFonts w:eastAsia="仿宋_GB2312" w:hint="eastAsia"/>
          <w:sz w:val="32"/>
          <w:szCs w:val="32"/>
        </w:rPr>
        <w:t>立巡立改</w:t>
      </w:r>
      <w:proofErr w:type="gramEnd"/>
      <w:r>
        <w:rPr>
          <w:rFonts w:eastAsia="仿宋_GB2312" w:hint="eastAsia"/>
          <w:sz w:val="32"/>
          <w:szCs w:val="32"/>
        </w:rPr>
        <w:t>192</w:t>
      </w:r>
      <w:r>
        <w:rPr>
          <w:rFonts w:eastAsia="仿宋_GB2312" w:hint="eastAsia"/>
          <w:sz w:val="32"/>
          <w:szCs w:val="32"/>
        </w:rPr>
        <w:t>个，移送问题线索</w:t>
      </w:r>
      <w:r>
        <w:rPr>
          <w:rFonts w:eastAsia="仿宋_GB2312" w:hint="eastAsia"/>
          <w:sz w:val="32"/>
          <w:szCs w:val="32"/>
        </w:rPr>
        <w:t>4</w:t>
      </w:r>
      <w:r>
        <w:rPr>
          <w:rFonts w:eastAsia="仿宋_GB2312" w:hint="eastAsia"/>
          <w:sz w:val="32"/>
          <w:szCs w:val="32"/>
        </w:rPr>
        <w:t>条，第八轮巡察正在开展。扎实推进了省委第一巡视组</w:t>
      </w:r>
      <w:r>
        <w:rPr>
          <w:rFonts w:eastAsia="仿宋_GB2312" w:hint="eastAsia"/>
          <w:sz w:val="32"/>
          <w:szCs w:val="32"/>
        </w:rPr>
        <w:t>2018</w:t>
      </w:r>
      <w:r>
        <w:rPr>
          <w:rFonts w:eastAsia="仿宋_GB2312" w:hint="eastAsia"/>
          <w:sz w:val="32"/>
          <w:szCs w:val="32"/>
        </w:rPr>
        <w:t>年扶贫领域专项巡视松潘、省委第六巡视组巡视阿坝州反馈意见整改工作以及落实州委重大决策部署督察反馈问题整改工作，有效彰显了巡察利剑作用。</w:t>
      </w:r>
    </w:p>
    <w:p w14:paraId="1E32E5A6" w14:textId="77777777" w:rsidR="00521A05" w:rsidRDefault="00000000">
      <w:pPr>
        <w:spacing w:line="578" w:lineRule="exact"/>
        <w:ind w:firstLineChars="200" w:firstLine="643"/>
        <w:rPr>
          <w:rFonts w:eastAsia="仿宋_GB2312"/>
          <w:sz w:val="32"/>
          <w:szCs w:val="32"/>
        </w:rPr>
      </w:pPr>
      <w:r>
        <w:rPr>
          <w:rFonts w:ascii="楷体_GB2312" w:eastAsia="楷体_GB2312" w:hAnsi="楷体_GB2312" w:cs="楷体_GB2312" w:hint="eastAsia"/>
          <w:b/>
          <w:bCs/>
          <w:sz w:val="32"/>
          <w:szCs w:val="32"/>
        </w:rPr>
        <w:t>3.广泛开展宣传教育。</w:t>
      </w:r>
      <w:r>
        <w:rPr>
          <w:rFonts w:eastAsia="仿宋_GB2312" w:hint="eastAsia"/>
          <w:sz w:val="32"/>
          <w:szCs w:val="32"/>
        </w:rPr>
        <w:t>坚持</w:t>
      </w:r>
      <w:r>
        <w:rPr>
          <w:rFonts w:eastAsia="仿宋_GB2312"/>
          <w:sz w:val="32"/>
          <w:szCs w:val="32"/>
        </w:rPr>
        <w:t>在</w:t>
      </w:r>
      <w:r>
        <w:rPr>
          <w:rFonts w:eastAsia="仿宋_GB2312" w:hint="eastAsia"/>
          <w:sz w:val="32"/>
          <w:szCs w:val="32"/>
        </w:rPr>
        <w:t>各</w:t>
      </w:r>
      <w:r>
        <w:rPr>
          <w:rFonts w:eastAsia="仿宋_GB2312"/>
          <w:sz w:val="32"/>
          <w:szCs w:val="32"/>
        </w:rPr>
        <w:t>重要节点向全县广大党员干部发送廉政提醒短信；</w:t>
      </w:r>
      <w:r>
        <w:rPr>
          <w:rFonts w:eastAsia="仿宋_GB2312" w:hint="eastAsia"/>
          <w:sz w:val="32"/>
          <w:szCs w:val="32"/>
        </w:rPr>
        <w:t>为确保防控措施落实到位，印发了《党员干部在新型冠状病毒感染肺炎疫情防控工作中的“八严禁”》，对违反疫情防控规定的</w:t>
      </w:r>
      <w:r>
        <w:rPr>
          <w:rFonts w:eastAsia="仿宋_GB2312" w:hint="eastAsia"/>
          <w:sz w:val="32"/>
          <w:szCs w:val="32"/>
        </w:rPr>
        <w:t>5</w:t>
      </w:r>
      <w:r>
        <w:rPr>
          <w:rFonts w:eastAsia="仿宋_GB2312" w:hint="eastAsia"/>
          <w:sz w:val="32"/>
          <w:szCs w:val="32"/>
        </w:rPr>
        <w:t>个党组织给予通报批评，</w:t>
      </w:r>
      <w:r>
        <w:rPr>
          <w:rFonts w:eastAsia="仿宋_GB2312" w:hint="eastAsia"/>
          <w:sz w:val="32"/>
          <w:szCs w:val="32"/>
        </w:rPr>
        <w:t>13</w:t>
      </w:r>
      <w:r>
        <w:rPr>
          <w:rFonts w:eastAsia="仿宋_GB2312" w:hint="eastAsia"/>
          <w:sz w:val="32"/>
          <w:szCs w:val="32"/>
        </w:rPr>
        <w:t>人党纪处分，</w:t>
      </w:r>
      <w:r>
        <w:rPr>
          <w:rFonts w:eastAsia="仿宋_GB2312" w:hint="eastAsia"/>
          <w:sz w:val="32"/>
          <w:szCs w:val="32"/>
        </w:rPr>
        <w:t>12</w:t>
      </w:r>
      <w:r>
        <w:rPr>
          <w:rFonts w:eastAsia="仿宋_GB2312" w:hint="eastAsia"/>
          <w:sz w:val="32"/>
          <w:szCs w:val="32"/>
        </w:rPr>
        <w:t>人组织处理；为顺利推进村级建制工作，印发了《关于严明纪律保障村级建制调整改革有序推进的通知》；积极有序在各村组织</w:t>
      </w:r>
      <w:r>
        <w:rPr>
          <w:rFonts w:eastAsia="仿宋_GB2312"/>
          <w:kern w:val="0"/>
          <w:sz w:val="32"/>
          <w:szCs w:val="32"/>
        </w:rPr>
        <w:t>召开了</w:t>
      </w:r>
      <w:r>
        <w:rPr>
          <w:rFonts w:eastAsia="仿宋_GB2312"/>
          <w:kern w:val="0"/>
          <w:sz w:val="32"/>
          <w:szCs w:val="32"/>
        </w:rPr>
        <w:t>“</w:t>
      </w:r>
      <w:r>
        <w:rPr>
          <w:rFonts w:eastAsia="仿宋_GB2312"/>
          <w:kern w:val="0"/>
          <w:sz w:val="32"/>
          <w:szCs w:val="32"/>
        </w:rPr>
        <w:t>阳光问廉</w:t>
      </w:r>
      <w:r>
        <w:rPr>
          <w:rFonts w:eastAsia="仿宋_GB2312"/>
          <w:kern w:val="0"/>
          <w:sz w:val="32"/>
          <w:szCs w:val="32"/>
        </w:rPr>
        <w:t>”</w:t>
      </w:r>
      <w:r>
        <w:rPr>
          <w:rFonts w:eastAsia="仿宋_GB2312"/>
          <w:kern w:val="0"/>
          <w:sz w:val="32"/>
          <w:szCs w:val="32"/>
        </w:rPr>
        <w:t>坝</w:t>
      </w:r>
      <w:proofErr w:type="gramStart"/>
      <w:r>
        <w:rPr>
          <w:rFonts w:eastAsia="仿宋_GB2312"/>
          <w:kern w:val="0"/>
          <w:sz w:val="32"/>
          <w:szCs w:val="32"/>
        </w:rPr>
        <w:t>坝</w:t>
      </w:r>
      <w:proofErr w:type="gramEnd"/>
      <w:r>
        <w:rPr>
          <w:rFonts w:eastAsia="仿宋_GB2312"/>
          <w:kern w:val="0"/>
          <w:sz w:val="32"/>
          <w:szCs w:val="32"/>
        </w:rPr>
        <w:t>会</w:t>
      </w:r>
      <w:r>
        <w:rPr>
          <w:rFonts w:eastAsia="仿宋_GB2312" w:hint="eastAsia"/>
          <w:kern w:val="0"/>
          <w:sz w:val="32"/>
          <w:szCs w:val="32"/>
        </w:rPr>
        <w:t>、群众答疑会，</w:t>
      </w:r>
      <w:r>
        <w:rPr>
          <w:rFonts w:eastAsia="仿宋_GB2312" w:hint="eastAsia"/>
          <w:sz w:val="32"/>
          <w:szCs w:val="32"/>
        </w:rPr>
        <w:t>大力</w:t>
      </w:r>
      <w:r>
        <w:rPr>
          <w:rFonts w:eastAsia="仿宋_GB2312"/>
          <w:sz w:val="32"/>
          <w:szCs w:val="32"/>
        </w:rPr>
        <w:t>开展政治纪律大宣讲</w:t>
      </w:r>
      <w:r>
        <w:rPr>
          <w:rFonts w:eastAsia="仿宋_GB2312"/>
          <w:sz w:val="32"/>
          <w:szCs w:val="32"/>
        </w:rPr>
        <w:t>100</w:t>
      </w:r>
      <w:r>
        <w:rPr>
          <w:rFonts w:eastAsia="仿宋_GB2312"/>
          <w:sz w:val="32"/>
          <w:szCs w:val="32"/>
        </w:rPr>
        <w:t>场次，受</w:t>
      </w:r>
      <w:proofErr w:type="gramStart"/>
      <w:r>
        <w:rPr>
          <w:rFonts w:eastAsia="仿宋_GB2312"/>
          <w:sz w:val="32"/>
          <w:szCs w:val="32"/>
        </w:rPr>
        <w:t>众人员</w:t>
      </w:r>
      <w:proofErr w:type="gramEnd"/>
      <w:r>
        <w:rPr>
          <w:rFonts w:eastAsia="仿宋_GB2312"/>
          <w:sz w:val="32"/>
          <w:szCs w:val="32"/>
        </w:rPr>
        <w:t>达</w:t>
      </w:r>
      <w:r>
        <w:rPr>
          <w:rFonts w:eastAsia="仿宋_GB2312"/>
          <w:sz w:val="32"/>
          <w:szCs w:val="32"/>
        </w:rPr>
        <w:t>4353</w:t>
      </w:r>
      <w:r>
        <w:rPr>
          <w:rFonts w:eastAsia="仿宋_GB2312"/>
          <w:sz w:val="32"/>
          <w:szCs w:val="32"/>
        </w:rPr>
        <w:t>人。</w:t>
      </w:r>
      <w:r>
        <w:rPr>
          <w:rFonts w:eastAsia="仿宋_GB2312" w:hint="eastAsia"/>
          <w:sz w:val="32"/>
          <w:szCs w:val="32"/>
        </w:rPr>
        <w:t>组织各级各行业</w:t>
      </w:r>
      <w:r>
        <w:rPr>
          <w:rFonts w:eastAsia="仿宋_GB2312"/>
          <w:sz w:val="32"/>
          <w:szCs w:val="32"/>
        </w:rPr>
        <w:t>干部通过线上等方式旁听松潘县人民法院对安宏乡</w:t>
      </w:r>
      <w:proofErr w:type="gramStart"/>
      <w:r>
        <w:rPr>
          <w:rFonts w:eastAsia="仿宋_GB2312"/>
          <w:sz w:val="32"/>
          <w:szCs w:val="32"/>
        </w:rPr>
        <w:t>原会计高琴案</w:t>
      </w:r>
      <w:proofErr w:type="gramEnd"/>
      <w:r>
        <w:rPr>
          <w:rFonts w:eastAsia="仿宋_GB2312"/>
          <w:sz w:val="32"/>
          <w:szCs w:val="32"/>
        </w:rPr>
        <w:t>的庭审过程。通报曝光典</w:t>
      </w:r>
      <w:r>
        <w:rPr>
          <w:rFonts w:eastAsia="仿宋_GB2312"/>
          <w:sz w:val="32"/>
          <w:szCs w:val="32"/>
        </w:rPr>
        <w:lastRenderedPageBreak/>
        <w:t>型案例</w:t>
      </w:r>
      <w:r>
        <w:rPr>
          <w:rFonts w:eastAsia="仿宋_GB2312" w:hint="eastAsia"/>
          <w:sz w:val="32"/>
          <w:szCs w:val="32"/>
        </w:rPr>
        <w:t>20</w:t>
      </w:r>
      <w:r>
        <w:rPr>
          <w:rFonts w:eastAsia="仿宋_GB2312"/>
          <w:sz w:val="32"/>
          <w:szCs w:val="32"/>
        </w:rPr>
        <w:t>起</w:t>
      </w:r>
      <w:r>
        <w:rPr>
          <w:rFonts w:eastAsia="仿宋_GB2312" w:hint="eastAsia"/>
          <w:sz w:val="32"/>
          <w:szCs w:val="32"/>
        </w:rPr>
        <w:t>17</w:t>
      </w:r>
      <w:r>
        <w:rPr>
          <w:rFonts w:eastAsia="仿宋_GB2312"/>
          <w:sz w:val="32"/>
          <w:szCs w:val="32"/>
        </w:rPr>
        <w:t>人、</w:t>
      </w:r>
      <w:r>
        <w:rPr>
          <w:rFonts w:eastAsia="仿宋_GB2312" w:hint="eastAsia"/>
          <w:sz w:val="32"/>
          <w:szCs w:val="32"/>
        </w:rPr>
        <w:t>20</w:t>
      </w:r>
      <w:r>
        <w:rPr>
          <w:rFonts w:eastAsia="仿宋_GB2312"/>
          <w:sz w:val="32"/>
          <w:szCs w:val="32"/>
        </w:rPr>
        <w:t>个单位，召开</w:t>
      </w:r>
      <w:r>
        <w:rPr>
          <w:rFonts w:eastAsia="仿宋_GB2312"/>
          <w:sz w:val="32"/>
          <w:szCs w:val="32"/>
        </w:rPr>
        <w:t>“</w:t>
      </w:r>
      <w:r>
        <w:rPr>
          <w:rFonts w:eastAsia="仿宋_GB2312"/>
          <w:sz w:val="32"/>
          <w:szCs w:val="32"/>
        </w:rPr>
        <w:t>四个面对面</w:t>
      </w:r>
      <w:r>
        <w:rPr>
          <w:rFonts w:eastAsia="仿宋_GB2312"/>
          <w:sz w:val="32"/>
          <w:szCs w:val="32"/>
        </w:rPr>
        <w:t>”</w:t>
      </w:r>
      <w:r>
        <w:rPr>
          <w:rFonts w:eastAsia="仿宋_GB2312"/>
          <w:sz w:val="32"/>
          <w:szCs w:val="32"/>
        </w:rPr>
        <w:t>组织生活会</w:t>
      </w:r>
      <w:r>
        <w:rPr>
          <w:rFonts w:eastAsia="仿宋_GB2312" w:hint="eastAsia"/>
          <w:sz w:val="32"/>
          <w:szCs w:val="32"/>
        </w:rPr>
        <w:t>40</w:t>
      </w:r>
      <w:r>
        <w:rPr>
          <w:rFonts w:eastAsia="仿宋_GB2312"/>
          <w:sz w:val="32"/>
          <w:szCs w:val="32"/>
        </w:rPr>
        <w:t>场次</w:t>
      </w:r>
      <w:r>
        <w:rPr>
          <w:rFonts w:eastAsia="仿宋_GB2312" w:hint="eastAsia"/>
          <w:sz w:val="32"/>
          <w:szCs w:val="32"/>
        </w:rPr>
        <w:t>，</w:t>
      </w:r>
      <w:r>
        <w:rPr>
          <w:rFonts w:eastAsia="仿宋_GB2312"/>
          <w:sz w:val="32"/>
          <w:szCs w:val="32"/>
        </w:rPr>
        <w:t>用身边事教育身边人成为常态。精准有效运用监督执纪</w:t>
      </w:r>
      <w:r>
        <w:rPr>
          <w:rFonts w:eastAsia="仿宋_GB2312"/>
          <w:sz w:val="32"/>
          <w:szCs w:val="32"/>
        </w:rPr>
        <w:t>“</w:t>
      </w:r>
      <w:r>
        <w:rPr>
          <w:rFonts w:eastAsia="仿宋_GB2312"/>
          <w:sz w:val="32"/>
          <w:szCs w:val="32"/>
        </w:rPr>
        <w:t>四种形态</w:t>
      </w:r>
      <w:r>
        <w:rPr>
          <w:rFonts w:eastAsia="仿宋_GB2312"/>
          <w:sz w:val="32"/>
          <w:szCs w:val="32"/>
        </w:rPr>
        <w:t>”</w:t>
      </w:r>
      <w:r>
        <w:rPr>
          <w:rFonts w:eastAsia="仿宋_GB2312"/>
          <w:sz w:val="32"/>
          <w:szCs w:val="32"/>
        </w:rPr>
        <w:t>，给予</w:t>
      </w:r>
      <w:r>
        <w:rPr>
          <w:rFonts w:eastAsia="仿宋_GB2312" w:hint="eastAsia"/>
          <w:sz w:val="32"/>
          <w:szCs w:val="32"/>
        </w:rPr>
        <w:t>52</w:t>
      </w:r>
      <w:r>
        <w:rPr>
          <w:rFonts w:eastAsia="仿宋_GB2312"/>
          <w:sz w:val="32"/>
          <w:szCs w:val="32"/>
        </w:rPr>
        <w:t>人组织处理，释放了全面从严治党的强烈信号。</w:t>
      </w:r>
    </w:p>
    <w:p w14:paraId="21A0C9E1" w14:textId="77777777" w:rsidR="00521A05" w:rsidRDefault="00000000">
      <w:pPr>
        <w:spacing w:line="578" w:lineRule="exact"/>
        <w:ind w:firstLineChars="200" w:firstLine="643"/>
        <w:rPr>
          <w:rFonts w:ascii="仿宋_GB2312" w:eastAsia="仿宋_GB2312" w:hAnsi="仿宋_GB2312" w:cs="仿宋_GB2312"/>
          <w:spacing w:val="-11"/>
          <w:sz w:val="32"/>
          <w:szCs w:val="32"/>
        </w:rPr>
      </w:pPr>
      <w:r>
        <w:rPr>
          <w:rFonts w:ascii="楷体_GB2312" w:eastAsia="楷体_GB2312" w:hAnsi="楷体_GB2312" w:cs="楷体_GB2312" w:hint="eastAsia"/>
          <w:b/>
          <w:bCs/>
          <w:sz w:val="32"/>
          <w:szCs w:val="32"/>
        </w:rPr>
        <w:t>4.紧盯关键重拳治腐。</w:t>
      </w:r>
      <w:r>
        <w:rPr>
          <w:rFonts w:eastAsia="仿宋_GB2312" w:hint="eastAsia"/>
          <w:sz w:val="32"/>
          <w:szCs w:val="32"/>
        </w:rPr>
        <w:t>持续</w:t>
      </w:r>
      <w:r>
        <w:rPr>
          <w:rFonts w:eastAsia="仿宋_GB2312"/>
          <w:sz w:val="32"/>
          <w:szCs w:val="32"/>
        </w:rPr>
        <w:t>紧盯隐形变异的</w:t>
      </w:r>
      <w:r>
        <w:rPr>
          <w:rFonts w:eastAsia="仿宋_GB2312"/>
          <w:sz w:val="32"/>
          <w:szCs w:val="32"/>
        </w:rPr>
        <w:t>“</w:t>
      </w:r>
      <w:r>
        <w:rPr>
          <w:rFonts w:eastAsia="仿宋_GB2312"/>
          <w:sz w:val="32"/>
          <w:szCs w:val="32"/>
        </w:rPr>
        <w:t>四风</w:t>
      </w:r>
      <w:r>
        <w:rPr>
          <w:rFonts w:eastAsia="仿宋_GB2312"/>
          <w:sz w:val="32"/>
          <w:szCs w:val="32"/>
        </w:rPr>
        <w:t>”</w:t>
      </w:r>
      <w:r>
        <w:rPr>
          <w:rFonts w:eastAsia="仿宋_GB2312"/>
          <w:sz w:val="32"/>
          <w:szCs w:val="32"/>
        </w:rPr>
        <w:t>问题，</w:t>
      </w:r>
      <w:r>
        <w:rPr>
          <w:rFonts w:eastAsia="仿宋_GB2312"/>
          <w:bCs/>
          <w:sz w:val="32"/>
          <w:szCs w:val="32"/>
        </w:rPr>
        <w:t>聚焦违反中央八项规定精神及扶贫领域突出问题等，</w:t>
      </w:r>
      <w:r>
        <w:rPr>
          <w:rFonts w:eastAsia="仿宋_GB2312" w:hint="eastAsia"/>
          <w:sz w:val="32"/>
          <w:szCs w:val="32"/>
        </w:rPr>
        <w:t>强化</w:t>
      </w:r>
      <w:r>
        <w:rPr>
          <w:rFonts w:eastAsia="仿宋_GB2312"/>
          <w:sz w:val="32"/>
          <w:szCs w:val="32"/>
        </w:rPr>
        <w:t>监督执纪问责</w:t>
      </w:r>
      <w:r>
        <w:rPr>
          <w:rFonts w:eastAsia="仿宋_GB2312" w:hint="eastAsia"/>
          <w:sz w:val="32"/>
          <w:szCs w:val="32"/>
        </w:rPr>
        <w:t>。</w:t>
      </w:r>
      <w:r>
        <w:rPr>
          <w:rFonts w:eastAsia="仿宋_GB2312"/>
          <w:sz w:val="32"/>
          <w:szCs w:val="32"/>
        </w:rPr>
        <w:t>扎实开展重点行业领域突出问题系统治理工作。我县受理群众信访举报</w:t>
      </w:r>
      <w:r>
        <w:rPr>
          <w:rFonts w:eastAsia="仿宋_GB2312" w:hint="eastAsia"/>
          <w:snapToGrid w:val="0"/>
          <w:spacing w:val="-2"/>
          <w:kern w:val="0"/>
          <w:sz w:val="32"/>
          <w:szCs w:val="32"/>
        </w:rPr>
        <w:t>87</w:t>
      </w:r>
      <w:r>
        <w:rPr>
          <w:rFonts w:eastAsia="仿宋_GB2312"/>
          <w:sz w:val="32"/>
          <w:szCs w:val="32"/>
        </w:rPr>
        <w:t>件，立案</w:t>
      </w:r>
      <w:r>
        <w:rPr>
          <w:rFonts w:eastAsia="仿宋_GB2312" w:hint="eastAsia"/>
          <w:sz w:val="32"/>
          <w:szCs w:val="32"/>
        </w:rPr>
        <w:t>58</w:t>
      </w:r>
      <w:r>
        <w:rPr>
          <w:rFonts w:eastAsia="仿宋_GB2312"/>
          <w:sz w:val="32"/>
          <w:szCs w:val="32"/>
        </w:rPr>
        <w:t>件</w:t>
      </w:r>
      <w:r>
        <w:rPr>
          <w:rFonts w:eastAsia="仿宋_GB2312" w:hint="eastAsia"/>
          <w:sz w:val="32"/>
          <w:szCs w:val="32"/>
        </w:rPr>
        <w:t>68</w:t>
      </w:r>
      <w:r>
        <w:rPr>
          <w:rFonts w:eastAsia="仿宋_GB2312"/>
          <w:sz w:val="32"/>
          <w:szCs w:val="32"/>
        </w:rPr>
        <w:t>人，审理办结</w:t>
      </w:r>
      <w:r>
        <w:rPr>
          <w:rFonts w:eastAsia="仿宋_GB2312" w:hint="eastAsia"/>
          <w:sz w:val="32"/>
          <w:szCs w:val="32"/>
        </w:rPr>
        <w:t>55</w:t>
      </w:r>
      <w:r>
        <w:rPr>
          <w:rFonts w:eastAsia="仿宋_GB2312"/>
          <w:sz w:val="32"/>
          <w:szCs w:val="32"/>
        </w:rPr>
        <w:t>件</w:t>
      </w:r>
      <w:r>
        <w:rPr>
          <w:rFonts w:eastAsia="仿宋_GB2312" w:hint="eastAsia"/>
          <w:sz w:val="32"/>
          <w:szCs w:val="32"/>
        </w:rPr>
        <w:t>65</w:t>
      </w:r>
      <w:r>
        <w:rPr>
          <w:rFonts w:eastAsia="仿宋_GB2312"/>
          <w:sz w:val="32"/>
          <w:szCs w:val="32"/>
        </w:rPr>
        <w:t>人</w:t>
      </w:r>
      <w:r>
        <w:rPr>
          <w:rFonts w:eastAsia="仿宋_GB2312" w:hint="eastAsia"/>
          <w:sz w:val="32"/>
          <w:szCs w:val="32"/>
        </w:rPr>
        <w:t>，移送司法</w:t>
      </w:r>
      <w:r>
        <w:rPr>
          <w:rFonts w:eastAsia="仿宋_GB2312" w:hint="eastAsia"/>
          <w:sz w:val="32"/>
          <w:szCs w:val="32"/>
        </w:rPr>
        <w:t>2</w:t>
      </w:r>
      <w:r>
        <w:rPr>
          <w:rFonts w:eastAsia="仿宋_GB2312" w:hint="eastAsia"/>
          <w:sz w:val="32"/>
          <w:szCs w:val="32"/>
        </w:rPr>
        <w:t>件</w:t>
      </w:r>
      <w:r>
        <w:rPr>
          <w:rFonts w:eastAsia="仿宋_GB2312" w:hint="eastAsia"/>
          <w:sz w:val="32"/>
          <w:szCs w:val="32"/>
        </w:rPr>
        <w:t>2</w:t>
      </w:r>
      <w:r>
        <w:rPr>
          <w:rFonts w:eastAsia="仿宋_GB2312" w:hint="eastAsia"/>
          <w:sz w:val="32"/>
          <w:szCs w:val="32"/>
        </w:rPr>
        <w:t>人。给予党纪处分</w:t>
      </w:r>
      <w:r>
        <w:rPr>
          <w:rFonts w:eastAsia="仿宋_GB2312" w:hint="eastAsia"/>
          <w:sz w:val="32"/>
          <w:szCs w:val="32"/>
        </w:rPr>
        <w:t>44</w:t>
      </w:r>
      <w:r>
        <w:rPr>
          <w:rFonts w:eastAsia="仿宋_GB2312" w:hint="eastAsia"/>
          <w:sz w:val="32"/>
          <w:szCs w:val="32"/>
        </w:rPr>
        <w:t>人，政务处分</w:t>
      </w:r>
      <w:r>
        <w:rPr>
          <w:rFonts w:eastAsia="仿宋_GB2312" w:hint="eastAsia"/>
          <w:sz w:val="32"/>
          <w:szCs w:val="32"/>
        </w:rPr>
        <w:t>22</w:t>
      </w:r>
      <w:r>
        <w:rPr>
          <w:rFonts w:eastAsia="仿宋_GB2312" w:hint="eastAsia"/>
          <w:sz w:val="32"/>
          <w:szCs w:val="32"/>
        </w:rPr>
        <w:t>人，组织处理</w:t>
      </w:r>
      <w:r>
        <w:rPr>
          <w:rFonts w:eastAsia="仿宋_GB2312" w:hint="eastAsia"/>
          <w:sz w:val="32"/>
          <w:szCs w:val="32"/>
        </w:rPr>
        <w:t>3</w:t>
      </w:r>
      <w:r>
        <w:rPr>
          <w:rFonts w:eastAsia="仿宋_GB2312" w:hint="eastAsia"/>
          <w:sz w:val="32"/>
          <w:szCs w:val="32"/>
        </w:rPr>
        <w:t>人，双重处分</w:t>
      </w:r>
      <w:r>
        <w:rPr>
          <w:rFonts w:eastAsia="仿宋_GB2312" w:hint="eastAsia"/>
          <w:sz w:val="32"/>
          <w:szCs w:val="32"/>
        </w:rPr>
        <w:t>4</w:t>
      </w:r>
      <w:r>
        <w:rPr>
          <w:rFonts w:eastAsia="仿宋_GB2312" w:hint="eastAsia"/>
          <w:sz w:val="32"/>
          <w:szCs w:val="32"/>
        </w:rPr>
        <w:t>人</w:t>
      </w:r>
      <w:r>
        <w:rPr>
          <w:rFonts w:eastAsia="仿宋_GB2312"/>
          <w:sz w:val="32"/>
          <w:szCs w:val="32"/>
        </w:rPr>
        <w:t>。</w:t>
      </w:r>
      <w:r>
        <w:rPr>
          <w:rFonts w:eastAsia="仿宋_GB2312" w:hint="eastAsia"/>
          <w:snapToGrid w:val="0"/>
          <w:spacing w:val="-2"/>
          <w:kern w:val="0"/>
          <w:sz w:val="32"/>
          <w:szCs w:val="32"/>
        </w:rPr>
        <w:t>其中</w:t>
      </w:r>
      <w:r>
        <w:rPr>
          <w:rFonts w:eastAsia="仿宋_GB2312"/>
          <w:snapToGrid w:val="0"/>
          <w:spacing w:val="-2"/>
          <w:kern w:val="0"/>
          <w:sz w:val="32"/>
          <w:szCs w:val="32"/>
        </w:rPr>
        <w:t>违反中央八项规定精神问题</w:t>
      </w:r>
      <w:r>
        <w:rPr>
          <w:rFonts w:eastAsia="仿宋_GB2312" w:hint="eastAsia"/>
          <w:snapToGrid w:val="0"/>
          <w:spacing w:val="-2"/>
          <w:kern w:val="0"/>
          <w:sz w:val="32"/>
          <w:szCs w:val="32"/>
        </w:rPr>
        <w:t>5</w:t>
      </w:r>
      <w:r>
        <w:rPr>
          <w:rFonts w:eastAsia="仿宋_GB2312"/>
          <w:snapToGrid w:val="0"/>
          <w:spacing w:val="-2"/>
          <w:kern w:val="0"/>
          <w:sz w:val="32"/>
          <w:szCs w:val="32"/>
        </w:rPr>
        <w:t>件</w:t>
      </w:r>
      <w:r>
        <w:rPr>
          <w:rFonts w:eastAsia="仿宋_GB2312" w:hint="eastAsia"/>
          <w:snapToGrid w:val="0"/>
          <w:spacing w:val="-2"/>
          <w:kern w:val="0"/>
          <w:sz w:val="32"/>
          <w:szCs w:val="32"/>
        </w:rPr>
        <w:t>6</w:t>
      </w:r>
      <w:r>
        <w:rPr>
          <w:rFonts w:eastAsia="仿宋_GB2312"/>
          <w:snapToGrid w:val="0"/>
          <w:spacing w:val="-2"/>
          <w:kern w:val="0"/>
          <w:sz w:val="32"/>
          <w:szCs w:val="32"/>
        </w:rPr>
        <w:t>人，扶贫领域腐败和作风案件</w:t>
      </w:r>
      <w:r>
        <w:rPr>
          <w:rFonts w:eastAsia="仿宋_GB2312" w:hint="eastAsia"/>
          <w:snapToGrid w:val="0"/>
          <w:spacing w:val="-2"/>
          <w:kern w:val="0"/>
          <w:sz w:val="32"/>
          <w:szCs w:val="32"/>
        </w:rPr>
        <w:t>3</w:t>
      </w:r>
      <w:r>
        <w:rPr>
          <w:rFonts w:eastAsia="仿宋_GB2312"/>
          <w:snapToGrid w:val="0"/>
          <w:spacing w:val="-2"/>
          <w:kern w:val="0"/>
          <w:sz w:val="32"/>
          <w:szCs w:val="32"/>
        </w:rPr>
        <w:t>件</w:t>
      </w:r>
      <w:r>
        <w:rPr>
          <w:rFonts w:eastAsia="仿宋_GB2312" w:hint="eastAsia"/>
          <w:snapToGrid w:val="0"/>
          <w:spacing w:val="-2"/>
          <w:kern w:val="0"/>
          <w:sz w:val="32"/>
          <w:szCs w:val="32"/>
        </w:rPr>
        <w:t>3</w:t>
      </w:r>
      <w:r>
        <w:rPr>
          <w:rFonts w:eastAsia="仿宋_GB2312"/>
          <w:snapToGrid w:val="0"/>
          <w:spacing w:val="-2"/>
          <w:kern w:val="0"/>
          <w:sz w:val="32"/>
          <w:szCs w:val="32"/>
        </w:rPr>
        <w:t>人，党员干部涉</w:t>
      </w:r>
      <w:proofErr w:type="gramStart"/>
      <w:r>
        <w:rPr>
          <w:rFonts w:eastAsia="仿宋_GB2312"/>
          <w:snapToGrid w:val="0"/>
          <w:spacing w:val="-2"/>
          <w:kern w:val="0"/>
          <w:sz w:val="32"/>
          <w:szCs w:val="32"/>
        </w:rPr>
        <w:t>黑涉恶作风</w:t>
      </w:r>
      <w:proofErr w:type="gramEnd"/>
      <w:r>
        <w:rPr>
          <w:rFonts w:eastAsia="仿宋_GB2312"/>
          <w:snapToGrid w:val="0"/>
          <w:spacing w:val="-2"/>
          <w:kern w:val="0"/>
          <w:sz w:val="32"/>
          <w:szCs w:val="32"/>
        </w:rPr>
        <w:t>问题</w:t>
      </w:r>
      <w:r>
        <w:rPr>
          <w:rFonts w:eastAsia="仿宋_GB2312" w:hint="eastAsia"/>
          <w:snapToGrid w:val="0"/>
          <w:spacing w:val="-2"/>
          <w:kern w:val="0"/>
          <w:sz w:val="32"/>
          <w:szCs w:val="32"/>
        </w:rPr>
        <w:t>2</w:t>
      </w:r>
      <w:r>
        <w:rPr>
          <w:rFonts w:eastAsia="仿宋_GB2312"/>
          <w:snapToGrid w:val="0"/>
          <w:spacing w:val="-2"/>
          <w:kern w:val="0"/>
          <w:sz w:val="32"/>
          <w:szCs w:val="32"/>
        </w:rPr>
        <w:t>件</w:t>
      </w:r>
      <w:r>
        <w:rPr>
          <w:rFonts w:eastAsia="仿宋_GB2312" w:hint="eastAsia"/>
          <w:snapToGrid w:val="0"/>
          <w:spacing w:val="-2"/>
          <w:kern w:val="0"/>
          <w:sz w:val="32"/>
          <w:szCs w:val="32"/>
        </w:rPr>
        <w:t>3</w:t>
      </w:r>
      <w:r>
        <w:rPr>
          <w:rFonts w:eastAsia="仿宋_GB2312"/>
          <w:snapToGrid w:val="0"/>
          <w:spacing w:val="-2"/>
          <w:kern w:val="0"/>
          <w:sz w:val="32"/>
          <w:szCs w:val="32"/>
        </w:rPr>
        <w:t>人。</w:t>
      </w:r>
      <w:r>
        <w:rPr>
          <w:rFonts w:eastAsia="仿宋_GB2312" w:hint="eastAsia"/>
          <w:snapToGrid w:val="0"/>
          <w:spacing w:val="-2"/>
          <w:kern w:val="0"/>
          <w:sz w:val="32"/>
          <w:szCs w:val="32"/>
        </w:rPr>
        <w:t>同时做实“以案促改”，堵塞行业漏洞。</w:t>
      </w:r>
      <w:r>
        <w:rPr>
          <w:rFonts w:ascii="仿宋_GB2312" w:eastAsia="仿宋_GB2312" w:hAnsi="仿宋_GB2312" w:cs="仿宋_GB2312" w:hint="eastAsia"/>
          <w:sz w:val="32"/>
          <w:szCs w:val="32"/>
        </w:rPr>
        <w:t>在查处了安宏乡</w:t>
      </w:r>
      <w:proofErr w:type="gramStart"/>
      <w:r>
        <w:rPr>
          <w:rFonts w:ascii="仿宋_GB2312" w:eastAsia="仿宋_GB2312" w:hAnsi="仿宋_GB2312" w:cs="仿宋_GB2312" w:hint="eastAsia"/>
          <w:sz w:val="32"/>
          <w:szCs w:val="32"/>
        </w:rPr>
        <w:t>原会计高琴涉嫌</w:t>
      </w:r>
      <w:proofErr w:type="gramEnd"/>
      <w:r>
        <w:rPr>
          <w:rFonts w:ascii="仿宋_GB2312" w:eastAsia="仿宋_GB2312" w:hAnsi="仿宋_GB2312" w:cs="仿宋_GB2312" w:hint="eastAsia"/>
          <w:sz w:val="32"/>
          <w:szCs w:val="32"/>
        </w:rPr>
        <w:t>贪污和挪用犯罪案以后，深入开展</w:t>
      </w:r>
      <w:r>
        <w:rPr>
          <w:rFonts w:ascii="仿宋_GB2312" w:eastAsia="仿宋_GB2312" w:hAnsi="仿宋_GB2312" w:cs="仿宋_GB2312" w:hint="eastAsia"/>
          <w:spacing w:val="-11"/>
          <w:sz w:val="32"/>
          <w:szCs w:val="32"/>
        </w:rPr>
        <w:t>“以案促改”，</w:t>
      </w:r>
      <w:r>
        <w:rPr>
          <w:rFonts w:ascii="仿宋_GB2312" w:eastAsia="仿宋_GB2312" w:hAnsi="仿宋_GB2312" w:cs="仿宋_GB2312" w:hint="eastAsia"/>
          <w:sz w:val="32"/>
          <w:szCs w:val="32"/>
        </w:rPr>
        <w:t>推动了全县财务工作规范管理</w:t>
      </w:r>
      <w:r>
        <w:rPr>
          <w:rFonts w:ascii="仿宋_GB2312" w:eastAsia="仿宋_GB2312" w:hAnsi="仿宋_GB2312" w:cs="仿宋_GB2312" w:hint="eastAsia"/>
          <w:spacing w:val="-11"/>
          <w:sz w:val="32"/>
          <w:szCs w:val="32"/>
        </w:rPr>
        <w:t>。</w:t>
      </w:r>
    </w:p>
    <w:p w14:paraId="306D7589" w14:textId="77777777" w:rsidR="00521A05" w:rsidRDefault="00000000">
      <w:pPr>
        <w:spacing w:line="578" w:lineRule="exact"/>
        <w:ind w:firstLineChars="200" w:firstLine="643"/>
      </w:pPr>
      <w:r>
        <w:rPr>
          <w:rFonts w:ascii="楷体_GB2312" w:eastAsia="楷体_GB2312" w:hAnsi="楷体_GB2312" w:cs="楷体_GB2312" w:hint="eastAsia"/>
          <w:b/>
          <w:bCs/>
          <w:sz w:val="32"/>
          <w:szCs w:val="32"/>
        </w:rPr>
        <w:t>5.多策并用提升满意度。</w:t>
      </w:r>
      <w:r>
        <w:rPr>
          <w:rFonts w:eastAsia="仿宋_GB2312"/>
          <w:sz w:val="32"/>
          <w:szCs w:val="32"/>
        </w:rPr>
        <w:t>扎实开展</w:t>
      </w:r>
      <w:r>
        <w:rPr>
          <w:rFonts w:eastAsia="仿宋_GB2312"/>
          <w:sz w:val="32"/>
          <w:szCs w:val="32"/>
        </w:rPr>
        <w:t>“</w:t>
      </w:r>
      <w:r>
        <w:rPr>
          <w:rFonts w:eastAsia="仿宋_GB2312"/>
          <w:sz w:val="32"/>
          <w:szCs w:val="32"/>
        </w:rPr>
        <w:t>两联一进</w:t>
      </w:r>
      <w:proofErr w:type="gramStart"/>
      <w:r>
        <w:rPr>
          <w:rFonts w:eastAsia="仿宋_GB2312"/>
          <w:sz w:val="32"/>
          <w:szCs w:val="32"/>
        </w:rPr>
        <w:t>”</w:t>
      </w:r>
      <w:proofErr w:type="gramEnd"/>
      <w:r>
        <w:rPr>
          <w:rFonts w:eastAsia="仿宋_GB2312"/>
          <w:sz w:val="32"/>
          <w:szCs w:val="32"/>
        </w:rPr>
        <w:t>“</w:t>
      </w:r>
      <w:r>
        <w:rPr>
          <w:rFonts w:eastAsia="仿宋_GB2312"/>
          <w:sz w:val="32"/>
          <w:szCs w:val="32"/>
        </w:rPr>
        <w:t>户户访、人人忙</w:t>
      </w:r>
      <w:r>
        <w:rPr>
          <w:rFonts w:eastAsia="仿宋_GB2312"/>
          <w:sz w:val="32"/>
          <w:szCs w:val="32"/>
        </w:rPr>
        <w:t>”</w:t>
      </w:r>
      <w:r>
        <w:rPr>
          <w:rFonts w:eastAsia="仿宋_GB2312"/>
          <w:sz w:val="32"/>
          <w:szCs w:val="32"/>
        </w:rPr>
        <w:t>群众全覆盖工作，</w:t>
      </w:r>
      <w:r>
        <w:rPr>
          <w:rFonts w:eastAsia="仿宋_GB2312" w:hint="eastAsia"/>
          <w:sz w:val="32"/>
          <w:szCs w:val="32"/>
        </w:rPr>
        <w:t>督促全县</w:t>
      </w:r>
      <w:r>
        <w:rPr>
          <w:rFonts w:eastAsia="仿宋_GB2312"/>
          <w:sz w:val="32"/>
          <w:szCs w:val="32"/>
        </w:rPr>
        <w:t>干部</w:t>
      </w:r>
      <w:r>
        <w:rPr>
          <w:rFonts w:eastAsia="仿宋_GB2312" w:hint="eastAsia"/>
          <w:sz w:val="32"/>
          <w:szCs w:val="32"/>
        </w:rPr>
        <w:t>职工</w:t>
      </w:r>
      <w:r>
        <w:rPr>
          <w:rFonts w:eastAsia="仿宋_GB2312"/>
          <w:sz w:val="32"/>
          <w:szCs w:val="32"/>
        </w:rPr>
        <w:t>做深做细群众工作；</w:t>
      </w:r>
      <w:r>
        <w:rPr>
          <w:rFonts w:eastAsia="仿宋_GB2312"/>
          <w:kern w:val="0"/>
          <w:sz w:val="32"/>
          <w:szCs w:val="32"/>
        </w:rPr>
        <w:t>制发</w:t>
      </w:r>
      <w:r>
        <w:rPr>
          <w:rFonts w:eastAsia="仿宋_GB2312"/>
          <w:sz w:val="32"/>
          <w:szCs w:val="32"/>
        </w:rPr>
        <w:t>《</w:t>
      </w:r>
      <w:r>
        <w:rPr>
          <w:rFonts w:eastAsia="仿宋_GB2312" w:hint="eastAsia"/>
          <w:sz w:val="32"/>
          <w:szCs w:val="32"/>
        </w:rPr>
        <w:t>2020</w:t>
      </w:r>
      <w:r>
        <w:rPr>
          <w:rFonts w:eastAsia="仿宋_GB2312" w:hint="eastAsia"/>
          <w:sz w:val="32"/>
          <w:szCs w:val="32"/>
        </w:rPr>
        <w:t>年度</w:t>
      </w:r>
      <w:r>
        <w:rPr>
          <w:rFonts w:eastAsia="仿宋_GB2312"/>
          <w:sz w:val="32"/>
          <w:szCs w:val="32"/>
        </w:rPr>
        <w:t>党风廉政建设社会评价责任分工方案》；</w:t>
      </w:r>
      <w:r>
        <w:rPr>
          <w:rFonts w:eastAsia="仿宋_GB2312"/>
          <w:kern w:val="0"/>
          <w:sz w:val="32"/>
          <w:szCs w:val="32"/>
        </w:rPr>
        <w:t>鼓励干部担当作为，</w:t>
      </w:r>
      <w:r>
        <w:rPr>
          <w:rFonts w:eastAsia="仿宋_GB2312" w:hint="eastAsia"/>
          <w:sz w:val="32"/>
          <w:szCs w:val="32"/>
        </w:rPr>
        <w:t>督促</w:t>
      </w:r>
      <w:r>
        <w:rPr>
          <w:rFonts w:eastAsia="仿宋_GB2312"/>
          <w:sz w:val="32"/>
          <w:szCs w:val="32"/>
        </w:rPr>
        <w:t>贯彻落实《进一步关心爱护基层一线干部职工激励干事创业担当作为的若干措施》，全面宣传学习《四川省纪检监察机</w:t>
      </w:r>
      <w:r>
        <w:rPr>
          <w:rFonts w:eastAsia="仿宋_GB2312"/>
          <w:spacing w:val="-6"/>
          <w:sz w:val="32"/>
          <w:szCs w:val="32"/>
        </w:rPr>
        <w:t>关查处诬告陷害行为实施办法（试行）》</w:t>
      </w:r>
      <w:r>
        <w:rPr>
          <w:rFonts w:eastAsia="仿宋_GB2312" w:hint="eastAsia"/>
          <w:spacing w:val="-6"/>
          <w:sz w:val="32"/>
          <w:szCs w:val="32"/>
        </w:rPr>
        <w:t>，</w:t>
      </w:r>
      <w:r>
        <w:rPr>
          <w:rFonts w:eastAsia="仿宋_GB2312"/>
          <w:spacing w:val="-6"/>
          <w:sz w:val="32"/>
          <w:szCs w:val="32"/>
        </w:rPr>
        <w:t>为</w:t>
      </w:r>
      <w:r>
        <w:rPr>
          <w:rFonts w:eastAsia="仿宋_GB2312" w:hint="eastAsia"/>
          <w:spacing w:val="-6"/>
          <w:kern w:val="0"/>
          <w:sz w:val="32"/>
          <w:szCs w:val="32"/>
        </w:rPr>
        <w:t>24</w:t>
      </w:r>
      <w:r>
        <w:rPr>
          <w:rFonts w:eastAsia="仿宋_GB2312"/>
          <w:spacing w:val="-6"/>
          <w:sz w:val="32"/>
          <w:szCs w:val="32"/>
        </w:rPr>
        <w:t>名干部澄清是非。</w:t>
      </w:r>
    </w:p>
    <w:p w14:paraId="7242D678" w14:textId="77777777" w:rsidR="00521A05" w:rsidRDefault="00000000">
      <w:pPr>
        <w:spacing w:line="578" w:lineRule="exact"/>
        <w:ind w:firstLine="640"/>
      </w:pPr>
      <w:r>
        <w:rPr>
          <w:rFonts w:eastAsia="楷体_GB2312" w:hint="eastAsia"/>
          <w:b/>
          <w:bCs/>
          <w:sz w:val="32"/>
          <w:szCs w:val="32"/>
        </w:rPr>
        <w:t>6.</w:t>
      </w:r>
      <w:r>
        <w:rPr>
          <w:rFonts w:eastAsia="楷体_GB2312" w:hint="eastAsia"/>
          <w:b/>
          <w:bCs/>
          <w:sz w:val="32"/>
          <w:szCs w:val="32"/>
        </w:rPr>
        <w:t>提升</w:t>
      </w:r>
      <w:r>
        <w:rPr>
          <w:rFonts w:eastAsia="楷体_GB2312"/>
          <w:b/>
          <w:bCs/>
          <w:sz w:val="32"/>
          <w:szCs w:val="32"/>
        </w:rPr>
        <w:t>素质</w:t>
      </w:r>
      <w:r>
        <w:rPr>
          <w:rFonts w:eastAsia="楷体_GB2312" w:hint="eastAsia"/>
          <w:b/>
          <w:bCs/>
          <w:sz w:val="32"/>
          <w:szCs w:val="32"/>
        </w:rPr>
        <w:t>锻造</w:t>
      </w:r>
      <w:r>
        <w:rPr>
          <w:rFonts w:eastAsia="楷体_GB2312"/>
          <w:b/>
          <w:bCs/>
          <w:sz w:val="32"/>
          <w:szCs w:val="32"/>
        </w:rPr>
        <w:t>铁军</w:t>
      </w:r>
      <w:r>
        <w:rPr>
          <w:rFonts w:eastAsia="楷体_GB2312" w:hint="eastAsia"/>
          <w:b/>
          <w:bCs/>
          <w:sz w:val="32"/>
          <w:szCs w:val="32"/>
        </w:rPr>
        <w:t>。</w:t>
      </w:r>
      <w:r>
        <w:rPr>
          <w:rFonts w:eastAsia="仿宋_GB2312"/>
          <w:kern w:val="0"/>
          <w:sz w:val="32"/>
          <w:szCs w:val="32"/>
        </w:rPr>
        <w:t>持续深化</w:t>
      </w:r>
      <w:r>
        <w:rPr>
          <w:rFonts w:eastAsia="仿宋_GB2312"/>
          <w:kern w:val="0"/>
          <w:sz w:val="32"/>
          <w:szCs w:val="32"/>
        </w:rPr>
        <w:t>“</w:t>
      </w:r>
      <w:r>
        <w:rPr>
          <w:rFonts w:eastAsia="仿宋_GB2312"/>
          <w:kern w:val="0"/>
          <w:sz w:val="32"/>
          <w:szCs w:val="32"/>
        </w:rPr>
        <w:t>三转</w:t>
      </w:r>
      <w:r>
        <w:rPr>
          <w:rFonts w:eastAsia="仿宋_GB2312"/>
          <w:kern w:val="0"/>
          <w:sz w:val="32"/>
          <w:szCs w:val="32"/>
        </w:rPr>
        <w:t>”</w:t>
      </w:r>
      <w:r>
        <w:rPr>
          <w:rFonts w:eastAsia="仿宋_GB2312"/>
          <w:kern w:val="0"/>
          <w:sz w:val="32"/>
          <w:szCs w:val="32"/>
        </w:rPr>
        <w:t>，不断提升纪检监察队伍素质化、专业化。</w:t>
      </w:r>
      <w:r>
        <w:rPr>
          <w:rFonts w:eastAsia="仿宋_GB2312"/>
          <w:sz w:val="32"/>
          <w:szCs w:val="32"/>
        </w:rPr>
        <w:t>加强对各乡镇纪委监察室、各派</w:t>
      </w:r>
      <w:r>
        <w:rPr>
          <w:rFonts w:eastAsia="仿宋_GB2312"/>
          <w:sz w:val="32"/>
          <w:szCs w:val="32"/>
        </w:rPr>
        <w:lastRenderedPageBreak/>
        <w:t>驻纪检监察组的业务指导，组织乡镇纪委书记到州、县</w:t>
      </w:r>
      <w:proofErr w:type="gramStart"/>
      <w:r>
        <w:rPr>
          <w:rFonts w:eastAsia="仿宋_GB2312"/>
          <w:sz w:val="32"/>
          <w:szCs w:val="32"/>
        </w:rPr>
        <w:t>参加跟案</w:t>
      </w:r>
      <w:proofErr w:type="gramEnd"/>
      <w:r>
        <w:rPr>
          <w:rFonts w:eastAsia="仿宋_GB2312"/>
          <w:sz w:val="32"/>
          <w:szCs w:val="32"/>
        </w:rPr>
        <w:t>培训，规范案件查办机制，完善信访办理、审查调查、案件审理工作流程，指导基层纪检监察干部依规依纪办案。</w:t>
      </w:r>
      <w:r>
        <w:rPr>
          <w:rFonts w:eastAsia="仿宋_GB2312" w:hint="eastAsia"/>
          <w:sz w:val="32"/>
          <w:szCs w:val="32"/>
        </w:rPr>
        <w:t>针对我委，特别是派驻机构空编严重问题，我县成立了工作专班，通过选调和招录两种途径逐步解决。</w:t>
      </w:r>
      <w:r>
        <w:rPr>
          <w:rFonts w:eastAsia="仿宋_GB2312"/>
          <w:sz w:val="32"/>
          <w:szCs w:val="32"/>
        </w:rPr>
        <w:t>规范化建设乡镇纪检监察组织，推动村务监督委员会发挥监督效能。</w:t>
      </w:r>
    </w:p>
    <w:p w14:paraId="092AA14C" w14:textId="77777777" w:rsidR="00521A05" w:rsidRDefault="00000000">
      <w:pPr>
        <w:snapToGrid w:val="0"/>
        <w:spacing w:line="578" w:lineRule="exact"/>
        <w:rPr>
          <w:rFonts w:ascii="仿宋_GB2312" w:eastAsia="仿宋_GB2312" w:hAnsi="仿宋"/>
          <w:b/>
          <w:bCs/>
          <w:sz w:val="32"/>
          <w:szCs w:val="32"/>
        </w:rPr>
      </w:pPr>
      <w:r>
        <w:rPr>
          <w:rFonts w:ascii="仿宋_GB2312" w:eastAsia="仿宋_GB2312" w:hAnsi="仿宋" w:hint="eastAsia"/>
          <w:b/>
          <w:bCs/>
          <w:sz w:val="32"/>
          <w:szCs w:val="32"/>
        </w:rPr>
        <w:t xml:space="preserve">    二、机构设置</w:t>
      </w:r>
    </w:p>
    <w:p w14:paraId="437AA312" w14:textId="77777777" w:rsidR="00521A0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机构改革增加了县纪委监察派出机构。主要机构如下：</w:t>
      </w:r>
    </w:p>
    <w:p w14:paraId="52CEC7CC" w14:textId="77777777" w:rsidR="00521A05"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（一）办公室。负责县纪委监委机关日常运转工作。筹备组织重要会议、活动；组织</w:t>
      </w:r>
      <w:proofErr w:type="gramStart"/>
      <w:r>
        <w:rPr>
          <w:rFonts w:ascii="仿宋_GB2312" w:eastAsia="仿宋_GB2312" w:hAnsi="仿宋_GB2312" w:cs="仿宋_GB2312" w:hint="eastAsia"/>
          <w:sz w:val="32"/>
          <w:szCs w:val="32"/>
        </w:rPr>
        <w:t>起草县</w:t>
      </w:r>
      <w:proofErr w:type="gramEnd"/>
      <w:r>
        <w:rPr>
          <w:rFonts w:ascii="仿宋_GB2312" w:eastAsia="仿宋_GB2312" w:hAnsi="仿宋_GB2312" w:cs="仿宋_GB2312" w:hint="eastAsia"/>
          <w:sz w:val="32"/>
          <w:szCs w:val="32"/>
        </w:rPr>
        <w:t>纪委监委有关文件文稿；督促检查上级批办交办事项、县纪委全会工作部署和县纪委常委会（县监委</w:t>
      </w:r>
      <w:proofErr w:type="gramStart"/>
      <w:r>
        <w:rPr>
          <w:rFonts w:ascii="仿宋_GB2312" w:eastAsia="仿宋_GB2312" w:hAnsi="仿宋_GB2312" w:cs="仿宋_GB2312" w:hint="eastAsia"/>
          <w:sz w:val="32"/>
          <w:szCs w:val="32"/>
        </w:rPr>
        <w:t>委务</w:t>
      </w:r>
      <w:proofErr w:type="gramEnd"/>
      <w:r>
        <w:rPr>
          <w:rFonts w:ascii="仿宋_GB2312" w:eastAsia="仿宋_GB2312" w:hAnsi="仿宋_GB2312" w:cs="仿宋_GB2312" w:hint="eastAsia"/>
          <w:sz w:val="32"/>
          <w:szCs w:val="32"/>
        </w:rPr>
        <w:t>会）等决定</w:t>
      </w:r>
      <w:proofErr w:type="gramStart"/>
      <w:r>
        <w:rPr>
          <w:rFonts w:ascii="仿宋_GB2312" w:eastAsia="仿宋_GB2312" w:hAnsi="仿宋_GB2312" w:cs="仿宋_GB2312" w:hint="eastAsia"/>
          <w:sz w:val="32"/>
          <w:szCs w:val="32"/>
        </w:rPr>
        <w:t>事项及委领导</w:t>
      </w:r>
      <w:proofErr w:type="gramEnd"/>
      <w:r>
        <w:rPr>
          <w:rFonts w:ascii="仿宋_GB2312" w:eastAsia="仿宋_GB2312" w:hAnsi="仿宋_GB2312" w:cs="仿宋_GB2312" w:hint="eastAsia"/>
          <w:sz w:val="32"/>
          <w:szCs w:val="32"/>
        </w:rPr>
        <w:t>批办交办事项的落实情况；负责机关机要保密工作，负责机关财务管理、车辆管理、国有资产管理、安全保卫、干部职工医疗、卫生防疫等后勤管理服务工作，负责派驻机构差旅费报销、工资津补贴发放等后勤保障（办公场所、办公设施设备、办公日常运行费、车辆保障由驻在部门负责）工作；负责县纪委委员的联络工作，组织协调特约监察员工作；负责机关及派驻机构档案和涉案款物保管工作；负责县纪委监委机关党的建设、工会、共青团和</w:t>
      </w:r>
      <w:proofErr w:type="gramStart"/>
      <w:r>
        <w:rPr>
          <w:rFonts w:ascii="仿宋_GB2312" w:eastAsia="仿宋_GB2312" w:hAnsi="仿宋_GB2312" w:cs="仿宋_GB2312" w:hint="eastAsia"/>
          <w:sz w:val="32"/>
          <w:szCs w:val="32"/>
        </w:rPr>
        <w:t>妇代</w:t>
      </w:r>
      <w:proofErr w:type="gramEnd"/>
      <w:r>
        <w:rPr>
          <w:rFonts w:ascii="仿宋_GB2312" w:eastAsia="仿宋_GB2312" w:hAnsi="仿宋_GB2312" w:cs="仿宋_GB2312" w:hint="eastAsia"/>
          <w:sz w:val="32"/>
          <w:szCs w:val="32"/>
        </w:rPr>
        <w:t>小组工作；负责组织开展有关党风廉政建设法律法规、理论政策、形势任务、决策部署和先进典型等宣传及舆论引导工作；负责县纪委监委机关的新闻事务和有关网络信息工作等；指导全县纪检监察系统的宣传教育、廉政文化建设和网络信息工作。负责综合分析全县全面</w:t>
      </w:r>
      <w:r>
        <w:rPr>
          <w:rFonts w:ascii="仿宋_GB2312" w:eastAsia="仿宋_GB2312" w:hAnsi="仿宋_GB2312" w:cs="仿宋_GB2312" w:hint="eastAsia"/>
          <w:sz w:val="32"/>
          <w:szCs w:val="32"/>
        </w:rPr>
        <w:lastRenderedPageBreak/>
        <w:t>从严治党、党风廉政建设和反腐败工作情况，开展政策理论及重大课题调查研究；起草领导同志文稿，会同、协助有关内设机构起草机关重要文件文稿；汇总、整理全县党风廉政建设和反腐败工作研究成果和信息资料，组织开展对纪检监察工作历史及规律的研究。</w:t>
      </w:r>
    </w:p>
    <w:p w14:paraId="61D3CA47" w14:textId="77777777" w:rsidR="00521A05" w:rsidRDefault="00000000">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（二）党风政</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室。负责综合协调贯彻执行党的路线方针政策和决议、国家法律法规等情况的监督检查，组织协调重要监督检查活动，负责汇总党风廉政建设和反腐败工情况；综合协调党的政治纪律和政治规矩执行；综合协调贯彻落实中央八项规定精神、纠正“四风”工作；综合协调整治群众身边和扶贫领域的腐败和作风问题；综合协调党内监督、党的问责等方面工作，推动管党治党政治责任落实；综合协调县纪委监委机关参与调查的事故、事件中涉及的监督对象违纪违法行为和需要问责情形的调查处理工作；综合分析党风政</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工作情况，开展调查研究，提出工作建议；组织开展党风政</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专项检查活动；协调办理县管干部任职前回复县委组织部意见工作；负责组织协调全县全面从严治党、党风廉政建设和反腐败宣传教育以及</w:t>
      </w:r>
      <w:proofErr w:type="gramStart"/>
      <w:r>
        <w:rPr>
          <w:rFonts w:ascii="仿宋_GB2312" w:eastAsia="仿宋_GB2312" w:hAnsi="仿宋_GB2312" w:cs="仿宋_GB2312" w:hint="eastAsia"/>
          <w:sz w:val="32"/>
          <w:szCs w:val="32"/>
        </w:rPr>
        <w:t>廉洁文化</w:t>
      </w:r>
      <w:proofErr w:type="gramEnd"/>
      <w:r>
        <w:rPr>
          <w:rFonts w:ascii="仿宋_GB2312" w:eastAsia="仿宋_GB2312" w:hAnsi="仿宋_GB2312" w:cs="仿宋_GB2312" w:hint="eastAsia"/>
          <w:sz w:val="32"/>
          <w:szCs w:val="32"/>
        </w:rPr>
        <w:t>建设工作；指导全县纪检监察系统的党风政</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工作。</w:t>
      </w:r>
    </w:p>
    <w:p w14:paraId="1503F896" w14:textId="77777777" w:rsidR="00521A05" w:rsidRDefault="00000000">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（三）信访室。负责受理对党的组织、党员违反党纪行为，对监察对象不依法履职，违反</w:t>
      </w:r>
      <w:proofErr w:type="gramStart"/>
      <w:r>
        <w:rPr>
          <w:rFonts w:ascii="仿宋_GB2312" w:eastAsia="仿宋_GB2312" w:hAnsi="仿宋_GB2312" w:cs="仿宋_GB2312" w:hint="eastAsia"/>
          <w:sz w:val="32"/>
          <w:szCs w:val="32"/>
        </w:rPr>
        <w:t>秉</w:t>
      </w:r>
      <w:proofErr w:type="gramEnd"/>
      <w:r>
        <w:rPr>
          <w:rFonts w:ascii="仿宋_GB2312" w:eastAsia="仿宋_GB2312" w:hAnsi="仿宋_GB2312" w:cs="仿宋_GB2312" w:hint="eastAsia"/>
          <w:sz w:val="32"/>
          <w:szCs w:val="32"/>
        </w:rPr>
        <w:t>公用权、廉洁从政从业及道德操守等规定，涉嫌职务违法、职务犯罪行为的检举控告；归口受理对县委管理的党的组织、党员、监察对象的上述信访举报，统一接收上级转办和县纪委监委派驻机构、乡</w:t>
      </w:r>
      <w:r>
        <w:rPr>
          <w:rFonts w:ascii="仿宋_GB2312" w:eastAsia="仿宋_GB2312" w:hAnsi="仿宋_GB2312" w:cs="仿宋_GB2312" w:hint="eastAsia"/>
          <w:sz w:val="32"/>
          <w:szCs w:val="32"/>
        </w:rPr>
        <w:lastRenderedPageBreak/>
        <w:t>镇纪委监察室报送的相关信访举报，分类摘要后将问题线索类信访举报移交案件监督管理室；受理党员对县纪委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的党纪处分或者其他处理不服的申诉、监察对象对县监委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的涉及本人的处理决定不服的复审申请；综合分析信访举报情况；接待群众来访，处理群众来信和电话网络举报事项等；指导全县纪检监察系统的信访举报工作。</w:t>
      </w:r>
    </w:p>
    <w:p w14:paraId="54645075" w14:textId="77777777" w:rsidR="00521A05" w:rsidRDefault="00000000">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案件监督管理室。负责对监督检查、审查调查工作全过程进行监督管理，履行线索管理、组织协调、监督检查、督促办理、统计分析等职责；统一受理巡视巡察工作机构和审计机关、行政执法机关、司法机关等单位移交的相关问题线索。对问题线索实行集中管理，动态更新、定期汇总核对，提出分办意见，按程序移送承办机构；统一受理下级纪检监察机关线索处置和案件查办报告，定期汇总、核对问题线索及处置情况，分送有关内设机构；归口管理审查调查工作中与有关部门的联系协调事项；对调查措施使用进行监督管理；负责对依纪依法安全办案情况进行监督检查，对纪委监委办案场所的安全保卫、保密等工作进行监督检查，落实办案安全工作责任制；指导乡镇纪委监察室案件监督管理工作；在州纪委监委领导下，承担反腐败国际追逃追赃和防逃工作的组织协调；负责监督检查、审查调查工作中的信息技术保障工作。</w:t>
      </w:r>
    </w:p>
    <w:p w14:paraId="276F7AA9" w14:textId="77777777" w:rsidR="00521A05" w:rsidRDefault="00000000">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（五）第一至第四纪检监察室。负责监督检查的纪检监察室主要履行依纪依法监督的职责。监督检查联系单位（乡、镇）领导班子及县管干部遵守和执行党的章程和其他党内法</w:t>
      </w:r>
      <w:r>
        <w:rPr>
          <w:rFonts w:ascii="仿宋_GB2312" w:eastAsia="仿宋_GB2312" w:hAnsi="仿宋_GB2312" w:cs="仿宋_GB2312" w:hint="eastAsia"/>
          <w:sz w:val="32"/>
          <w:szCs w:val="32"/>
        </w:rPr>
        <w:lastRenderedPageBreak/>
        <w:t>规，遵守和执行党的路线方针政策和决议、国家法律法规，推进全面从严治党，依法履职、</w:t>
      </w:r>
      <w:proofErr w:type="gramStart"/>
      <w:r>
        <w:rPr>
          <w:rFonts w:ascii="仿宋_GB2312" w:eastAsia="仿宋_GB2312" w:hAnsi="仿宋_GB2312" w:cs="仿宋_GB2312" w:hint="eastAsia"/>
          <w:sz w:val="32"/>
          <w:szCs w:val="32"/>
        </w:rPr>
        <w:t>秉</w:t>
      </w:r>
      <w:proofErr w:type="gramEnd"/>
      <w:r>
        <w:rPr>
          <w:rFonts w:ascii="仿宋_GB2312" w:eastAsia="仿宋_GB2312" w:hAnsi="仿宋_GB2312" w:cs="仿宋_GB2312" w:hint="eastAsia"/>
          <w:sz w:val="32"/>
          <w:szCs w:val="32"/>
        </w:rPr>
        <w:t>公用权、廉洁从政从业以及道德操守等方面的情况；监督检查联系单位（乡、镇）党委（党组）落实管党治党主体责任的情况，指导、检查、督促联系纪委（派驻机构）落实纪检、监察责任，实施问责；向监察对象所在单位提出监察建议；综合分析</w:t>
      </w:r>
      <w:proofErr w:type="gramStart"/>
      <w:r>
        <w:rPr>
          <w:rFonts w:ascii="仿宋_GB2312" w:eastAsia="仿宋_GB2312" w:hAnsi="仿宋_GB2312" w:cs="仿宋_GB2312" w:hint="eastAsia"/>
          <w:sz w:val="32"/>
          <w:szCs w:val="32"/>
        </w:rPr>
        <w:t>研判问题</w:t>
      </w:r>
      <w:proofErr w:type="gramEnd"/>
      <w:r>
        <w:rPr>
          <w:rFonts w:ascii="仿宋_GB2312" w:eastAsia="仿宋_GB2312" w:hAnsi="仿宋_GB2312" w:cs="仿宋_GB2312" w:hint="eastAsia"/>
          <w:sz w:val="32"/>
          <w:szCs w:val="32"/>
        </w:rPr>
        <w:t>线索，对适用“四种形态”中第一种、第二种形态的，按程序提出处置意见；对适用第三种、第四种形态的，按程序移交负责审查调查的纪检监察室；综合、协调、指导联系单位（乡、镇）纪检监察工作等。负责审查调查的纪检监察室主要履行执纪审查和依法调查处置的职责。承办涉嫌严重违纪或者职务违法、职务犯罪问题线索的初步核实和立案审查调查，以及其他比较重要或者复杂案件的初步核实、审查调查，并提出处理建议；向监察对象所在单位提出监察建议；可以办理下一级监察机关管辖范围内的监察事项，对在审查调查中发现的相关问题线索，</w:t>
      </w:r>
      <w:proofErr w:type="gramStart"/>
      <w:r>
        <w:rPr>
          <w:rFonts w:ascii="仿宋_GB2312" w:eastAsia="仿宋_GB2312" w:hAnsi="仿宋_GB2312" w:cs="仿宋_GB2312" w:hint="eastAsia"/>
          <w:sz w:val="32"/>
          <w:szCs w:val="32"/>
        </w:rPr>
        <w:t>送案件</w:t>
      </w:r>
      <w:proofErr w:type="gramEnd"/>
      <w:r>
        <w:rPr>
          <w:rFonts w:ascii="仿宋_GB2312" w:eastAsia="仿宋_GB2312" w:hAnsi="仿宋_GB2312" w:cs="仿宋_GB2312" w:hint="eastAsia"/>
          <w:sz w:val="32"/>
          <w:szCs w:val="32"/>
        </w:rPr>
        <w:t>监督</w:t>
      </w:r>
      <w:proofErr w:type="gramStart"/>
      <w:r>
        <w:rPr>
          <w:rFonts w:ascii="仿宋_GB2312" w:eastAsia="仿宋_GB2312" w:hAnsi="仿宋_GB2312" w:cs="仿宋_GB2312" w:hint="eastAsia"/>
          <w:sz w:val="32"/>
          <w:szCs w:val="32"/>
        </w:rPr>
        <w:t>管理室按程序</w:t>
      </w:r>
      <w:proofErr w:type="gramEnd"/>
      <w:r>
        <w:rPr>
          <w:rFonts w:ascii="仿宋_GB2312" w:eastAsia="仿宋_GB2312" w:hAnsi="仿宋_GB2312" w:cs="仿宋_GB2312" w:hint="eastAsia"/>
          <w:sz w:val="32"/>
          <w:szCs w:val="32"/>
        </w:rPr>
        <w:t xml:space="preserve">处置。 </w:t>
      </w:r>
    </w:p>
    <w:p w14:paraId="7AC17D48" w14:textId="77777777" w:rsidR="00521A05"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案件审理室。负责审理县纪委监委机关直接审查调查和科级党组织、纪检监察机关报批或备案的违反党纪和职务违法、职务犯罪案件，严格依规依纪依法提出处理或者处分意见；协助机关内设机构规范性文件起草工作；负责纪检监察法规制度和规范性文件的咨询答复、解释指导、备案清查、清理、审核、评估、编纂等工作；承办党员对县纪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的党纪处分或者其他处理不服的申诉案件、监察对象对县监委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的涉及本人的处理决定不服的申请复审案件，以</w:t>
      </w:r>
      <w:r>
        <w:rPr>
          <w:rFonts w:ascii="仿宋_GB2312" w:eastAsia="仿宋_GB2312" w:hAnsi="仿宋_GB2312" w:cs="仿宋_GB2312" w:hint="eastAsia"/>
          <w:sz w:val="32"/>
          <w:szCs w:val="32"/>
        </w:rPr>
        <w:lastRenderedPageBreak/>
        <w:t>及其他需要由县纪委监委办理的申诉、复核案件等；指导全县纪检监察系统案件审理等工作。</w:t>
      </w:r>
    </w:p>
    <w:p w14:paraId="6BF035D4" w14:textId="77777777" w:rsidR="00521A0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七）纪检监察干部监督室。按照干部管理权限，负责全县纪检监察系统领导班子建设、干部队伍建设和组织建设的综合规划、政策研究、制度建设和业务指导；负责县纪委监委机关、派驻机构及乡镇纪委监察室人事工作；会同有关部门，负责乡镇纪委监察室、县纪委监委派驻机构、县属企事业纪委领导班子成员提名、考察、任免等干部人事工作；组织和指导全县纪检监察系统干部教育培训工作；负责县纪委监委机关离退休老干部的管理服务工作；负责派驻机构干部日常管理和监督工作。负责监督检查全县纪检监察系统干部遵守和执行党的章程和其他党内法规、党的路线方针政策和决议、国家法律法规等方面的情况；负责受理对县纪委监委机关各内设机构、直属单位、县纪委监委派驻机构和县委</w:t>
      </w:r>
      <w:proofErr w:type="gramStart"/>
      <w:r>
        <w:rPr>
          <w:rFonts w:ascii="仿宋_GB2312" w:eastAsia="仿宋_GB2312" w:hAnsi="仿宋_GB2312" w:cs="仿宋_GB2312" w:hint="eastAsia"/>
          <w:sz w:val="32"/>
          <w:szCs w:val="32"/>
        </w:rPr>
        <w:t>巡察办</w:t>
      </w:r>
      <w:proofErr w:type="gramEnd"/>
      <w:r>
        <w:rPr>
          <w:rFonts w:ascii="仿宋_GB2312" w:eastAsia="仿宋_GB2312" w:hAnsi="仿宋_GB2312" w:cs="仿宋_GB2312" w:hint="eastAsia"/>
          <w:sz w:val="32"/>
          <w:szCs w:val="32"/>
        </w:rPr>
        <w:t>干部，乡镇纪委监察室和县属企事业单位纪委领导班子及其成员涉嫌违反党纪、职务违法和职务犯罪等问题的举报，提出处置意见并负责问题线索初步核实及立案审查调查工作等；负责县纪委监委机关干部日常管理和监督，承担绩效考核工作；指导全县纪检监察系统干部监督工作。</w:t>
      </w:r>
    </w:p>
    <w:p w14:paraId="794DFDD3" w14:textId="77777777" w:rsidR="00521A05" w:rsidRDefault="00000000">
      <w:pPr>
        <w:numPr>
          <w:ilvl w:val="0"/>
          <w:numId w:val="1"/>
        </w:num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人员情况，包括当年变动情况及原因。</w:t>
      </w:r>
    </w:p>
    <w:p w14:paraId="400F7293" w14:textId="77777777" w:rsidR="00521A05" w:rsidRDefault="00000000">
      <w:pPr>
        <w:snapToGrid w:val="0"/>
        <w:spacing w:line="578" w:lineRule="exact"/>
        <w:rPr>
          <w:rFonts w:ascii="黑体" w:eastAsia="黑体" w:hAnsi="黑体"/>
          <w:color w:val="000000"/>
        </w:rPr>
      </w:pPr>
      <w:r>
        <w:rPr>
          <w:rFonts w:ascii="仿宋_GB2312" w:eastAsia="仿宋_GB2312" w:hAnsi="仿宋" w:hint="eastAsia"/>
          <w:sz w:val="32"/>
          <w:szCs w:val="32"/>
        </w:rPr>
        <w:t xml:space="preserve">    县纪委、监察委机关编数为27人，综合管理类职位编制数25人，工勤2人，县纪委监察派出机构综合管理类职位编制数22名，财务账中还含县委</w:t>
      </w:r>
      <w:proofErr w:type="gramStart"/>
      <w:r>
        <w:rPr>
          <w:rFonts w:ascii="仿宋_GB2312" w:eastAsia="仿宋_GB2312" w:hAnsi="仿宋" w:hint="eastAsia"/>
          <w:sz w:val="32"/>
          <w:szCs w:val="32"/>
        </w:rPr>
        <w:t>巡察办</w:t>
      </w:r>
      <w:proofErr w:type="gramEnd"/>
      <w:r>
        <w:rPr>
          <w:rFonts w:ascii="仿宋_GB2312" w:eastAsia="仿宋_GB2312" w:hAnsi="仿宋" w:hint="eastAsia"/>
          <w:sz w:val="32"/>
          <w:szCs w:val="32"/>
        </w:rPr>
        <w:t>综合管理类职位编制数6人，工勤1人。</w:t>
      </w:r>
      <w:bookmarkStart w:id="24" w:name="_Toc79163859"/>
      <w:bookmarkStart w:id="25" w:name="_Toc79163609"/>
      <w:bookmarkStart w:id="26" w:name="_Toc15396602"/>
      <w:bookmarkStart w:id="27" w:name="_Toc15377204"/>
      <w:bookmarkEnd w:id="20"/>
      <w:bookmarkEnd w:id="21"/>
      <w:bookmarkEnd w:id="22"/>
      <w:bookmarkEnd w:id="23"/>
    </w:p>
    <w:p w14:paraId="2BAB5309" w14:textId="77777777" w:rsidR="00521A05" w:rsidRDefault="00000000">
      <w:pPr>
        <w:pStyle w:val="1"/>
        <w:spacing w:line="578" w:lineRule="exact"/>
        <w:ind w:right="440"/>
        <w:jc w:val="right"/>
        <w:rPr>
          <w:rStyle w:val="10"/>
          <w:rFonts w:ascii="黑体" w:eastAsia="黑体" w:hAnsi="黑体"/>
        </w:rPr>
      </w:pPr>
      <w:r>
        <w:rPr>
          <w:rFonts w:ascii="黑体" w:eastAsia="黑体" w:hAnsi="黑体" w:hint="eastAsia"/>
          <w:b w:val="0"/>
          <w:color w:val="000000"/>
        </w:rPr>
        <w:lastRenderedPageBreak/>
        <w:t>第二部分</w:t>
      </w:r>
      <w:r>
        <w:rPr>
          <w:rStyle w:val="10"/>
          <w:rFonts w:ascii="黑体" w:eastAsia="黑体" w:hAnsi="黑体"/>
        </w:rPr>
        <w:t>2020</w:t>
      </w:r>
      <w:r>
        <w:rPr>
          <w:rStyle w:val="10"/>
          <w:rFonts w:ascii="黑体" w:eastAsia="黑体" w:hAnsi="黑体" w:hint="eastAsia"/>
        </w:rPr>
        <w:t>年度部门决算情况说明</w:t>
      </w:r>
      <w:bookmarkEnd w:id="24"/>
      <w:bookmarkEnd w:id="25"/>
      <w:bookmarkEnd w:id="26"/>
      <w:bookmarkEnd w:id="27"/>
    </w:p>
    <w:p w14:paraId="669D4DBE" w14:textId="77777777" w:rsidR="00521A05" w:rsidRDefault="00521A05">
      <w:pPr>
        <w:spacing w:line="578" w:lineRule="exact"/>
      </w:pPr>
    </w:p>
    <w:p w14:paraId="3BBC6B2F" w14:textId="77777777" w:rsidR="00521A05" w:rsidRDefault="00000000">
      <w:pPr>
        <w:pStyle w:val="11"/>
        <w:numPr>
          <w:ilvl w:val="0"/>
          <w:numId w:val="2"/>
        </w:numPr>
        <w:spacing w:line="578" w:lineRule="exact"/>
        <w:ind w:firstLineChars="0"/>
        <w:outlineLvl w:val="1"/>
        <w:rPr>
          <w:rStyle w:val="20"/>
          <w:rFonts w:ascii="黑体" w:eastAsia="黑体" w:hAnsi="黑体"/>
          <w:b w:val="0"/>
        </w:rPr>
      </w:pPr>
      <w:bookmarkStart w:id="28" w:name="_Toc15377205"/>
      <w:bookmarkStart w:id="29" w:name="_Toc79163860"/>
      <w:bookmarkStart w:id="30" w:name="_Toc79163610"/>
      <w:bookmarkStart w:id="31" w:name="_Toc15396603"/>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28"/>
      <w:bookmarkEnd w:id="29"/>
      <w:bookmarkEnd w:id="30"/>
      <w:bookmarkEnd w:id="31"/>
    </w:p>
    <w:p w14:paraId="4668B8E6" w14:textId="77777777" w:rsidR="00521A0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2020年度收入合计814.56万元，财政拨款814.56万元，比上年度减少2.57%；本年支出809.56万元，财政拨款809.56万元，比上2019年度减少26.48万元，减少3.17%。</w:t>
      </w:r>
    </w:p>
    <w:p w14:paraId="3A8A2CB1" w14:textId="77777777" w:rsidR="00521A05" w:rsidRDefault="00000000">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减少的主要原因一是受疫情影响本年度无公务接待费支出、培训费支出与去年相比减少73.69%；二是一部分支出使用的是存量资金。</w:t>
      </w:r>
    </w:p>
    <w:p w14:paraId="61E153AC" w14:textId="77777777" w:rsidR="00521A05" w:rsidRDefault="00000000">
      <w:pPr>
        <w:snapToGrid w:val="0"/>
        <w:ind w:firstLineChars="200" w:firstLine="640"/>
      </w:pPr>
      <w:r>
        <w:rPr>
          <w:rFonts w:ascii="仿宋_GB2312" w:eastAsia="仿宋_GB2312" w:hAnsi="仿宋" w:hint="eastAsia"/>
          <w:noProof/>
          <w:sz w:val="32"/>
          <w:szCs w:val="32"/>
        </w:rPr>
        <w:drawing>
          <wp:inline distT="0" distB="0" distL="114300" distR="114300" wp14:anchorId="26AB7004" wp14:editId="19F5179B">
            <wp:extent cx="2477770" cy="1524000"/>
            <wp:effectExtent l="0" t="0" r="17780" b="0"/>
            <wp:docPr id="6" name="图片 6" descr="1631954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31954636(1)"/>
                    <pic:cNvPicPr>
                      <a:picLocks noChangeAspect="1"/>
                    </pic:cNvPicPr>
                  </pic:nvPicPr>
                  <pic:blipFill>
                    <a:blip r:embed="rId9"/>
                    <a:stretch>
                      <a:fillRect/>
                    </a:stretch>
                  </pic:blipFill>
                  <pic:spPr>
                    <a:xfrm>
                      <a:off x="0" y="0"/>
                      <a:ext cx="2477770" cy="1524000"/>
                    </a:xfrm>
                    <a:prstGeom prst="rect">
                      <a:avLst/>
                    </a:prstGeom>
                  </pic:spPr>
                </pic:pic>
              </a:graphicData>
            </a:graphic>
          </wp:inline>
        </w:drawing>
      </w:r>
    </w:p>
    <w:p w14:paraId="1C53D15E" w14:textId="77777777" w:rsidR="00521A05" w:rsidRDefault="00000000">
      <w:pPr>
        <w:pStyle w:val="11"/>
        <w:numPr>
          <w:ilvl w:val="0"/>
          <w:numId w:val="2"/>
        </w:numPr>
        <w:spacing w:line="578" w:lineRule="exact"/>
        <w:ind w:firstLineChars="0"/>
        <w:outlineLvl w:val="1"/>
        <w:rPr>
          <w:rStyle w:val="20"/>
          <w:rFonts w:ascii="黑体" w:eastAsia="黑体" w:hAnsi="黑体"/>
          <w:b w:val="0"/>
        </w:rPr>
      </w:pPr>
      <w:bookmarkStart w:id="32" w:name="_Toc79163861"/>
      <w:bookmarkStart w:id="33" w:name="_Toc79163611"/>
      <w:bookmarkStart w:id="34" w:name="_Toc15396604"/>
      <w:bookmarkStart w:id="35" w:name="_Toc15377206"/>
      <w:r>
        <w:rPr>
          <w:rFonts w:ascii="黑体" w:eastAsia="黑体" w:hAnsi="黑体" w:hint="eastAsia"/>
          <w:color w:val="000000"/>
          <w:sz w:val="32"/>
          <w:szCs w:val="32"/>
        </w:rPr>
        <w:t>收</w:t>
      </w:r>
      <w:r>
        <w:rPr>
          <w:rStyle w:val="20"/>
          <w:rFonts w:ascii="黑体" w:eastAsia="黑体" w:hAnsi="黑体" w:hint="eastAsia"/>
          <w:b w:val="0"/>
        </w:rPr>
        <w:t>入决算情况说明</w:t>
      </w:r>
      <w:bookmarkEnd w:id="32"/>
      <w:bookmarkEnd w:id="33"/>
      <w:bookmarkEnd w:id="34"/>
      <w:bookmarkEnd w:id="35"/>
    </w:p>
    <w:p w14:paraId="5693BB7E" w14:textId="77777777" w:rsidR="00521A05" w:rsidRDefault="00000000">
      <w:pPr>
        <w:pStyle w:val="11"/>
        <w:spacing w:line="578" w:lineRule="exact"/>
        <w:ind w:leftChars="57" w:left="120" w:firstLineChars="236" w:firstLine="755"/>
        <w:outlineLvl w:val="1"/>
        <w:rPr>
          <w:rFonts w:ascii="仿宋_GB2312" w:eastAsia="仿宋_GB2312" w:hAnsi="仿宋"/>
          <w:sz w:val="32"/>
          <w:szCs w:val="32"/>
        </w:rPr>
      </w:pPr>
      <w:bookmarkStart w:id="36" w:name="_Toc15377207"/>
      <w:bookmarkStart w:id="37" w:name="_Toc79163612"/>
      <w:bookmarkStart w:id="38" w:name="_Toc15396605"/>
      <w:bookmarkStart w:id="39" w:name="_Toc79163862"/>
      <w:r>
        <w:rPr>
          <w:rFonts w:ascii="仿宋_GB2312" w:eastAsia="仿宋_GB2312" w:hAnsi="仿宋" w:hint="eastAsia"/>
          <w:sz w:val="32"/>
          <w:szCs w:val="32"/>
        </w:rPr>
        <w:t xml:space="preserve">2020年度收入合计814.56万元，一般公共服务650.6万元，占79.87%；社会保障和就业67.44万元，占8.28%；卫生健康39.43万元，4.84%；住房保障57.1万元，占7.1%。  </w:t>
      </w:r>
    </w:p>
    <w:p w14:paraId="7C8CC163" w14:textId="77777777" w:rsidR="00521A05" w:rsidRDefault="00000000">
      <w:pPr>
        <w:pStyle w:val="11"/>
        <w:ind w:leftChars="57" w:left="120" w:firstLineChars="236" w:firstLine="755"/>
        <w:outlineLvl w:val="1"/>
        <w:rPr>
          <w:rFonts w:ascii="仿宋_GB2312" w:eastAsia="仿宋_GB2312" w:hAnsi="仿宋"/>
          <w:sz w:val="32"/>
          <w:szCs w:val="32"/>
        </w:rPr>
      </w:pPr>
      <w:r>
        <w:rPr>
          <w:rFonts w:ascii="仿宋_GB2312" w:eastAsia="仿宋_GB2312" w:hAnsi="仿宋" w:hint="eastAsia"/>
          <w:noProof/>
          <w:sz w:val="32"/>
          <w:szCs w:val="32"/>
        </w:rPr>
        <w:drawing>
          <wp:inline distT="0" distB="0" distL="114300" distR="114300" wp14:anchorId="6A975A17" wp14:editId="4B681AD1">
            <wp:extent cx="2847975" cy="1724025"/>
            <wp:effectExtent l="0" t="0" r="9525" b="9525"/>
            <wp:docPr id="8" name="图片 8" descr="1631954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31954499(1)"/>
                    <pic:cNvPicPr>
                      <a:picLocks noChangeAspect="1"/>
                    </pic:cNvPicPr>
                  </pic:nvPicPr>
                  <pic:blipFill>
                    <a:blip r:embed="rId10"/>
                    <a:stretch>
                      <a:fillRect/>
                    </a:stretch>
                  </pic:blipFill>
                  <pic:spPr>
                    <a:xfrm>
                      <a:off x="0" y="0"/>
                      <a:ext cx="2847975" cy="1724025"/>
                    </a:xfrm>
                    <a:prstGeom prst="rect">
                      <a:avLst/>
                    </a:prstGeom>
                  </pic:spPr>
                </pic:pic>
              </a:graphicData>
            </a:graphic>
          </wp:inline>
        </w:drawing>
      </w:r>
    </w:p>
    <w:p w14:paraId="3EE3F364" w14:textId="77777777" w:rsidR="00521A05" w:rsidRDefault="00521A05">
      <w:pPr>
        <w:pStyle w:val="11"/>
        <w:spacing w:line="578" w:lineRule="exact"/>
        <w:ind w:leftChars="57" w:left="120" w:firstLineChars="236" w:firstLine="755"/>
        <w:outlineLvl w:val="1"/>
        <w:rPr>
          <w:rFonts w:ascii="仿宋_GB2312" w:eastAsia="仿宋_GB2312" w:hAnsi="仿宋"/>
          <w:sz w:val="32"/>
          <w:szCs w:val="32"/>
        </w:rPr>
      </w:pPr>
    </w:p>
    <w:p w14:paraId="49FD2A0E" w14:textId="77777777" w:rsidR="00521A05" w:rsidRDefault="00521A05">
      <w:pPr>
        <w:pStyle w:val="11"/>
        <w:spacing w:line="578" w:lineRule="exact"/>
        <w:ind w:leftChars="57" w:left="120" w:firstLineChars="236" w:firstLine="755"/>
        <w:outlineLvl w:val="1"/>
        <w:rPr>
          <w:rFonts w:ascii="仿宋_GB2312" w:eastAsia="仿宋_GB2312" w:hAnsi="仿宋"/>
          <w:sz w:val="32"/>
          <w:szCs w:val="32"/>
        </w:rPr>
      </w:pPr>
    </w:p>
    <w:p w14:paraId="1043360D" w14:textId="77777777" w:rsidR="00521A05" w:rsidRDefault="00000000">
      <w:pPr>
        <w:pStyle w:val="11"/>
        <w:spacing w:line="578" w:lineRule="exact"/>
        <w:ind w:leftChars="57" w:left="120" w:firstLineChars="137" w:firstLine="440"/>
        <w:outlineLvl w:val="1"/>
        <w:rPr>
          <w:rStyle w:val="20"/>
          <w:rFonts w:ascii="黑体" w:eastAsia="黑体" w:hAnsi="黑体"/>
          <w:b w:val="0"/>
        </w:rPr>
      </w:pPr>
      <w:r>
        <w:rPr>
          <w:rFonts w:ascii="仿宋_GB2312" w:eastAsia="仿宋_GB2312" w:hAnsi="仿宋" w:hint="eastAsia"/>
          <w:b/>
          <w:bCs/>
          <w:sz w:val="32"/>
          <w:szCs w:val="32"/>
        </w:rPr>
        <w:lastRenderedPageBreak/>
        <w:t>三、</w:t>
      </w:r>
      <w:r>
        <w:rPr>
          <w:rFonts w:ascii="黑体" w:eastAsia="黑体" w:hAnsi="黑体" w:hint="eastAsia"/>
          <w:color w:val="000000"/>
          <w:sz w:val="32"/>
          <w:szCs w:val="32"/>
        </w:rPr>
        <w:t>支</w:t>
      </w:r>
      <w:r>
        <w:rPr>
          <w:rStyle w:val="20"/>
          <w:rFonts w:ascii="黑体" w:eastAsia="黑体" w:hAnsi="黑体" w:hint="eastAsia"/>
          <w:b w:val="0"/>
        </w:rPr>
        <w:t>出决算情况说明</w:t>
      </w:r>
      <w:bookmarkEnd w:id="36"/>
      <w:bookmarkEnd w:id="37"/>
      <w:bookmarkEnd w:id="38"/>
      <w:bookmarkEnd w:id="39"/>
    </w:p>
    <w:p w14:paraId="7D7D57D4" w14:textId="77777777" w:rsidR="00521A0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2020年度支出合计809.56万元，一般公共服务645.6万元，占79.75%；社会保障和就业67.44万元，占8.33%；卫生健康39.43万元，4.87%；住房保障57.1万元，占7.05%。</w:t>
      </w:r>
    </w:p>
    <w:p w14:paraId="4C9F4851" w14:textId="77777777" w:rsidR="00521A05" w:rsidRDefault="00000000">
      <w:pPr>
        <w:pStyle w:val="a0"/>
        <w:ind w:left="820" w:hanging="400"/>
      </w:pPr>
      <w:r>
        <w:rPr>
          <w:rFonts w:hint="eastAsia"/>
          <w:noProof/>
        </w:rPr>
        <w:drawing>
          <wp:inline distT="0" distB="0" distL="114300" distR="114300" wp14:anchorId="73D9A46E" wp14:editId="7F860E5D">
            <wp:extent cx="3229610" cy="1762125"/>
            <wp:effectExtent l="0" t="0" r="8890" b="9525"/>
            <wp:docPr id="9" name="图片 9" descr="1631954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31954499(1)"/>
                    <pic:cNvPicPr>
                      <a:picLocks noChangeAspect="1"/>
                    </pic:cNvPicPr>
                  </pic:nvPicPr>
                  <pic:blipFill>
                    <a:blip r:embed="rId10"/>
                    <a:stretch>
                      <a:fillRect/>
                    </a:stretch>
                  </pic:blipFill>
                  <pic:spPr>
                    <a:xfrm>
                      <a:off x="0" y="0"/>
                      <a:ext cx="3229610" cy="1762125"/>
                    </a:xfrm>
                    <a:prstGeom prst="rect">
                      <a:avLst/>
                    </a:prstGeom>
                  </pic:spPr>
                </pic:pic>
              </a:graphicData>
            </a:graphic>
          </wp:inline>
        </w:drawing>
      </w:r>
    </w:p>
    <w:p w14:paraId="15A61F46" w14:textId="77777777" w:rsidR="00521A05" w:rsidRDefault="00000000">
      <w:pPr>
        <w:spacing w:line="578" w:lineRule="exact"/>
        <w:ind w:firstLineChars="200" w:firstLine="640"/>
        <w:outlineLvl w:val="1"/>
        <w:rPr>
          <w:rStyle w:val="20"/>
          <w:rFonts w:ascii="黑体" w:eastAsia="黑体" w:hAnsi="黑体"/>
          <w:b w:val="0"/>
        </w:rPr>
      </w:pPr>
      <w:bookmarkStart w:id="40" w:name="_Toc15396606"/>
      <w:bookmarkStart w:id="41" w:name="_Toc79163613"/>
      <w:bookmarkStart w:id="42" w:name="_Toc15377208"/>
      <w:bookmarkStart w:id="43" w:name="_Toc79163863"/>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40"/>
      <w:bookmarkEnd w:id="41"/>
      <w:bookmarkEnd w:id="42"/>
      <w:bookmarkEnd w:id="43"/>
    </w:p>
    <w:p w14:paraId="210A7DB9" w14:textId="77777777" w:rsidR="00521A05" w:rsidRDefault="00000000">
      <w:pPr>
        <w:snapToGrid w:val="0"/>
        <w:spacing w:line="578" w:lineRule="exact"/>
        <w:ind w:firstLineChars="200" w:firstLine="640"/>
        <w:rPr>
          <w:rFonts w:ascii="仿宋_GB2312" w:eastAsia="仿宋_GB2312" w:hAnsi="仿宋"/>
          <w:sz w:val="32"/>
          <w:szCs w:val="32"/>
        </w:rPr>
      </w:pPr>
      <w:bookmarkStart w:id="44" w:name="_Toc15377209"/>
      <w:bookmarkStart w:id="45" w:name="_Toc79163614"/>
      <w:bookmarkStart w:id="46" w:name="_Toc79163864"/>
      <w:bookmarkStart w:id="47" w:name="_Toc15396607"/>
      <w:r>
        <w:rPr>
          <w:rFonts w:ascii="仿宋_GB2312" w:eastAsia="仿宋_GB2312" w:hAnsi="仿宋" w:hint="eastAsia"/>
          <w:sz w:val="32"/>
          <w:szCs w:val="32"/>
        </w:rPr>
        <w:t>2020年度收入合计814.56万元，财政拨款814.56万元，比上年度减少2.57%；本年支出809.56万元，财政拨款809.56万元，比上2019年度减少26.48万元，减少3.17%。</w:t>
      </w:r>
    </w:p>
    <w:p w14:paraId="2A85EC03" w14:textId="77777777" w:rsidR="00521A0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减少的主要原因一是受疫情影响本年度无公务接待费支出、培训费支出与去年相比减少73.69%；二是一部分支出使用的是存量资金。</w:t>
      </w:r>
    </w:p>
    <w:p w14:paraId="6EBC05B4" w14:textId="77777777" w:rsidR="00521A05" w:rsidRDefault="00000000">
      <w:pPr>
        <w:pStyle w:val="a0"/>
        <w:ind w:left="820" w:hanging="400"/>
      </w:pPr>
      <w:r>
        <w:rPr>
          <w:noProof/>
        </w:rPr>
        <w:drawing>
          <wp:inline distT="0" distB="0" distL="114300" distR="114300" wp14:anchorId="54E1F01C" wp14:editId="7AC5326B">
            <wp:extent cx="2372360" cy="1495425"/>
            <wp:effectExtent l="0" t="0" r="8890" b="9525"/>
            <wp:docPr id="10" name="图片 10" descr="1631954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31954636(1)"/>
                    <pic:cNvPicPr>
                      <a:picLocks noChangeAspect="1"/>
                    </pic:cNvPicPr>
                  </pic:nvPicPr>
                  <pic:blipFill>
                    <a:blip r:embed="rId9"/>
                    <a:stretch>
                      <a:fillRect/>
                    </a:stretch>
                  </pic:blipFill>
                  <pic:spPr>
                    <a:xfrm>
                      <a:off x="0" y="0"/>
                      <a:ext cx="2372360" cy="1495425"/>
                    </a:xfrm>
                    <a:prstGeom prst="rect">
                      <a:avLst/>
                    </a:prstGeom>
                  </pic:spPr>
                </pic:pic>
              </a:graphicData>
            </a:graphic>
          </wp:inline>
        </w:drawing>
      </w:r>
    </w:p>
    <w:p w14:paraId="3E33C9B2" w14:textId="77777777" w:rsidR="00521A05" w:rsidRDefault="00000000">
      <w:pPr>
        <w:spacing w:line="578" w:lineRule="exact"/>
        <w:ind w:firstLineChars="200" w:firstLine="640"/>
        <w:outlineLvl w:val="1"/>
        <w:rPr>
          <w:rStyle w:val="20"/>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44"/>
      <w:bookmarkEnd w:id="45"/>
      <w:bookmarkEnd w:id="46"/>
      <w:bookmarkEnd w:id="47"/>
    </w:p>
    <w:p w14:paraId="63CD7C84" w14:textId="77777777" w:rsidR="00521A05" w:rsidRDefault="00000000">
      <w:pPr>
        <w:snapToGrid w:val="0"/>
        <w:spacing w:line="578" w:lineRule="exact"/>
        <w:ind w:firstLineChars="200" w:firstLine="643"/>
        <w:rPr>
          <w:rFonts w:ascii="仿宋_GB2312" w:eastAsia="仿宋_GB2312" w:hAnsi="仿宋"/>
          <w:sz w:val="32"/>
          <w:szCs w:val="32"/>
        </w:rPr>
      </w:pPr>
      <w:bookmarkStart w:id="48" w:name="_Toc79163615"/>
      <w:bookmarkStart w:id="49" w:name="_Toc15377210"/>
      <w:bookmarkStart w:id="50" w:name="_Toc79163865"/>
      <w:r>
        <w:rPr>
          <w:rFonts w:ascii="仿宋" w:eastAsia="仿宋" w:hAnsi="仿宋" w:hint="eastAsia"/>
          <w:b/>
          <w:color w:val="000000"/>
          <w:sz w:val="32"/>
          <w:szCs w:val="32"/>
        </w:rPr>
        <w:t>（一）一般公共预算财政拨款支出决算总体情况</w:t>
      </w:r>
      <w:bookmarkEnd w:id="48"/>
      <w:bookmarkEnd w:id="49"/>
      <w:bookmarkEnd w:id="50"/>
      <w:r>
        <w:rPr>
          <w:rFonts w:ascii="仿宋_GB2312" w:eastAsia="仿宋_GB2312" w:hAnsi="仿宋" w:hint="eastAsia"/>
          <w:sz w:val="32"/>
          <w:szCs w:val="32"/>
        </w:rPr>
        <w:t>2020</w:t>
      </w:r>
      <w:r>
        <w:rPr>
          <w:rFonts w:ascii="仿宋_GB2312" w:eastAsia="仿宋_GB2312" w:hAnsi="仿宋" w:hint="eastAsia"/>
          <w:sz w:val="32"/>
          <w:szCs w:val="32"/>
        </w:rPr>
        <w:lastRenderedPageBreak/>
        <w:t>年度收入合计814.56万元，财政拨款814.56万元，比上年度减少2.57%；本年支出809.56万元，财政拨款809.56万元，比上2019年度减少26.48万元，减少3.17%。</w:t>
      </w:r>
    </w:p>
    <w:p w14:paraId="5D2EBF66" w14:textId="77777777" w:rsidR="00521A0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减少的主要原因一是受疫情影响本年度无公务接待费支出、培训费支出与去年相比减少73.69%；二是一部分支出使用的是存量资金。</w:t>
      </w:r>
    </w:p>
    <w:p w14:paraId="65719806" w14:textId="77777777" w:rsidR="00521A05" w:rsidRDefault="00000000">
      <w:pPr>
        <w:pStyle w:val="a0"/>
        <w:ind w:left="820" w:hanging="400"/>
      </w:pPr>
      <w:r>
        <w:rPr>
          <w:noProof/>
        </w:rPr>
        <w:drawing>
          <wp:inline distT="0" distB="0" distL="114300" distR="114300" wp14:anchorId="7A2C2150" wp14:editId="0A06F061">
            <wp:extent cx="3067050" cy="1553210"/>
            <wp:effectExtent l="0" t="0" r="0" b="8890"/>
            <wp:docPr id="11" name="图片 11" descr="1631954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31954636(1)"/>
                    <pic:cNvPicPr>
                      <a:picLocks noChangeAspect="1"/>
                    </pic:cNvPicPr>
                  </pic:nvPicPr>
                  <pic:blipFill>
                    <a:blip r:embed="rId9"/>
                    <a:stretch>
                      <a:fillRect/>
                    </a:stretch>
                  </pic:blipFill>
                  <pic:spPr>
                    <a:xfrm>
                      <a:off x="0" y="0"/>
                      <a:ext cx="3067050" cy="1553210"/>
                    </a:xfrm>
                    <a:prstGeom prst="rect">
                      <a:avLst/>
                    </a:prstGeom>
                  </pic:spPr>
                </pic:pic>
              </a:graphicData>
            </a:graphic>
          </wp:inline>
        </w:drawing>
      </w:r>
    </w:p>
    <w:p w14:paraId="51E21491" w14:textId="77777777" w:rsidR="00521A05" w:rsidRDefault="00000000">
      <w:pPr>
        <w:spacing w:line="578" w:lineRule="exact"/>
        <w:ind w:firstLineChars="200" w:firstLine="643"/>
        <w:outlineLvl w:val="2"/>
        <w:rPr>
          <w:rFonts w:ascii="仿宋" w:eastAsia="仿宋" w:hAnsi="仿宋"/>
          <w:b/>
          <w:color w:val="000000"/>
          <w:sz w:val="32"/>
          <w:szCs w:val="32"/>
        </w:rPr>
      </w:pPr>
      <w:bookmarkStart w:id="51" w:name="_Toc79163866"/>
      <w:bookmarkStart w:id="52" w:name="_Toc79163616"/>
      <w:bookmarkStart w:id="53" w:name="_Toc15377211"/>
      <w:r>
        <w:rPr>
          <w:rFonts w:ascii="仿宋" w:eastAsia="仿宋" w:hAnsi="仿宋" w:hint="eastAsia"/>
          <w:b/>
          <w:color w:val="000000"/>
          <w:sz w:val="32"/>
          <w:szCs w:val="32"/>
        </w:rPr>
        <w:t>（二）一般公共预算财政拨款支出决算结构情况</w:t>
      </w:r>
      <w:bookmarkEnd w:id="51"/>
      <w:bookmarkEnd w:id="52"/>
      <w:bookmarkEnd w:id="53"/>
    </w:p>
    <w:p w14:paraId="693BD837" w14:textId="77777777" w:rsidR="00521A05" w:rsidRDefault="00000000">
      <w:pPr>
        <w:snapToGrid w:val="0"/>
        <w:spacing w:line="578" w:lineRule="exact"/>
        <w:ind w:firstLineChars="200" w:firstLine="640"/>
        <w:rPr>
          <w:rFonts w:ascii="仿宋_GB2312" w:eastAsia="仿宋_GB2312" w:hAnsi="仿宋"/>
          <w:sz w:val="32"/>
          <w:szCs w:val="32"/>
        </w:rPr>
      </w:pPr>
      <w:bookmarkStart w:id="54" w:name="_Toc15377212"/>
      <w:bookmarkStart w:id="55" w:name="_Toc79163867"/>
      <w:bookmarkStart w:id="56" w:name="_Toc79163617"/>
      <w:r>
        <w:rPr>
          <w:rFonts w:ascii="仿宋_GB2312" w:eastAsia="仿宋_GB2312" w:hAnsi="仿宋" w:hint="eastAsia"/>
          <w:sz w:val="32"/>
          <w:szCs w:val="32"/>
        </w:rPr>
        <w:t>2020年度支出合计809.56万元，一般公共服务645.6万元，占79.75%；社会保障和就业67.44万元，占8.33%；卫生健康39.43万元，4.87%；住房保障57.1万元，占7.05%。</w:t>
      </w:r>
    </w:p>
    <w:p w14:paraId="37E29225" w14:textId="77777777" w:rsidR="00521A05" w:rsidRDefault="00000000">
      <w:pPr>
        <w:pStyle w:val="a0"/>
        <w:ind w:left="820" w:hanging="400"/>
      </w:pPr>
      <w:r>
        <w:rPr>
          <w:rFonts w:hint="eastAsia"/>
          <w:noProof/>
        </w:rPr>
        <w:drawing>
          <wp:inline distT="0" distB="0" distL="114300" distR="114300" wp14:anchorId="47406585" wp14:editId="0C838692">
            <wp:extent cx="3028950" cy="1581150"/>
            <wp:effectExtent l="0" t="0" r="0" b="0"/>
            <wp:docPr id="12" name="图片 12" descr="1631954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31954499(1)"/>
                    <pic:cNvPicPr>
                      <a:picLocks noChangeAspect="1"/>
                    </pic:cNvPicPr>
                  </pic:nvPicPr>
                  <pic:blipFill>
                    <a:blip r:embed="rId10"/>
                    <a:stretch>
                      <a:fillRect/>
                    </a:stretch>
                  </pic:blipFill>
                  <pic:spPr>
                    <a:xfrm>
                      <a:off x="0" y="0"/>
                      <a:ext cx="3028950" cy="1581150"/>
                    </a:xfrm>
                    <a:prstGeom prst="rect">
                      <a:avLst/>
                    </a:prstGeom>
                  </pic:spPr>
                </pic:pic>
              </a:graphicData>
            </a:graphic>
          </wp:inline>
        </w:drawing>
      </w:r>
    </w:p>
    <w:p w14:paraId="0A0D58F5" w14:textId="77777777" w:rsidR="00521A05" w:rsidRDefault="00000000">
      <w:pPr>
        <w:spacing w:line="578"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54"/>
      <w:bookmarkEnd w:id="55"/>
      <w:bookmarkEnd w:id="56"/>
    </w:p>
    <w:p w14:paraId="3D1A555E" w14:textId="77777777" w:rsidR="00521A05" w:rsidRDefault="00000000">
      <w:pPr>
        <w:spacing w:line="578" w:lineRule="exact"/>
        <w:ind w:firstLineChars="200" w:firstLine="643"/>
        <w:rPr>
          <w:rFonts w:ascii="仿宋_GB2312" w:eastAsia="仿宋_GB2312"/>
          <w:b/>
          <w:bCs/>
          <w:sz w:val="32"/>
          <w:szCs w:val="32"/>
        </w:rPr>
      </w:pPr>
      <w:bookmarkStart w:id="57" w:name="_Toc15377444"/>
      <w:bookmarkStart w:id="58" w:name="_Toc15377213"/>
      <w:bookmarkStart w:id="59" w:name="_Toc15378460"/>
      <w:r>
        <w:rPr>
          <w:rFonts w:ascii="仿宋_GB2312" w:eastAsia="仿宋_GB2312"/>
          <w:b/>
          <w:bCs/>
          <w:sz w:val="32"/>
          <w:szCs w:val="32"/>
        </w:rPr>
        <w:t>2020</w:t>
      </w:r>
      <w:r>
        <w:rPr>
          <w:rFonts w:ascii="仿宋_GB2312" w:eastAsia="仿宋_GB2312" w:hint="eastAsia"/>
          <w:b/>
          <w:bCs/>
          <w:sz w:val="32"/>
          <w:szCs w:val="32"/>
        </w:rPr>
        <w:t>年一般公共预算支出决算数为809.5，完成预算100</w:t>
      </w:r>
      <w:r>
        <w:rPr>
          <w:rFonts w:ascii="仿宋_GB2312" w:eastAsia="仿宋_GB2312"/>
          <w:b/>
          <w:bCs/>
          <w:sz w:val="32"/>
          <w:szCs w:val="32"/>
        </w:rPr>
        <w:t>%</w:t>
      </w:r>
      <w:r>
        <w:rPr>
          <w:rFonts w:ascii="仿宋_GB2312" w:eastAsia="仿宋_GB2312" w:hint="eastAsia"/>
          <w:b/>
          <w:bCs/>
          <w:sz w:val="32"/>
          <w:szCs w:val="32"/>
        </w:rPr>
        <w:t>。其中：</w:t>
      </w:r>
      <w:bookmarkEnd w:id="57"/>
      <w:bookmarkEnd w:id="58"/>
      <w:bookmarkEnd w:id="59"/>
    </w:p>
    <w:p w14:paraId="3649D0FD" w14:textId="77777777" w:rsidR="00521A05" w:rsidRDefault="00000000">
      <w:pPr>
        <w:snapToGrid w:val="0"/>
        <w:spacing w:line="578" w:lineRule="exact"/>
        <w:ind w:firstLineChars="200" w:firstLine="640"/>
        <w:rPr>
          <w:rFonts w:ascii="仿宋_GB2312" w:eastAsia="仿宋_GB2312" w:hAnsi="仿宋"/>
          <w:sz w:val="32"/>
          <w:szCs w:val="32"/>
        </w:rPr>
      </w:pPr>
      <w:bookmarkStart w:id="60" w:name="_Toc15377214"/>
      <w:bookmarkStart w:id="61" w:name="_Toc79163868"/>
      <w:bookmarkStart w:id="62" w:name="_Toc79163618"/>
      <w:bookmarkStart w:id="63" w:name="_Toc15396608"/>
      <w:r>
        <w:rPr>
          <w:rFonts w:ascii="仿宋_GB2312" w:eastAsia="仿宋_GB2312" w:hAnsi="仿宋" w:hint="eastAsia"/>
          <w:sz w:val="32"/>
          <w:szCs w:val="32"/>
        </w:rPr>
        <w:lastRenderedPageBreak/>
        <w:t>2020年度支出合计809.56万元，一般公共服务645.6万元，占79.75%，完成预算100%；社会保障和就业67.44万元，占8.33%，完成预算100%；卫生健康39.43万元，4.87%，完成预算100%；住房保障57.1万元，占7.05%，完成预算100%。</w:t>
      </w:r>
    </w:p>
    <w:p w14:paraId="48E34B95" w14:textId="77777777" w:rsidR="00521A05" w:rsidRDefault="00000000">
      <w:pPr>
        <w:pStyle w:val="a0"/>
        <w:ind w:left="820" w:hanging="400"/>
      </w:pPr>
      <w:r>
        <w:rPr>
          <w:rFonts w:hint="eastAsia"/>
          <w:noProof/>
        </w:rPr>
        <w:drawing>
          <wp:inline distT="0" distB="0" distL="114300" distR="114300" wp14:anchorId="2CCE4E0E" wp14:editId="01953FB7">
            <wp:extent cx="3001010" cy="1847215"/>
            <wp:effectExtent l="0" t="0" r="8890" b="635"/>
            <wp:docPr id="13" name="图片 13" descr="1631954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31954499(1)"/>
                    <pic:cNvPicPr>
                      <a:picLocks noChangeAspect="1"/>
                    </pic:cNvPicPr>
                  </pic:nvPicPr>
                  <pic:blipFill>
                    <a:blip r:embed="rId10"/>
                    <a:stretch>
                      <a:fillRect/>
                    </a:stretch>
                  </pic:blipFill>
                  <pic:spPr>
                    <a:xfrm>
                      <a:off x="0" y="0"/>
                      <a:ext cx="3001010" cy="1847215"/>
                    </a:xfrm>
                    <a:prstGeom prst="rect">
                      <a:avLst/>
                    </a:prstGeom>
                  </pic:spPr>
                </pic:pic>
              </a:graphicData>
            </a:graphic>
          </wp:inline>
        </w:drawing>
      </w:r>
    </w:p>
    <w:p w14:paraId="52D76C84" w14:textId="77777777" w:rsidR="00521A05" w:rsidRDefault="00000000">
      <w:pPr>
        <w:tabs>
          <w:tab w:val="right" w:pos="8306"/>
        </w:tabs>
        <w:spacing w:line="578" w:lineRule="exact"/>
        <w:ind w:firstLine="640"/>
        <w:outlineLvl w:val="1"/>
        <w:rPr>
          <w:rStyle w:val="20"/>
        </w:rPr>
      </w:pPr>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60"/>
      <w:bookmarkEnd w:id="61"/>
      <w:bookmarkEnd w:id="62"/>
      <w:bookmarkEnd w:id="63"/>
      <w:r>
        <w:rPr>
          <w:rStyle w:val="20"/>
          <w:rFonts w:ascii="黑体" w:eastAsia="黑体" w:hAnsi="黑体"/>
          <w:b w:val="0"/>
        </w:rPr>
        <w:tab/>
      </w:r>
    </w:p>
    <w:p w14:paraId="2D6AF88B" w14:textId="77777777" w:rsidR="00521A05" w:rsidRDefault="00000000">
      <w:pPr>
        <w:spacing w:line="578" w:lineRule="exact"/>
        <w:ind w:firstLine="645"/>
        <w:rPr>
          <w:rFonts w:ascii="仿宋" w:eastAsia="仿宋" w:hAnsi="仿宋"/>
          <w:color w:val="00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年一般公共预算财政拨款基本支出809.56万元，其中：</w:t>
      </w:r>
    </w:p>
    <w:p w14:paraId="7BCDB83F" w14:textId="77777777" w:rsidR="00521A05" w:rsidRDefault="00000000">
      <w:pPr>
        <w:spacing w:line="578" w:lineRule="exact"/>
        <w:ind w:firstLine="645"/>
        <w:rPr>
          <w:rFonts w:ascii="仿宋" w:eastAsia="仿宋" w:hAnsi="仿宋"/>
          <w:color w:val="000000"/>
          <w:sz w:val="32"/>
          <w:szCs w:val="32"/>
        </w:rPr>
      </w:pPr>
      <w:r>
        <w:rPr>
          <w:rFonts w:ascii="仿宋" w:eastAsia="仿宋" w:hAnsi="仿宋" w:hint="eastAsia"/>
          <w:color w:val="000000"/>
          <w:sz w:val="32"/>
          <w:szCs w:val="32"/>
        </w:rPr>
        <w:t>人员经费666.51万元，主要包括：基本工资、津贴补贴、奖金、伙食补助费、机关事业单位基本养老保险缴费、职业年金缴费、其他社会保障缴费、其他工资福利支出、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日常公用经费114.19万元，主要包括：办公费、手续费、水费、电费、邮电费、差旅费、培训费、劳务费、公务用车运行维护费、办公设备购置等。</w:t>
      </w:r>
    </w:p>
    <w:p w14:paraId="1E223B3B" w14:textId="77777777" w:rsidR="00521A05" w:rsidRDefault="00521A05">
      <w:pPr>
        <w:pStyle w:val="a0"/>
        <w:ind w:left="820" w:hanging="400"/>
      </w:pPr>
    </w:p>
    <w:p w14:paraId="2247011B" w14:textId="77777777" w:rsidR="00521A05" w:rsidRDefault="00000000">
      <w:pPr>
        <w:ind w:firstLine="640"/>
        <w:outlineLvl w:val="1"/>
        <w:rPr>
          <w:rFonts w:ascii="黑体" w:eastAsia="黑体"/>
          <w:color w:val="000000"/>
          <w:sz w:val="32"/>
          <w:szCs w:val="32"/>
        </w:rPr>
      </w:pPr>
      <w:bookmarkStart w:id="64" w:name="_Toc15396609"/>
      <w:bookmarkStart w:id="65" w:name="_Toc15377215"/>
      <w:bookmarkStart w:id="66" w:name="_Toc79163619"/>
      <w:bookmarkStart w:id="67" w:name="_Toc79163869"/>
      <w:r>
        <w:rPr>
          <w:rFonts w:ascii="黑体" w:eastAsia="黑体" w:hint="eastAsia"/>
          <w:noProof/>
          <w:color w:val="000000"/>
          <w:sz w:val="32"/>
          <w:szCs w:val="32"/>
        </w:rPr>
        <w:lastRenderedPageBreak/>
        <w:drawing>
          <wp:inline distT="0" distB="0" distL="114300" distR="114300" wp14:anchorId="55B9EDAD" wp14:editId="58DFE767">
            <wp:extent cx="3533775" cy="1543685"/>
            <wp:effectExtent l="0" t="0" r="9525" b="18415"/>
            <wp:docPr id="14" name="图片 14" descr="1631955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31955088(1)"/>
                    <pic:cNvPicPr>
                      <a:picLocks noChangeAspect="1"/>
                    </pic:cNvPicPr>
                  </pic:nvPicPr>
                  <pic:blipFill>
                    <a:blip r:embed="rId11"/>
                    <a:stretch>
                      <a:fillRect/>
                    </a:stretch>
                  </pic:blipFill>
                  <pic:spPr>
                    <a:xfrm>
                      <a:off x="0" y="0"/>
                      <a:ext cx="3533775" cy="1543685"/>
                    </a:xfrm>
                    <a:prstGeom prst="rect">
                      <a:avLst/>
                    </a:prstGeom>
                  </pic:spPr>
                </pic:pic>
              </a:graphicData>
            </a:graphic>
          </wp:inline>
        </w:drawing>
      </w:r>
    </w:p>
    <w:p w14:paraId="190224E7" w14:textId="77777777" w:rsidR="00521A05" w:rsidRDefault="00000000">
      <w:pPr>
        <w:spacing w:line="578" w:lineRule="exact"/>
        <w:ind w:firstLine="640"/>
        <w:outlineLvl w:val="1"/>
        <w:rPr>
          <w:rStyle w:val="20"/>
          <w:rFonts w:ascii="黑体" w:eastAsia="黑体" w:hAnsi="黑体"/>
          <w:b w:val="0"/>
        </w:rPr>
      </w:pPr>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64"/>
      <w:bookmarkEnd w:id="65"/>
      <w:bookmarkEnd w:id="66"/>
      <w:bookmarkEnd w:id="67"/>
    </w:p>
    <w:p w14:paraId="024E7F53" w14:textId="77777777" w:rsidR="00521A05" w:rsidRDefault="00000000">
      <w:pPr>
        <w:spacing w:line="578" w:lineRule="exact"/>
        <w:ind w:firstLine="640"/>
        <w:outlineLvl w:val="2"/>
        <w:rPr>
          <w:rFonts w:ascii="仿宋" w:eastAsia="仿宋" w:hAnsi="仿宋"/>
          <w:b/>
          <w:color w:val="000000"/>
          <w:sz w:val="32"/>
          <w:szCs w:val="32"/>
        </w:rPr>
      </w:pPr>
      <w:bookmarkStart w:id="68" w:name="_Toc79163620"/>
      <w:bookmarkStart w:id="69" w:name="_Toc79163870"/>
      <w:bookmarkStart w:id="70" w:name="_Toc15377216"/>
      <w:r>
        <w:rPr>
          <w:rFonts w:ascii="仿宋" w:eastAsia="仿宋" w:hAnsi="仿宋" w:hint="eastAsia"/>
          <w:b/>
          <w:color w:val="000000"/>
          <w:sz w:val="32"/>
          <w:szCs w:val="32"/>
        </w:rPr>
        <w:t>（一）“三公”经费财政拨款支出决算总体情况说明</w:t>
      </w:r>
      <w:bookmarkEnd w:id="68"/>
      <w:bookmarkEnd w:id="69"/>
      <w:bookmarkEnd w:id="70"/>
    </w:p>
    <w:p w14:paraId="1877389F" w14:textId="77777777" w:rsidR="00521A05" w:rsidRDefault="00000000">
      <w:pPr>
        <w:spacing w:line="578" w:lineRule="exact"/>
        <w:ind w:firstLine="640"/>
        <w:rPr>
          <w:rFonts w:ascii="仿宋" w:eastAsia="仿宋" w:hAnsi="仿宋"/>
          <w:b/>
          <w:color w:val="FF0000"/>
          <w:sz w:val="32"/>
          <w:szCs w:val="32"/>
        </w:rPr>
      </w:pPr>
      <w:r>
        <w:rPr>
          <w:rFonts w:ascii="仿宋" w:eastAsia="仿宋" w:hAnsi="仿宋"/>
          <w:color w:val="000000"/>
          <w:sz w:val="32"/>
          <w:szCs w:val="32"/>
        </w:rPr>
        <w:t>2020</w:t>
      </w:r>
      <w:r>
        <w:rPr>
          <w:rFonts w:ascii="仿宋" w:eastAsia="仿宋" w:hAnsi="仿宋" w:hint="eastAsia"/>
          <w:color w:val="000000"/>
          <w:sz w:val="32"/>
          <w:szCs w:val="32"/>
        </w:rPr>
        <w:t>年“三公”经费财政拨款支出决算为47.36万元，完成预算100</w:t>
      </w:r>
      <w:r>
        <w:rPr>
          <w:rFonts w:ascii="仿宋" w:eastAsia="仿宋" w:hAnsi="仿宋"/>
          <w:color w:val="000000"/>
          <w:sz w:val="32"/>
          <w:szCs w:val="32"/>
        </w:rPr>
        <w:t>%</w:t>
      </w:r>
      <w:r>
        <w:rPr>
          <w:rFonts w:ascii="仿宋" w:eastAsia="仿宋" w:hAnsi="仿宋" w:hint="eastAsia"/>
          <w:color w:val="000000"/>
          <w:sz w:val="32"/>
          <w:szCs w:val="32"/>
        </w:rPr>
        <w:t>。</w:t>
      </w:r>
    </w:p>
    <w:p w14:paraId="30C3D859" w14:textId="77777777" w:rsidR="00521A05" w:rsidRDefault="00000000">
      <w:pPr>
        <w:spacing w:line="578" w:lineRule="exact"/>
        <w:ind w:firstLine="640"/>
        <w:outlineLvl w:val="2"/>
        <w:rPr>
          <w:rFonts w:ascii="仿宋" w:eastAsia="仿宋" w:hAnsi="仿宋"/>
          <w:b/>
          <w:color w:val="000000"/>
          <w:sz w:val="32"/>
          <w:szCs w:val="32"/>
        </w:rPr>
      </w:pPr>
      <w:bookmarkStart w:id="71" w:name="_Toc15377217"/>
      <w:bookmarkStart w:id="72" w:name="_Toc79163871"/>
      <w:bookmarkStart w:id="73" w:name="_Toc79163621"/>
      <w:r>
        <w:rPr>
          <w:rFonts w:ascii="仿宋" w:eastAsia="仿宋" w:hAnsi="仿宋" w:hint="eastAsia"/>
          <w:b/>
          <w:color w:val="000000"/>
          <w:sz w:val="32"/>
          <w:szCs w:val="32"/>
        </w:rPr>
        <w:t>（二）“三公”经费财政拨款支出决算具体情况说明</w:t>
      </w:r>
      <w:bookmarkEnd w:id="71"/>
      <w:bookmarkEnd w:id="72"/>
      <w:bookmarkEnd w:id="73"/>
    </w:p>
    <w:p w14:paraId="644F9BBB" w14:textId="77777777" w:rsidR="00521A05" w:rsidRDefault="00000000">
      <w:pPr>
        <w:snapToGrid w:val="0"/>
        <w:spacing w:line="578" w:lineRule="exact"/>
        <w:ind w:firstLineChars="200" w:firstLine="640"/>
        <w:rPr>
          <w:rFonts w:ascii="仿宋_GB2312" w:eastAsia="仿宋_GB2312" w:hAnsi="仿宋"/>
          <w:b/>
          <w:sz w:val="32"/>
          <w:szCs w:val="32"/>
        </w:rPr>
      </w:pPr>
      <w:r>
        <w:rPr>
          <w:rFonts w:ascii="仿宋_GB2312" w:eastAsia="仿宋_GB2312" w:hAnsi="仿宋" w:hint="eastAsia"/>
          <w:sz w:val="32"/>
          <w:szCs w:val="32"/>
        </w:rPr>
        <w:t>2020年度“三公”经费财政拨款支出47.36万元，其中：公务用车运行维护费22.45万元（人均0.58万元），占47.4%，无公务接待</w:t>
      </w:r>
      <w:proofErr w:type="gramStart"/>
      <w:r>
        <w:rPr>
          <w:rFonts w:ascii="仿宋_GB2312" w:eastAsia="仿宋_GB2312" w:hAnsi="仿宋" w:hint="eastAsia"/>
          <w:sz w:val="32"/>
          <w:szCs w:val="32"/>
        </w:rPr>
        <w:t>费国内</w:t>
      </w:r>
      <w:proofErr w:type="gramEnd"/>
      <w:r>
        <w:rPr>
          <w:rFonts w:ascii="仿宋_GB2312" w:eastAsia="仿宋_GB2312" w:hAnsi="仿宋" w:hint="eastAsia"/>
          <w:sz w:val="32"/>
          <w:szCs w:val="32"/>
        </w:rPr>
        <w:t>接待费。上年度“三公”经费54.4万元，与上年度相比减少7.04万元，减少的主要原因为在存量资金中支付一部分。</w:t>
      </w:r>
    </w:p>
    <w:p w14:paraId="5D16471F" w14:textId="77777777" w:rsidR="00521A0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（2）无会议费支出。</w:t>
      </w:r>
    </w:p>
    <w:p w14:paraId="3AB36992" w14:textId="77777777" w:rsidR="00521A05" w:rsidRDefault="00000000">
      <w:pPr>
        <w:snapToGrid w:val="0"/>
        <w:ind w:firstLineChars="200" w:firstLine="640"/>
        <w:rPr>
          <w:rFonts w:ascii="仿宋_GB2312" w:eastAsia="仿宋_GB2312" w:hAnsi="仿宋"/>
          <w:sz w:val="32"/>
          <w:szCs w:val="32"/>
        </w:rPr>
      </w:pPr>
      <w:r>
        <w:rPr>
          <w:rFonts w:ascii="仿宋_GB2312" w:eastAsia="仿宋_GB2312" w:hAnsi="仿宋" w:hint="eastAsia"/>
          <w:sz w:val="32"/>
          <w:szCs w:val="32"/>
        </w:rPr>
        <w:t>（3）培训费支出情况：2020年度培训</w:t>
      </w:r>
      <w:proofErr w:type="gramStart"/>
      <w:r>
        <w:rPr>
          <w:rFonts w:ascii="仿宋_GB2312" w:eastAsia="仿宋_GB2312" w:hAnsi="仿宋" w:hint="eastAsia"/>
          <w:sz w:val="32"/>
          <w:szCs w:val="32"/>
        </w:rPr>
        <w:t>费财政</w:t>
      </w:r>
      <w:proofErr w:type="gramEnd"/>
      <w:r>
        <w:rPr>
          <w:rFonts w:ascii="仿宋_GB2312" w:eastAsia="仿宋_GB2312" w:hAnsi="仿宋" w:hint="eastAsia"/>
          <w:sz w:val="32"/>
          <w:szCs w:val="32"/>
        </w:rPr>
        <w:t>拨款支出3.87万元，去年培训</w:t>
      </w:r>
      <w:proofErr w:type="gramStart"/>
      <w:r>
        <w:rPr>
          <w:rFonts w:ascii="仿宋_GB2312" w:eastAsia="仿宋_GB2312" w:hAnsi="仿宋" w:hint="eastAsia"/>
          <w:sz w:val="32"/>
          <w:szCs w:val="32"/>
        </w:rPr>
        <w:t>费财政</w:t>
      </w:r>
      <w:proofErr w:type="gramEnd"/>
      <w:r>
        <w:rPr>
          <w:rFonts w:ascii="仿宋_GB2312" w:eastAsia="仿宋_GB2312" w:hAnsi="仿宋" w:hint="eastAsia"/>
          <w:sz w:val="32"/>
          <w:szCs w:val="32"/>
        </w:rPr>
        <w:t>拨款支出14.7万元；今年比去年减少培训费10.83万元，减少的主要原因是受疫情的影响，培训次数明显减少。</w:t>
      </w:r>
    </w:p>
    <w:p w14:paraId="0FE5E2CE" w14:textId="77777777" w:rsidR="00521A05" w:rsidRDefault="00000000">
      <w:pPr>
        <w:snapToGrid w:val="0"/>
        <w:ind w:firstLineChars="200" w:firstLine="640"/>
        <w:rPr>
          <w:rFonts w:ascii="仿宋" w:eastAsia="仿宋" w:hAnsi="仿宋"/>
          <w:color w:val="000000"/>
          <w:sz w:val="32"/>
          <w:szCs w:val="32"/>
        </w:rPr>
      </w:pPr>
      <w:r>
        <w:rPr>
          <w:rFonts w:ascii="仿宋" w:eastAsia="仿宋" w:hAnsi="仿宋"/>
          <w:noProof/>
          <w:color w:val="000000"/>
          <w:sz w:val="32"/>
          <w:szCs w:val="32"/>
        </w:rPr>
        <w:drawing>
          <wp:inline distT="0" distB="0" distL="114300" distR="114300" wp14:anchorId="20BD52C1" wp14:editId="1A1C8504">
            <wp:extent cx="2629535" cy="1666875"/>
            <wp:effectExtent l="0" t="0" r="18415" b="9525"/>
            <wp:docPr id="15" name="图片 15" descr="1631955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31955268(1)"/>
                    <pic:cNvPicPr>
                      <a:picLocks noChangeAspect="1"/>
                    </pic:cNvPicPr>
                  </pic:nvPicPr>
                  <pic:blipFill>
                    <a:blip r:embed="rId12"/>
                    <a:stretch>
                      <a:fillRect/>
                    </a:stretch>
                  </pic:blipFill>
                  <pic:spPr>
                    <a:xfrm>
                      <a:off x="0" y="0"/>
                      <a:ext cx="2629535" cy="1666875"/>
                    </a:xfrm>
                    <a:prstGeom prst="rect">
                      <a:avLst/>
                    </a:prstGeom>
                  </pic:spPr>
                </pic:pic>
              </a:graphicData>
            </a:graphic>
          </wp:inline>
        </w:drawing>
      </w:r>
    </w:p>
    <w:p w14:paraId="013AA75F" w14:textId="77777777" w:rsidR="00521A05" w:rsidRDefault="00521A05">
      <w:pPr>
        <w:spacing w:line="578" w:lineRule="exact"/>
        <w:ind w:firstLineChars="200" w:firstLine="640"/>
        <w:rPr>
          <w:rFonts w:ascii="仿宋_GB2312" w:eastAsia="仿宋_GB2312"/>
          <w:color w:val="000000"/>
          <w:sz w:val="32"/>
          <w:szCs w:val="32"/>
        </w:rPr>
      </w:pPr>
    </w:p>
    <w:p w14:paraId="42339345" w14:textId="77777777" w:rsidR="00521A05" w:rsidRDefault="00000000">
      <w:pPr>
        <w:spacing w:line="578" w:lineRule="exact"/>
        <w:ind w:firstLine="640"/>
        <w:outlineLvl w:val="1"/>
        <w:rPr>
          <w:rStyle w:val="20"/>
          <w:rFonts w:ascii="黑体" w:eastAsia="黑体" w:hAnsi="黑体"/>
          <w:b w:val="0"/>
        </w:rPr>
      </w:pPr>
      <w:bookmarkStart w:id="74" w:name="_Toc15396610"/>
      <w:bookmarkStart w:id="75" w:name="_Toc79163622"/>
      <w:bookmarkStart w:id="76" w:name="_Toc15377218"/>
      <w:bookmarkStart w:id="77" w:name="_Toc79163872"/>
      <w:r>
        <w:rPr>
          <w:rFonts w:ascii="黑体" w:eastAsia="黑体" w:hint="eastAsia"/>
          <w:color w:val="000000"/>
          <w:sz w:val="32"/>
          <w:szCs w:val="32"/>
        </w:rPr>
        <w:lastRenderedPageBreak/>
        <w:t>八、</w:t>
      </w:r>
      <w:r>
        <w:rPr>
          <w:rStyle w:val="20"/>
          <w:rFonts w:ascii="黑体" w:eastAsia="黑体" w:hAnsi="黑体" w:hint="eastAsia"/>
          <w:b w:val="0"/>
        </w:rPr>
        <w:t>政府性基金预算支出决算情况说明</w:t>
      </w:r>
      <w:bookmarkEnd w:id="74"/>
      <w:bookmarkEnd w:id="75"/>
      <w:bookmarkEnd w:id="76"/>
      <w:bookmarkEnd w:id="77"/>
    </w:p>
    <w:p w14:paraId="4FA59AE7" w14:textId="77777777" w:rsidR="00521A05" w:rsidRDefault="00000000">
      <w:pPr>
        <w:spacing w:line="578" w:lineRule="exact"/>
        <w:ind w:firstLineChars="300" w:firstLine="960"/>
        <w:rPr>
          <w:rFonts w:ascii="仿宋_GB2312" w:eastAsia="仿宋_GB2312"/>
          <w:color w:val="000000"/>
          <w:sz w:val="32"/>
          <w:szCs w:val="32"/>
        </w:rPr>
      </w:pPr>
      <w:r>
        <w:rPr>
          <w:rFonts w:ascii="仿宋_GB2312" w:eastAsia="仿宋_GB2312" w:hint="eastAsia"/>
          <w:color w:val="000000"/>
          <w:sz w:val="32"/>
          <w:szCs w:val="32"/>
        </w:rPr>
        <w:t>无</w:t>
      </w:r>
    </w:p>
    <w:p w14:paraId="1F34773F" w14:textId="77777777" w:rsidR="00521A05" w:rsidRDefault="00000000">
      <w:pPr>
        <w:numPr>
          <w:ilvl w:val="0"/>
          <w:numId w:val="3"/>
        </w:numPr>
        <w:spacing w:line="578" w:lineRule="exact"/>
        <w:ind w:firstLine="640"/>
        <w:outlineLvl w:val="1"/>
        <w:rPr>
          <w:rStyle w:val="20"/>
          <w:rFonts w:ascii="黑体" w:eastAsia="黑体" w:hAnsi="黑体"/>
          <w:b w:val="0"/>
        </w:rPr>
      </w:pPr>
      <w:bookmarkStart w:id="78" w:name="_Toc15396611"/>
      <w:bookmarkStart w:id="79" w:name="_Toc79163623"/>
      <w:bookmarkStart w:id="80" w:name="_Toc79163873"/>
      <w:bookmarkStart w:id="81" w:name="_Toc15377219"/>
      <w:r>
        <w:rPr>
          <w:rStyle w:val="20"/>
          <w:rFonts w:ascii="黑体" w:eastAsia="黑体" w:hAnsi="黑体" w:hint="eastAsia"/>
          <w:b w:val="0"/>
        </w:rPr>
        <w:t>国有资本经营预算支出决算情况说明</w:t>
      </w:r>
      <w:bookmarkEnd w:id="78"/>
      <w:bookmarkEnd w:id="79"/>
      <w:bookmarkEnd w:id="80"/>
      <w:bookmarkEnd w:id="81"/>
    </w:p>
    <w:p w14:paraId="3ACF71DF" w14:textId="77777777" w:rsidR="00521A05" w:rsidRDefault="00000000">
      <w:pPr>
        <w:spacing w:line="578" w:lineRule="exact"/>
        <w:ind w:firstLine="640"/>
        <w:rPr>
          <w:rFonts w:ascii="方正小标宋简体" w:eastAsia="方正小标宋简体" w:hAnsi="方正小标宋简体" w:cs="方正小标宋简体"/>
          <w:sz w:val="44"/>
          <w:szCs w:val="44"/>
        </w:rPr>
      </w:pPr>
      <w:r>
        <w:rPr>
          <w:rFonts w:ascii="仿宋_GB2312" w:eastAsia="仿宋_GB2312" w:hint="eastAsia"/>
          <w:color w:val="000000"/>
          <w:sz w:val="32"/>
          <w:szCs w:val="32"/>
        </w:rPr>
        <w:t>无</w:t>
      </w:r>
    </w:p>
    <w:p w14:paraId="43504483" w14:textId="77777777" w:rsidR="00521A05" w:rsidRDefault="00000000">
      <w:pPr>
        <w:spacing w:line="578" w:lineRule="exact"/>
        <w:ind w:firstLineChars="250" w:firstLine="800"/>
        <w:outlineLvl w:val="1"/>
        <w:rPr>
          <w:rStyle w:val="20"/>
          <w:rFonts w:ascii="黑体" w:eastAsia="黑体" w:hAnsi="黑体"/>
        </w:rPr>
      </w:pPr>
      <w:bookmarkStart w:id="82" w:name="_Toc15396612"/>
      <w:bookmarkStart w:id="83" w:name="_Toc15377221"/>
      <w:bookmarkStart w:id="84" w:name="_Toc79163624"/>
      <w:bookmarkStart w:id="85" w:name="_Toc79163874"/>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82"/>
      <w:bookmarkEnd w:id="83"/>
      <w:bookmarkEnd w:id="84"/>
      <w:bookmarkEnd w:id="85"/>
    </w:p>
    <w:p w14:paraId="796140E2" w14:textId="77777777" w:rsidR="00521A05" w:rsidRDefault="00000000">
      <w:pPr>
        <w:spacing w:line="578" w:lineRule="exact"/>
        <w:ind w:firstLineChars="200" w:firstLine="643"/>
        <w:outlineLvl w:val="2"/>
        <w:rPr>
          <w:rFonts w:ascii="仿宋" w:eastAsia="仿宋" w:hAnsi="仿宋"/>
          <w:color w:val="000000"/>
          <w:sz w:val="32"/>
          <w:szCs w:val="32"/>
        </w:rPr>
      </w:pPr>
      <w:bookmarkStart w:id="86" w:name="_Toc15377222"/>
      <w:bookmarkStart w:id="87" w:name="_Toc79163625"/>
      <w:bookmarkStart w:id="88" w:name="_Toc79163875"/>
      <w:r>
        <w:rPr>
          <w:rFonts w:ascii="仿宋" w:eastAsia="仿宋" w:hAnsi="仿宋" w:hint="eastAsia"/>
          <w:b/>
          <w:color w:val="000000"/>
          <w:sz w:val="32"/>
          <w:szCs w:val="32"/>
        </w:rPr>
        <w:t>（一）机关运行经费支出情况</w:t>
      </w:r>
      <w:bookmarkEnd w:id="86"/>
      <w:bookmarkEnd w:id="87"/>
      <w:bookmarkEnd w:id="88"/>
    </w:p>
    <w:p w14:paraId="23032280" w14:textId="77777777" w:rsidR="00521A05" w:rsidRDefault="00000000">
      <w:pPr>
        <w:spacing w:line="578" w:lineRule="exact"/>
        <w:ind w:firstLineChars="200" w:firstLine="640"/>
        <w:rPr>
          <w:rFonts w:ascii="仿宋" w:eastAsia="仿宋" w:hAnsi="仿宋"/>
          <w:b/>
          <w:color w:val="FF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年，我委机关运行经费支出</w:t>
      </w:r>
      <w:r>
        <w:rPr>
          <w:rFonts w:ascii="仿宋_GB2312" w:eastAsia="仿宋_GB2312" w:hint="eastAsia"/>
          <w:color w:val="000000"/>
          <w:sz w:val="36"/>
          <w:szCs w:val="36"/>
        </w:rPr>
        <w:t>114.19</w:t>
      </w:r>
      <w:r>
        <w:rPr>
          <w:rFonts w:ascii="仿宋_GB2312" w:eastAsia="仿宋_GB2312" w:hint="eastAsia"/>
          <w:color w:val="000000"/>
          <w:sz w:val="32"/>
          <w:szCs w:val="32"/>
        </w:rPr>
        <w:t>万元，比</w:t>
      </w:r>
      <w:r>
        <w:rPr>
          <w:rFonts w:ascii="仿宋_GB2312" w:eastAsia="仿宋_GB2312"/>
          <w:color w:val="000000"/>
          <w:sz w:val="32"/>
          <w:szCs w:val="32"/>
        </w:rPr>
        <w:t>2019</w:t>
      </w:r>
      <w:r>
        <w:rPr>
          <w:rFonts w:ascii="仿宋_GB2312" w:eastAsia="仿宋_GB2312" w:hint="eastAsia"/>
          <w:color w:val="000000"/>
          <w:sz w:val="32"/>
          <w:szCs w:val="32"/>
        </w:rPr>
        <w:t>年减少84.45万元，下降42.51</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Ansi="仿宋" w:hint="eastAsia"/>
          <w:sz w:val="32"/>
          <w:szCs w:val="32"/>
        </w:rPr>
        <w:t>减少的主要原因一是受疫情影响本年度无公务接待费支出、培训费支出与去年相比减少73.69%；二是一部分支出使用的是存量资金。</w:t>
      </w:r>
    </w:p>
    <w:p w14:paraId="4A4F60D7" w14:textId="77777777" w:rsidR="00521A05" w:rsidRDefault="00000000">
      <w:pPr>
        <w:autoSpaceDE w:val="0"/>
        <w:autoSpaceDN w:val="0"/>
        <w:adjustRightInd w:val="0"/>
        <w:spacing w:line="578" w:lineRule="exact"/>
        <w:ind w:firstLineChars="200" w:firstLine="643"/>
        <w:jc w:val="left"/>
        <w:outlineLvl w:val="2"/>
        <w:rPr>
          <w:rFonts w:ascii="仿宋" w:eastAsia="仿宋" w:hAnsi="仿宋"/>
          <w:b/>
          <w:color w:val="000000"/>
          <w:sz w:val="32"/>
          <w:szCs w:val="32"/>
        </w:rPr>
      </w:pPr>
      <w:bookmarkStart w:id="89" w:name="_Toc79163626"/>
      <w:bookmarkStart w:id="90" w:name="_Toc79163876"/>
      <w:bookmarkStart w:id="91" w:name="_Toc15377223"/>
      <w:r>
        <w:rPr>
          <w:rFonts w:ascii="仿宋" w:eastAsia="仿宋" w:hAnsi="仿宋" w:hint="eastAsia"/>
          <w:b/>
          <w:color w:val="000000"/>
          <w:sz w:val="32"/>
          <w:szCs w:val="32"/>
        </w:rPr>
        <w:t>（二）政府采购支出情况</w:t>
      </w:r>
      <w:bookmarkEnd w:id="89"/>
      <w:bookmarkEnd w:id="90"/>
      <w:bookmarkEnd w:id="91"/>
    </w:p>
    <w:p w14:paraId="6242F7DD" w14:textId="77777777" w:rsidR="00521A05" w:rsidRDefault="00000000">
      <w:pPr>
        <w:spacing w:line="578" w:lineRule="exact"/>
        <w:ind w:firstLineChars="200" w:firstLine="640"/>
        <w:rPr>
          <w:rFonts w:ascii="仿宋" w:eastAsia="仿宋_GB2312" w:hAnsi="仿宋"/>
          <w:b/>
          <w:color w:val="FF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年，我委政府采购支出总额26.3万元，政府采购货物支出26.3万元，其中采购打印机1.4万元，采购公务用车一台24.9万元。</w:t>
      </w:r>
    </w:p>
    <w:p w14:paraId="3E2BB85F" w14:textId="77777777" w:rsidR="00521A05" w:rsidRDefault="00000000">
      <w:pPr>
        <w:autoSpaceDE w:val="0"/>
        <w:autoSpaceDN w:val="0"/>
        <w:adjustRightInd w:val="0"/>
        <w:spacing w:line="578" w:lineRule="exact"/>
        <w:ind w:firstLineChars="200" w:firstLine="643"/>
        <w:jc w:val="left"/>
        <w:outlineLvl w:val="2"/>
        <w:rPr>
          <w:rFonts w:ascii="仿宋" w:eastAsia="仿宋" w:hAnsi="仿宋"/>
          <w:b/>
          <w:color w:val="000000"/>
          <w:sz w:val="32"/>
          <w:szCs w:val="32"/>
        </w:rPr>
      </w:pPr>
      <w:bookmarkStart w:id="92" w:name="_Toc79163877"/>
      <w:bookmarkStart w:id="93" w:name="_Toc79163627"/>
      <w:bookmarkStart w:id="94" w:name="_Toc15377224"/>
      <w:r>
        <w:rPr>
          <w:rFonts w:ascii="仿宋" w:eastAsia="仿宋" w:hAnsi="仿宋" w:hint="eastAsia"/>
          <w:b/>
          <w:color w:val="000000"/>
          <w:sz w:val="32"/>
          <w:szCs w:val="32"/>
        </w:rPr>
        <w:t>（三）国有资产占有使用情况</w:t>
      </w:r>
      <w:bookmarkEnd w:id="92"/>
      <w:bookmarkEnd w:id="93"/>
      <w:bookmarkEnd w:id="94"/>
    </w:p>
    <w:p w14:paraId="2E4CDB3F" w14:textId="77777777" w:rsidR="00521A05" w:rsidRDefault="00000000">
      <w:pPr>
        <w:autoSpaceDE w:val="0"/>
        <w:autoSpaceDN w:val="0"/>
        <w:adjustRightInd w:val="0"/>
        <w:spacing w:line="578"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截至2020年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日，我委共有车辆6辆，主要用于执法执勤用车，无</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p>
    <w:p w14:paraId="5583C558" w14:textId="77777777" w:rsidR="00521A05" w:rsidRDefault="00000000">
      <w:pPr>
        <w:autoSpaceDE w:val="0"/>
        <w:autoSpaceDN w:val="0"/>
        <w:adjustRightInd w:val="0"/>
        <w:spacing w:line="578" w:lineRule="exact"/>
        <w:ind w:firstLineChars="200" w:firstLine="643"/>
        <w:jc w:val="left"/>
        <w:outlineLvl w:val="2"/>
        <w:rPr>
          <w:rFonts w:ascii="仿宋" w:eastAsia="仿宋" w:hAnsi="仿宋"/>
          <w:b/>
          <w:color w:val="000000"/>
          <w:sz w:val="32"/>
          <w:szCs w:val="32"/>
        </w:rPr>
      </w:pPr>
      <w:bookmarkStart w:id="95" w:name="_Toc79163878"/>
      <w:bookmarkStart w:id="96" w:name="_Toc79163628"/>
      <w:r>
        <w:rPr>
          <w:rFonts w:ascii="仿宋" w:eastAsia="仿宋" w:hAnsi="仿宋" w:hint="eastAsia"/>
          <w:b/>
          <w:color w:val="000000"/>
          <w:sz w:val="32"/>
          <w:szCs w:val="32"/>
        </w:rPr>
        <w:t>（四）预算绩效管理情况。</w:t>
      </w:r>
      <w:bookmarkEnd w:id="95"/>
      <w:bookmarkEnd w:id="96"/>
    </w:p>
    <w:p w14:paraId="3B36A96B" w14:textId="77777777" w:rsidR="00521A05" w:rsidRDefault="00000000">
      <w:pPr>
        <w:pStyle w:val="ac"/>
        <w:spacing w:before="0" w:beforeAutospacing="0" w:after="0" w:afterAutospacing="0" w:line="578" w:lineRule="exact"/>
        <w:ind w:firstLineChars="200" w:firstLine="640"/>
        <w:rPr>
          <w:rFonts w:ascii="仿宋_GB2312" w:eastAsia="仿宋_GB2312" w:hAnsi="仿宋_GB2312" w:cs="仿宋_GB2312"/>
          <w:color w:val="000000"/>
          <w:sz w:val="32"/>
          <w:szCs w:val="32"/>
        </w:rPr>
      </w:pPr>
      <w:bookmarkStart w:id="97" w:name="_Toc15396613"/>
      <w:bookmarkStart w:id="98" w:name="_Toc15377225"/>
      <w:bookmarkStart w:id="99" w:name="_Toc79163629"/>
      <w:bookmarkStart w:id="100" w:name="_Toc79163879"/>
      <w:r>
        <w:rPr>
          <w:rFonts w:ascii="仿宋_GB2312" w:eastAsia="仿宋_GB2312" w:hAnsi="仿宋_GB2312" w:cs="仿宋_GB2312" w:hint="eastAsia"/>
          <w:sz w:val="32"/>
          <w:szCs w:val="32"/>
        </w:rPr>
        <w:t>我委按要求对2020年部门整体支出开展绩效自评，从评价情况来看，</w:t>
      </w:r>
      <w:r>
        <w:rPr>
          <w:rFonts w:ascii="仿宋_GB2312" w:eastAsia="仿宋_GB2312" w:hAnsi="仿宋_GB2312" w:cs="仿宋_GB2312" w:hint="eastAsia"/>
          <w:b/>
          <w:bCs/>
          <w:color w:val="000000"/>
          <w:sz w:val="32"/>
          <w:szCs w:val="32"/>
          <w:lang w:val="zh-CN"/>
        </w:rPr>
        <w:t>执行管理情况：</w:t>
      </w:r>
      <w:r>
        <w:rPr>
          <w:rFonts w:ascii="仿宋_GB2312" w:eastAsia="仿宋_GB2312" w:hAnsi="仿宋_GB2312" w:cs="仿宋_GB2312" w:hint="eastAsia"/>
          <w:color w:val="000000"/>
          <w:sz w:val="32"/>
          <w:szCs w:val="32"/>
          <w:shd w:val="clear" w:color="auto" w:fill="FFFFFF"/>
        </w:rPr>
        <w:t>一是行政运行保障情况。我委严格按照年初预算安排，严格执行中央八项规定和省、</w:t>
      </w:r>
      <w:proofErr w:type="gramStart"/>
      <w:r>
        <w:rPr>
          <w:rFonts w:ascii="仿宋_GB2312" w:eastAsia="仿宋_GB2312" w:hAnsi="仿宋_GB2312" w:cs="仿宋_GB2312" w:hint="eastAsia"/>
          <w:color w:val="000000"/>
          <w:sz w:val="32"/>
          <w:szCs w:val="32"/>
          <w:shd w:val="clear" w:color="auto" w:fill="FFFFFF"/>
        </w:rPr>
        <w:t>州相关</w:t>
      </w:r>
      <w:proofErr w:type="gramEnd"/>
      <w:r>
        <w:rPr>
          <w:rFonts w:ascii="仿宋_GB2312" w:eastAsia="仿宋_GB2312" w:hAnsi="仿宋_GB2312" w:cs="仿宋_GB2312" w:hint="eastAsia"/>
          <w:color w:val="000000"/>
          <w:sz w:val="32"/>
          <w:szCs w:val="32"/>
          <w:shd w:val="clear" w:color="auto" w:fill="FFFFFF"/>
        </w:rPr>
        <w:t>规定，厉行节约规范使用预算资金。收入上，严格执行“收支两条线”管理制度，按规定使用非税票据（罚没票据），无隐瞒收入和其他违反国家收费管理规定的行为。在支出管</w:t>
      </w:r>
      <w:r>
        <w:rPr>
          <w:rFonts w:ascii="仿宋_GB2312" w:eastAsia="仿宋_GB2312" w:hAnsi="仿宋_GB2312" w:cs="仿宋_GB2312" w:hint="eastAsia"/>
          <w:color w:val="000000"/>
          <w:sz w:val="32"/>
          <w:szCs w:val="32"/>
          <w:shd w:val="clear" w:color="auto" w:fill="FFFFFF"/>
        </w:rPr>
        <w:lastRenderedPageBreak/>
        <w:t>理中，严格执行国库集中支付、政府采购、公务卡报销等相关财务管理制度。认真做好每月与银行等的对账工作，加强动态监控，保障机关各项工作顺利开展。二是“三公”经费预算执行情况。我局严格按照中央省州的相关文件要求， 严控“三公经费”支出。</w:t>
      </w:r>
      <w:r>
        <w:rPr>
          <w:rFonts w:ascii="仿宋_GB2312" w:eastAsia="仿宋_GB2312" w:hAnsi="仿宋_GB2312" w:cs="仿宋_GB2312" w:hint="eastAsia"/>
          <w:b/>
          <w:bCs/>
          <w:color w:val="000000"/>
          <w:sz w:val="32"/>
          <w:szCs w:val="32"/>
          <w:lang w:val="zh-CN"/>
        </w:rPr>
        <w:t>综合管理情况：</w:t>
      </w:r>
      <w:r>
        <w:rPr>
          <w:rFonts w:ascii="仿宋_GB2312" w:eastAsia="仿宋_GB2312" w:hAnsi="仿宋_GB2312" w:cs="仿宋_GB2312" w:hint="eastAsia"/>
          <w:sz w:val="32"/>
          <w:szCs w:val="32"/>
        </w:rPr>
        <w:t>一是我委无政府性债务。二是</w:t>
      </w:r>
      <w:r>
        <w:rPr>
          <w:rFonts w:ascii="仿宋_GB2312" w:eastAsia="仿宋_GB2312" w:hAnsi="仿宋_GB2312" w:cs="仿宋_GB2312" w:hint="eastAsia"/>
          <w:color w:val="000000"/>
          <w:sz w:val="32"/>
          <w:szCs w:val="32"/>
          <w:shd w:val="clear" w:color="auto" w:fill="FFFFFF"/>
        </w:rPr>
        <w:t>加强政府采购管理。严格按照《政府采购法》和《政府采购法实施条例》等相关管理规定。采购前，单位与财政等做好相关事项事前沟通，做好采购政策咨询，了解相关业务规范；采购中，合理选择采购方式，确保采购流程合理合</w:t>
      </w:r>
      <w:proofErr w:type="gramStart"/>
      <w:r>
        <w:rPr>
          <w:rFonts w:ascii="仿宋_GB2312" w:eastAsia="仿宋_GB2312" w:hAnsi="仿宋_GB2312" w:cs="仿宋_GB2312" w:hint="eastAsia"/>
          <w:color w:val="000000"/>
          <w:sz w:val="32"/>
          <w:szCs w:val="32"/>
          <w:shd w:val="clear" w:color="auto" w:fill="FFFFFF"/>
        </w:rPr>
        <w:t>规</w:t>
      </w:r>
      <w:proofErr w:type="gramEnd"/>
      <w:r>
        <w:rPr>
          <w:rFonts w:ascii="仿宋_GB2312" w:eastAsia="仿宋_GB2312" w:hAnsi="仿宋_GB2312" w:cs="仿宋_GB2312" w:hint="eastAsia"/>
          <w:color w:val="000000"/>
          <w:sz w:val="32"/>
          <w:szCs w:val="32"/>
          <w:shd w:val="clear" w:color="auto" w:fill="FFFFFF"/>
        </w:rPr>
        <w:t>，做好采购项目信息的公开公示工作；采购后，抓好采购项目的监管工作，严把质量关力求实效。三是</w:t>
      </w:r>
      <w:r>
        <w:rPr>
          <w:rFonts w:ascii="仿宋_GB2312" w:eastAsia="仿宋_GB2312" w:hAnsi="仿宋_GB2312" w:cs="仿宋_GB2312" w:hint="eastAsia"/>
          <w:sz w:val="32"/>
          <w:szCs w:val="32"/>
        </w:rPr>
        <w:t>资产管理严格按照资产管理制度执行，</w:t>
      </w:r>
      <w:r>
        <w:rPr>
          <w:rFonts w:ascii="仿宋_GB2312" w:eastAsia="仿宋_GB2312" w:hAnsi="仿宋_GB2312" w:cs="仿宋_GB2312" w:hint="eastAsia"/>
          <w:color w:val="000000"/>
          <w:sz w:val="32"/>
          <w:szCs w:val="32"/>
          <w:shd w:val="clear" w:color="auto" w:fill="FFFFFF"/>
        </w:rPr>
        <w:t>做好固定资产采买、报废、调整等相关管理工作。我</w:t>
      </w:r>
      <w:proofErr w:type="gramStart"/>
      <w:r>
        <w:rPr>
          <w:rFonts w:ascii="仿宋_GB2312" w:eastAsia="仿宋_GB2312" w:hAnsi="仿宋_GB2312" w:cs="仿宋_GB2312" w:hint="eastAsia"/>
          <w:color w:val="000000"/>
          <w:sz w:val="32"/>
          <w:szCs w:val="32"/>
          <w:shd w:val="clear" w:color="auto" w:fill="FFFFFF"/>
        </w:rPr>
        <w:t>委资产</w:t>
      </w:r>
      <w:proofErr w:type="gramEnd"/>
      <w:r>
        <w:rPr>
          <w:rFonts w:ascii="仿宋_GB2312" w:eastAsia="仿宋_GB2312" w:hAnsi="仿宋_GB2312" w:cs="仿宋_GB2312" w:hint="eastAsia"/>
          <w:color w:val="000000"/>
          <w:sz w:val="32"/>
          <w:szCs w:val="32"/>
          <w:shd w:val="clear" w:color="auto" w:fill="FFFFFF"/>
        </w:rPr>
        <w:t>录入固定资产管理系统，</w:t>
      </w:r>
      <w:proofErr w:type="gramStart"/>
      <w:r>
        <w:rPr>
          <w:rFonts w:ascii="仿宋_GB2312" w:eastAsia="仿宋_GB2312" w:hAnsi="仿宋_GB2312" w:cs="仿宋_GB2312" w:hint="eastAsia"/>
          <w:color w:val="000000"/>
          <w:sz w:val="32"/>
          <w:szCs w:val="32"/>
          <w:shd w:val="clear" w:color="auto" w:fill="FFFFFF"/>
        </w:rPr>
        <w:t>建资产</w:t>
      </w:r>
      <w:proofErr w:type="gramEnd"/>
      <w:r>
        <w:rPr>
          <w:rFonts w:ascii="仿宋_GB2312" w:eastAsia="仿宋_GB2312" w:hAnsi="仿宋_GB2312" w:cs="仿宋_GB2312" w:hint="eastAsia"/>
          <w:color w:val="000000"/>
          <w:sz w:val="32"/>
          <w:szCs w:val="32"/>
          <w:shd w:val="clear" w:color="auto" w:fill="FFFFFF"/>
        </w:rPr>
        <w:t>管理卡片，及时更新资产管理信息系统数据，做到账实相符、账卡相符。</w:t>
      </w:r>
      <w:r>
        <w:rPr>
          <w:rFonts w:ascii="仿宋_GB2312" w:eastAsia="仿宋_GB2312" w:hAnsi="仿宋_GB2312" w:cs="仿宋_GB2312" w:hint="eastAsia"/>
          <w:color w:val="000000"/>
          <w:sz w:val="32"/>
          <w:szCs w:val="32"/>
        </w:rPr>
        <w:t>为我</w:t>
      </w:r>
      <w:proofErr w:type="gramStart"/>
      <w:r>
        <w:rPr>
          <w:rFonts w:ascii="仿宋_GB2312" w:eastAsia="仿宋_GB2312" w:hAnsi="仿宋_GB2312" w:cs="仿宋_GB2312" w:hint="eastAsia"/>
          <w:color w:val="000000"/>
          <w:sz w:val="32"/>
          <w:szCs w:val="32"/>
        </w:rPr>
        <w:t>委履行</w:t>
      </w:r>
      <w:proofErr w:type="gramEnd"/>
      <w:r>
        <w:rPr>
          <w:rFonts w:ascii="仿宋_GB2312" w:eastAsia="仿宋_GB2312" w:hAnsi="仿宋_GB2312" w:cs="仿宋_GB2312" w:hint="eastAsia"/>
          <w:color w:val="000000"/>
          <w:sz w:val="32"/>
          <w:szCs w:val="32"/>
        </w:rPr>
        <w:t>职能需要相适应；科学合理，充分发挥资产使用效益；勤俭节约，从严控制。四是建立单位内控制度，</w:t>
      </w:r>
      <w:r>
        <w:rPr>
          <w:rFonts w:ascii="仿宋_GB2312" w:eastAsia="仿宋_GB2312" w:hAnsi="仿宋_GB2312" w:cs="仿宋_GB2312" w:hint="eastAsia"/>
          <w:sz w:val="32"/>
          <w:szCs w:val="32"/>
        </w:rPr>
        <w:t>我委已借助第三方中介机构建立本单位的内控体系。五是我委将同级财政部门批复的本部门预决算报表及相关说明全部在政府门户网站公开，</w:t>
      </w:r>
      <w:r>
        <w:rPr>
          <w:rFonts w:ascii="仿宋_GB2312" w:eastAsia="仿宋_GB2312" w:hAnsi="仿宋_GB2312" w:cs="仿宋_GB2312" w:hint="eastAsia"/>
          <w:color w:val="000000"/>
          <w:sz w:val="32"/>
          <w:szCs w:val="32"/>
        </w:rPr>
        <w:t>包括部门收支总体情况和财政拨款收支情况，公开公示了我委“三公”经费财政拨款预决算总额和分项数额。公开预决算的同时，一并公开了我委的职责、机构设置情况、预决算收支增减变化、机关运行经费安排以及政府采购等情况的说明，并对专业性较强的名词进行解释。</w:t>
      </w:r>
    </w:p>
    <w:p w14:paraId="3B0E4FA7" w14:textId="77777777" w:rsidR="00521A05" w:rsidRDefault="00521A05">
      <w:pPr>
        <w:pStyle w:val="ac"/>
        <w:spacing w:before="0" w:beforeAutospacing="0" w:after="0" w:afterAutospacing="0" w:line="578" w:lineRule="exact"/>
        <w:ind w:firstLineChars="200" w:firstLine="640"/>
        <w:rPr>
          <w:rFonts w:ascii="仿宋_GB2312" w:eastAsia="仿宋_GB2312" w:hAnsi="仿宋_GB2312" w:cs="仿宋_GB2312"/>
          <w:color w:val="000000"/>
          <w:sz w:val="32"/>
          <w:szCs w:val="32"/>
        </w:rPr>
      </w:pPr>
    </w:p>
    <w:p w14:paraId="2F129515" w14:textId="77777777" w:rsidR="00521A05" w:rsidRDefault="00521A05">
      <w:pPr>
        <w:pStyle w:val="ac"/>
        <w:spacing w:before="0" w:beforeAutospacing="0" w:after="0" w:afterAutospacing="0" w:line="578" w:lineRule="exact"/>
        <w:ind w:firstLineChars="200" w:firstLine="640"/>
        <w:rPr>
          <w:rFonts w:ascii="仿宋_GB2312" w:eastAsia="仿宋_GB2312" w:hAnsi="仿宋_GB2312" w:cs="仿宋_GB2312"/>
          <w:color w:val="000000"/>
          <w:sz w:val="32"/>
          <w:szCs w:val="32"/>
        </w:rPr>
      </w:pPr>
    </w:p>
    <w:p w14:paraId="76EE112E" w14:textId="77777777" w:rsidR="00521A05" w:rsidRDefault="00000000">
      <w:pPr>
        <w:numPr>
          <w:ilvl w:val="0"/>
          <w:numId w:val="4"/>
        </w:numPr>
        <w:spacing w:line="578" w:lineRule="exact"/>
        <w:ind w:firstLineChars="150" w:firstLine="660"/>
        <w:jc w:val="center"/>
        <w:outlineLvl w:val="0"/>
        <w:rPr>
          <w:rStyle w:val="10"/>
          <w:rFonts w:ascii="黑体" w:eastAsia="黑体" w:hAnsi="黑体"/>
          <w:b w:val="0"/>
        </w:rPr>
      </w:pPr>
      <w:r>
        <w:rPr>
          <w:rFonts w:ascii="黑体" w:eastAsia="黑体" w:hAnsi="黑体" w:hint="eastAsia"/>
          <w:color w:val="000000"/>
          <w:sz w:val="44"/>
          <w:szCs w:val="44"/>
        </w:rPr>
        <w:t>名</w:t>
      </w:r>
      <w:r>
        <w:rPr>
          <w:rStyle w:val="10"/>
          <w:rFonts w:ascii="黑体" w:eastAsia="黑体" w:hAnsi="黑体" w:hint="eastAsia"/>
          <w:b w:val="0"/>
        </w:rPr>
        <w:t>词解释</w:t>
      </w:r>
      <w:bookmarkEnd w:id="97"/>
      <w:bookmarkEnd w:id="98"/>
      <w:bookmarkEnd w:id="99"/>
      <w:bookmarkEnd w:id="100"/>
    </w:p>
    <w:p w14:paraId="261607A6" w14:textId="77777777" w:rsidR="00521A05" w:rsidRDefault="00521A05">
      <w:pPr>
        <w:spacing w:line="578" w:lineRule="exact"/>
        <w:jc w:val="left"/>
        <w:rPr>
          <w:rFonts w:ascii="宋体"/>
          <w:b/>
          <w:color w:val="000000"/>
          <w:sz w:val="44"/>
          <w:szCs w:val="44"/>
        </w:rPr>
      </w:pPr>
    </w:p>
    <w:p w14:paraId="3630418C" w14:textId="77777777" w:rsidR="00521A05" w:rsidRDefault="00000000">
      <w:pPr>
        <w:pStyle w:val="Default"/>
        <w:spacing w:line="578" w:lineRule="exact"/>
        <w:ind w:firstLineChars="200" w:firstLine="640"/>
        <w:rPr>
          <w:rFonts w:ascii="仿宋_GB2312" w:eastAsia="仿宋_GB2312"/>
          <w:sz w:val="32"/>
          <w:szCs w:val="32"/>
        </w:rPr>
      </w:pPr>
      <w:bookmarkStart w:id="101"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744F7451" w14:textId="77777777" w:rsidR="00521A05" w:rsidRDefault="00000000">
      <w:pPr>
        <w:spacing w:line="578"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一般公共服务（类）201（款）11（项）01：</w:t>
      </w:r>
      <w:r>
        <w:rPr>
          <w:rFonts w:ascii="仿宋_GB2312" w:eastAsia="仿宋_GB2312" w:hAnsi="宋体" w:hint="eastAsia"/>
          <w:sz w:val="32"/>
          <w:szCs w:val="32"/>
        </w:rPr>
        <w:t>指行政运行</w:t>
      </w:r>
      <w:r>
        <w:rPr>
          <w:rFonts w:ascii="仿宋_GB2312" w:eastAsia="仿宋_GB2312" w:hint="eastAsia"/>
          <w:color w:val="000000"/>
          <w:sz w:val="32"/>
          <w:szCs w:val="32"/>
        </w:rPr>
        <w:t>。</w:t>
      </w:r>
    </w:p>
    <w:p w14:paraId="272E4D2D" w14:textId="77777777" w:rsidR="00521A05" w:rsidRDefault="00000000">
      <w:pPr>
        <w:spacing w:line="578" w:lineRule="exact"/>
        <w:ind w:firstLineChars="200" w:firstLine="640"/>
        <w:rPr>
          <w:rFonts w:ascii="仿宋_GB2312" w:eastAsia="仿宋_GB2312" w:hAnsi="宋体"/>
          <w:sz w:val="32"/>
          <w:szCs w:val="32"/>
        </w:rPr>
      </w:pPr>
      <w:r>
        <w:rPr>
          <w:rFonts w:ascii="仿宋_GB2312" w:eastAsia="仿宋_GB2312" w:hint="eastAsia"/>
          <w:color w:val="000000"/>
          <w:sz w:val="32"/>
          <w:szCs w:val="32"/>
        </w:rPr>
        <w:t>3.</w:t>
      </w:r>
      <w:r>
        <w:rPr>
          <w:rFonts w:ascii="仿宋_GB2312" w:eastAsia="仿宋_GB2312" w:hAnsi="宋体" w:hint="eastAsia"/>
          <w:sz w:val="32"/>
          <w:szCs w:val="32"/>
        </w:rPr>
        <w:t>社会保障和就业（类）208（款）05（项）05：指机关事业单位基本养老保险。（类）208（款）08（项）01：</w:t>
      </w:r>
      <w:proofErr w:type="gramStart"/>
      <w:r>
        <w:rPr>
          <w:rFonts w:ascii="仿宋_GB2312" w:eastAsia="仿宋_GB2312" w:hAnsi="宋体" w:hint="eastAsia"/>
          <w:sz w:val="32"/>
          <w:szCs w:val="32"/>
        </w:rPr>
        <w:t>指死亡</w:t>
      </w:r>
      <w:proofErr w:type="gramEnd"/>
      <w:r>
        <w:rPr>
          <w:rFonts w:ascii="仿宋_GB2312" w:eastAsia="仿宋_GB2312" w:hAnsi="宋体" w:hint="eastAsia"/>
          <w:sz w:val="32"/>
          <w:szCs w:val="32"/>
        </w:rPr>
        <w:t xml:space="preserve">抚恤。 </w:t>
      </w:r>
    </w:p>
    <w:p w14:paraId="365373AA" w14:textId="77777777" w:rsidR="00521A05" w:rsidRDefault="00000000">
      <w:pPr>
        <w:spacing w:line="578" w:lineRule="exact"/>
        <w:ind w:firstLineChars="200" w:firstLine="640"/>
        <w:rPr>
          <w:rFonts w:ascii="仿宋_GB2312" w:eastAsia="仿宋_GB2312" w:hAnsi="宋体"/>
          <w:sz w:val="32"/>
          <w:szCs w:val="32"/>
        </w:rPr>
      </w:pPr>
      <w:r>
        <w:rPr>
          <w:rFonts w:ascii="仿宋_GB2312" w:eastAsia="仿宋_GB2312" w:hint="eastAsia"/>
          <w:color w:val="000000"/>
          <w:sz w:val="32"/>
          <w:szCs w:val="32"/>
        </w:rPr>
        <w:t>4.</w:t>
      </w:r>
      <w:r>
        <w:rPr>
          <w:rFonts w:ascii="仿宋_GB2312" w:eastAsia="仿宋_GB2312" w:hAnsi="宋体" w:hint="eastAsia"/>
          <w:sz w:val="32"/>
          <w:szCs w:val="32"/>
        </w:rPr>
        <w:t>医疗卫生与计划生育（类）210（款）05（项）01：指行政单位医疗。</w:t>
      </w:r>
    </w:p>
    <w:p w14:paraId="3A892310" w14:textId="77777777" w:rsidR="00521A05" w:rsidRDefault="00000000">
      <w:pPr>
        <w:spacing w:line="578" w:lineRule="exact"/>
        <w:ind w:firstLineChars="200" w:firstLine="640"/>
        <w:rPr>
          <w:rFonts w:ascii="仿宋_GB2312" w:eastAsia="仿宋_GB2312"/>
          <w:color w:val="000000"/>
          <w:sz w:val="32"/>
          <w:szCs w:val="32"/>
        </w:rPr>
      </w:pPr>
      <w:r>
        <w:rPr>
          <w:rFonts w:ascii="仿宋_GB2312" w:eastAsia="仿宋_GB2312" w:hAnsi="宋体" w:hint="eastAsia"/>
          <w:sz w:val="32"/>
          <w:szCs w:val="32"/>
        </w:rPr>
        <w:t>5. 住房保障（类）221（款）02（项）01：指住房公积金。</w:t>
      </w:r>
    </w:p>
    <w:p w14:paraId="3A1302A4" w14:textId="77777777" w:rsidR="00521A05" w:rsidRDefault="00000000">
      <w:pPr>
        <w:spacing w:line="578"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14:paraId="065921A7" w14:textId="77777777" w:rsidR="00521A05" w:rsidRDefault="00000000">
      <w:pPr>
        <w:spacing w:line="578"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46CAF81" w14:textId="77777777" w:rsidR="00521A05" w:rsidRDefault="00000000">
      <w:pPr>
        <w:pStyle w:val="Default"/>
        <w:spacing w:line="578"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w:t>
      </w:r>
      <w:r>
        <w:rPr>
          <w:rFonts w:ascii="仿宋_GB2312" w:eastAsia="仿宋_GB2312" w:hint="eastAsia"/>
          <w:sz w:val="32"/>
          <w:szCs w:val="32"/>
        </w:rPr>
        <w:lastRenderedPageBreak/>
        <w:t>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7895A54D" w14:textId="77777777" w:rsidR="00521A05" w:rsidRDefault="00000000">
      <w:pPr>
        <w:pStyle w:val="Default"/>
        <w:spacing w:line="578"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F37914" w14:textId="77777777" w:rsidR="00521A05" w:rsidRDefault="00000000">
      <w:pPr>
        <w:spacing w:line="578" w:lineRule="exact"/>
        <w:jc w:val="center"/>
        <w:outlineLvl w:val="0"/>
        <w:rPr>
          <w:rStyle w:val="10"/>
          <w:rFonts w:ascii="黑体" w:eastAsia="黑体" w:hAnsi="黑体"/>
          <w:b w:val="0"/>
        </w:rPr>
      </w:pPr>
      <w:r>
        <w:rPr>
          <w:rFonts w:ascii="宋体"/>
          <w:b/>
          <w:color w:val="000000"/>
          <w:sz w:val="44"/>
          <w:szCs w:val="44"/>
        </w:rPr>
        <w:br w:type="page"/>
      </w:r>
      <w:bookmarkStart w:id="102" w:name="_Toc79163880"/>
      <w:bookmarkStart w:id="103" w:name="_Toc79163630"/>
      <w:bookmarkStart w:id="104" w:name="_Toc15396614"/>
      <w:r>
        <w:rPr>
          <w:rFonts w:ascii="黑体" w:eastAsia="黑体" w:hAnsi="黑体" w:hint="eastAsia"/>
          <w:color w:val="000000"/>
          <w:sz w:val="44"/>
          <w:szCs w:val="44"/>
        </w:rPr>
        <w:lastRenderedPageBreak/>
        <w:t>第</w:t>
      </w:r>
      <w:r>
        <w:rPr>
          <w:rStyle w:val="10"/>
          <w:rFonts w:ascii="黑体" w:eastAsia="黑体" w:hAnsi="黑体" w:hint="eastAsia"/>
          <w:b w:val="0"/>
        </w:rPr>
        <w:t>四部分附件</w:t>
      </w:r>
      <w:bookmarkEnd w:id="102"/>
      <w:bookmarkEnd w:id="103"/>
      <w:bookmarkEnd w:id="104"/>
    </w:p>
    <w:p w14:paraId="5A78C2B7" w14:textId="77777777" w:rsidR="00521A05" w:rsidRDefault="00000000">
      <w:pPr>
        <w:spacing w:line="578" w:lineRule="exact"/>
        <w:jc w:val="left"/>
        <w:outlineLvl w:val="0"/>
        <w:rPr>
          <w:rFonts w:ascii="方正小标宋简体" w:eastAsia="方正小标宋简体" w:hAnsi="方正小标宋简体" w:cs="方正小标宋简体"/>
          <w:sz w:val="32"/>
          <w:szCs w:val="32"/>
        </w:rPr>
      </w:pPr>
      <w:bookmarkStart w:id="105" w:name="_Toc79163881"/>
      <w:bookmarkStart w:id="106" w:name="_Toc79163631"/>
      <w:r>
        <w:rPr>
          <w:rFonts w:ascii="黑体" w:eastAsia="黑体" w:hAnsi="黑体" w:cs="黑体" w:hint="eastAsia"/>
          <w:sz w:val="32"/>
          <w:szCs w:val="32"/>
        </w:rPr>
        <w:t>附件</w:t>
      </w:r>
      <w:r>
        <w:rPr>
          <w:rFonts w:ascii="黑体" w:eastAsia="黑体" w:hAnsi="黑体" w:cs="黑体"/>
          <w:sz w:val="32"/>
          <w:szCs w:val="32"/>
        </w:rPr>
        <w:t>1</w:t>
      </w:r>
      <w:bookmarkEnd w:id="105"/>
      <w:bookmarkEnd w:id="106"/>
    </w:p>
    <w:p w14:paraId="65D2C723" w14:textId="77777777" w:rsidR="00521A05" w:rsidRDefault="00521A05">
      <w:pPr>
        <w:spacing w:line="578" w:lineRule="exact"/>
        <w:jc w:val="center"/>
        <w:rPr>
          <w:rFonts w:ascii="方正小标宋简体" w:eastAsia="方正小标宋简体" w:hAnsi="方正小标宋简体" w:cs="方正小标宋简体"/>
          <w:sz w:val="44"/>
          <w:szCs w:val="44"/>
        </w:rPr>
      </w:pPr>
    </w:p>
    <w:p w14:paraId="622E6FB1" w14:textId="77777777" w:rsidR="00521A05" w:rsidRDefault="00000000">
      <w:pPr>
        <w:spacing w:line="578" w:lineRule="exact"/>
        <w:jc w:val="center"/>
        <w:outlineLvl w:val="0"/>
        <w:rPr>
          <w:rFonts w:ascii="仿宋_GB2312" w:eastAsia="仿宋_GB2312" w:hAnsi="宋体"/>
          <w:sz w:val="32"/>
          <w:szCs w:val="32"/>
          <w:shd w:val="clear" w:color="auto" w:fill="FFFFFF"/>
        </w:rPr>
      </w:pPr>
      <w:bookmarkStart w:id="107" w:name="_Toc79163882"/>
      <w:bookmarkStart w:id="108" w:name="_Toc79163632"/>
      <w:r>
        <w:rPr>
          <w:rFonts w:ascii="方正小标宋简体" w:eastAsia="方正小标宋简体" w:hAnsi="方正小标宋简体" w:cs="方正小标宋简体" w:hint="eastAsia"/>
          <w:sz w:val="44"/>
          <w:szCs w:val="44"/>
        </w:rPr>
        <w:t>中共松潘县纪律检查委员会</w:t>
      </w:r>
      <w:r>
        <w:rPr>
          <w:rFonts w:ascii="方正小标宋简体" w:eastAsia="方正小标宋简体" w:hAnsi="黑体" w:cs="黑体"/>
          <w:sz w:val="44"/>
          <w:szCs w:val="44"/>
        </w:rPr>
        <w:t>2020</w:t>
      </w:r>
      <w:r>
        <w:rPr>
          <w:rFonts w:ascii="方正小标宋简体" w:eastAsia="方正小标宋简体" w:hAnsi="黑体" w:cs="黑体" w:hint="eastAsia"/>
          <w:sz w:val="44"/>
          <w:szCs w:val="44"/>
        </w:rPr>
        <w:t>年部门整体支出绩效评价报告</w:t>
      </w:r>
      <w:bookmarkEnd w:id="107"/>
      <w:bookmarkEnd w:id="108"/>
    </w:p>
    <w:p w14:paraId="2A7FBB4F" w14:textId="77777777" w:rsidR="00521A05" w:rsidRDefault="00521A05">
      <w:pPr>
        <w:widowControl/>
        <w:adjustRightInd w:val="0"/>
        <w:snapToGrid w:val="0"/>
        <w:spacing w:line="578" w:lineRule="exact"/>
        <w:ind w:firstLineChars="200" w:firstLine="480"/>
        <w:contextualSpacing/>
        <w:jc w:val="left"/>
        <w:rPr>
          <w:rFonts w:ascii="黑体" w:eastAsia="黑体" w:hAnsi="宋体" w:cs="宋体"/>
          <w:color w:val="000000"/>
          <w:kern w:val="0"/>
          <w:sz w:val="24"/>
          <w:szCs w:val="32"/>
          <w:shd w:val="clear" w:color="auto" w:fill="FFFFFF"/>
        </w:rPr>
      </w:pPr>
    </w:p>
    <w:p w14:paraId="01418FA8" w14:textId="77777777" w:rsidR="00521A05" w:rsidRDefault="00000000">
      <w:pPr>
        <w:widowControl/>
        <w:adjustRightInd w:val="0"/>
        <w:snapToGrid w:val="0"/>
        <w:spacing w:line="578"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14:paraId="4B30DE39" w14:textId="77777777" w:rsidR="00521A05" w:rsidRDefault="00000000">
      <w:pPr>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1．主要职能。</w:t>
      </w:r>
    </w:p>
    <w:p w14:paraId="2CCA0168" w14:textId="77777777" w:rsidR="00521A05" w:rsidRDefault="00000000">
      <w:pPr>
        <w:widowControl/>
        <w:spacing w:line="578"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（一）负责</w:t>
      </w:r>
      <w:proofErr w:type="gramStart"/>
      <w:r>
        <w:rPr>
          <w:rFonts w:ascii="仿宋_GB2312" w:eastAsia="仿宋_GB2312" w:hAnsi="仿宋_GB2312" w:cs="仿宋_GB2312" w:hint="eastAsia"/>
          <w:kern w:val="0"/>
          <w:sz w:val="32"/>
          <w:szCs w:val="32"/>
        </w:rPr>
        <w:t>全县党</w:t>
      </w:r>
      <w:proofErr w:type="gramEnd"/>
      <w:r>
        <w:rPr>
          <w:rFonts w:ascii="仿宋_GB2312" w:eastAsia="仿宋_GB2312" w:hAnsi="仿宋_GB2312" w:cs="仿宋_GB2312" w:hint="eastAsia"/>
          <w:kern w:val="0"/>
          <w:sz w:val="32"/>
          <w:szCs w:val="32"/>
        </w:rPr>
        <w:t>的纪律检查工作。贯彻落实党中央、省委、州委和县委关于纪律检查工作的决定，维护党的章程和其他党内法规，检查党的路线方针政策和决议的执行情况，协助县委推进全面从严治党、加强党风廉政建设和组织协调反腐败工作。</w:t>
      </w:r>
      <w:r>
        <w:rPr>
          <w:rFonts w:ascii="仿宋_GB2312" w:eastAsia="仿宋_GB2312" w:hAnsi="仿宋_GB2312" w:cs="仿宋_GB2312" w:hint="eastAsia"/>
          <w:kern w:val="0"/>
          <w:sz w:val="32"/>
          <w:szCs w:val="32"/>
        </w:rPr>
        <w:br/>
        <w:t>     （二）依照党的章程和其他党内法规履行监督、执纪、问责职责。负责经常对党员进行遵守纪律的教育，</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w:t>
      </w:r>
      <w:proofErr w:type="gramStart"/>
      <w:r>
        <w:rPr>
          <w:rFonts w:ascii="仿宋_GB2312" w:eastAsia="仿宋_GB2312" w:hAnsi="仿宋_GB2312" w:cs="仿宋_GB2312" w:hint="eastAsia"/>
          <w:kern w:val="0"/>
          <w:sz w:val="32"/>
          <w:szCs w:val="32"/>
        </w:rPr>
        <w:t>责或者</w:t>
      </w:r>
      <w:proofErr w:type="gramEnd"/>
      <w:r>
        <w:rPr>
          <w:rFonts w:ascii="仿宋_GB2312" w:eastAsia="仿宋_GB2312" w:hAnsi="仿宋_GB2312" w:cs="仿宋_GB2312" w:hint="eastAsia"/>
          <w:kern w:val="0"/>
          <w:sz w:val="32"/>
          <w:szCs w:val="32"/>
        </w:rPr>
        <w:t>提出责任追究的建议。受理党员的控告和申诉。保障党员的权利。</w:t>
      </w:r>
      <w:r>
        <w:rPr>
          <w:rFonts w:ascii="仿宋_GB2312" w:eastAsia="仿宋_GB2312" w:hAnsi="仿宋_GB2312" w:cs="仿宋_GB2312" w:hint="eastAsia"/>
          <w:kern w:val="0"/>
          <w:sz w:val="32"/>
          <w:szCs w:val="32"/>
        </w:rPr>
        <w:br/>
        <w:t>     （三）负责全县监察工作。贯彻落实党中央、省</w:t>
      </w:r>
      <w:r>
        <w:rPr>
          <w:rFonts w:ascii="仿宋_GB2312" w:eastAsia="仿宋_GB2312" w:hAnsi="仿宋_GB2312" w:cs="仿宋_GB2312" w:hint="eastAsia"/>
          <w:kern w:val="0"/>
          <w:sz w:val="32"/>
          <w:szCs w:val="32"/>
        </w:rPr>
        <w:lastRenderedPageBreak/>
        <w:t>委、州委和县委关于监察工作的决定，维护宪法法律，依法对县委管理的行使公权力的公职人员进行监察，调查职务违法和职务犯罪，开展廉政建设和反腐败工作。</w:t>
      </w:r>
      <w:r>
        <w:rPr>
          <w:rFonts w:ascii="仿宋_GB2312" w:eastAsia="仿宋_GB2312" w:hAnsi="仿宋_GB2312" w:cs="仿宋_GB2312" w:hint="eastAsia"/>
          <w:kern w:val="0"/>
          <w:sz w:val="32"/>
          <w:szCs w:val="32"/>
        </w:rPr>
        <w:br/>
        <w:t>     （四）依照法律规定履行监督、调查、处置职责。推动开展廉政教育，对县委管理的行使公权力的公职人员依法履职、</w:t>
      </w:r>
      <w:proofErr w:type="gramStart"/>
      <w:r>
        <w:rPr>
          <w:rFonts w:ascii="仿宋_GB2312" w:eastAsia="仿宋_GB2312" w:hAnsi="仿宋_GB2312" w:cs="仿宋_GB2312" w:hint="eastAsia"/>
          <w:kern w:val="0"/>
          <w:sz w:val="32"/>
          <w:szCs w:val="32"/>
        </w:rPr>
        <w:t>秉</w:t>
      </w:r>
      <w:proofErr w:type="gramEnd"/>
      <w:r>
        <w:rPr>
          <w:rFonts w:ascii="仿宋_GB2312" w:eastAsia="仿宋_GB2312" w:hAnsi="仿宋_GB2312" w:cs="仿宋_GB2312" w:hint="eastAsia"/>
          <w:kern w:val="0"/>
          <w:sz w:val="32"/>
          <w:szCs w:val="32"/>
        </w:rPr>
        <w:t>公用权、廉洁从政从业以及道德操守情况进行监督检查。对涉嫌贪污贿赂、滥用职权、玩忽职守、权力寻租、利益输送、徇私舞弊以及浪费国家资财等职务违法和职务犯罪进行调查。对违法的公职人员依法</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政务处分决定。对履行职责不力、失职失责的领导人员进行问责。对涉嫌职务犯罪的，将调查结果移送人民检察院依法审查、提起公诉。向监察对象所在单位提出监察建议。</w:t>
      </w:r>
      <w:r>
        <w:rPr>
          <w:rFonts w:ascii="仿宋_GB2312" w:eastAsia="仿宋_GB2312" w:hAnsi="仿宋_GB2312" w:cs="仿宋_GB2312" w:hint="eastAsia"/>
          <w:kern w:val="0"/>
          <w:sz w:val="32"/>
          <w:szCs w:val="32"/>
        </w:rPr>
        <w:br/>
        <w:t>     （五）负责组织协调全面从严治党、党风廉政建设和反腐败宣传教育工作。</w:t>
      </w:r>
      <w:r>
        <w:rPr>
          <w:rFonts w:ascii="仿宋_GB2312" w:eastAsia="仿宋_GB2312" w:hAnsi="仿宋_GB2312" w:cs="仿宋_GB2312" w:hint="eastAsia"/>
          <w:kern w:val="0"/>
          <w:sz w:val="32"/>
          <w:szCs w:val="32"/>
        </w:rPr>
        <w:br/>
        <w:t>     （六）负责综合分析全面从严治党、党风廉政建设和反腐败工作情况，对纪检监察工作重要理论及实践问题进行调查研究。参与起草我县规范性文件。</w:t>
      </w:r>
      <w:r>
        <w:rPr>
          <w:rFonts w:ascii="仿宋_GB2312" w:eastAsia="仿宋_GB2312" w:hAnsi="仿宋_GB2312" w:cs="仿宋_GB2312" w:hint="eastAsia"/>
          <w:kern w:val="0"/>
          <w:sz w:val="32"/>
          <w:szCs w:val="32"/>
        </w:rPr>
        <w:br/>
        <w:t>     （七）在州纪委监委的领导下，加强对反腐败国际追逃追赃和防逃工作的组织协调，督促有关部门做好相关工作。</w:t>
      </w:r>
      <w:r>
        <w:rPr>
          <w:rFonts w:ascii="仿宋_GB2312" w:eastAsia="仿宋_GB2312" w:hAnsi="仿宋_GB2312" w:cs="仿宋_GB2312" w:hint="eastAsia"/>
          <w:kern w:val="0"/>
          <w:sz w:val="32"/>
          <w:szCs w:val="32"/>
        </w:rPr>
        <w:br/>
        <w:t>     （八）根据干部管理权限，负责纪检监察系统领导班子建设、干部队伍建设和组织建设的综合规划、政策研究、制度建设和业务指导。会同有关方面做好县纪委监委派驻机构、乡镇纪委监察室、县企事业纪检监察机构领导班子</w:t>
      </w:r>
      <w:r>
        <w:rPr>
          <w:rFonts w:ascii="仿宋_GB2312" w:eastAsia="仿宋_GB2312" w:hAnsi="仿宋_GB2312" w:cs="仿宋_GB2312" w:hint="eastAsia"/>
          <w:kern w:val="0"/>
          <w:sz w:val="32"/>
          <w:szCs w:val="32"/>
        </w:rPr>
        <w:lastRenderedPageBreak/>
        <w:t>建设有关工作。组织和指导纪检监察系统干部教育培训工作等。</w:t>
      </w:r>
      <w:r>
        <w:rPr>
          <w:rFonts w:ascii="仿宋_GB2312" w:eastAsia="仿宋_GB2312" w:hAnsi="仿宋_GB2312" w:cs="仿宋_GB2312" w:hint="eastAsia"/>
          <w:kern w:val="0"/>
          <w:sz w:val="32"/>
          <w:szCs w:val="32"/>
        </w:rPr>
        <w:br/>
        <w:t>     （九）完成县委和州纪委监委交办的其他任务。</w:t>
      </w:r>
    </w:p>
    <w:p w14:paraId="5CA4C9C6" w14:textId="77777777" w:rsidR="00521A05" w:rsidRDefault="00000000">
      <w:pPr>
        <w:numPr>
          <w:ilvl w:val="0"/>
          <w:numId w:val="1"/>
        </w:numPr>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机构情况，包括当年变动情况及原因。</w:t>
      </w:r>
    </w:p>
    <w:p w14:paraId="38DD8659" w14:textId="77777777" w:rsidR="00521A05" w:rsidRDefault="00000000">
      <w:pPr>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机构改革增加了县纪委监察派出机构。主要机构如下：</w:t>
      </w:r>
    </w:p>
    <w:p w14:paraId="2577E0DF" w14:textId="77777777" w:rsidR="00521A05"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（一）办公室。负责县纪委监委机关日常运转工作。筹备组织重要会议、活动；组织</w:t>
      </w:r>
      <w:proofErr w:type="gramStart"/>
      <w:r>
        <w:rPr>
          <w:rFonts w:ascii="仿宋_GB2312" w:eastAsia="仿宋_GB2312" w:hAnsi="仿宋_GB2312" w:cs="仿宋_GB2312" w:hint="eastAsia"/>
          <w:sz w:val="32"/>
          <w:szCs w:val="32"/>
        </w:rPr>
        <w:t>起草县</w:t>
      </w:r>
      <w:proofErr w:type="gramEnd"/>
      <w:r>
        <w:rPr>
          <w:rFonts w:ascii="仿宋_GB2312" w:eastAsia="仿宋_GB2312" w:hAnsi="仿宋_GB2312" w:cs="仿宋_GB2312" w:hint="eastAsia"/>
          <w:sz w:val="32"/>
          <w:szCs w:val="32"/>
        </w:rPr>
        <w:t>纪委监委有关文件文稿；督促检查上级批办交办事项、县纪委全会工作部署和县纪委常委会（县监委</w:t>
      </w:r>
      <w:proofErr w:type="gramStart"/>
      <w:r>
        <w:rPr>
          <w:rFonts w:ascii="仿宋_GB2312" w:eastAsia="仿宋_GB2312" w:hAnsi="仿宋_GB2312" w:cs="仿宋_GB2312" w:hint="eastAsia"/>
          <w:sz w:val="32"/>
          <w:szCs w:val="32"/>
        </w:rPr>
        <w:t>委务</w:t>
      </w:r>
      <w:proofErr w:type="gramEnd"/>
      <w:r>
        <w:rPr>
          <w:rFonts w:ascii="仿宋_GB2312" w:eastAsia="仿宋_GB2312" w:hAnsi="仿宋_GB2312" w:cs="仿宋_GB2312" w:hint="eastAsia"/>
          <w:sz w:val="32"/>
          <w:szCs w:val="32"/>
        </w:rPr>
        <w:t>会）等决定</w:t>
      </w:r>
      <w:proofErr w:type="gramStart"/>
      <w:r>
        <w:rPr>
          <w:rFonts w:ascii="仿宋_GB2312" w:eastAsia="仿宋_GB2312" w:hAnsi="仿宋_GB2312" w:cs="仿宋_GB2312" w:hint="eastAsia"/>
          <w:sz w:val="32"/>
          <w:szCs w:val="32"/>
        </w:rPr>
        <w:t>事项及委领导</w:t>
      </w:r>
      <w:proofErr w:type="gramEnd"/>
      <w:r>
        <w:rPr>
          <w:rFonts w:ascii="仿宋_GB2312" w:eastAsia="仿宋_GB2312" w:hAnsi="仿宋_GB2312" w:cs="仿宋_GB2312" w:hint="eastAsia"/>
          <w:sz w:val="32"/>
          <w:szCs w:val="32"/>
        </w:rPr>
        <w:t>批办交办事项的落实情况；负责机关机要保密工作，负责机关财务管理、车辆管理、国有资产管理、安全保卫、干部职工医疗、卫生防疫等后勤管理服务工作，负责派驻机构差旅费报销、工资津补贴发放等后勤保障（办公场所、办公设施设备、办公日常运行费、车辆保障由驻在部门负责）工作；负责县纪委委员的联络工作，组织协调特约监察员工作；负责机关及派驻机构档案和涉案款物保管工作；负责县纪委监委机关党的建设、工会、共青团和</w:t>
      </w:r>
      <w:proofErr w:type="gramStart"/>
      <w:r>
        <w:rPr>
          <w:rFonts w:ascii="仿宋_GB2312" w:eastAsia="仿宋_GB2312" w:hAnsi="仿宋_GB2312" w:cs="仿宋_GB2312" w:hint="eastAsia"/>
          <w:sz w:val="32"/>
          <w:szCs w:val="32"/>
        </w:rPr>
        <w:t>妇代</w:t>
      </w:r>
      <w:proofErr w:type="gramEnd"/>
      <w:r>
        <w:rPr>
          <w:rFonts w:ascii="仿宋_GB2312" w:eastAsia="仿宋_GB2312" w:hAnsi="仿宋_GB2312" w:cs="仿宋_GB2312" w:hint="eastAsia"/>
          <w:sz w:val="32"/>
          <w:szCs w:val="32"/>
        </w:rPr>
        <w:t>小组工作；负责组织开展有关党风廉政建设法律法规、理论政策、形势任务、决策部署和先进典型等宣传及舆论引导工作；负责县纪委监委机关的新闻事务和有关网络信息工作等；指导全县纪检监察系统的宣传教育、廉政文化建设和网络信息工作。负责综合分析全县全面从严治党、党风廉政建设和反腐败工作情况，开展政策理论及重大课题调查研究；起草领导同志文稿，会同、协助有关内设机构起草机关重要文件文稿；汇总、整理全县党风廉政</w:t>
      </w:r>
      <w:r>
        <w:rPr>
          <w:rFonts w:ascii="仿宋_GB2312" w:eastAsia="仿宋_GB2312" w:hAnsi="仿宋_GB2312" w:cs="仿宋_GB2312" w:hint="eastAsia"/>
          <w:sz w:val="32"/>
          <w:szCs w:val="32"/>
        </w:rPr>
        <w:lastRenderedPageBreak/>
        <w:t>建设和反腐败工作研究成果和信息资料，组织开展对纪检监察工作历史及规律的研究。</w:t>
      </w:r>
    </w:p>
    <w:p w14:paraId="02FA8B01" w14:textId="77777777" w:rsidR="00521A05" w:rsidRDefault="00000000">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（二）党风政</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室。负责综合协调贯彻执行党的路线方针政策和决议、国家法律法规等情况的监督检查，组织协调重要监督检查活动，负责汇总党风廉政建设和反腐败工情况；综合协调党的政治纪律和政治规矩执行；综合协调贯彻落实中央八项规定精神、纠正“四风”工作；综合协调整治群众身边和扶贫领域的腐败和作风问题；综合协调党内监督、党的问责等方面工作，推动管党治党政治责任落实；综合协调县纪委监委机关参与调查的事故、事件中涉及的监督对象违纪违法行为和需要问责情形的调查处理工作；综合分析党风政</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工作情况，开展调查研究，提出工作建议；组织开展党风政</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专项检查活动；协调办理县管干部任职前回复县委组织部意见工作；负责组织协调全县全面从严治党、党风廉政建设和反腐败宣传教育以及</w:t>
      </w:r>
      <w:proofErr w:type="gramStart"/>
      <w:r>
        <w:rPr>
          <w:rFonts w:ascii="仿宋_GB2312" w:eastAsia="仿宋_GB2312" w:hAnsi="仿宋_GB2312" w:cs="仿宋_GB2312" w:hint="eastAsia"/>
          <w:sz w:val="32"/>
          <w:szCs w:val="32"/>
        </w:rPr>
        <w:t>廉洁文化</w:t>
      </w:r>
      <w:proofErr w:type="gramEnd"/>
      <w:r>
        <w:rPr>
          <w:rFonts w:ascii="仿宋_GB2312" w:eastAsia="仿宋_GB2312" w:hAnsi="仿宋_GB2312" w:cs="仿宋_GB2312" w:hint="eastAsia"/>
          <w:sz w:val="32"/>
          <w:szCs w:val="32"/>
        </w:rPr>
        <w:t>建设工作；指导全县纪检监察系统的党风政</w:t>
      </w:r>
      <w:proofErr w:type="gramStart"/>
      <w:r>
        <w:rPr>
          <w:rFonts w:ascii="仿宋_GB2312" w:eastAsia="仿宋_GB2312" w:hAnsi="仿宋_GB2312" w:cs="仿宋_GB2312" w:hint="eastAsia"/>
          <w:sz w:val="32"/>
          <w:szCs w:val="32"/>
        </w:rPr>
        <w:t>风监督</w:t>
      </w:r>
      <w:proofErr w:type="gramEnd"/>
      <w:r>
        <w:rPr>
          <w:rFonts w:ascii="仿宋_GB2312" w:eastAsia="仿宋_GB2312" w:hAnsi="仿宋_GB2312" w:cs="仿宋_GB2312" w:hint="eastAsia"/>
          <w:sz w:val="32"/>
          <w:szCs w:val="32"/>
        </w:rPr>
        <w:t>工作。</w:t>
      </w:r>
    </w:p>
    <w:p w14:paraId="60B35D7C" w14:textId="77777777" w:rsidR="00521A05" w:rsidRDefault="00000000">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（三）信访室。负责受理对党的组织、党员违反党纪行为，对监察对象不依法履职，违反</w:t>
      </w:r>
      <w:proofErr w:type="gramStart"/>
      <w:r>
        <w:rPr>
          <w:rFonts w:ascii="仿宋_GB2312" w:eastAsia="仿宋_GB2312" w:hAnsi="仿宋_GB2312" w:cs="仿宋_GB2312" w:hint="eastAsia"/>
          <w:sz w:val="32"/>
          <w:szCs w:val="32"/>
        </w:rPr>
        <w:t>秉</w:t>
      </w:r>
      <w:proofErr w:type="gramEnd"/>
      <w:r>
        <w:rPr>
          <w:rFonts w:ascii="仿宋_GB2312" w:eastAsia="仿宋_GB2312" w:hAnsi="仿宋_GB2312" w:cs="仿宋_GB2312" w:hint="eastAsia"/>
          <w:sz w:val="32"/>
          <w:szCs w:val="32"/>
        </w:rPr>
        <w:t>公用权、廉洁从政从业及道德操守等规定，涉嫌职务违法、职务犯罪行为的检举控告；归口受理对县委管理的党的组织、党员、监察对象的上述信访举报，统一接收上级转办和县纪委监委派驻机构、乡镇纪委监察室报送的相关信访举报，分类摘要后将问题线索类信访举报移交案件监督管理室；受理党员对县纪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的党纪处分或者其他处理不服的申诉、监察对象对县监委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lastRenderedPageBreak/>
        <w:t>的涉及本人的处理决定不服的复审申请；综合分析信访举报情况；接待群众来访，处理群众来信和电话网络举报事项等；指导全县纪检监察系统的信访举报工作。</w:t>
      </w:r>
    </w:p>
    <w:p w14:paraId="5C1639C3" w14:textId="77777777" w:rsidR="00521A05" w:rsidRDefault="00000000">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案件监督管理室。负责对监督检查、审查调查工作全过程进行监督管理，履行线索管理、组织协调、监督检查、督促办理、统计分析等职责；统一受理巡视巡察工作机构和审计机关、行政执法机关、司法机关等单位移交的相关问题线索。对问题线索实行集中管理，动态更新、定期汇总核对，提出分办意见，按程序移送承办机构；统一受理下级纪检监察机关线索处置和案件查办报告，定期汇总、核对问题线索及处置情况，分送有关内设机构；归口管理审查调查工作中与有关部门的联系协调事项；对调查措施使用进行监督管理；负责对依纪依法安全办案情况进行监督检查，对纪委监委办案场所的安全保卫、保密等工作进行监督检查，落实办案安全工作责任制；指导乡镇纪委监察室案件监督管理工作；在州纪委监委领导下，承担反腐败国际追逃追赃和防逃工作的组织协调；负责监督检查、审查调查工作中的信息技术保障工作。</w:t>
      </w:r>
    </w:p>
    <w:p w14:paraId="5BB2C4E8" w14:textId="77777777" w:rsidR="00521A05" w:rsidRDefault="00000000">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第一至第四纪检监察室。负责监督检查的纪检监察室主要履行依纪依法监督的职责。监督检查联系单位（乡、镇）领导班子及县管干部遵守和执行党的章程和其他党内法规，遵守和执行党的路线方针政策和决议、国家法律法规，推进全面从严治党，依法履职、</w:t>
      </w:r>
      <w:proofErr w:type="gramStart"/>
      <w:r>
        <w:rPr>
          <w:rFonts w:ascii="仿宋_GB2312" w:eastAsia="仿宋_GB2312" w:hAnsi="仿宋_GB2312" w:cs="仿宋_GB2312" w:hint="eastAsia"/>
          <w:sz w:val="32"/>
          <w:szCs w:val="32"/>
        </w:rPr>
        <w:t>秉</w:t>
      </w:r>
      <w:proofErr w:type="gramEnd"/>
      <w:r>
        <w:rPr>
          <w:rFonts w:ascii="仿宋_GB2312" w:eastAsia="仿宋_GB2312" w:hAnsi="仿宋_GB2312" w:cs="仿宋_GB2312" w:hint="eastAsia"/>
          <w:sz w:val="32"/>
          <w:szCs w:val="32"/>
        </w:rPr>
        <w:t>公用权、廉洁从政从业以及道德操守等方面的情况；监督检查联系单位（乡、镇）党</w:t>
      </w:r>
      <w:r>
        <w:rPr>
          <w:rFonts w:ascii="仿宋_GB2312" w:eastAsia="仿宋_GB2312" w:hAnsi="仿宋_GB2312" w:cs="仿宋_GB2312" w:hint="eastAsia"/>
          <w:sz w:val="32"/>
          <w:szCs w:val="32"/>
        </w:rPr>
        <w:lastRenderedPageBreak/>
        <w:t>委（党组）落实管党治党主体责任的情况，指导、检查、督促联系纪委（派驻机构）落实纪检、监察责任，实施问责；向监察对象所在单位提出监察建议；综合分析</w:t>
      </w:r>
      <w:proofErr w:type="gramStart"/>
      <w:r>
        <w:rPr>
          <w:rFonts w:ascii="仿宋_GB2312" w:eastAsia="仿宋_GB2312" w:hAnsi="仿宋_GB2312" w:cs="仿宋_GB2312" w:hint="eastAsia"/>
          <w:sz w:val="32"/>
          <w:szCs w:val="32"/>
        </w:rPr>
        <w:t>研判问题</w:t>
      </w:r>
      <w:proofErr w:type="gramEnd"/>
      <w:r>
        <w:rPr>
          <w:rFonts w:ascii="仿宋_GB2312" w:eastAsia="仿宋_GB2312" w:hAnsi="仿宋_GB2312" w:cs="仿宋_GB2312" w:hint="eastAsia"/>
          <w:sz w:val="32"/>
          <w:szCs w:val="32"/>
        </w:rPr>
        <w:t>线索，对适用“四种形态”中第一种、第二种形态的，按程序提出处置意见；对适用第三种、第四种形态的，按程序移交负责审查调查的纪检监察室；综合、协调、指导联系单位（乡、镇）纪检监察工作等。负责审查调查的纪检监察室主要履行执纪审查和依法调查处置的职责。承办涉嫌严重违纪或者职务违法、职务犯罪问题线索的初步核实和立案审查调查，以及其他比较重要或者复杂案件的初步核实、审查调查，并提出处理建议；向监察对象所在单位提出监察建议；可以办理下一级监察机关管辖范围内的监察事项，对在审查调查中发现的相关问题线索，</w:t>
      </w:r>
      <w:proofErr w:type="gramStart"/>
      <w:r>
        <w:rPr>
          <w:rFonts w:ascii="仿宋_GB2312" w:eastAsia="仿宋_GB2312" w:hAnsi="仿宋_GB2312" w:cs="仿宋_GB2312" w:hint="eastAsia"/>
          <w:sz w:val="32"/>
          <w:szCs w:val="32"/>
        </w:rPr>
        <w:t>送案件</w:t>
      </w:r>
      <w:proofErr w:type="gramEnd"/>
      <w:r>
        <w:rPr>
          <w:rFonts w:ascii="仿宋_GB2312" w:eastAsia="仿宋_GB2312" w:hAnsi="仿宋_GB2312" w:cs="仿宋_GB2312" w:hint="eastAsia"/>
          <w:sz w:val="32"/>
          <w:szCs w:val="32"/>
        </w:rPr>
        <w:t>监督</w:t>
      </w:r>
      <w:proofErr w:type="gramStart"/>
      <w:r>
        <w:rPr>
          <w:rFonts w:ascii="仿宋_GB2312" w:eastAsia="仿宋_GB2312" w:hAnsi="仿宋_GB2312" w:cs="仿宋_GB2312" w:hint="eastAsia"/>
          <w:sz w:val="32"/>
          <w:szCs w:val="32"/>
        </w:rPr>
        <w:t>管理室按程序</w:t>
      </w:r>
      <w:proofErr w:type="gramEnd"/>
      <w:r>
        <w:rPr>
          <w:rFonts w:ascii="仿宋_GB2312" w:eastAsia="仿宋_GB2312" w:hAnsi="仿宋_GB2312" w:cs="仿宋_GB2312" w:hint="eastAsia"/>
          <w:sz w:val="32"/>
          <w:szCs w:val="32"/>
        </w:rPr>
        <w:t xml:space="preserve">处置。 </w:t>
      </w:r>
    </w:p>
    <w:p w14:paraId="7438D4AA" w14:textId="77777777" w:rsidR="00521A05" w:rsidRDefault="00000000">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案件审理室。负责审理县纪委监委机关直接审查调查和科级党组织、纪检监察机关报批或备案的违反党纪和职务违法、职务犯罪案件，严格依规依纪依法提出处理或者处分意见；协助机关内设机构规范性文件起草工作；负责纪检监察法规制度和规范性文件的咨询答复、解释指导、备案清查、清理、审核、评估、编纂等工作；承办党员对县纪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的党纪处分或者其他处理不服的申诉案件、监察对象对县监委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的涉及本人的处理决定不服的申请复审案件，以及其他需要由县纪委监委办理的申诉、复核案件等；指导全县纪检监察系统案件审理等工作。</w:t>
      </w:r>
    </w:p>
    <w:p w14:paraId="43437C89" w14:textId="77777777" w:rsidR="00521A05" w:rsidRDefault="00000000">
      <w:pPr>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（七）纪检监察干部监督室。按照干部管理权限，负责</w:t>
      </w:r>
      <w:r>
        <w:rPr>
          <w:rFonts w:ascii="仿宋_GB2312" w:eastAsia="仿宋_GB2312" w:hAnsi="仿宋_GB2312" w:cs="仿宋_GB2312" w:hint="eastAsia"/>
          <w:sz w:val="32"/>
          <w:szCs w:val="32"/>
        </w:rPr>
        <w:lastRenderedPageBreak/>
        <w:t>全县纪检监察系统领导班子建设、干部队伍建设和组织建设的综合规划、政策研究、制度建设和业务指导；负责县纪委监委机关、派驻机构及乡镇纪委监察室人事工作；会同有关部门，负责乡镇纪委监察室、县纪委监委派驻机构、县属企事业纪委领导班子成员提名、考察、任免等干部人事工作；组织和指导全县纪检监察系统干部教育培训工作；负责县纪委监委机关离退休老干部的管理服务工作；负责派驻机构干部日常管理和监督工作。负责监督检查全县纪检监察系统干部遵守和执行党的章程和其他党内法规、党的路线方针政策和决议、国家法律法规等方面的情况；负责受理对县纪委监委机关各内设机构、直属单位、县纪委监委派驻机构和县委</w:t>
      </w:r>
      <w:proofErr w:type="gramStart"/>
      <w:r>
        <w:rPr>
          <w:rFonts w:ascii="仿宋_GB2312" w:eastAsia="仿宋_GB2312" w:hAnsi="仿宋_GB2312" w:cs="仿宋_GB2312" w:hint="eastAsia"/>
          <w:sz w:val="32"/>
          <w:szCs w:val="32"/>
        </w:rPr>
        <w:t>巡察办</w:t>
      </w:r>
      <w:proofErr w:type="gramEnd"/>
      <w:r>
        <w:rPr>
          <w:rFonts w:ascii="仿宋_GB2312" w:eastAsia="仿宋_GB2312" w:hAnsi="仿宋_GB2312" w:cs="仿宋_GB2312" w:hint="eastAsia"/>
          <w:sz w:val="32"/>
          <w:szCs w:val="32"/>
        </w:rPr>
        <w:t>干部，乡镇纪委监察室和县属企事业单位纪委领导班子及其成员涉嫌违反党纪、职务违法和职务犯罪等问题的举报，提出处置意见并负责问题线索初步核实及立案审查调查工作等；负责县纪委监委机关干部日常管理和监督，承担绩效考核工作；指导全县纪检监察系统干部监督工作</w:t>
      </w:r>
    </w:p>
    <w:p w14:paraId="0F0D7A80" w14:textId="77777777" w:rsidR="00521A05" w:rsidRDefault="00000000">
      <w:pPr>
        <w:numPr>
          <w:ilvl w:val="0"/>
          <w:numId w:val="1"/>
        </w:numPr>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人员情况。</w:t>
      </w:r>
    </w:p>
    <w:p w14:paraId="1321351A" w14:textId="77777777" w:rsidR="00521A05" w:rsidRDefault="00000000">
      <w:pPr>
        <w:snapToGrid w:val="0"/>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县纪委、监察委机关编数为27人，综合管理类职位编制数25人，工勤2人</w:t>
      </w:r>
      <w:r>
        <w:rPr>
          <w:rFonts w:ascii="仿宋_GB2312" w:hAnsi="仿宋_GB2312" w:cs="仿宋_GB2312" w:hint="eastAsia"/>
          <w:sz w:val="32"/>
          <w:szCs w:val="32"/>
        </w:rPr>
        <w:t>；</w:t>
      </w:r>
      <w:r>
        <w:rPr>
          <w:rFonts w:ascii="仿宋_GB2312" w:eastAsia="仿宋_GB2312" w:hAnsi="仿宋_GB2312" w:cs="仿宋_GB2312" w:hint="eastAsia"/>
          <w:sz w:val="32"/>
          <w:szCs w:val="32"/>
        </w:rPr>
        <w:t>县纪委监察派出机构综合管理类职位编制数</w:t>
      </w:r>
      <w:r>
        <w:rPr>
          <w:rFonts w:ascii="仿宋_GB2312" w:hAnsi="仿宋_GB2312" w:cs="仿宋_GB2312" w:hint="eastAsia"/>
          <w:sz w:val="32"/>
          <w:szCs w:val="32"/>
        </w:rPr>
        <w:t>22</w:t>
      </w:r>
      <w:r>
        <w:rPr>
          <w:rFonts w:ascii="仿宋_GB2312" w:eastAsia="仿宋_GB2312" w:hAnsi="仿宋_GB2312" w:cs="仿宋_GB2312" w:hint="eastAsia"/>
          <w:sz w:val="32"/>
          <w:szCs w:val="32"/>
        </w:rPr>
        <w:t>名</w:t>
      </w:r>
      <w:r>
        <w:rPr>
          <w:rFonts w:ascii="仿宋_GB2312" w:hAnsi="仿宋_GB2312" w:cs="仿宋_GB2312" w:hint="eastAsia"/>
          <w:sz w:val="32"/>
          <w:szCs w:val="32"/>
        </w:rPr>
        <w:t>；财务账</w:t>
      </w:r>
      <w:r>
        <w:rPr>
          <w:rFonts w:ascii="仿宋_GB2312" w:eastAsia="仿宋_GB2312" w:hAnsi="仿宋_GB2312" w:cs="仿宋_GB2312" w:hint="eastAsia"/>
          <w:sz w:val="32"/>
          <w:szCs w:val="32"/>
        </w:rPr>
        <w:t>中还含县委</w:t>
      </w:r>
      <w:proofErr w:type="gramStart"/>
      <w:r>
        <w:rPr>
          <w:rFonts w:ascii="仿宋_GB2312" w:eastAsia="仿宋_GB2312" w:hAnsi="仿宋_GB2312" w:cs="仿宋_GB2312" w:hint="eastAsia"/>
          <w:sz w:val="32"/>
          <w:szCs w:val="32"/>
        </w:rPr>
        <w:t>巡察办</w:t>
      </w:r>
      <w:proofErr w:type="gramEnd"/>
      <w:r>
        <w:rPr>
          <w:rFonts w:ascii="仿宋_GB2312" w:eastAsia="仿宋_GB2312" w:hAnsi="仿宋_GB2312" w:cs="仿宋_GB2312" w:hint="eastAsia"/>
          <w:sz w:val="32"/>
          <w:szCs w:val="32"/>
        </w:rPr>
        <w:t>综合管理类职位编制数</w:t>
      </w:r>
      <w:r>
        <w:rPr>
          <w:rFonts w:ascii="仿宋_GB2312" w:hAnsi="仿宋_GB2312" w:cs="仿宋_GB2312" w:hint="eastAsia"/>
          <w:sz w:val="32"/>
          <w:szCs w:val="32"/>
        </w:rPr>
        <w:t>6</w:t>
      </w:r>
      <w:r>
        <w:rPr>
          <w:rFonts w:ascii="仿宋_GB2312" w:eastAsia="仿宋_GB2312" w:hAnsi="仿宋_GB2312" w:cs="仿宋_GB2312" w:hint="eastAsia"/>
          <w:sz w:val="32"/>
          <w:szCs w:val="32"/>
        </w:rPr>
        <w:t>人，工勤1人。</w:t>
      </w:r>
    </w:p>
    <w:p w14:paraId="7BFEED8D" w14:textId="77777777" w:rsidR="00521A05" w:rsidRDefault="00000000">
      <w:pPr>
        <w:widowControl/>
        <w:adjustRightInd w:val="0"/>
        <w:snapToGrid w:val="0"/>
        <w:spacing w:line="578"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7DEC2285" w14:textId="77777777" w:rsidR="00521A05" w:rsidRDefault="00000000">
      <w:pPr>
        <w:widowControl/>
        <w:adjustRightInd w:val="0"/>
        <w:snapToGrid w:val="0"/>
        <w:spacing w:line="578"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14:paraId="66F54286" w14:textId="77777777" w:rsidR="00521A05" w:rsidRDefault="00000000">
      <w:pPr>
        <w:widowControl/>
        <w:adjustRightInd w:val="0"/>
        <w:snapToGrid w:val="0"/>
        <w:spacing w:line="578" w:lineRule="exact"/>
        <w:ind w:firstLineChars="200" w:firstLine="640"/>
        <w:contextualSpacing/>
        <w:jc w:val="left"/>
        <w:rPr>
          <w:lang w:val="zh-CN"/>
        </w:rPr>
      </w:pPr>
      <w:r>
        <w:rPr>
          <w:rFonts w:ascii="仿宋_GB2312" w:eastAsia="仿宋_GB2312" w:hAnsi="仿宋" w:hint="eastAsia"/>
          <w:sz w:val="32"/>
          <w:szCs w:val="32"/>
        </w:rPr>
        <w:lastRenderedPageBreak/>
        <w:t>2020年度收入合计814.56万元，财政拨款814.56万元，比上年度减少2.57%。</w:t>
      </w:r>
    </w:p>
    <w:p w14:paraId="6A05F268" w14:textId="77777777" w:rsidR="00521A05" w:rsidRDefault="00000000">
      <w:pPr>
        <w:numPr>
          <w:ilvl w:val="0"/>
          <w:numId w:val="5"/>
        </w:numPr>
        <w:snapToGrid w:val="0"/>
        <w:spacing w:line="578"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部门财政资金支出情况。</w:t>
      </w:r>
    </w:p>
    <w:p w14:paraId="013176EC" w14:textId="77777777" w:rsidR="00521A05" w:rsidRDefault="00000000">
      <w:pPr>
        <w:snapToGrid w:val="0"/>
        <w:spacing w:line="578" w:lineRule="exact"/>
        <w:ind w:firstLineChars="200" w:firstLine="640"/>
        <w:rPr>
          <w:lang w:val="zh-CN"/>
        </w:rPr>
      </w:pPr>
      <w:r>
        <w:rPr>
          <w:rFonts w:ascii="仿宋_GB2312" w:eastAsia="仿宋_GB2312" w:hAnsi="仿宋" w:hint="eastAsia"/>
          <w:sz w:val="32"/>
          <w:szCs w:val="32"/>
        </w:rPr>
        <w:t>本年支出809.56万元，财政拨款809.56万元，比上年度减少3.17%。减少的主要原因一是受疫情影响本年度无公务接待费支出、培训费支出与去年相比减少73.69%；二是一部分支出使用的是存量资金。</w:t>
      </w:r>
    </w:p>
    <w:p w14:paraId="61ABE7DE" w14:textId="77777777" w:rsidR="00521A05" w:rsidRDefault="00000000">
      <w:pPr>
        <w:widowControl/>
        <w:adjustRightInd w:val="0"/>
        <w:snapToGrid w:val="0"/>
        <w:spacing w:line="578"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1AEB08F7" w14:textId="77777777" w:rsidR="00521A05" w:rsidRDefault="00000000">
      <w:pPr>
        <w:widowControl/>
        <w:adjustRightInd w:val="0"/>
        <w:snapToGrid w:val="0"/>
        <w:spacing w:line="578"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14:paraId="45C3BE74" w14:textId="77777777" w:rsidR="00521A05" w:rsidRDefault="00000000">
      <w:pPr>
        <w:widowControl/>
        <w:adjustRightInd w:val="0"/>
        <w:snapToGrid w:val="0"/>
        <w:spacing w:line="578"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严格按照预算管理的相关规定和本部门预算编制要求，科学合理编制项目预算，按时完成了预算编制工作。</w:t>
      </w:r>
    </w:p>
    <w:p w14:paraId="016E3000" w14:textId="77777777" w:rsidR="00521A05" w:rsidRDefault="00000000">
      <w:pPr>
        <w:widowControl/>
        <w:adjustRightInd w:val="0"/>
        <w:snapToGrid w:val="0"/>
        <w:spacing w:line="578" w:lineRule="exact"/>
        <w:ind w:firstLineChars="200" w:firstLine="640"/>
        <w:jc w:val="left"/>
        <w:rPr>
          <w:lang w:val="zh-CN"/>
        </w:rPr>
      </w:pPr>
      <w:r>
        <w:rPr>
          <w:rFonts w:ascii="仿宋_GB2312" w:eastAsia="仿宋_GB2312" w:hAnsi="仿宋_GB2312" w:cs="仿宋_GB2312" w:hint="eastAsia"/>
          <w:color w:val="000000"/>
          <w:sz w:val="32"/>
          <w:szCs w:val="32"/>
          <w:shd w:val="clear" w:color="auto" w:fill="FFFFFF"/>
        </w:rPr>
        <w:t>2020年度本部门收入预算总额为814.56万元，其中：当年一般公共预算拨款收入814.56万元。相应安排支出预算809.56万元，其中：人员支出 666.51万元，日常公用支出114.19万元。</w:t>
      </w:r>
    </w:p>
    <w:p w14:paraId="7B342AE4" w14:textId="77777777" w:rsidR="00521A05" w:rsidRDefault="00000000">
      <w:pPr>
        <w:widowControl/>
        <w:adjustRightInd w:val="0"/>
        <w:snapToGrid w:val="0"/>
        <w:spacing w:line="578"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14:paraId="1B5E6431" w14:textId="77777777" w:rsidR="00521A05" w:rsidRDefault="00000000">
      <w:pPr>
        <w:spacing w:line="578"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一是行政运行保障情况。我委严格按照年初预算安排，严格执行中央八项规定和省、</w:t>
      </w:r>
      <w:proofErr w:type="gramStart"/>
      <w:r>
        <w:rPr>
          <w:rFonts w:ascii="仿宋_GB2312" w:eastAsia="仿宋_GB2312" w:hAnsi="仿宋_GB2312" w:cs="仿宋_GB2312" w:hint="eastAsia"/>
          <w:color w:val="000000"/>
          <w:sz w:val="32"/>
          <w:szCs w:val="32"/>
          <w:shd w:val="clear" w:color="auto" w:fill="FFFFFF"/>
        </w:rPr>
        <w:t>州相关</w:t>
      </w:r>
      <w:proofErr w:type="gramEnd"/>
      <w:r>
        <w:rPr>
          <w:rFonts w:ascii="仿宋_GB2312" w:eastAsia="仿宋_GB2312" w:hAnsi="仿宋_GB2312" w:cs="仿宋_GB2312" w:hint="eastAsia"/>
          <w:color w:val="000000"/>
          <w:sz w:val="32"/>
          <w:szCs w:val="32"/>
          <w:shd w:val="clear" w:color="auto" w:fill="FFFFFF"/>
        </w:rPr>
        <w:t>规定，厉行节约规范使用预算资金。收入上，严格执行 “收支两条线”管理制度，按规定使用非税票据（罚没票据），无隐瞒收入和其他违反国家收费管理规定的行为。在支出管理中，严格执行国库集中支付、政府采购、公务卡报销等相关财务管理制度。认真做好每月与银行等的对账工作，加强动态监控，保障机关各项工作顺利开展。</w:t>
      </w:r>
    </w:p>
    <w:p w14:paraId="0F367875" w14:textId="77777777" w:rsidR="00521A05" w:rsidRDefault="00000000">
      <w:pPr>
        <w:widowControl/>
        <w:adjustRightInd w:val="0"/>
        <w:snapToGrid w:val="0"/>
        <w:spacing w:line="578"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lastRenderedPageBreak/>
        <w:t>四、评价结论及建议</w:t>
      </w:r>
    </w:p>
    <w:p w14:paraId="37B7CD03" w14:textId="77777777" w:rsidR="00521A05" w:rsidRDefault="00000000">
      <w:pPr>
        <w:pStyle w:val="ac"/>
        <w:shd w:val="clear" w:color="auto" w:fill="FFFFFF"/>
        <w:spacing w:before="0" w:beforeAutospacing="0" w:after="0" w:afterAutospacing="0"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2020年度，我委严格按照年初预算批复认真组织实施， 严格执行财经纪律相关管理规定，做到各项收支安排使用符合事业发展计划和财政政策的要求，确保了我</w:t>
      </w:r>
      <w:proofErr w:type="gramStart"/>
      <w:r>
        <w:rPr>
          <w:rFonts w:ascii="仿宋_GB2312" w:eastAsia="仿宋_GB2312" w:hAnsi="仿宋_GB2312" w:cs="仿宋_GB2312" w:hint="eastAsia"/>
          <w:color w:val="000000"/>
          <w:sz w:val="32"/>
          <w:szCs w:val="32"/>
          <w:shd w:val="clear" w:color="auto" w:fill="FFFFFF"/>
        </w:rPr>
        <w:t>委正常</w:t>
      </w:r>
      <w:proofErr w:type="gramEnd"/>
      <w:r>
        <w:rPr>
          <w:rFonts w:ascii="仿宋_GB2312" w:eastAsia="仿宋_GB2312" w:hAnsi="仿宋_GB2312" w:cs="仿宋_GB2312" w:hint="eastAsia"/>
          <w:color w:val="000000"/>
          <w:sz w:val="32"/>
          <w:szCs w:val="32"/>
          <w:shd w:val="clear" w:color="auto" w:fill="FFFFFF"/>
        </w:rPr>
        <w:t>运行，较好地完成了2020年度决算编制工作，但仍存在预算编制、预算执行不够完善，绩效管理工作有待加强等问题。</w:t>
      </w:r>
    </w:p>
    <w:p w14:paraId="2140C1E3" w14:textId="77777777" w:rsidR="00521A05" w:rsidRDefault="00000000">
      <w:pPr>
        <w:pStyle w:val="ac"/>
        <w:shd w:val="clear" w:color="auto" w:fill="FFFFFF"/>
        <w:spacing w:before="0" w:beforeAutospacing="0" w:after="0" w:afterAutospacing="0" w:line="578" w:lineRule="exact"/>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在今后的工作中，我委将严格按照新《预算法》的要求，加强预算编制的科学性、合理性，</w:t>
      </w:r>
      <w:proofErr w:type="gramStart"/>
      <w:r>
        <w:rPr>
          <w:rFonts w:ascii="仿宋_GB2312" w:eastAsia="仿宋_GB2312" w:hAnsi="仿宋_GB2312" w:cs="仿宋_GB2312" w:hint="eastAsia"/>
          <w:color w:val="000000"/>
          <w:sz w:val="32"/>
          <w:szCs w:val="32"/>
          <w:shd w:val="clear" w:color="auto" w:fill="FFFFFF"/>
        </w:rPr>
        <w:t>让预算</w:t>
      </w:r>
      <w:proofErr w:type="gramEnd"/>
      <w:r>
        <w:rPr>
          <w:rFonts w:ascii="仿宋_GB2312" w:eastAsia="仿宋_GB2312" w:hAnsi="仿宋_GB2312" w:cs="仿宋_GB2312" w:hint="eastAsia"/>
          <w:color w:val="000000"/>
          <w:sz w:val="32"/>
          <w:szCs w:val="32"/>
          <w:shd w:val="clear" w:color="auto" w:fill="FFFFFF"/>
        </w:rPr>
        <w:t>编制更加贴合实际，使项目预算与工作结合更加紧密。严格按照批复预算执行，并按照单位各项工作开展进度有计划申请资金及时支付。加强预算绩效管理，增强预算约束力，做好预算支出绩效目标及各项绩效指标的细化、量化工作，用好用活各类财政资金，提高财政资金的使用效益。</w:t>
      </w:r>
    </w:p>
    <w:p w14:paraId="4C5AD41E" w14:textId="77777777" w:rsidR="00521A05" w:rsidRDefault="00000000">
      <w:pPr>
        <w:widowControl/>
        <w:spacing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建议财政部门能组织各单位财务人员到外地进行业务的培训，不断提升各单位财务人员的业务素质和职业道德。</w:t>
      </w:r>
    </w:p>
    <w:p w14:paraId="538854A5" w14:textId="77777777" w:rsidR="00521A05" w:rsidRDefault="00521A05">
      <w:pPr>
        <w:spacing w:line="578" w:lineRule="exact"/>
        <w:ind w:firstLineChars="200" w:firstLine="640"/>
        <w:rPr>
          <w:rFonts w:ascii="仿宋_GB2312" w:eastAsia="仿宋_GB2312" w:hAnsi="仿宋_GB2312" w:cs="仿宋_GB2312"/>
          <w:sz w:val="32"/>
          <w:szCs w:val="32"/>
        </w:rPr>
      </w:pPr>
    </w:p>
    <w:p w14:paraId="30241E4D" w14:textId="77777777" w:rsidR="00521A05" w:rsidRDefault="00521A05">
      <w:pPr>
        <w:spacing w:line="578" w:lineRule="exact"/>
        <w:jc w:val="left"/>
        <w:outlineLvl w:val="0"/>
        <w:rPr>
          <w:rFonts w:ascii="黑体" w:eastAsia="黑体" w:hAnsi="黑体" w:cs="黑体"/>
          <w:sz w:val="32"/>
          <w:szCs w:val="32"/>
        </w:rPr>
      </w:pPr>
      <w:bookmarkStart w:id="109" w:name="_Toc79163633"/>
      <w:bookmarkStart w:id="110" w:name="_Toc79163883"/>
    </w:p>
    <w:p w14:paraId="74AB3A13" w14:textId="77777777" w:rsidR="00521A05" w:rsidRDefault="00521A05">
      <w:pPr>
        <w:spacing w:line="578" w:lineRule="exact"/>
        <w:jc w:val="left"/>
        <w:outlineLvl w:val="0"/>
        <w:rPr>
          <w:rFonts w:ascii="黑体" w:eastAsia="黑体" w:hAnsi="黑体" w:cs="黑体"/>
          <w:sz w:val="32"/>
          <w:szCs w:val="32"/>
        </w:rPr>
      </w:pPr>
    </w:p>
    <w:p w14:paraId="67DFDD64" w14:textId="77777777" w:rsidR="00521A05" w:rsidRDefault="00521A05">
      <w:pPr>
        <w:spacing w:line="578" w:lineRule="exact"/>
        <w:jc w:val="left"/>
        <w:outlineLvl w:val="0"/>
        <w:rPr>
          <w:rFonts w:ascii="黑体" w:eastAsia="黑体" w:hAnsi="黑体" w:cs="黑体"/>
          <w:sz w:val="32"/>
          <w:szCs w:val="32"/>
        </w:rPr>
      </w:pPr>
    </w:p>
    <w:p w14:paraId="123D3426" w14:textId="77777777" w:rsidR="00521A05" w:rsidRDefault="00521A05">
      <w:pPr>
        <w:spacing w:line="578" w:lineRule="exact"/>
        <w:jc w:val="left"/>
        <w:outlineLvl w:val="0"/>
        <w:rPr>
          <w:rFonts w:ascii="黑体" w:eastAsia="黑体" w:hAnsi="黑体" w:cs="黑体"/>
          <w:sz w:val="32"/>
          <w:szCs w:val="32"/>
        </w:rPr>
      </w:pPr>
    </w:p>
    <w:p w14:paraId="51066215" w14:textId="77777777" w:rsidR="00521A05" w:rsidRDefault="00521A05">
      <w:pPr>
        <w:spacing w:line="578" w:lineRule="exact"/>
        <w:jc w:val="left"/>
        <w:outlineLvl w:val="0"/>
        <w:rPr>
          <w:rFonts w:ascii="黑体" w:eastAsia="黑体" w:hAnsi="黑体" w:cs="黑体"/>
          <w:sz w:val="32"/>
          <w:szCs w:val="32"/>
        </w:rPr>
      </w:pPr>
    </w:p>
    <w:p w14:paraId="7CED9605" w14:textId="77777777" w:rsidR="00521A05" w:rsidRDefault="00521A05">
      <w:pPr>
        <w:spacing w:line="578" w:lineRule="exact"/>
        <w:jc w:val="left"/>
        <w:outlineLvl w:val="0"/>
        <w:rPr>
          <w:rFonts w:ascii="黑体" w:eastAsia="黑体" w:hAnsi="黑体" w:cs="黑体"/>
          <w:sz w:val="32"/>
          <w:szCs w:val="32"/>
        </w:rPr>
      </w:pPr>
    </w:p>
    <w:p w14:paraId="41A12837" w14:textId="77777777" w:rsidR="00521A05" w:rsidRDefault="00521A05">
      <w:pPr>
        <w:spacing w:line="578" w:lineRule="exact"/>
        <w:jc w:val="left"/>
        <w:outlineLvl w:val="0"/>
        <w:rPr>
          <w:rFonts w:ascii="黑体" w:eastAsia="黑体" w:hAnsi="黑体" w:cs="黑体"/>
          <w:sz w:val="32"/>
          <w:szCs w:val="32"/>
        </w:rPr>
      </w:pPr>
    </w:p>
    <w:p w14:paraId="5E909D1F" w14:textId="77777777" w:rsidR="00521A05" w:rsidRDefault="00521A05">
      <w:pPr>
        <w:spacing w:line="578" w:lineRule="exact"/>
        <w:jc w:val="left"/>
        <w:outlineLvl w:val="0"/>
        <w:rPr>
          <w:rFonts w:ascii="黑体" w:eastAsia="黑体" w:hAnsi="黑体" w:cs="黑体"/>
          <w:sz w:val="32"/>
          <w:szCs w:val="32"/>
        </w:rPr>
      </w:pPr>
    </w:p>
    <w:p w14:paraId="6CE8919D" w14:textId="77777777" w:rsidR="00521A05" w:rsidRDefault="00521A05">
      <w:pPr>
        <w:spacing w:line="578" w:lineRule="exact"/>
        <w:jc w:val="left"/>
        <w:outlineLvl w:val="0"/>
        <w:rPr>
          <w:rFonts w:ascii="黑体" w:eastAsia="黑体" w:hAnsi="黑体" w:cs="黑体"/>
          <w:sz w:val="32"/>
          <w:szCs w:val="32"/>
        </w:rPr>
      </w:pPr>
    </w:p>
    <w:p w14:paraId="31272EB2" w14:textId="77777777" w:rsidR="00521A05" w:rsidRDefault="00000000">
      <w:pPr>
        <w:spacing w:line="578" w:lineRule="exact"/>
        <w:jc w:val="center"/>
        <w:outlineLvl w:val="0"/>
        <w:rPr>
          <w:rStyle w:val="10"/>
          <w:rFonts w:ascii="黑体" w:eastAsia="黑体" w:hAnsi="黑体"/>
          <w:b w:val="0"/>
        </w:rPr>
      </w:pPr>
      <w:bookmarkStart w:id="111" w:name="_Toc15396618"/>
      <w:bookmarkStart w:id="112" w:name="_Toc79163635"/>
      <w:bookmarkStart w:id="113" w:name="_Toc79163885"/>
      <w:bookmarkEnd w:id="109"/>
      <w:bookmarkEnd w:id="110"/>
      <w:r>
        <w:rPr>
          <w:rFonts w:ascii="黑体" w:eastAsia="黑体" w:hAnsi="黑体" w:hint="eastAsia"/>
          <w:color w:val="000000"/>
          <w:sz w:val="44"/>
          <w:szCs w:val="44"/>
        </w:rPr>
        <w:t>第</w:t>
      </w:r>
      <w:r>
        <w:rPr>
          <w:rStyle w:val="10"/>
          <w:rFonts w:ascii="黑体" w:eastAsia="黑体" w:hAnsi="黑体" w:hint="eastAsia"/>
          <w:b w:val="0"/>
        </w:rPr>
        <w:t>五部分附表</w:t>
      </w:r>
      <w:bookmarkEnd w:id="101"/>
      <w:bookmarkEnd w:id="111"/>
      <w:bookmarkEnd w:id="112"/>
      <w:bookmarkEnd w:id="113"/>
    </w:p>
    <w:p w14:paraId="4737237A" w14:textId="77777777" w:rsidR="00521A05" w:rsidRDefault="00000000">
      <w:pPr>
        <w:pStyle w:val="2"/>
        <w:spacing w:line="578" w:lineRule="exact"/>
        <w:rPr>
          <w:rFonts w:ascii="仿宋" w:eastAsia="仿宋" w:hAnsi="仿宋"/>
          <w:color w:val="000000"/>
        </w:rPr>
      </w:pPr>
      <w:bookmarkStart w:id="114" w:name="_Toc15396619"/>
      <w:bookmarkStart w:id="115" w:name="_Toc79163636"/>
      <w:bookmarkStart w:id="116" w:name="_Toc79163886"/>
      <w:r>
        <w:rPr>
          <w:rFonts w:ascii="仿宋" w:eastAsia="仿宋" w:hAnsi="仿宋" w:hint="eastAsia"/>
          <w:b w:val="0"/>
          <w:color w:val="000000"/>
        </w:rPr>
        <w:t>一、收</w:t>
      </w:r>
      <w:r>
        <w:rPr>
          <w:rStyle w:val="20"/>
          <w:rFonts w:ascii="仿宋" w:eastAsia="仿宋" w:hAnsi="仿宋" w:hint="eastAsia"/>
        </w:rPr>
        <w:t>入支出决算总表</w:t>
      </w:r>
      <w:bookmarkEnd w:id="114"/>
      <w:bookmarkEnd w:id="115"/>
      <w:bookmarkEnd w:id="116"/>
    </w:p>
    <w:p w14:paraId="2958DDBB" w14:textId="77777777" w:rsidR="00521A05" w:rsidRDefault="00000000">
      <w:pPr>
        <w:pStyle w:val="2"/>
        <w:spacing w:line="578" w:lineRule="exact"/>
        <w:rPr>
          <w:rFonts w:ascii="仿宋" w:eastAsia="仿宋" w:hAnsi="仿宋"/>
          <w:color w:val="000000"/>
        </w:rPr>
      </w:pPr>
      <w:bookmarkStart w:id="117" w:name="_Toc15396620"/>
      <w:bookmarkStart w:id="118" w:name="_Toc79163637"/>
      <w:bookmarkStart w:id="119" w:name="_Toc79163887"/>
      <w:r>
        <w:rPr>
          <w:rFonts w:ascii="仿宋" w:eastAsia="仿宋" w:hAnsi="仿宋" w:hint="eastAsia"/>
          <w:b w:val="0"/>
          <w:color w:val="000000"/>
        </w:rPr>
        <w:t>二、收</w:t>
      </w:r>
      <w:r>
        <w:rPr>
          <w:rStyle w:val="20"/>
          <w:rFonts w:ascii="仿宋" w:eastAsia="仿宋" w:hAnsi="仿宋" w:hint="eastAsia"/>
        </w:rPr>
        <w:t>入决算表</w:t>
      </w:r>
      <w:bookmarkEnd w:id="117"/>
      <w:bookmarkEnd w:id="118"/>
      <w:bookmarkEnd w:id="119"/>
    </w:p>
    <w:p w14:paraId="513F23AD" w14:textId="77777777" w:rsidR="00521A05" w:rsidRDefault="00000000">
      <w:pPr>
        <w:pStyle w:val="2"/>
        <w:spacing w:line="578" w:lineRule="exact"/>
        <w:rPr>
          <w:rFonts w:ascii="仿宋" w:eastAsia="仿宋" w:hAnsi="仿宋"/>
          <w:color w:val="000000"/>
        </w:rPr>
      </w:pPr>
      <w:bookmarkStart w:id="120" w:name="_Toc15396621"/>
      <w:bookmarkStart w:id="121" w:name="_Toc79163638"/>
      <w:bookmarkStart w:id="122" w:name="_Toc79163888"/>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20"/>
      <w:bookmarkEnd w:id="121"/>
      <w:bookmarkEnd w:id="122"/>
    </w:p>
    <w:p w14:paraId="7E488E64" w14:textId="77777777" w:rsidR="00521A05" w:rsidRDefault="00000000">
      <w:pPr>
        <w:pStyle w:val="2"/>
        <w:spacing w:line="578" w:lineRule="exact"/>
        <w:rPr>
          <w:rFonts w:ascii="仿宋" w:eastAsia="仿宋" w:hAnsi="仿宋"/>
          <w:b w:val="0"/>
          <w:color w:val="000000"/>
        </w:rPr>
      </w:pPr>
      <w:bookmarkStart w:id="123" w:name="_Toc79163639"/>
      <w:bookmarkStart w:id="124" w:name="_Toc79163889"/>
      <w:bookmarkStart w:id="125" w:name="_Toc15396622"/>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23"/>
      <w:bookmarkEnd w:id="124"/>
      <w:bookmarkEnd w:id="125"/>
    </w:p>
    <w:p w14:paraId="408B9DC5" w14:textId="77777777" w:rsidR="00521A05" w:rsidRDefault="00000000">
      <w:pPr>
        <w:pStyle w:val="2"/>
        <w:spacing w:line="578" w:lineRule="exact"/>
        <w:rPr>
          <w:rStyle w:val="20"/>
          <w:rFonts w:ascii="仿宋" w:eastAsia="仿宋" w:hAnsi="仿宋"/>
        </w:rPr>
      </w:pPr>
      <w:bookmarkStart w:id="126" w:name="_Toc79163640"/>
      <w:bookmarkStart w:id="127" w:name="_Toc15396623"/>
      <w:bookmarkStart w:id="128" w:name="_Toc79163890"/>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29" w:name="_Toc15396624"/>
      <w:bookmarkEnd w:id="126"/>
      <w:bookmarkEnd w:id="127"/>
      <w:bookmarkEnd w:id="128"/>
    </w:p>
    <w:p w14:paraId="473069C1" w14:textId="77777777" w:rsidR="00521A05" w:rsidRDefault="00000000">
      <w:pPr>
        <w:pStyle w:val="2"/>
        <w:spacing w:line="578" w:lineRule="exact"/>
        <w:rPr>
          <w:rFonts w:ascii="仿宋" w:eastAsia="仿宋" w:hAnsi="仿宋"/>
          <w:color w:val="000000"/>
        </w:rPr>
      </w:pPr>
      <w:bookmarkStart w:id="130" w:name="_Toc79163641"/>
      <w:bookmarkStart w:id="131" w:name="_Toc79163891"/>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29"/>
      <w:bookmarkEnd w:id="130"/>
      <w:bookmarkEnd w:id="131"/>
    </w:p>
    <w:p w14:paraId="2755ED21" w14:textId="77777777" w:rsidR="00521A05" w:rsidRDefault="00000000">
      <w:pPr>
        <w:pStyle w:val="2"/>
        <w:spacing w:line="578" w:lineRule="exact"/>
        <w:rPr>
          <w:rFonts w:ascii="仿宋" w:eastAsia="仿宋" w:hAnsi="仿宋"/>
          <w:color w:val="000000"/>
        </w:rPr>
      </w:pPr>
      <w:bookmarkStart w:id="132" w:name="_Toc79163892"/>
      <w:bookmarkStart w:id="133" w:name="_Toc79163642"/>
      <w:bookmarkStart w:id="134" w:name="_Toc15396625"/>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32"/>
      <w:bookmarkEnd w:id="133"/>
      <w:bookmarkEnd w:id="134"/>
    </w:p>
    <w:p w14:paraId="2676C090" w14:textId="77777777" w:rsidR="00521A05" w:rsidRDefault="00000000">
      <w:pPr>
        <w:pStyle w:val="2"/>
        <w:spacing w:line="578" w:lineRule="exact"/>
        <w:rPr>
          <w:rFonts w:ascii="仿宋" w:eastAsia="仿宋" w:hAnsi="仿宋"/>
          <w:color w:val="000000"/>
        </w:rPr>
      </w:pPr>
      <w:bookmarkStart w:id="135" w:name="_Toc79163893"/>
      <w:bookmarkStart w:id="136" w:name="_Toc15396626"/>
      <w:bookmarkStart w:id="137" w:name="_Toc79163643"/>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35"/>
      <w:bookmarkEnd w:id="136"/>
      <w:bookmarkEnd w:id="137"/>
    </w:p>
    <w:p w14:paraId="34C62948" w14:textId="77777777" w:rsidR="00521A05" w:rsidRDefault="00000000">
      <w:pPr>
        <w:pStyle w:val="2"/>
        <w:spacing w:line="578" w:lineRule="exact"/>
        <w:rPr>
          <w:rFonts w:ascii="仿宋" w:eastAsia="仿宋" w:hAnsi="仿宋"/>
          <w:color w:val="000000"/>
        </w:rPr>
      </w:pPr>
      <w:bookmarkStart w:id="138" w:name="_Toc15396627"/>
      <w:bookmarkStart w:id="139" w:name="_Toc79163894"/>
      <w:bookmarkStart w:id="140" w:name="_Toc79163644"/>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38"/>
      <w:bookmarkEnd w:id="139"/>
      <w:bookmarkEnd w:id="140"/>
    </w:p>
    <w:p w14:paraId="312A883F" w14:textId="77777777" w:rsidR="00521A05" w:rsidRDefault="00000000">
      <w:pPr>
        <w:pStyle w:val="2"/>
        <w:spacing w:line="578" w:lineRule="exact"/>
        <w:rPr>
          <w:rFonts w:ascii="仿宋" w:eastAsia="仿宋" w:hAnsi="仿宋"/>
          <w:color w:val="000000"/>
        </w:rPr>
      </w:pPr>
      <w:bookmarkStart w:id="141" w:name="_Toc15396628"/>
      <w:bookmarkStart w:id="142" w:name="_Toc79163895"/>
      <w:bookmarkStart w:id="143" w:name="_Toc79163645"/>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41"/>
      <w:bookmarkEnd w:id="142"/>
      <w:bookmarkEnd w:id="143"/>
    </w:p>
    <w:p w14:paraId="47B9B19A" w14:textId="77777777" w:rsidR="00521A05" w:rsidRDefault="00000000">
      <w:pPr>
        <w:pStyle w:val="2"/>
        <w:spacing w:line="578" w:lineRule="exact"/>
        <w:rPr>
          <w:rFonts w:ascii="仿宋" w:eastAsia="仿宋" w:hAnsi="仿宋"/>
          <w:color w:val="000000"/>
        </w:rPr>
      </w:pPr>
      <w:bookmarkStart w:id="144" w:name="_Toc79163646"/>
      <w:bookmarkStart w:id="145" w:name="_Toc79163896"/>
      <w:bookmarkStart w:id="146" w:name="_Toc15396629"/>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44"/>
      <w:bookmarkEnd w:id="145"/>
      <w:bookmarkEnd w:id="146"/>
    </w:p>
    <w:p w14:paraId="39DF3D2F" w14:textId="77777777" w:rsidR="00521A05" w:rsidRDefault="00000000">
      <w:pPr>
        <w:pStyle w:val="2"/>
        <w:spacing w:line="578" w:lineRule="exact"/>
        <w:rPr>
          <w:rFonts w:ascii="仿宋" w:eastAsia="仿宋" w:hAnsi="仿宋"/>
          <w:color w:val="000000"/>
        </w:rPr>
      </w:pPr>
      <w:bookmarkStart w:id="147" w:name="_Toc15396630"/>
      <w:bookmarkStart w:id="148" w:name="_Toc79163647"/>
      <w:bookmarkStart w:id="149" w:name="_Toc79163897"/>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47"/>
      <w:bookmarkEnd w:id="148"/>
      <w:bookmarkEnd w:id="149"/>
    </w:p>
    <w:p w14:paraId="443AFE8E" w14:textId="77777777" w:rsidR="00521A05" w:rsidRDefault="00000000">
      <w:pPr>
        <w:pStyle w:val="2"/>
        <w:spacing w:line="578" w:lineRule="exact"/>
        <w:rPr>
          <w:rStyle w:val="20"/>
          <w:rFonts w:ascii="仿宋" w:eastAsia="仿宋" w:hAnsi="仿宋"/>
        </w:rPr>
      </w:pPr>
      <w:bookmarkStart w:id="150" w:name="_Toc79163898"/>
      <w:bookmarkStart w:id="151" w:name="_Toc15396631"/>
      <w:bookmarkStart w:id="152" w:name="_Toc79163648"/>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150"/>
      <w:bookmarkEnd w:id="151"/>
      <w:bookmarkEnd w:id="152"/>
    </w:p>
    <w:p w14:paraId="26445631" w14:textId="77777777" w:rsidR="00521A05" w:rsidRDefault="00000000">
      <w:pPr>
        <w:pStyle w:val="2"/>
        <w:spacing w:line="578" w:lineRule="exact"/>
        <w:rPr>
          <w:rStyle w:val="20"/>
          <w:rFonts w:ascii="仿宋" w:eastAsia="仿宋" w:hAnsi="仿宋"/>
        </w:rPr>
      </w:pPr>
      <w:bookmarkStart w:id="153" w:name="_Toc79163649"/>
      <w:bookmarkStart w:id="154" w:name="_Toc79163899"/>
      <w:r>
        <w:rPr>
          <w:rStyle w:val="20"/>
          <w:rFonts w:ascii="仿宋" w:eastAsia="仿宋" w:hAnsi="仿宋" w:hint="eastAsia"/>
        </w:rPr>
        <w:t>十四、国有资本经营预算财政拨款支出决算表</w:t>
      </w:r>
      <w:bookmarkEnd w:id="153"/>
      <w:bookmarkEnd w:id="154"/>
    </w:p>
    <w:sectPr w:rsidR="00521A05">
      <w:headerReference w:type="default" r:id="rId13"/>
      <w:footerReference w:type="defaul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6C173" w14:textId="77777777" w:rsidR="00295601" w:rsidRDefault="00295601">
      <w:r>
        <w:separator/>
      </w:r>
    </w:p>
  </w:endnote>
  <w:endnote w:type="continuationSeparator" w:id="0">
    <w:p w14:paraId="71B5D36E" w14:textId="77777777" w:rsidR="00295601" w:rsidRDefault="0029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AF0E" w14:textId="77777777" w:rsidR="00521A05" w:rsidRDefault="00000000">
    <w:pPr>
      <w:pStyle w:val="a8"/>
      <w:jc w:val="center"/>
    </w:pPr>
    <w:r>
      <w:pict w14:anchorId="0E03DBE3">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451747FD" w14:textId="77777777" w:rsidR="00521A05" w:rsidRDefault="00000000">
                <w:pPr>
                  <w:pStyle w:val="a8"/>
                  <w:jc w:val="center"/>
                </w:pPr>
                <w:r>
                  <w:fldChar w:fldCharType="begin"/>
                </w:r>
                <w:r>
                  <w:instrText>PAGE   \* MERGEFORMAT</w:instrText>
                </w:r>
                <w:r>
                  <w:fldChar w:fldCharType="separate"/>
                </w:r>
                <w:r>
                  <w:rPr>
                    <w:lang w:val="zh-CN"/>
                  </w:rPr>
                  <w:t>7</w:t>
                </w:r>
                <w:r>
                  <w:fldChar w:fldCharType="end"/>
                </w:r>
              </w:p>
            </w:txbxContent>
          </v:textbox>
          <w10:wrap anchorx="margin"/>
        </v:shape>
      </w:pict>
    </w:r>
  </w:p>
  <w:p w14:paraId="79C36C4C" w14:textId="77777777" w:rsidR="00521A05" w:rsidRDefault="00521A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2FE8" w14:textId="77777777" w:rsidR="00295601" w:rsidRDefault="00295601">
      <w:r>
        <w:separator/>
      </w:r>
    </w:p>
  </w:footnote>
  <w:footnote w:type="continuationSeparator" w:id="0">
    <w:p w14:paraId="26FC4780" w14:textId="77777777" w:rsidR="00295601" w:rsidRDefault="0029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3A61" w14:textId="77777777" w:rsidR="00521A05" w:rsidRDefault="00521A05">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3" w15:restartNumberingAfterBreak="0">
    <w:nsid w:val="5E01D44C"/>
    <w:multiLevelType w:val="singleLevel"/>
    <w:tmpl w:val="5E01D44C"/>
    <w:lvl w:ilvl="0">
      <w:start w:val="2"/>
      <w:numFmt w:val="decimal"/>
      <w:suff w:val="nothing"/>
      <w:lvlText w:val="%1．"/>
      <w:lvlJc w:val="left"/>
    </w:lvl>
  </w:abstractNum>
  <w:abstractNum w:abstractNumId="4" w15:restartNumberingAfterBreak="0">
    <w:nsid w:val="5E030315"/>
    <w:multiLevelType w:val="singleLevel"/>
    <w:tmpl w:val="5E030315"/>
    <w:lvl w:ilvl="0">
      <w:start w:val="2"/>
      <w:numFmt w:val="chineseCounting"/>
      <w:suff w:val="nothing"/>
      <w:lvlText w:val="（%1）"/>
      <w:lvlJc w:val="left"/>
    </w:lvl>
  </w:abstractNum>
  <w:num w:numId="1" w16cid:durableId="596521197">
    <w:abstractNumId w:val="3"/>
  </w:num>
  <w:num w:numId="2" w16cid:durableId="1044448048">
    <w:abstractNumId w:val="2"/>
  </w:num>
  <w:num w:numId="3" w16cid:durableId="1374425210">
    <w:abstractNumId w:val="0"/>
  </w:num>
  <w:num w:numId="4" w16cid:durableId="1686900767">
    <w:abstractNumId w:val="1"/>
  </w:num>
  <w:num w:numId="5" w16cid:durableId="1603297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mM2Mzk4N2FiN2YzNTA5OGE3MWIzNmVhMTNmZDBiO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95601"/>
    <w:rsid w:val="002A31DE"/>
    <w:rsid w:val="002B2613"/>
    <w:rsid w:val="002B2FF7"/>
    <w:rsid w:val="002D3569"/>
    <w:rsid w:val="002D6D05"/>
    <w:rsid w:val="002F1818"/>
    <w:rsid w:val="002F567B"/>
    <w:rsid w:val="00315A0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1A05"/>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268"/>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74E2"/>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4BC193E"/>
    <w:rsid w:val="0681001E"/>
    <w:rsid w:val="0A2032A3"/>
    <w:rsid w:val="0ED04FD5"/>
    <w:rsid w:val="0ED90EA6"/>
    <w:rsid w:val="10C055FF"/>
    <w:rsid w:val="118107EC"/>
    <w:rsid w:val="14790F4A"/>
    <w:rsid w:val="16BB723D"/>
    <w:rsid w:val="1D155CEE"/>
    <w:rsid w:val="1ED87BC6"/>
    <w:rsid w:val="240371BF"/>
    <w:rsid w:val="298E441C"/>
    <w:rsid w:val="29FD04D3"/>
    <w:rsid w:val="2B81390C"/>
    <w:rsid w:val="319F7F4E"/>
    <w:rsid w:val="3501383E"/>
    <w:rsid w:val="4ECE2238"/>
    <w:rsid w:val="56262255"/>
    <w:rsid w:val="5FAE3769"/>
    <w:rsid w:val="697532C0"/>
    <w:rsid w:val="6A9B6AD1"/>
    <w:rsid w:val="6B266068"/>
    <w:rsid w:val="6C4A05C8"/>
    <w:rsid w:val="72734D90"/>
    <w:rsid w:val="7FD74F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14BF7C5"/>
  <w15:docId w15:val="{2DC25E18-1C34-4198-BEE9-ED23DDC9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uiPriority w:val="99"/>
    <w:unhideWhenUsed/>
    <w:qFormat/>
    <w:pPr>
      <w:spacing w:before="100" w:beforeAutospacing="1" w:after="100" w:afterAutospacing="1"/>
      <w:ind w:leftChars="200" w:left="400" w:hangingChars="200" w:hanging="200"/>
    </w:pPr>
    <w:rPr>
      <w:kern w:val="0"/>
      <w:sz w:val="20"/>
      <w:szCs w:val="21"/>
    </w:r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4">
    <w:name w:val="Body Text"/>
    <w:basedOn w:val="a"/>
    <w:link w:val="a5"/>
    <w:uiPriority w:val="99"/>
    <w:qFormat/>
    <w:pPr>
      <w:spacing w:beforeLines="30"/>
    </w:pPr>
    <w:rPr>
      <w:rFonts w:ascii="仿宋_GB2312" w:eastAsia="仿宋_GB2312"/>
      <w:kern w:val="0"/>
      <w:sz w:val="24"/>
      <w:szCs w:val="20"/>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20"/>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basedOn w:val="a1"/>
    <w:uiPriority w:val="99"/>
    <w:qFormat/>
    <w:rPr>
      <w:rFonts w:cs="Times New Roman"/>
      <w:b/>
    </w:rPr>
  </w:style>
  <w:style w:type="character" w:styleId="ae">
    <w:name w:val="Hyperlink"/>
    <w:basedOn w:val="a1"/>
    <w:uiPriority w:val="99"/>
    <w:unhideWhenUsed/>
    <w:qFormat/>
    <w:rPr>
      <w:rFonts w:cs="Times New Roman"/>
      <w:color w:val="0000FF"/>
      <w:u w:val="single"/>
    </w:rPr>
  </w:style>
  <w:style w:type="character" w:customStyle="1" w:styleId="10">
    <w:name w:val="标题 1 字符"/>
    <w:basedOn w:val="a1"/>
    <w:link w:val="1"/>
    <w:uiPriority w:val="9"/>
    <w:qFormat/>
    <w:locked/>
    <w:rPr>
      <w:rFonts w:ascii="Times New Roman" w:hAnsi="Times New Roman" w:cs="Times New Roman"/>
      <w:b/>
      <w:bCs/>
      <w:kern w:val="44"/>
      <w:sz w:val="44"/>
      <w:szCs w:val="44"/>
    </w:rPr>
  </w:style>
  <w:style w:type="character" w:customStyle="1" w:styleId="20">
    <w:name w:val="标题 2 字符"/>
    <w:basedOn w:val="a1"/>
    <w:link w:val="2"/>
    <w:uiPriority w:val="9"/>
    <w:qFormat/>
    <w:locked/>
    <w:rPr>
      <w:rFonts w:ascii="Cambria" w:eastAsia="宋体" w:hAnsi="Cambria" w:cs="Times New Roman"/>
      <w:b/>
      <w:bCs/>
      <w:kern w:val="2"/>
      <w:sz w:val="32"/>
      <w:szCs w:val="32"/>
    </w:rPr>
  </w:style>
  <w:style w:type="character" w:customStyle="1" w:styleId="30">
    <w:name w:val="标题 3 字符"/>
    <w:basedOn w:val="a1"/>
    <w:link w:val="3"/>
    <w:uiPriority w:val="9"/>
    <w:qFormat/>
    <w:locked/>
    <w:rPr>
      <w:rFonts w:ascii="Times New Roman" w:hAnsi="Times New Roman" w:cs="Times New Roman"/>
      <w:b/>
      <w:bCs/>
      <w:kern w:val="2"/>
      <w:sz w:val="32"/>
      <w:szCs w:val="32"/>
    </w:rPr>
  </w:style>
  <w:style w:type="character" w:customStyle="1" w:styleId="BodyTextChar">
    <w:name w:val="Body Text Char"/>
    <w:basedOn w:val="a1"/>
    <w:uiPriority w:val="99"/>
    <w:semiHidden/>
    <w:qFormat/>
    <w:rPr>
      <w:rFonts w:ascii="Times New Roman" w:hAnsi="Times New Roman" w:cs="Times New Roman"/>
      <w:sz w:val="24"/>
      <w:szCs w:val="24"/>
    </w:rPr>
  </w:style>
  <w:style w:type="character" w:customStyle="1" w:styleId="a7">
    <w:name w:val="批注框文本 字符"/>
    <w:basedOn w:val="a1"/>
    <w:link w:val="a6"/>
    <w:uiPriority w:val="99"/>
    <w:semiHidden/>
    <w:qFormat/>
    <w:locked/>
    <w:rPr>
      <w:rFonts w:ascii="Times New Roman" w:hAnsi="Times New Roman" w:cs="Times New Roman"/>
      <w:kern w:val="2"/>
      <w:sz w:val="18"/>
      <w:szCs w:val="18"/>
    </w:rPr>
  </w:style>
  <w:style w:type="character" w:customStyle="1" w:styleId="FooterChar">
    <w:name w:val="Footer Char"/>
    <w:basedOn w:val="a1"/>
    <w:uiPriority w:val="99"/>
    <w:semiHidden/>
    <w:qFormat/>
    <w:rPr>
      <w:rFonts w:ascii="Times New Roman" w:hAnsi="Times New Roman" w:cs="Times New Roman"/>
      <w:sz w:val="18"/>
      <w:szCs w:val="18"/>
    </w:rPr>
  </w:style>
  <w:style w:type="character" w:customStyle="1" w:styleId="HeaderChar">
    <w:name w:val="Header Char"/>
    <w:basedOn w:val="a1"/>
    <w:uiPriority w:val="99"/>
    <w:semiHidden/>
    <w:qFormat/>
    <w:rPr>
      <w:rFonts w:ascii="Times New Roman" w:hAnsi="Times New Roman" w:cs="Times New Roman"/>
      <w:sz w:val="18"/>
      <w:szCs w:val="18"/>
    </w:rPr>
  </w:style>
  <w:style w:type="character" w:customStyle="1" w:styleId="ab">
    <w:name w:val="页眉 字符"/>
    <w:link w:val="aa"/>
    <w:uiPriority w:val="99"/>
    <w:semiHidden/>
    <w:qFormat/>
    <w:locked/>
    <w:rPr>
      <w:sz w:val="18"/>
    </w:rPr>
  </w:style>
  <w:style w:type="character" w:customStyle="1" w:styleId="a9">
    <w:name w:val="页脚 字符"/>
    <w:link w:val="a8"/>
    <w:uiPriority w:val="99"/>
    <w:qFormat/>
    <w:locked/>
    <w:rPr>
      <w:sz w:val="18"/>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9E9CAE55-CD1B-4B4A-B759-66D9AAD605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2207</Words>
  <Characters>12582</Characters>
  <Application>Microsoft Office Word</Application>
  <DocSecurity>0</DocSecurity>
  <Lines>104</Lines>
  <Paragraphs>29</Paragraphs>
  <ScaleCrop>false</ScaleCrop>
  <Company>四川省财政厅</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3</cp:revision>
  <cp:lastPrinted>2021-09-17T00:45:00Z</cp:lastPrinted>
  <dcterms:created xsi:type="dcterms:W3CDTF">2021-09-16T08:44:00Z</dcterms:created>
  <dcterms:modified xsi:type="dcterms:W3CDTF">2023-07-27T00:50:00Z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900AA322EEFD4B3382CBA841E9D74BE1_12</vt:lpwstr>
  </property>
</Properties>
</file>