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42E4B">
      <w:pPr>
        <w:suppressAutoHyphens/>
        <w:spacing w:after="140" w:line="276" w:lineRule="auto"/>
        <w:jc w:val="center"/>
        <w:rPr>
          <w:rFonts w:hint="eastAsia" w:ascii="方正小标宋简体" w:hAnsi="宋体" w:eastAsia="方正小标宋简体" w:cs="Times New Roman"/>
          <w:sz w:val="44"/>
          <w:szCs w:val="44"/>
        </w:rPr>
      </w:pPr>
    </w:p>
    <w:p w14:paraId="2A40DB50">
      <w:pPr>
        <w:suppressAutoHyphens/>
        <w:spacing w:after="140" w:line="276" w:lineRule="auto"/>
        <w:jc w:val="center"/>
        <w:rPr>
          <w:rFonts w:hint="eastAsia" w:ascii="方正小标宋简体" w:hAnsi="宋体" w:eastAsia="方正小标宋简体" w:cs="Times New Roman"/>
          <w:sz w:val="44"/>
          <w:szCs w:val="44"/>
        </w:rPr>
      </w:pPr>
    </w:p>
    <w:p w14:paraId="076924CA">
      <w:pPr>
        <w:suppressAutoHyphens/>
        <w:spacing w:after="140" w:line="276" w:lineRule="auto"/>
        <w:jc w:val="center"/>
        <w:rPr>
          <w:rFonts w:hint="eastAsia" w:ascii="方正小标宋简体" w:hAnsi="宋体" w:eastAsia="方正小标宋简体" w:cs="Times New Roman"/>
          <w:sz w:val="44"/>
          <w:szCs w:val="44"/>
        </w:rPr>
      </w:pPr>
    </w:p>
    <w:p w14:paraId="3F283E7A">
      <w:pPr>
        <w:suppressAutoHyphens/>
        <w:spacing w:after="140" w:line="276" w:lineRule="auto"/>
        <w:jc w:val="center"/>
        <w:rPr>
          <w:rFonts w:hint="eastAsia" w:ascii="方正小标宋简体" w:hAnsi="宋体" w:eastAsia="方正小标宋简体" w:cs="Times New Roman"/>
          <w:sz w:val="44"/>
          <w:szCs w:val="44"/>
        </w:rPr>
      </w:pPr>
    </w:p>
    <w:p w14:paraId="611BF1B3">
      <w:pPr>
        <w:suppressAutoHyphens/>
        <w:spacing w:after="140" w:line="276" w:lineRule="auto"/>
        <w:jc w:val="center"/>
        <w:rPr>
          <w:rFonts w:hint="eastAsia" w:ascii="方正小标宋简体" w:hAnsi="宋体" w:eastAsia="方正小标宋简体" w:cs="Times New Roman"/>
          <w:sz w:val="44"/>
          <w:szCs w:val="44"/>
        </w:rPr>
      </w:pPr>
    </w:p>
    <w:p w14:paraId="17B94F36">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w:t>
      </w:r>
      <w:r>
        <w:rPr>
          <w:rFonts w:hint="eastAsia" w:ascii="方正小标宋简体" w:hAnsi="宋体" w:eastAsia="方正小标宋简体" w:cs="Times New Roman"/>
          <w:sz w:val="44"/>
          <w:szCs w:val="44"/>
          <w:lang w:val="en-US" w:eastAsia="zh-CN"/>
        </w:rPr>
        <w:t>4</w:t>
      </w:r>
      <w:r>
        <w:rPr>
          <w:rFonts w:hint="eastAsia" w:ascii="方正小标宋简体" w:hAnsi="宋体" w:eastAsia="方正小标宋简体" w:cs="Times New Roman"/>
          <w:sz w:val="44"/>
          <w:szCs w:val="44"/>
        </w:rPr>
        <w:t>年度四川省阿坝州松潘县</w:t>
      </w:r>
    </w:p>
    <w:p w14:paraId="20F6642B">
      <w:pPr>
        <w:suppressAutoHyphens/>
        <w:spacing w:after="140" w:line="276" w:lineRule="auto"/>
        <w:jc w:val="center"/>
        <w:rPr>
          <w:rFonts w:hint="default"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rPr>
        <w:t>政协委员信息服务中心决算</w:t>
      </w:r>
      <w:r>
        <w:rPr>
          <w:rFonts w:hint="eastAsia" w:ascii="方正小标宋简体" w:hAnsi="宋体" w:eastAsia="方正小标宋简体" w:cs="Times New Roman"/>
          <w:sz w:val="44"/>
          <w:szCs w:val="44"/>
          <w:lang w:val="en-US" w:eastAsia="zh-CN"/>
        </w:rPr>
        <w:t>公开报告</w:t>
      </w:r>
    </w:p>
    <w:p w14:paraId="0038BF88">
      <w:pPr>
        <w:suppressAutoHyphens/>
        <w:spacing w:after="140" w:line="276" w:lineRule="auto"/>
        <w:jc w:val="center"/>
        <w:rPr>
          <w:rFonts w:ascii="黑体" w:hAnsi="黑体" w:eastAsia="黑体" w:cs="Times New Roman"/>
          <w:sz w:val="48"/>
          <w:szCs w:val="48"/>
        </w:rPr>
      </w:pPr>
      <w:r>
        <w:rPr>
          <w:rFonts w:ascii="方正小标宋简体" w:hAnsi="宋体" w:eastAsia="方正小标宋简体" w:cs="Times New Roman"/>
          <w:sz w:val="36"/>
          <w:szCs w:val="36"/>
        </w:rPr>
        <w:br w:type="page"/>
      </w:r>
      <w:r>
        <w:rPr>
          <w:rFonts w:hint="eastAsia" w:ascii="黑体" w:hAnsi="黑体" w:eastAsia="黑体" w:cs="Times New Roman"/>
          <w:sz w:val="48"/>
          <w:szCs w:val="48"/>
        </w:rPr>
        <w:t>目录</w:t>
      </w:r>
    </w:p>
    <w:p w14:paraId="2668AC5C">
      <w:pPr>
        <w:widowControl/>
        <w:suppressAutoHyphens/>
        <w:jc w:val="center"/>
        <w:rPr>
          <w:rFonts w:ascii="黑体" w:hAnsi="黑体" w:eastAsia="黑体" w:cs="Times New Roman"/>
          <w:sz w:val="28"/>
          <w:szCs w:val="28"/>
        </w:rPr>
      </w:pPr>
    </w:p>
    <w:p w14:paraId="16FCFA34">
      <w:pPr>
        <w:tabs>
          <w:tab w:val="right" w:leader="dot" w:pos="8296"/>
        </w:tabs>
        <w:suppressAutoHyphens/>
        <w:spacing w:before="93"/>
        <w:jc w:val="center"/>
        <w:rPr>
          <w:rFonts w:hint="eastAsia" w:ascii="宋体" w:hAnsi="宋体" w:eastAsia="宋体" w:cs="宋体"/>
          <w:sz w:val="28"/>
          <w:szCs w:val="28"/>
        </w:rPr>
      </w:pPr>
      <w:r>
        <w:rPr>
          <w:rFonts w:hint="eastAsia" w:ascii="宋体" w:hAnsi="宋体" w:eastAsia="宋体" w:cs="宋体"/>
          <w:sz w:val="28"/>
          <w:szCs w:val="28"/>
        </w:rPr>
        <w:t>公开时间：202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 1</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14:paraId="25FFBB09">
      <w:pPr>
        <w:suppressAutoHyphens/>
        <w:rPr>
          <w:rFonts w:ascii="Calibri" w:hAnsi="Calibri" w:eastAsia="宋体" w:cs="Times New Roman"/>
          <w:szCs w:val="24"/>
        </w:rPr>
      </w:pPr>
    </w:p>
    <w:p w14:paraId="2464DA5A">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第一部分 单位概况</w:t>
      </w:r>
    </w:p>
    <w:p w14:paraId="6E4F12D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一、主要职责</w:t>
      </w:r>
      <w:r>
        <w:rPr>
          <w:rFonts w:hint="eastAsia" w:ascii="宋体" w:hAnsi="宋体" w:eastAsia="宋体" w:cs="宋体"/>
          <w:sz w:val="24"/>
          <w:szCs w:val="24"/>
          <w:lang w:val="en-US" w:eastAsia="zh-CN"/>
        </w:rPr>
        <w:t>.......................................... ...........1</w:t>
      </w:r>
    </w:p>
    <w:p w14:paraId="1F735E5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二、机构设置</w:t>
      </w:r>
      <w:r>
        <w:rPr>
          <w:rFonts w:hint="eastAsia" w:ascii="宋体" w:hAnsi="宋体" w:eastAsia="宋体" w:cs="宋体"/>
          <w:sz w:val="24"/>
          <w:szCs w:val="24"/>
          <w:lang w:val="en-US" w:eastAsia="zh-CN"/>
        </w:rPr>
        <w:t>.....................................................1</w:t>
      </w:r>
    </w:p>
    <w:p w14:paraId="4C4D2846">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第二部分 202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年度单位决算情况说明</w:t>
      </w:r>
    </w:p>
    <w:p w14:paraId="446E1417">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一、收入支出决算总体情况说明</w:t>
      </w:r>
      <w:r>
        <w:rPr>
          <w:rFonts w:hint="eastAsia" w:ascii="宋体" w:hAnsi="宋体" w:eastAsia="宋体" w:cs="宋体"/>
          <w:sz w:val="24"/>
          <w:szCs w:val="24"/>
          <w:lang w:val="en-US" w:eastAsia="zh-CN"/>
        </w:rPr>
        <w:t>.....................................1</w:t>
      </w:r>
    </w:p>
    <w:p w14:paraId="3315B0FD">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二、收入决算情况说明</w:t>
      </w:r>
      <w:r>
        <w:rPr>
          <w:rFonts w:hint="eastAsia" w:ascii="宋体" w:hAnsi="宋体" w:eastAsia="宋体" w:cs="宋体"/>
          <w:sz w:val="24"/>
          <w:szCs w:val="24"/>
          <w:lang w:val="en-US" w:eastAsia="zh-CN"/>
        </w:rPr>
        <w:t>...........................................1-2</w:t>
      </w:r>
    </w:p>
    <w:p w14:paraId="15F9E2C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三、支出决算情况说明</w:t>
      </w:r>
      <w:r>
        <w:rPr>
          <w:rFonts w:hint="eastAsia" w:ascii="宋体" w:hAnsi="宋体" w:eastAsia="宋体" w:cs="宋体"/>
          <w:sz w:val="24"/>
          <w:szCs w:val="24"/>
          <w:lang w:val="en-US" w:eastAsia="zh-CN"/>
        </w:rPr>
        <w:t>............ ................................2</w:t>
      </w:r>
    </w:p>
    <w:p w14:paraId="011CCCB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lang w:val="en-US" w:eastAsia="zh-CN"/>
        </w:rPr>
        <w:t>.............................2</w:t>
      </w:r>
    </w:p>
    <w:p w14:paraId="534EE9B5">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lang w:val="en-US" w:eastAsia="zh-CN"/>
        </w:rPr>
        <w:t>...................... .2-3</w:t>
      </w:r>
    </w:p>
    <w:p w14:paraId="169D420D">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lang w:val="en-US" w:eastAsia="zh-CN"/>
        </w:rPr>
        <w:t>...................3-4</w:t>
      </w:r>
    </w:p>
    <w:p w14:paraId="3430FE83">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七、财政拨款“三公”经费支出决算情况说明</w:t>
      </w:r>
      <w:r>
        <w:rPr>
          <w:rFonts w:hint="eastAsia" w:ascii="宋体" w:hAnsi="宋体" w:eastAsia="宋体" w:cs="宋体"/>
          <w:sz w:val="24"/>
          <w:szCs w:val="24"/>
          <w:lang w:val="en-US" w:eastAsia="zh-CN"/>
        </w:rPr>
        <w:t>........................4-5</w:t>
      </w:r>
    </w:p>
    <w:p w14:paraId="21A345DA">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lang w:val="en-US" w:eastAsia="zh-CN"/>
        </w:rPr>
        <w:t>...............................5</w:t>
      </w:r>
    </w:p>
    <w:p w14:paraId="6661175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九、国有资本经营预算支出决算情况说明</w:t>
      </w:r>
      <w:r>
        <w:rPr>
          <w:rFonts w:hint="eastAsia" w:ascii="宋体" w:hAnsi="宋体" w:eastAsia="宋体" w:cs="宋体"/>
          <w:sz w:val="24"/>
          <w:szCs w:val="24"/>
          <w:lang w:val="en-US" w:eastAsia="zh-CN"/>
        </w:rPr>
        <w:t>.......... ..................5</w:t>
      </w:r>
    </w:p>
    <w:p w14:paraId="4797DB3F">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十、其他重要事项的情况说明</w:t>
      </w:r>
      <w:r>
        <w:rPr>
          <w:rFonts w:hint="eastAsia" w:ascii="宋体" w:hAnsi="宋体" w:eastAsia="宋体" w:cs="宋体"/>
          <w:sz w:val="24"/>
          <w:szCs w:val="24"/>
          <w:lang w:val="en-US" w:eastAsia="zh-CN"/>
        </w:rPr>
        <w:t>.......................................5</w:t>
      </w:r>
    </w:p>
    <w:p w14:paraId="45B9045F">
      <w:pPr>
        <w:tabs>
          <w:tab w:val="right" w:leader="dot" w:pos="8296"/>
        </w:tabs>
        <w:suppressAutoHyphens/>
        <w:adjustRightInd w:val="0"/>
        <w:snapToGrid w:val="0"/>
        <w:spacing w:line="440" w:lineRule="exact"/>
        <w:jc w:val="left"/>
        <w:rPr>
          <w:rFonts w:hint="default" w:ascii="宋体" w:hAnsi="宋体" w:eastAsia="宋体" w:cs="宋体"/>
          <w:b/>
          <w:bCs/>
          <w:sz w:val="24"/>
          <w:szCs w:val="24"/>
          <w:lang w:val="en-US" w:eastAsia="zh-CN"/>
        </w:rPr>
      </w:pPr>
      <w:r>
        <w:rPr>
          <w:rFonts w:hint="eastAsia" w:ascii="宋体" w:hAnsi="宋体" w:eastAsia="宋体" w:cs="宋体"/>
          <w:b/>
          <w:bCs/>
          <w:sz w:val="24"/>
          <w:szCs w:val="24"/>
        </w:rPr>
        <w:t>第三部分 名词解释</w:t>
      </w:r>
      <w:r>
        <w:rPr>
          <w:rFonts w:hint="eastAsia" w:ascii="宋体" w:hAnsi="宋体" w:eastAsia="宋体" w:cs="宋体"/>
          <w:b w:val="0"/>
          <w:bCs w:val="0"/>
          <w:sz w:val="24"/>
          <w:szCs w:val="24"/>
          <w:lang w:val="en-US" w:eastAsia="zh-CN"/>
        </w:rPr>
        <w:t>...............................................  .6</w:t>
      </w:r>
    </w:p>
    <w:p w14:paraId="32EE37C5">
      <w:pPr>
        <w:tabs>
          <w:tab w:val="right" w:leader="dot" w:pos="8296"/>
        </w:tabs>
        <w:suppressAutoHyphens/>
        <w:adjustRightInd w:val="0"/>
        <w:snapToGrid w:val="0"/>
        <w:spacing w:line="440" w:lineRule="exact"/>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第四部分 附件</w:t>
      </w:r>
      <w:r>
        <w:rPr>
          <w:rFonts w:hint="eastAsia" w:ascii="宋体" w:hAnsi="宋体" w:eastAsia="宋体" w:cs="宋体"/>
          <w:b w:val="0"/>
          <w:bCs w:val="0"/>
          <w:sz w:val="24"/>
          <w:szCs w:val="24"/>
          <w:lang w:val="en-US" w:eastAsia="zh-CN"/>
        </w:rPr>
        <w:t>.......................................................7</w:t>
      </w:r>
    </w:p>
    <w:p w14:paraId="57D4656E">
      <w:pPr>
        <w:tabs>
          <w:tab w:val="right" w:leader="dot" w:pos="8296"/>
        </w:tabs>
        <w:suppressAutoHyphens/>
        <w:adjustRightInd w:val="0"/>
        <w:snapToGrid w:val="0"/>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第五部分 附表</w:t>
      </w:r>
      <w:r>
        <w:rPr>
          <w:rFonts w:hint="eastAsia" w:ascii="宋体" w:hAnsi="宋体" w:eastAsia="宋体" w:cs="宋体"/>
          <w:b w:val="0"/>
          <w:bCs w:val="0"/>
          <w:sz w:val="24"/>
          <w:szCs w:val="24"/>
          <w:lang w:val="en-US" w:eastAsia="zh-CN"/>
        </w:rPr>
        <w:t>.......................................................8</w:t>
      </w:r>
    </w:p>
    <w:p w14:paraId="15EBEDC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一、收入支出决算总表</w:t>
      </w:r>
    </w:p>
    <w:p w14:paraId="5425D0E0">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二、收入决算表</w:t>
      </w:r>
    </w:p>
    <w:p w14:paraId="5D4F100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三、支出决算表</w:t>
      </w:r>
    </w:p>
    <w:p w14:paraId="74270D8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四、财政拨款收入支出决算总表</w:t>
      </w:r>
    </w:p>
    <w:p w14:paraId="1EC6BAC5">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五、财政拨款支出决算明细表</w:t>
      </w:r>
    </w:p>
    <w:p w14:paraId="137829E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六、一般公共预算财政拨款支出决算表</w:t>
      </w:r>
    </w:p>
    <w:p w14:paraId="4BC7537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七、一般公共预算财政拨款支出决算明细表</w:t>
      </w:r>
    </w:p>
    <w:p w14:paraId="0D4087B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八、一般公共预算财政拨款基本支出决算明细表</w:t>
      </w:r>
    </w:p>
    <w:p w14:paraId="2816648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九、一般公共预算财政拨款项目支出决算表</w:t>
      </w:r>
    </w:p>
    <w:p w14:paraId="09AC995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十、政府性基金预算财政拨款收入支出决算表</w:t>
      </w:r>
    </w:p>
    <w:p w14:paraId="6B8C3357">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十一、国有资本经营预算财政拨款收入支出决算表</w:t>
      </w:r>
    </w:p>
    <w:p w14:paraId="70CD519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十二、国有资本经营预算财政拨款支出决算表</w:t>
      </w:r>
    </w:p>
    <w:p w14:paraId="560B9F7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十三、财政拨款“三公”经费支出决算表</w:t>
      </w:r>
    </w:p>
    <w:p w14:paraId="0E1E126E">
      <w:pPr>
        <w:widowControl/>
        <w:suppressAutoHyphens/>
        <w:spacing w:line="440" w:lineRule="exact"/>
        <w:ind w:firstLine="2160" w:firstLineChars="900"/>
        <w:jc w:val="left"/>
        <w:rPr>
          <w:rFonts w:hint="eastAsia" w:ascii="宋体" w:hAnsi="宋体" w:eastAsia="宋体" w:cs="宋体"/>
          <w:bCs/>
          <w:kern w:val="44"/>
          <w:sz w:val="24"/>
          <w:szCs w:val="24"/>
        </w:rPr>
        <w:sectPr>
          <w:pgSz w:w="11906" w:h="16838"/>
          <w:pgMar w:top="1440" w:right="1800" w:bottom="1440" w:left="1800" w:header="851" w:footer="992" w:gutter="0"/>
          <w:cols w:space="425" w:num="1"/>
          <w:docGrid w:type="lines" w:linePitch="312" w:charSpace="0"/>
        </w:sectPr>
      </w:pPr>
    </w:p>
    <w:p w14:paraId="5EB8E9B0">
      <w:pPr>
        <w:widowControl/>
        <w:suppressAutoHyphens/>
        <w:spacing w:line="440" w:lineRule="exact"/>
        <w:ind w:firstLine="2200" w:firstLineChars="500"/>
        <w:jc w:val="left"/>
        <w:rPr>
          <w:rFonts w:ascii="仿宋" w:hAnsi="仿宋" w:eastAsia="仿宋" w:cs="Times New Roman"/>
          <w:bCs/>
          <w:kern w:val="44"/>
          <w:sz w:val="24"/>
          <w:szCs w:val="24"/>
        </w:rPr>
      </w:pPr>
      <w:r>
        <w:rPr>
          <w:rFonts w:hint="eastAsia" w:ascii="黑体" w:hAnsi="黑体" w:eastAsia="黑体" w:cs="Times New Roman"/>
          <w:bCs/>
          <w:kern w:val="44"/>
          <w:sz w:val="44"/>
          <w:szCs w:val="44"/>
        </w:rPr>
        <w:t>第一部分 单位</w:t>
      </w:r>
      <w:r>
        <w:rPr>
          <w:rFonts w:hint="eastAsia" w:ascii="黑体" w:hAnsi="黑体" w:eastAsia="黑体" w:cs="Times New Roman"/>
          <w:kern w:val="44"/>
          <w:sz w:val="44"/>
          <w:szCs w:val="44"/>
        </w:rPr>
        <w:t>概况</w:t>
      </w:r>
    </w:p>
    <w:p w14:paraId="5B722C21">
      <w:pPr>
        <w:widowControl/>
        <w:suppressAutoHyphens/>
        <w:spacing w:line="440" w:lineRule="exact"/>
        <w:ind w:firstLine="2160" w:firstLineChars="900"/>
        <w:jc w:val="left"/>
        <w:rPr>
          <w:rFonts w:ascii="仿宋" w:hAnsi="仿宋" w:eastAsia="仿宋" w:cs="Times New Roman"/>
          <w:bCs/>
          <w:kern w:val="44"/>
          <w:sz w:val="24"/>
          <w:szCs w:val="24"/>
        </w:rPr>
      </w:pPr>
    </w:p>
    <w:p w14:paraId="66918535">
      <w:pPr>
        <w:pStyle w:val="9"/>
        <w:widowControl/>
        <w:numPr>
          <w:ilvl w:val="0"/>
          <w:numId w:val="1"/>
        </w:numPr>
        <w:suppressAutoHyphens/>
        <w:spacing w:line="440" w:lineRule="exact"/>
        <w:ind w:firstLineChars="0"/>
        <w:jc w:val="left"/>
        <w:rPr>
          <w:rFonts w:ascii="黑体" w:hAnsi="黑体" w:eastAsia="黑体" w:cs="Times New Roman"/>
          <w:bCs/>
          <w:sz w:val="32"/>
          <w:szCs w:val="32"/>
        </w:rPr>
      </w:pPr>
      <w:r>
        <w:rPr>
          <w:rFonts w:hint="eastAsia" w:ascii="黑体" w:hAnsi="黑体" w:eastAsia="黑体" w:cs="Times New Roman"/>
          <w:bCs/>
          <w:sz w:val="32"/>
          <w:szCs w:val="32"/>
        </w:rPr>
        <w:t>主要职责</w:t>
      </w:r>
    </w:p>
    <w:p w14:paraId="706200F3">
      <w:pPr>
        <w:widowControl/>
        <w:suppressAutoHyphens/>
        <w:spacing w:line="440" w:lineRule="exact"/>
        <w:ind w:firstLine="640" w:firstLineChars="200"/>
        <w:jc w:val="left"/>
        <w:rPr>
          <w:rFonts w:ascii="黑体" w:hAnsi="黑体" w:eastAsia="黑体" w:cs="Times New Roman"/>
          <w:bCs/>
          <w:sz w:val="32"/>
          <w:szCs w:val="32"/>
        </w:rPr>
      </w:pPr>
      <w:r>
        <w:rPr>
          <w:rFonts w:hint="eastAsia" w:ascii="仿宋_GB2312" w:eastAsia="仿宋_GB2312"/>
          <w:sz w:val="32"/>
          <w:szCs w:val="32"/>
        </w:rPr>
        <w:t>（一）负责县政协委员的联系工作，收集整理各界人士的意见、建议，及时向上级政协及县委、县政府反映，编辑、报送《社情民意》。</w:t>
      </w:r>
    </w:p>
    <w:p w14:paraId="20FAE039">
      <w:pPr>
        <w:adjustRightInd w:val="0"/>
        <w:snapToGrid w:val="0"/>
        <w:spacing w:line="576" w:lineRule="exact"/>
        <w:ind w:firstLine="640" w:firstLineChars="200"/>
        <w:rPr>
          <w:rFonts w:ascii="仿宋_GB2312" w:hAnsi="仿宋_GB2312" w:eastAsia="仿宋_GB2312" w:cs="仿宋_GB2312"/>
          <w:color w:val="333333"/>
          <w:sz w:val="32"/>
          <w:szCs w:val="32"/>
        </w:rPr>
      </w:pPr>
      <w:r>
        <w:rPr>
          <w:rFonts w:hint="eastAsia" w:ascii="仿宋_GB2312" w:eastAsia="仿宋_GB2312"/>
          <w:sz w:val="32"/>
          <w:szCs w:val="32"/>
        </w:rPr>
        <w:t>（二）</w:t>
      </w:r>
      <w:r>
        <w:rPr>
          <w:rFonts w:hint="eastAsia" w:ascii="仿宋_GB2312" w:hAnsi="仿宋_GB2312" w:eastAsia="仿宋_GB2312" w:cs="仿宋_GB2312"/>
          <w:color w:val="333333"/>
          <w:sz w:val="32"/>
          <w:szCs w:val="32"/>
        </w:rPr>
        <w:t>负责政协委员的培训、学习统筹及安排工作。</w:t>
      </w:r>
    </w:p>
    <w:p w14:paraId="2B4DA21A">
      <w:pPr>
        <w:pStyle w:val="9"/>
        <w:numPr>
          <w:ilvl w:val="0"/>
          <w:numId w:val="2"/>
        </w:numPr>
        <w:adjustRightInd w:val="0"/>
        <w:snapToGrid w:val="0"/>
        <w:spacing w:line="576" w:lineRule="exact"/>
        <w:ind w:firstLineChars="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负责政协委员的联络、交流、服务工作。</w:t>
      </w:r>
    </w:p>
    <w:p w14:paraId="357D492E">
      <w:pPr>
        <w:widowControl/>
        <w:autoSpaceDE w:val="0"/>
        <w:snapToGrid w:val="0"/>
        <w:spacing w:line="576" w:lineRule="exact"/>
        <w:ind w:firstLine="640" w:firstLineChars="200"/>
        <w:jc w:val="lef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（四）负责政协委员反映社情民意及其他工作的收集、汇总等工作。</w:t>
      </w:r>
    </w:p>
    <w:p w14:paraId="02C19BE8">
      <w:pPr>
        <w:widowControl/>
        <w:suppressAutoHyphens/>
        <w:spacing w:line="440" w:lineRule="exact"/>
        <w:ind w:firstLine="640" w:firstLineChars="200"/>
        <w:jc w:val="left"/>
        <w:rPr>
          <w:rFonts w:ascii="黑体" w:hAnsi="黑体" w:eastAsia="黑体" w:cs="Times New Roman"/>
          <w:bCs/>
          <w:kern w:val="44"/>
          <w:sz w:val="32"/>
          <w:szCs w:val="32"/>
        </w:rPr>
      </w:pPr>
      <w:r>
        <w:rPr>
          <w:rFonts w:hint="eastAsia" w:ascii="黑体" w:hAnsi="黑体" w:eastAsia="黑体" w:cs="Times New Roman"/>
          <w:bCs/>
          <w:sz w:val="32"/>
          <w:szCs w:val="32"/>
        </w:rPr>
        <w:t>二、机构设置</w:t>
      </w:r>
    </w:p>
    <w:p w14:paraId="4DF98A43">
      <w:pPr>
        <w:widowControl/>
        <w:pBdr>
          <w:bottom w:val="single" w:color="FFFFFF" w:sz="4" w:space="25"/>
        </w:pBdr>
        <w:autoSpaceDE w:val="0"/>
        <w:adjustRightInd w:val="0"/>
        <w:snapToGrid w:val="0"/>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阿坝州松潘县政协委员信息服务中心是松潘县政协办公室下属事业机构，是二级预算单位，是2020年成立，2022年单独拨入事业经费的预算单位。</w:t>
      </w:r>
    </w:p>
    <w:p w14:paraId="1202C561">
      <w:pPr>
        <w:widowControl/>
        <w:pBdr>
          <w:bottom w:val="single" w:color="FFFFFF" w:sz="4" w:space="25"/>
        </w:pBdr>
        <w:autoSpaceDE w:val="0"/>
        <w:adjustRightInd w:val="0"/>
        <w:snapToGrid w:val="0"/>
        <w:spacing w:line="576" w:lineRule="exact"/>
        <w:ind w:firstLine="640" w:firstLineChars="200"/>
        <w:jc w:val="left"/>
        <w:rPr>
          <w:rFonts w:hint="eastAsia" w:ascii="仿宋_GB2312" w:hAnsi="仿宋_GB2312" w:eastAsia="仿宋_GB2312" w:cs="仿宋_GB2312"/>
          <w:sz w:val="32"/>
          <w:szCs w:val="32"/>
        </w:rPr>
      </w:pPr>
    </w:p>
    <w:p w14:paraId="657DAEDD">
      <w:pPr>
        <w:widowControl/>
        <w:pBdr>
          <w:bottom w:val="single" w:color="FFFFFF" w:sz="4" w:space="25"/>
        </w:pBdr>
        <w:autoSpaceDE w:val="0"/>
        <w:adjustRightInd w:val="0"/>
        <w:snapToGrid w:val="0"/>
        <w:spacing w:line="576" w:lineRule="exact"/>
        <w:ind w:firstLine="880" w:firstLineChars="200"/>
        <w:jc w:val="left"/>
        <w:rPr>
          <w:rFonts w:hint="eastAsia" w:ascii="黑体" w:hAnsi="黑体" w:eastAsia="黑体" w:cs="Times New Roman"/>
          <w:bCs/>
          <w:kern w:val="44"/>
          <w:sz w:val="44"/>
          <w:szCs w:val="44"/>
        </w:rPr>
      </w:pPr>
      <w:r>
        <w:rPr>
          <w:rFonts w:hint="eastAsia" w:ascii="黑体" w:hAnsi="黑体" w:eastAsia="黑体" w:cs="Times New Roman"/>
          <w:bCs/>
          <w:kern w:val="44"/>
          <w:sz w:val="44"/>
          <w:szCs w:val="44"/>
        </w:rPr>
        <w:t>第二部分 202</w:t>
      </w:r>
      <w:r>
        <w:rPr>
          <w:rFonts w:hint="eastAsia" w:ascii="黑体" w:hAnsi="黑体" w:eastAsia="黑体" w:cs="Times New Roman"/>
          <w:bCs/>
          <w:kern w:val="44"/>
          <w:sz w:val="44"/>
          <w:szCs w:val="44"/>
          <w:lang w:val="en-US" w:eastAsia="zh-CN"/>
        </w:rPr>
        <w:t>4</w:t>
      </w:r>
      <w:r>
        <w:rPr>
          <w:rFonts w:hint="eastAsia" w:ascii="黑体" w:hAnsi="黑体" w:eastAsia="黑体" w:cs="Times New Roman"/>
          <w:bCs/>
          <w:kern w:val="44"/>
          <w:sz w:val="44"/>
          <w:szCs w:val="44"/>
        </w:rPr>
        <w:t>年度单位决算情况说明</w:t>
      </w:r>
    </w:p>
    <w:p w14:paraId="40A7FFD3">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一、收</w:t>
      </w:r>
      <w:r>
        <w:rPr>
          <w:rFonts w:hint="eastAsia" w:ascii="黑体" w:hAnsi="黑体" w:eastAsia="黑体" w:cs="Times New Roman"/>
          <w:bCs/>
          <w:sz w:val="32"/>
          <w:szCs w:val="32"/>
        </w:rPr>
        <w:t>入支出决算总体情况说明</w:t>
      </w:r>
    </w:p>
    <w:p w14:paraId="69333088">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年度收、支总计均为</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年度相比，收、支总计各增加</w:t>
      </w:r>
      <w:r>
        <w:rPr>
          <w:rFonts w:hint="eastAsia" w:ascii="仿宋" w:hAnsi="仿宋" w:eastAsia="仿宋" w:cs="Times New Roman"/>
          <w:sz w:val="32"/>
          <w:szCs w:val="32"/>
          <w:lang w:val="en-US" w:eastAsia="zh-CN"/>
        </w:rPr>
        <w:t>12.97</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34</w:t>
      </w:r>
      <w:r>
        <w:rPr>
          <w:rFonts w:ascii="仿宋" w:hAnsi="仿宋" w:eastAsia="仿宋" w:cs="Times New Roman"/>
          <w:sz w:val="32"/>
          <w:szCs w:val="32"/>
        </w:rPr>
        <w:t>%</w:t>
      </w:r>
      <w:r>
        <w:rPr>
          <w:rFonts w:hint="eastAsia" w:ascii="仿宋" w:hAnsi="仿宋" w:eastAsia="仿宋" w:cs="Times New Roman"/>
          <w:sz w:val="32"/>
          <w:szCs w:val="32"/>
        </w:rPr>
        <w:t>。主要变动原因是</w:t>
      </w:r>
      <w:bookmarkStart w:id="0" w:name="_Hlk176618789"/>
      <w:r>
        <w:rPr>
          <w:rFonts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5月</w:t>
      </w:r>
      <w:r>
        <w:rPr>
          <w:rFonts w:hint="eastAsia" w:ascii="仿宋" w:hAnsi="仿宋" w:eastAsia="仿宋" w:cs="Times New Roman"/>
          <w:sz w:val="32"/>
          <w:szCs w:val="32"/>
        </w:rPr>
        <w:t>有人员调进，导致人员经费增加。</w:t>
      </w:r>
    </w:p>
    <w:bookmarkEnd w:id="0"/>
    <w:p w14:paraId="40CBF077">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二、收</w:t>
      </w:r>
      <w:r>
        <w:rPr>
          <w:rFonts w:hint="eastAsia" w:ascii="黑体" w:hAnsi="黑体" w:eastAsia="黑体" w:cs="Times New Roman"/>
          <w:bCs/>
          <w:sz w:val="32"/>
          <w:szCs w:val="32"/>
        </w:rPr>
        <w:t>入决算情况说明</w:t>
      </w:r>
    </w:p>
    <w:p w14:paraId="755346AE">
      <w:pPr>
        <w:suppressAutoHyphens/>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年度本年收入合计</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万元，其中：一般公共预算财政拨款收入</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万元，占</w:t>
      </w:r>
      <w:r>
        <w:rPr>
          <w:rFonts w:ascii="仿宋" w:hAnsi="仿宋" w:eastAsia="仿宋" w:cs="Times New Roman"/>
          <w:sz w:val="32"/>
          <w:szCs w:val="32"/>
        </w:rPr>
        <w:t>100%</w:t>
      </w:r>
      <w:r>
        <w:rPr>
          <w:rFonts w:hint="eastAsia" w:ascii="仿宋" w:hAnsi="仿宋" w:eastAsia="仿宋" w:cs="Times New Roman"/>
          <w:sz w:val="32"/>
          <w:szCs w:val="32"/>
        </w:rPr>
        <w:t>；政府性基金预算财政拨款收入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；国有资本经营预算财政拨款收入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；上级补助收入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；事业收入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；附属单位上缴收入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；其他收入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773E0506">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三、支</w:t>
      </w:r>
      <w:r>
        <w:rPr>
          <w:rFonts w:hint="eastAsia" w:ascii="黑体" w:hAnsi="黑体" w:eastAsia="黑体" w:cs="Times New Roman"/>
          <w:bCs/>
          <w:sz w:val="32"/>
          <w:szCs w:val="32"/>
        </w:rPr>
        <w:t>出决算情况说明</w:t>
      </w:r>
    </w:p>
    <w:p w14:paraId="3732324C">
      <w:pPr>
        <w:suppressAutoHyphens/>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年度本年支出合计</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万元，占</w:t>
      </w:r>
      <w:r>
        <w:rPr>
          <w:rFonts w:ascii="仿宋" w:hAnsi="仿宋" w:eastAsia="仿宋" w:cs="Times New Roman"/>
          <w:sz w:val="32"/>
          <w:szCs w:val="32"/>
        </w:rPr>
        <w:t>100%</w:t>
      </w:r>
      <w:r>
        <w:rPr>
          <w:rFonts w:hint="eastAsia" w:ascii="仿宋" w:hAnsi="仿宋" w:eastAsia="仿宋" w:cs="Times New Roman"/>
          <w:sz w:val="32"/>
          <w:szCs w:val="32"/>
        </w:rPr>
        <w:t>；项目支出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；上缴上级支出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；对附属单位补助支出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4F671D61">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四、财</w:t>
      </w:r>
      <w:r>
        <w:rPr>
          <w:rFonts w:hint="eastAsia" w:ascii="黑体" w:hAnsi="黑体" w:eastAsia="黑体" w:cs="Times New Roman"/>
          <w:bCs/>
          <w:sz w:val="32"/>
          <w:szCs w:val="32"/>
        </w:rPr>
        <w:t>政拨款收入支出决算总体情况说明</w:t>
      </w:r>
    </w:p>
    <w:p w14:paraId="26D68B44">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年度财政拨款收、支总计均为</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年度相比，财政拨款收、支总计各增加</w:t>
      </w:r>
      <w:r>
        <w:rPr>
          <w:rFonts w:hint="eastAsia" w:ascii="仿宋" w:hAnsi="仿宋" w:eastAsia="仿宋" w:cs="Times New Roman"/>
          <w:sz w:val="32"/>
          <w:szCs w:val="32"/>
          <w:lang w:val="en-US" w:eastAsia="zh-CN"/>
        </w:rPr>
        <w:t>12.97</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34</w:t>
      </w:r>
      <w:r>
        <w:rPr>
          <w:rFonts w:ascii="仿宋" w:hAnsi="仿宋" w:eastAsia="仿宋" w:cs="Times New Roman"/>
          <w:sz w:val="32"/>
          <w:szCs w:val="32"/>
        </w:rPr>
        <w:t>%</w:t>
      </w:r>
      <w:r>
        <w:rPr>
          <w:rFonts w:hint="eastAsia" w:ascii="仿宋" w:hAnsi="仿宋" w:eastAsia="仿宋" w:cs="Times New Roman"/>
          <w:sz w:val="32"/>
          <w:szCs w:val="32"/>
        </w:rPr>
        <w:t>。主要变动原因是</w:t>
      </w:r>
      <w:bookmarkStart w:id="1" w:name="_Hlk176618851"/>
      <w:r>
        <w:rPr>
          <w:rFonts w:hint="eastAsia" w:ascii="仿宋" w:hAnsi="仿宋" w:eastAsia="仿宋" w:cs="Times New Roman"/>
          <w:sz w:val="32"/>
          <w:szCs w:val="32"/>
          <w:lang w:val="en-US" w:eastAsia="zh-CN"/>
        </w:rPr>
        <w:t>2024年5月</w:t>
      </w:r>
      <w:r>
        <w:rPr>
          <w:rFonts w:hint="eastAsia" w:ascii="仿宋" w:hAnsi="仿宋" w:eastAsia="仿宋" w:cs="Times New Roman"/>
          <w:sz w:val="32"/>
          <w:szCs w:val="32"/>
        </w:rPr>
        <w:t>人员调进，有人员调进，导致人员经费增加。</w:t>
      </w:r>
    </w:p>
    <w:bookmarkEnd w:id="1"/>
    <w:p w14:paraId="5FEFA990">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五、</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般公共预算财政拨款支出决算情况说明</w:t>
      </w:r>
    </w:p>
    <w:p w14:paraId="168EEE82">
      <w:pPr>
        <w:suppressAutoHyphens/>
        <w:spacing w:line="600"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（一）一般公共预算财政拨款支出决算总体情况</w:t>
      </w:r>
    </w:p>
    <w:p w14:paraId="5DD66038">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年度一般公共预算财政拨款支出</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万元，占本年支出合计的</w:t>
      </w:r>
      <w:r>
        <w:rPr>
          <w:rFonts w:ascii="仿宋" w:hAnsi="仿宋" w:eastAsia="仿宋" w:cs="Times New Roman"/>
          <w:sz w:val="32"/>
          <w:szCs w:val="32"/>
        </w:rPr>
        <w:t>100%</w:t>
      </w:r>
      <w:r>
        <w:rPr>
          <w:rFonts w:hint="eastAsia" w:ascii="仿宋" w:hAnsi="仿宋" w:eastAsia="仿宋" w:cs="Times New Roman"/>
          <w:sz w:val="32"/>
          <w:szCs w:val="32"/>
        </w:rPr>
        <w:t>。与202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年度相比，一般公共预算财政拨款支出增加</w:t>
      </w:r>
      <w:r>
        <w:rPr>
          <w:rFonts w:hint="eastAsia" w:ascii="仿宋" w:hAnsi="仿宋" w:eastAsia="仿宋" w:cs="Times New Roman"/>
          <w:sz w:val="32"/>
          <w:szCs w:val="32"/>
          <w:lang w:val="en-US" w:eastAsia="zh-CN"/>
        </w:rPr>
        <w:t>12.97</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34</w:t>
      </w:r>
      <w:r>
        <w:rPr>
          <w:rFonts w:ascii="仿宋" w:hAnsi="仿宋" w:eastAsia="仿宋" w:cs="Times New Roman"/>
          <w:sz w:val="32"/>
          <w:szCs w:val="32"/>
        </w:rPr>
        <w:t>%</w:t>
      </w:r>
      <w:r>
        <w:rPr>
          <w:rFonts w:hint="eastAsia" w:ascii="仿宋" w:hAnsi="仿宋" w:eastAsia="仿宋" w:cs="Times New Roman"/>
          <w:sz w:val="32"/>
          <w:szCs w:val="32"/>
        </w:rPr>
        <w:t>。主要变动原因是</w:t>
      </w:r>
      <w:r>
        <w:rPr>
          <w:rFonts w:ascii="仿宋" w:hAnsi="仿宋" w:eastAsia="仿宋" w:cs="Times New Roman"/>
          <w:sz w:val="32"/>
          <w:szCs w:val="32"/>
        </w:rPr>
        <w:t>202</w:t>
      </w:r>
      <w:bookmarkStart w:id="2" w:name="_Hlk176620078"/>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5月</w:t>
      </w:r>
      <w:r>
        <w:rPr>
          <w:rFonts w:hint="eastAsia" w:ascii="仿宋" w:hAnsi="仿宋" w:eastAsia="仿宋" w:cs="Times New Roman"/>
          <w:sz w:val="32"/>
          <w:szCs w:val="32"/>
        </w:rPr>
        <w:t>有人员调进，</w:t>
      </w:r>
      <w:bookmarkEnd w:id="2"/>
      <w:r>
        <w:rPr>
          <w:rFonts w:hint="eastAsia" w:ascii="仿宋" w:hAnsi="仿宋" w:eastAsia="仿宋" w:cs="Times New Roman"/>
          <w:sz w:val="32"/>
          <w:szCs w:val="32"/>
        </w:rPr>
        <w:t>导致人员经费增加。</w:t>
      </w:r>
    </w:p>
    <w:p w14:paraId="0FC28A7F">
      <w:pPr>
        <w:suppressAutoHyphens/>
        <w:spacing w:line="600"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（二）一般公共预算财政拨款支出决算结构情况</w:t>
      </w:r>
    </w:p>
    <w:p w14:paraId="799CBB89">
      <w:pPr>
        <w:suppressAutoHyphens/>
        <w:spacing w:line="600" w:lineRule="exact"/>
        <w:ind w:firstLine="640"/>
        <w:rPr>
          <w:rFonts w:hint="eastAsia" w:ascii="仿宋" w:hAnsi="仿宋" w:eastAsia="仿宋" w:cs="Times New Roman"/>
          <w:b/>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年度一般公共预算财政拨款支出</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万元，主要用于以下方面</w:t>
      </w:r>
      <w:r>
        <w:rPr>
          <w:rFonts w:hint="eastAsia" w:ascii="仿宋" w:hAnsi="仿宋" w:eastAsia="仿宋" w:cs="Times New Roman"/>
          <w:sz w:val="32"/>
          <w:szCs w:val="32"/>
          <w:lang w:eastAsia="zh-CN"/>
        </w:rPr>
        <w:t>：</w:t>
      </w:r>
      <w:r>
        <w:rPr>
          <w:rFonts w:hint="eastAsia" w:ascii="仿宋" w:hAnsi="仿宋" w:eastAsia="仿宋" w:cs="Times New Roman"/>
          <w:b/>
          <w:sz w:val="32"/>
          <w:szCs w:val="32"/>
        </w:rPr>
        <w:t>一般公共服务</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36.47</w:t>
      </w:r>
      <w:r>
        <w:rPr>
          <w:rFonts w:hint="eastAsia" w:ascii="仿宋" w:hAnsi="仿宋" w:eastAsia="仿宋" w:cs="Times New Roman"/>
          <w:sz w:val="32"/>
          <w:szCs w:val="32"/>
        </w:rPr>
        <w:t>万元，占</w:t>
      </w:r>
      <w:r>
        <w:rPr>
          <w:rFonts w:ascii="仿宋" w:hAnsi="仿宋" w:eastAsia="仿宋" w:cs="Times New Roman"/>
          <w:sz w:val="32"/>
          <w:szCs w:val="32"/>
        </w:rPr>
        <w:t>7</w:t>
      </w:r>
      <w:r>
        <w:rPr>
          <w:rFonts w:hint="eastAsia" w:ascii="仿宋" w:hAnsi="仿宋" w:eastAsia="仿宋" w:cs="Times New Roman"/>
          <w:sz w:val="32"/>
          <w:szCs w:val="32"/>
          <w:lang w:val="en-US" w:eastAsia="zh-CN"/>
        </w:rPr>
        <w:t>2</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7.27</w:t>
      </w:r>
      <w:r>
        <w:rPr>
          <w:rFonts w:hint="eastAsia" w:ascii="仿宋" w:hAnsi="仿宋" w:eastAsia="仿宋" w:cs="Times New Roman"/>
          <w:sz w:val="32"/>
          <w:szCs w:val="32"/>
        </w:rPr>
        <w:t>万元，占</w:t>
      </w:r>
      <w:r>
        <w:rPr>
          <w:rFonts w:ascii="仿宋" w:hAnsi="仿宋" w:eastAsia="仿宋" w:cs="Times New Roman"/>
          <w:sz w:val="32"/>
          <w:szCs w:val="32"/>
        </w:rPr>
        <w:t>14%</w:t>
      </w:r>
      <w:r>
        <w:rPr>
          <w:rFonts w:hint="eastAsia" w:ascii="仿宋" w:hAnsi="仿宋" w:eastAsia="仿宋" w:cs="Times New Roman"/>
          <w:sz w:val="32"/>
          <w:szCs w:val="32"/>
        </w:rPr>
        <w:t>；</w:t>
      </w:r>
      <w:r>
        <w:rPr>
          <w:rFonts w:hint="eastAsia" w:ascii="仿宋" w:hAnsi="仿宋" w:eastAsia="仿宋" w:cs="Times New Roman"/>
          <w:b/>
          <w:bCs/>
          <w:sz w:val="32"/>
          <w:szCs w:val="32"/>
        </w:rPr>
        <w:t>卫生健康支出</w:t>
      </w:r>
      <w:r>
        <w:rPr>
          <w:rFonts w:hint="eastAsia" w:ascii="仿宋" w:hAnsi="仿宋" w:eastAsia="仿宋" w:cs="Times New Roman"/>
          <w:sz w:val="32"/>
          <w:szCs w:val="32"/>
          <w:lang w:val="en-US" w:eastAsia="zh-CN"/>
        </w:rPr>
        <w:t>2.89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6</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住房保障支出</w:t>
      </w:r>
      <w:r>
        <w:rPr>
          <w:rFonts w:hint="eastAsia" w:ascii="仿宋" w:hAnsi="仿宋" w:eastAsia="仿宋" w:cs="Times New Roman"/>
          <w:sz w:val="32"/>
          <w:szCs w:val="32"/>
          <w:lang w:val="en-US" w:eastAsia="zh-CN"/>
        </w:rPr>
        <w:t>4.2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w:t>
      </w:r>
    </w:p>
    <w:p w14:paraId="68FEC8B9">
      <w:pPr>
        <w:suppressAutoHyphens/>
        <w:spacing w:line="600"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（三）一般公共预算财政拨款支出决算具体情况</w:t>
      </w:r>
    </w:p>
    <w:p w14:paraId="4693B1A8">
      <w:pPr>
        <w:suppressAutoHyphens/>
        <w:spacing w:line="600" w:lineRule="exact"/>
        <w:ind w:firstLine="643" w:firstLineChars="200"/>
        <w:outlineLvl w:val="2"/>
        <w:rPr>
          <w:rFonts w:ascii="仿宋" w:hAnsi="仿宋" w:eastAsia="仿宋" w:cs="Times New Roman"/>
          <w:sz w:val="32"/>
          <w:szCs w:val="32"/>
        </w:rPr>
      </w:pPr>
      <w:r>
        <w:rPr>
          <w:rFonts w:hint="eastAsia" w:ascii="仿宋" w:hAnsi="仿宋" w:eastAsia="仿宋" w:cs="Times New Roman"/>
          <w:b/>
          <w:sz w:val="32"/>
          <w:szCs w:val="32"/>
        </w:rPr>
        <w:t>202</w:t>
      </w: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年度一般公共预算支出决算数为</w:t>
      </w:r>
      <w:r>
        <w:rPr>
          <w:rFonts w:hint="eastAsia" w:ascii="仿宋" w:hAnsi="仿宋" w:eastAsia="仿宋" w:cs="Times New Roman"/>
          <w:b/>
          <w:sz w:val="32"/>
          <w:szCs w:val="32"/>
          <w:lang w:val="en-US" w:eastAsia="zh-CN"/>
        </w:rPr>
        <w:t>50.83</w:t>
      </w:r>
      <w:r>
        <w:rPr>
          <w:rFonts w:hint="eastAsia" w:ascii="仿宋" w:hAnsi="仿宋" w:eastAsia="仿宋" w:cs="Times New Roman"/>
          <w:b/>
          <w:sz w:val="32"/>
          <w:szCs w:val="32"/>
        </w:rPr>
        <w:t>万元</w:t>
      </w:r>
      <w:r>
        <w:rPr>
          <w:rFonts w:hint="eastAsia" w:ascii="仿宋" w:hAnsi="仿宋" w:eastAsia="仿宋" w:cs="Times New Roman"/>
          <w:sz w:val="32"/>
          <w:szCs w:val="32"/>
        </w:rPr>
        <w:t>，</w:t>
      </w:r>
      <w:r>
        <w:rPr>
          <w:rFonts w:hint="eastAsia" w:ascii="仿宋" w:hAnsi="仿宋" w:eastAsia="仿宋" w:cs="Times New Roman"/>
          <w:b/>
          <w:bCs/>
          <w:sz w:val="32"/>
          <w:szCs w:val="32"/>
        </w:rPr>
        <w:t>完成预算</w:t>
      </w:r>
      <w:r>
        <w:rPr>
          <w:rFonts w:ascii="仿宋" w:hAnsi="仿宋" w:eastAsia="仿宋" w:cs="Times New Roman"/>
          <w:b/>
          <w:bCs/>
          <w:sz w:val="32"/>
          <w:szCs w:val="32"/>
        </w:rPr>
        <w:t>100%</w:t>
      </w:r>
      <w:r>
        <w:rPr>
          <w:rFonts w:hint="eastAsia" w:ascii="仿宋" w:hAnsi="仿宋" w:eastAsia="仿宋" w:cs="Times New Roman"/>
          <w:b/>
          <w:bCs/>
          <w:sz w:val="32"/>
          <w:szCs w:val="32"/>
        </w:rPr>
        <w:t>。其中：</w:t>
      </w:r>
    </w:p>
    <w:p w14:paraId="6DB091FE">
      <w:pPr>
        <w:suppressAutoHyphens/>
        <w:spacing w:line="600" w:lineRule="exact"/>
        <w:ind w:firstLine="643" w:firstLineChars="200"/>
        <w:rPr>
          <w:rFonts w:ascii="仿宋" w:hAnsi="仿宋" w:eastAsia="仿宋" w:cs="Times New Roman"/>
          <w:b/>
          <w:sz w:val="32"/>
          <w:szCs w:val="32"/>
        </w:rPr>
      </w:pPr>
      <w:r>
        <w:rPr>
          <w:rFonts w:ascii="仿宋" w:hAnsi="仿宋" w:eastAsia="仿宋" w:cs="Times New Roman"/>
          <w:b/>
          <w:bCs/>
          <w:sz w:val="32"/>
          <w:szCs w:val="32"/>
        </w:rPr>
        <w:t>1.</w:t>
      </w:r>
      <w:r>
        <w:rPr>
          <w:rFonts w:hint="eastAsia" w:ascii="仿宋" w:hAnsi="仿宋" w:eastAsia="仿宋" w:cs="Times New Roman"/>
          <w:b/>
          <w:bCs/>
          <w:sz w:val="32"/>
          <w:szCs w:val="32"/>
          <w:lang w:val="en-US" w:eastAsia="zh-CN"/>
        </w:rPr>
        <w:t>事业运行（</w:t>
      </w:r>
      <w:r>
        <w:rPr>
          <w:rFonts w:hint="eastAsia" w:ascii="仿宋" w:hAnsi="仿宋" w:eastAsia="仿宋" w:cs="Times New Roman"/>
          <w:b/>
          <w:bCs/>
          <w:sz w:val="32"/>
          <w:szCs w:val="32"/>
        </w:rPr>
        <w:t>2</w:t>
      </w:r>
      <w:r>
        <w:rPr>
          <w:rFonts w:ascii="仿宋" w:hAnsi="仿宋" w:eastAsia="仿宋" w:cs="Times New Roman"/>
          <w:b/>
          <w:bCs/>
          <w:sz w:val="32"/>
          <w:szCs w:val="32"/>
        </w:rPr>
        <w:t>010250</w:t>
      </w:r>
      <w:bookmarkStart w:id="3" w:name="_GoBack"/>
      <w:bookmarkEnd w:id="3"/>
      <w:r>
        <w:rPr>
          <w:rFonts w:hint="eastAsia" w:ascii="仿宋" w:hAnsi="仿宋" w:eastAsia="仿宋" w:cs="Times New Roman"/>
          <w:b/>
          <w:bCs/>
          <w:sz w:val="32"/>
          <w:szCs w:val="32"/>
          <w:lang w:eastAsia="zh-CN"/>
        </w:rPr>
        <w:t>：</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36.47</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p>
    <w:p w14:paraId="7FC520C9">
      <w:pPr>
        <w:suppressAutoHyphens/>
        <w:spacing w:line="600" w:lineRule="exact"/>
        <w:ind w:firstLine="643" w:firstLineChars="200"/>
        <w:rPr>
          <w:rFonts w:hint="default" w:ascii="仿宋" w:hAnsi="仿宋" w:eastAsia="仿宋" w:cs="Times New Roman"/>
          <w:b/>
          <w:sz w:val="32"/>
          <w:szCs w:val="32"/>
          <w:lang w:val="en-US" w:eastAsia="zh-CN"/>
        </w:rPr>
      </w:pPr>
      <w:r>
        <w:rPr>
          <w:rFonts w:hint="eastAsia" w:ascii="仿宋" w:hAnsi="仿宋" w:eastAsia="仿宋" w:cs="Times New Roman"/>
          <w:b/>
          <w:bCs/>
          <w:sz w:val="32"/>
          <w:szCs w:val="32"/>
          <w:lang w:val="en-US" w:eastAsia="zh-CN"/>
        </w:rPr>
        <w:t>2</w:t>
      </w:r>
      <w:r>
        <w:rPr>
          <w:rFonts w:ascii="仿宋" w:hAnsi="仿宋" w:eastAsia="仿宋" w:cs="Times New Roman"/>
          <w:b/>
          <w:bCs/>
          <w:sz w:val="32"/>
          <w:szCs w:val="32"/>
        </w:rPr>
        <w:t>.</w:t>
      </w:r>
      <w:r>
        <w:rPr>
          <w:rFonts w:hint="eastAsia" w:ascii="仿宋" w:hAnsi="仿宋" w:eastAsia="仿宋" w:cs="Times New Roman"/>
          <w:b/>
          <w:bCs/>
          <w:sz w:val="32"/>
          <w:szCs w:val="32"/>
        </w:rPr>
        <w:t>社会保障和就业</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0805</w:t>
      </w:r>
      <w:r>
        <w:rPr>
          <w:rFonts w:hint="eastAsia" w:ascii="仿宋" w:hAnsi="仿宋" w:eastAsia="仿宋" w:cs="Times New Roman"/>
          <w:b/>
          <w:bCs/>
          <w:sz w:val="32"/>
          <w:szCs w:val="32"/>
          <w:lang w:eastAsia="zh-CN"/>
        </w:rPr>
        <w:t>）：</w:t>
      </w:r>
      <w:r>
        <w:rPr>
          <w:rFonts w:ascii="仿宋" w:hAnsi="仿宋" w:eastAsia="仿宋" w:cs="Times New Roman"/>
          <w:bCs/>
          <w:sz w:val="32"/>
          <w:szCs w:val="32"/>
        </w:rPr>
        <w:t xml:space="preserve"> </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7.27</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其中养老保险缴费支出（2080505）4.84万元，职业年金缴费（2080506）支出2.43万元。</w:t>
      </w:r>
    </w:p>
    <w:p w14:paraId="08C27572">
      <w:pPr>
        <w:suppressAutoHyphens/>
        <w:spacing w:line="600" w:lineRule="exact"/>
        <w:ind w:firstLine="643" w:firstLineChars="200"/>
        <w:rPr>
          <w:rFonts w:hint="eastAsia" w:ascii="仿宋" w:hAnsi="仿宋" w:eastAsia="仿宋" w:cs="Times New Roman"/>
          <w:bCs/>
          <w:sz w:val="32"/>
          <w:szCs w:val="32"/>
          <w:lang w:val="en-US" w:eastAsia="zh-CN"/>
        </w:rPr>
      </w:pPr>
      <w:r>
        <w:rPr>
          <w:rFonts w:hint="eastAsia" w:ascii="仿宋" w:hAnsi="仿宋" w:eastAsia="仿宋" w:cs="Times New Roman"/>
          <w:b/>
          <w:bCs/>
          <w:sz w:val="32"/>
          <w:szCs w:val="32"/>
          <w:lang w:val="en-US" w:eastAsia="zh-CN"/>
        </w:rPr>
        <w:t>3</w:t>
      </w:r>
      <w:r>
        <w:rPr>
          <w:rFonts w:ascii="仿宋" w:hAnsi="仿宋" w:eastAsia="仿宋" w:cs="Times New Roman"/>
          <w:b/>
          <w:bCs/>
          <w:sz w:val="32"/>
          <w:szCs w:val="32"/>
        </w:rPr>
        <w:t>.</w:t>
      </w:r>
      <w:r>
        <w:rPr>
          <w:rFonts w:hint="eastAsia" w:ascii="仿宋" w:hAnsi="仿宋" w:eastAsia="仿宋" w:cs="Times New Roman"/>
          <w:b/>
          <w:bCs/>
          <w:sz w:val="32"/>
          <w:szCs w:val="32"/>
        </w:rPr>
        <w:t>卫生健康</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10</w:t>
      </w:r>
      <w:r>
        <w:rPr>
          <w:rFonts w:hint="eastAsia" w:ascii="仿宋" w:hAnsi="仿宋" w:eastAsia="仿宋" w:cs="Times New Roman"/>
          <w:b/>
          <w:bCs/>
          <w:sz w:val="32"/>
          <w:szCs w:val="32"/>
          <w:lang w:val="en-US" w:eastAsia="zh-CN"/>
        </w:rPr>
        <w:t>11）：</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2.89</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其中事业单位医疗（2101102）2.3万元，其他行政事业单位医疗支出（2101199）0.59万元。</w:t>
      </w:r>
    </w:p>
    <w:p w14:paraId="71843917">
      <w:pPr>
        <w:suppressAutoHyphens/>
        <w:spacing w:line="60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4.住房保障支出（2210201）：4.2万元，完成预算的100%。</w:t>
      </w:r>
    </w:p>
    <w:p w14:paraId="19EBFEBF">
      <w:pPr>
        <w:tabs>
          <w:tab w:val="right" w:pos="8306"/>
        </w:tabs>
        <w:suppressAutoHyphens/>
        <w:spacing w:line="600" w:lineRule="exact"/>
        <w:ind w:firstLine="640"/>
        <w:outlineLvl w:val="1"/>
        <w:rPr>
          <w:rFonts w:ascii="Cambria" w:hAnsi="Cambria" w:eastAsia="宋体" w:cs="Times New Roman"/>
          <w:b/>
          <w:bCs/>
          <w:sz w:val="32"/>
          <w:szCs w:val="32"/>
        </w:rPr>
      </w:pPr>
      <w:r>
        <w:rPr>
          <w:rFonts w:hint="eastAsia" w:ascii="黑体" w:hAnsi="Calibri" w:eastAsia="黑体" w:cs="Times New Roman"/>
          <w:sz w:val="32"/>
          <w:szCs w:val="32"/>
        </w:rPr>
        <w:t>六</w:t>
      </w:r>
      <w:r>
        <w:rPr>
          <w:rFonts w:hint="eastAsia" w:ascii="黑体" w:hAnsi="Calibri" w:eastAsia="黑体" w:cs="Times New Roman"/>
          <w:b/>
          <w:sz w:val="32"/>
          <w:szCs w:val="32"/>
        </w:rPr>
        <w:t>、</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般公共预算财政拨款基本支出决算情况说明</w:t>
      </w:r>
      <w:r>
        <w:rPr>
          <w:rFonts w:ascii="黑体" w:hAnsi="黑体" w:eastAsia="黑体" w:cs="Times New Roman"/>
          <w:bCs/>
          <w:sz w:val="32"/>
          <w:szCs w:val="32"/>
        </w:rPr>
        <w:tab/>
      </w:r>
    </w:p>
    <w:p w14:paraId="2A3F842F">
      <w:pPr>
        <w:suppressAutoHyphens/>
        <w:spacing w:line="600" w:lineRule="exact"/>
        <w:ind w:firstLine="645"/>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年度一般公共预算财政拨款基本支出</w:t>
      </w:r>
      <w:r>
        <w:rPr>
          <w:rFonts w:hint="eastAsia" w:ascii="仿宋" w:hAnsi="仿宋" w:eastAsia="仿宋" w:cs="Times New Roman"/>
          <w:sz w:val="32"/>
          <w:szCs w:val="32"/>
          <w:lang w:val="en-US" w:eastAsia="zh-CN"/>
        </w:rPr>
        <w:t>50.83</w:t>
      </w:r>
      <w:r>
        <w:rPr>
          <w:rFonts w:hint="eastAsia" w:ascii="仿宋" w:hAnsi="仿宋" w:eastAsia="仿宋" w:cs="Times New Roman"/>
          <w:sz w:val="32"/>
          <w:szCs w:val="32"/>
        </w:rPr>
        <w:t>万元，其中：</w:t>
      </w:r>
    </w:p>
    <w:p w14:paraId="2CACF2C4">
      <w:pPr>
        <w:suppressAutoHyphens/>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人员经费</w:t>
      </w:r>
      <w:r>
        <w:rPr>
          <w:rFonts w:hint="eastAsia" w:ascii="仿宋" w:hAnsi="仿宋" w:eastAsia="仿宋" w:cs="Times New Roman"/>
          <w:sz w:val="32"/>
          <w:szCs w:val="32"/>
          <w:lang w:val="en-US" w:eastAsia="zh-CN"/>
        </w:rPr>
        <w:t>49.14</w:t>
      </w:r>
      <w:r>
        <w:rPr>
          <w:rFonts w:hint="eastAsia" w:ascii="仿宋" w:hAnsi="仿宋" w:eastAsia="仿宋" w:cs="Times New Roman"/>
          <w:sz w:val="32"/>
          <w:szCs w:val="32"/>
        </w:rPr>
        <w:t>万元，主要包括：基本工资、津贴补贴、奖金、绩效工资、机关事业单位基本养老保险缴费、职业年金缴费、其他社会保障缴费、其他工资福利支出、医疗费补助、奖励金、住房公积金、其他对个人和家庭的补助支出等。</w:t>
      </w:r>
    </w:p>
    <w:p w14:paraId="7B806DA8">
      <w:pPr>
        <w:suppressAutoHyphens/>
        <w:spacing w:line="600" w:lineRule="exact"/>
        <w:ind w:firstLine="645"/>
        <w:rPr>
          <w:rFonts w:ascii="仿宋" w:hAnsi="仿宋" w:eastAsia="仿宋" w:cs="Times New Roman"/>
          <w:sz w:val="32"/>
          <w:szCs w:val="32"/>
        </w:rPr>
      </w:pPr>
      <w:r>
        <w:rPr>
          <w:rFonts w:hint="eastAsia" w:ascii="仿宋" w:hAnsi="仿宋" w:eastAsia="仿宋" w:cs="Times New Roman"/>
          <w:sz w:val="32"/>
          <w:szCs w:val="32"/>
        </w:rPr>
        <w:t>公用经费</w:t>
      </w:r>
      <w:r>
        <w:rPr>
          <w:rFonts w:ascii="仿宋" w:hAnsi="仿宋" w:eastAsia="仿宋" w:cs="Times New Roman"/>
          <w:sz w:val="32"/>
          <w:szCs w:val="32"/>
        </w:rPr>
        <w:t>1.6</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万元，主要包括：办公费、印刷费、差旅费、公务接待费、劳务费、工会经费、其他商品和服务支出等。</w:t>
      </w:r>
    </w:p>
    <w:p w14:paraId="6583173D">
      <w:pPr>
        <w:suppressAutoHyphens/>
        <w:spacing w:line="600" w:lineRule="exact"/>
        <w:ind w:firstLine="640"/>
        <w:outlineLvl w:val="1"/>
        <w:rPr>
          <w:rFonts w:ascii="黑体" w:hAnsi="黑体" w:eastAsia="黑体" w:cs="Times New Roman"/>
          <w:bCs/>
          <w:sz w:val="32"/>
          <w:szCs w:val="32"/>
        </w:rPr>
      </w:pPr>
      <w:r>
        <w:rPr>
          <w:rFonts w:hint="eastAsia" w:ascii="黑体" w:hAnsi="Calibri" w:eastAsia="黑体" w:cs="Times New Roman"/>
          <w:sz w:val="32"/>
          <w:szCs w:val="32"/>
        </w:rPr>
        <w:t>七、</w:t>
      </w:r>
      <w:r>
        <w:rPr>
          <w:rFonts w:hint="eastAsia" w:ascii="黑体" w:hAnsi="黑体" w:eastAsia="黑体" w:cs="Times New Roman"/>
          <w:bCs/>
          <w:sz w:val="32"/>
          <w:szCs w:val="32"/>
        </w:rPr>
        <w:t>财政拨款</w:t>
      </w:r>
      <w:r>
        <w:rPr>
          <w:rFonts w:hint="eastAsia" w:ascii="黑体" w:hAnsi="黑体" w:eastAsia="黑体" w:cs="Times New Roman"/>
          <w:b/>
          <w:bCs/>
          <w:sz w:val="32"/>
          <w:szCs w:val="32"/>
        </w:rPr>
        <w:t>“</w:t>
      </w:r>
      <w:r>
        <w:rPr>
          <w:rFonts w:hint="eastAsia" w:ascii="黑体" w:hAnsi="黑体" w:eastAsia="黑体" w:cs="Times New Roman"/>
          <w:bCs/>
          <w:sz w:val="32"/>
          <w:szCs w:val="32"/>
        </w:rPr>
        <w:t>三公”经费支出决算情况说明</w:t>
      </w:r>
    </w:p>
    <w:p w14:paraId="0C4E8DA5">
      <w:pPr>
        <w:suppressAutoHyphens/>
        <w:spacing w:line="600" w:lineRule="exact"/>
        <w:ind w:firstLine="640"/>
        <w:outlineLvl w:val="2"/>
        <w:rPr>
          <w:rFonts w:ascii="仿宋" w:hAnsi="仿宋" w:eastAsia="仿宋" w:cs="Times New Roman"/>
          <w:b/>
          <w:sz w:val="32"/>
          <w:szCs w:val="32"/>
        </w:rPr>
      </w:pPr>
      <w:r>
        <w:rPr>
          <w:rFonts w:hint="eastAsia" w:ascii="仿宋" w:hAnsi="仿宋" w:eastAsia="仿宋" w:cs="Times New Roman"/>
          <w:b/>
          <w:sz w:val="32"/>
          <w:szCs w:val="32"/>
        </w:rPr>
        <w:t>（一）“三公”经费财政拨款支出决算总体情况说明</w:t>
      </w:r>
    </w:p>
    <w:p w14:paraId="16C57031">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年度“三公”经费财政拨款支出决算为</w:t>
      </w:r>
      <w:r>
        <w:rPr>
          <w:rFonts w:ascii="仿宋" w:hAnsi="仿宋" w:eastAsia="仿宋" w:cs="Times New Roman"/>
          <w:sz w:val="32"/>
          <w:szCs w:val="32"/>
        </w:rPr>
        <w:t>0</w:t>
      </w:r>
      <w:r>
        <w:rPr>
          <w:rFonts w:hint="eastAsia" w:ascii="仿宋" w:hAnsi="仿宋" w:eastAsia="仿宋" w:cs="Times New Roman"/>
          <w:sz w:val="32"/>
          <w:szCs w:val="32"/>
        </w:rPr>
        <w:t>万元，完成预算</w:t>
      </w:r>
      <w:r>
        <w:rPr>
          <w:rFonts w:ascii="仿宋" w:hAnsi="仿宋" w:eastAsia="仿宋" w:cs="Times New Roman"/>
          <w:sz w:val="32"/>
          <w:szCs w:val="32"/>
        </w:rPr>
        <w:t>0%</w:t>
      </w:r>
      <w:r>
        <w:rPr>
          <w:rFonts w:hint="eastAsia" w:ascii="仿宋" w:hAnsi="仿宋" w:eastAsia="仿宋" w:cs="Times New Roman"/>
          <w:sz w:val="32"/>
          <w:szCs w:val="32"/>
        </w:rPr>
        <w:t>，与上年度保持一致。</w:t>
      </w:r>
    </w:p>
    <w:p w14:paraId="716DB975">
      <w:pPr>
        <w:suppressAutoHyphens/>
        <w:spacing w:line="600" w:lineRule="exact"/>
        <w:ind w:firstLine="640"/>
        <w:outlineLvl w:val="2"/>
        <w:rPr>
          <w:rFonts w:ascii="仿宋" w:hAnsi="仿宋" w:eastAsia="仿宋" w:cs="Times New Roman"/>
          <w:b/>
          <w:sz w:val="32"/>
          <w:szCs w:val="32"/>
        </w:rPr>
      </w:pPr>
      <w:r>
        <w:rPr>
          <w:rFonts w:hint="eastAsia" w:ascii="仿宋" w:hAnsi="仿宋" w:eastAsia="仿宋" w:cs="Times New Roman"/>
          <w:b/>
          <w:sz w:val="32"/>
          <w:szCs w:val="32"/>
        </w:rPr>
        <w:t>（二）“三公”经费财政拨款支出决算具体情况说明</w:t>
      </w:r>
    </w:p>
    <w:p w14:paraId="249034DA">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年度“三公”经费财政拨款支出决算中，因公出国（境）费支出决算</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；公务用车购置及运行维护费支出决算</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；公务接待费支出决算</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。具体情况如下：</w:t>
      </w:r>
    </w:p>
    <w:p w14:paraId="2191ACA8">
      <w:pPr>
        <w:suppressAutoHyphens/>
        <w:spacing w:line="600" w:lineRule="exact"/>
        <w:ind w:firstLine="640"/>
        <w:rPr>
          <w:rFonts w:ascii="仿宋_GB2312" w:hAnsi="Calibri" w:eastAsia="仿宋_GB2312" w:cs="Times New Roman"/>
          <w:b/>
          <w:sz w:val="32"/>
          <w:szCs w:val="32"/>
        </w:rPr>
      </w:pPr>
      <w:r>
        <w:rPr>
          <w:rFonts w:ascii="仿宋_GB2312" w:hAnsi="Calibri" w:eastAsia="仿宋_GB2312" w:cs="Times New Roman"/>
          <w:b/>
          <w:sz w:val="32"/>
          <w:szCs w:val="32"/>
        </w:rPr>
        <w:t>1.</w:t>
      </w:r>
      <w:r>
        <w:rPr>
          <w:rFonts w:hint="eastAsia" w:ascii="仿宋_GB2312" w:hAnsi="Calibri" w:eastAsia="仿宋_GB2312" w:cs="Times New Roman"/>
          <w:b/>
          <w:sz w:val="32"/>
          <w:szCs w:val="32"/>
        </w:rPr>
        <w:t>因公出国（境）经费支出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ascii="仿宋" w:hAnsi="仿宋" w:eastAsia="仿宋" w:cs="Times New Roman"/>
          <w:bCs/>
          <w:sz w:val="32"/>
          <w:szCs w:val="32"/>
        </w:rPr>
        <w:t>0%</w:t>
      </w:r>
      <w:r>
        <w:rPr>
          <w:rFonts w:hint="eastAsia" w:ascii="仿宋" w:hAnsi="仿宋" w:eastAsia="仿宋" w:cs="Times New Roman"/>
          <w:bCs/>
          <w:sz w:val="32"/>
          <w:szCs w:val="32"/>
        </w:rPr>
        <w:t>。</w:t>
      </w:r>
      <w:r>
        <w:rPr>
          <w:rFonts w:hint="eastAsia" w:ascii="仿宋_GB2312" w:hAnsi="Calibri" w:eastAsia="仿宋_GB2312" w:cs="Times New Roman"/>
          <w:sz w:val="32"/>
          <w:szCs w:val="32"/>
        </w:rPr>
        <w:t>全年安排因公出国（境）团组</w:t>
      </w:r>
      <w:r>
        <w:rPr>
          <w:rFonts w:ascii="仿宋_GB2312" w:hAnsi="Calibri" w:eastAsia="仿宋_GB2312" w:cs="Times New Roman"/>
          <w:sz w:val="32"/>
          <w:szCs w:val="32"/>
        </w:rPr>
        <w:t>0</w:t>
      </w:r>
      <w:r>
        <w:rPr>
          <w:rFonts w:hint="eastAsia" w:ascii="仿宋_GB2312" w:hAnsi="Calibri" w:eastAsia="仿宋_GB2312" w:cs="Times New Roman"/>
          <w:sz w:val="32"/>
          <w:szCs w:val="32"/>
        </w:rPr>
        <w:t>次，出国（境）</w:t>
      </w:r>
      <w:r>
        <w:rPr>
          <w:rFonts w:ascii="仿宋_GB2312" w:hAnsi="Calibri" w:eastAsia="仿宋_GB2312" w:cs="Times New Roman"/>
          <w:sz w:val="32"/>
          <w:szCs w:val="32"/>
        </w:rPr>
        <w:t>0</w:t>
      </w:r>
      <w:r>
        <w:rPr>
          <w:rFonts w:hint="eastAsia" w:ascii="仿宋_GB2312" w:hAnsi="Calibri" w:eastAsia="仿宋_GB2312" w:cs="Times New Roman"/>
          <w:sz w:val="32"/>
          <w:szCs w:val="32"/>
        </w:rPr>
        <w:t>人。因公出国（境）支出决算与2022年度保持一致。</w:t>
      </w:r>
    </w:p>
    <w:p w14:paraId="48469D08">
      <w:pPr>
        <w:suppressAutoHyphens/>
        <w:spacing w:line="600" w:lineRule="exact"/>
        <w:ind w:firstLine="640"/>
        <w:rPr>
          <w:rFonts w:ascii="仿宋_GB2312" w:hAnsi="Calibri" w:eastAsia="仿宋_GB2312" w:cs="Times New Roman"/>
          <w:b/>
          <w:sz w:val="32"/>
          <w:szCs w:val="32"/>
        </w:rPr>
      </w:pPr>
      <w:r>
        <w:rPr>
          <w:rFonts w:ascii="仿宋_GB2312" w:hAnsi="Calibri" w:eastAsia="仿宋_GB2312" w:cs="Times New Roman"/>
          <w:b/>
          <w:sz w:val="32"/>
          <w:szCs w:val="32"/>
        </w:rPr>
        <w:t>2.</w:t>
      </w:r>
      <w:r>
        <w:rPr>
          <w:rFonts w:hint="eastAsia" w:ascii="仿宋_GB2312" w:hAnsi="Calibri" w:eastAsia="仿宋_GB2312" w:cs="Times New Roman"/>
          <w:b/>
          <w:sz w:val="32"/>
          <w:szCs w:val="32"/>
        </w:rPr>
        <w:t>公务用车购置及运行维护费支出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 w:hAnsi="仿宋" w:eastAsia="仿宋" w:cs="Times New Roman"/>
          <w:bCs/>
          <w:sz w:val="32"/>
          <w:szCs w:val="32"/>
        </w:rPr>
        <w:t>完成预算</w:t>
      </w:r>
      <w:r>
        <w:rPr>
          <w:rFonts w:ascii="仿宋" w:hAnsi="仿宋" w:eastAsia="仿宋" w:cs="Times New Roman"/>
          <w:bCs/>
          <w:sz w:val="32"/>
          <w:szCs w:val="32"/>
        </w:rPr>
        <w:t>0%</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公务用车购置及运行维护费支出决算与202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年度保持一致。</w:t>
      </w:r>
    </w:p>
    <w:p w14:paraId="2CD46132">
      <w:pPr>
        <w:suppressAutoHyphens/>
        <w:spacing w:line="600" w:lineRule="exact"/>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其中：</w:t>
      </w:r>
      <w:r>
        <w:rPr>
          <w:rFonts w:hint="eastAsia" w:ascii="仿宋_GB2312" w:hAnsi="Calibri" w:eastAsia="仿宋_GB2312" w:cs="Times New Roman"/>
          <w:b/>
          <w:sz w:val="32"/>
          <w:szCs w:val="32"/>
        </w:rPr>
        <w:t>公务用车购置支出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万元。全年按规定更新购置公务用车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辆，其中：轿车</w:t>
      </w:r>
      <w:r>
        <w:rPr>
          <w:rFonts w:ascii="仿宋_GB2312" w:hAnsi="Calibri" w:eastAsia="仿宋_GB2312" w:cs="Times New Roman"/>
          <w:sz w:val="32"/>
          <w:szCs w:val="32"/>
        </w:rPr>
        <w:t>0</w:t>
      </w:r>
      <w:r>
        <w:rPr>
          <w:rFonts w:hint="eastAsia" w:ascii="仿宋_GB2312" w:hAnsi="Calibri" w:eastAsia="仿宋_GB2312" w:cs="Times New Roman"/>
          <w:sz w:val="32"/>
          <w:szCs w:val="32"/>
        </w:rPr>
        <w:t>辆、金额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万元，越野车</w:t>
      </w:r>
      <w:r>
        <w:rPr>
          <w:rFonts w:ascii="仿宋_GB2312" w:hAnsi="Calibri" w:eastAsia="仿宋_GB2312" w:cs="Times New Roman"/>
          <w:sz w:val="32"/>
          <w:szCs w:val="32"/>
        </w:rPr>
        <w:t>0</w:t>
      </w:r>
      <w:r>
        <w:rPr>
          <w:rFonts w:hint="eastAsia" w:ascii="仿宋_GB2312" w:hAnsi="Calibri" w:eastAsia="仿宋_GB2312" w:cs="Times New Roman"/>
          <w:sz w:val="32"/>
          <w:szCs w:val="32"/>
        </w:rPr>
        <w:t>辆、金额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万元，载客汽车</w:t>
      </w:r>
      <w:r>
        <w:rPr>
          <w:rFonts w:ascii="仿宋_GB2312" w:hAnsi="Calibri" w:eastAsia="仿宋_GB2312" w:cs="Times New Roman"/>
          <w:sz w:val="32"/>
          <w:szCs w:val="32"/>
        </w:rPr>
        <w:t>0</w:t>
      </w:r>
      <w:r>
        <w:rPr>
          <w:rFonts w:hint="eastAsia" w:ascii="仿宋_GB2312" w:hAnsi="Calibri" w:eastAsia="仿宋_GB2312" w:cs="Times New Roman"/>
          <w:sz w:val="32"/>
          <w:szCs w:val="32"/>
        </w:rPr>
        <w:t>辆、金额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截至202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月31日，单位共有公务用车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辆，其中：轿车</w:t>
      </w:r>
      <w:r>
        <w:rPr>
          <w:rFonts w:ascii="仿宋_GB2312" w:hAnsi="Calibri" w:eastAsia="仿宋_GB2312" w:cs="Times New Roman"/>
          <w:sz w:val="32"/>
          <w:szCs w:val="32"/>
        </w:rPr>
        <w:t>0</w:t>
      </w:r>
      <w:r>
        <w:rPr>
          <w:rFonts w:hint="eastAsia" w:ascii="仿宋_GB2312" w:hAnsi="Calibri" w:eastAsia="仿宋_GB2312" w:cs="Times New Roman"/>
          <w:sz w:val="32"/>
          <w:szCs w:val="32"/>
        </w:rPr>
        <w:t>辆、越野车</w:t>
      </w:r>
      <w:r>
        <w:rPr>
          <w:rFonts w:ascii="仿宋_GB2312" w:hAnsi="Calibri" w:eastAsia="仿宋_GB2312" w:cs="Times New Roman"/>
          <w:sz w:val="32"/>
          <w:szCs w:val="32"/>
        </w:rPr>
        <w:t>0</w:t>
      </w:r>
      <w:r>
        <w:rPr>
          <w:rFonts w:hint="eastAsia" w:ascii="仿宋_GB2312" w:hAnsi="Calibri" w:eastAsia="仿宋_GB2312" w:cs="Times New Roman"/>
          <w:sz w:val="32"/>
          <w:szCs w:val="32"/>
        </w:rPr>
        <w:t>辆、载客汽车</w:t>
      </w:r>
      <w:r>
        <w:rPr>
          <w:rFonts w:ascii="仿宋_GB2312" w:hAnsi="Calibri" w:eastAsia="仿宋_GB2312" w:cs="Times New Roman"/>
          <w:sz w:val="32"/>
          <w:szCs w:val="32"/>
        </w:rPr>
        <w:t>0</w:t>
      </w:r>
      <w:r>
        <w:rPr>
          <w:rFonts w:hint="eastAsia" w:ascii="仿宋_GB2312" w:hAnsi="Calibri" w:eastAsia="仿宋_GB2312" w:cs="Times New Roman"/>
          <w:sz w:val="32"/>
          <w:szCs w:val="32"/>
        </w:rPr>
        <w:t>辆。</w:t>
      </w:r>
    </w:p>
    <w:p w14:paraId="195097AD">
      <w:p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b/>
          <w:sz w:val="32"/>
          <w:szCs w:val="32"/>
        </w:rPr>
        <w:t>公务用车运行维护费支出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3C781DF5">
      <w:pPr>
        <w:numPr>
          <w:ilvl w:val="0"/>
          <w:numId w:val="0"/>
        </w:numPr>
        <w:suppressAutoHyphens/>
        <w:spacing w:line="600" w:lineRule="exact"/>
        <w:ind w:firstLine="643"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b/>
          <w:sz w:val="32"/>
          <w:szCs w:val="32"/>
          <w:lang w:val="en-US" w:eastAsia="zh-CN"/>
        </w:rPr>
        <w:t>3.</w:t>
      </w:r>
      <w:r>
        <w:rPr>
          <w:rFonts w:hint="eastAsia" w:ascii="仿宋_GB2312" w:hAnsi="Calibri" w:eastAsia="仿宋_GB2312" w:cs="Times New Roman"/>
          <w:b/>
          <w:sz w:val="32"/>
          <w:szCs w:val="32"/>
        </w:rPr>
        <w:t>公务接待费支出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p>
    <w:p w14:paraId="0D2577D8">
      <w:pPr>
        <w:numPr>
          <w:ilvl w:val="0"/>
          <w:numId w:val="0"/>
        </w:numPr>
        <w:suppressAutoHyphens/>
        <w:spacing w:line="600" w:lineRule="exact"/>
        <w:ind w:firstLine="643" w:firstLineChars="200"/>
        <w:rPr>
          <w:rFonts w:ascii="仿宋_GB2312" w:hAnsi="Calibri" w:eastAsia="仿宋_GB2312" w:cs="Times New Roman"/>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国内公务接待支出</w:t>
      </w:r>
      <w:r>
        <w:rPr>
          <w:rFonts w:ascii="仿宋" w:hAnsi="仿宋" w:eastAsia="仿宋" w:cs="Times New Roman"/>
          <w:sz w:val="32"/>
          <w:szCs w:val="32"/>
        </w:rPr>
        <w:t>0</w:t>
      </w:r>
      <w:r>
        <w:rPr>
          <w:rFonts w:hint="eastAsia" w:ascii="仿宋_GB2312" w:hAnsi="Calibri" w:eastAsia="仿宋_GB2312" w:cs="Times New Roman"/>
          <w:sz w:val="32"/>
          <w:szCs w:val="32"/>
        </w:rPr>
        <w:t>万元。</w:t>
      </w:r>
    </w:p>
    <w:p w14:paraId="39F4A624">
      <w:pPr>
        <w:suppressAutoHyphens/>
        <w:spacing w:line="600" w:lineRule="exact"/>
        <w:ind w:firstLine="643" w:firstLineChars="200"/>
        <w:rPr>
          <w:rFonts w:hint="eastAsia" w:ascii="仿宋_GB2312" w:hAnsi="Calibri" w:eastAsia="仿宋_GB2312" w:cs="Times New Roman"/>
          <w:sz w:val="32"/>
          <w:szCs w:val="32"/>
        </w:rPr>
      </w:pPr>
      <w:r>
        <w:rPr>
          <w:rFonts w:hint="eastAsia" w:ascii="仿宋" w:hAnsi="仿宋" w:eastAsia="仿宋" w:cs="Times New Roman"/>
          <w:b/>
          <w:sz w:val="32"/>
          <w:szCs w:val="32"/>
        </w:rPr>
        <w:t>外事接待支出</w:t>
      </w:r>
      <w:r>
        <w:rPr>
          <w:rFonts w:ascii="仿宋" w:hAnsi="仿宋" w:eastAsia="仿宋" w:cs="Times New Roman"/>
          <w:sz w:val="32"/>
          <w:szCs w:val="32"/>
        </w:rPr>
        <w:t>0</w:t>
      </w:r>
      <w:r>
        <w:rPr>
          <w:rFonts w:hint="eastAsia" w:ascii="仿宋_GB2312" w:hAnsi="Calibri" w:eastAsia="仿宋_GB2312" w:cs="Times New Roman"/>
          <w:sz w:val="32"/>
          <w:szCs w:val="32"/>
        </w:rPr>
        <w:t>万元。</w:t>
      </w:r>
    </w:p>
    <w:p w14:paraId="28D8EA29">
      <w:pPr>
        <w:suppressAutoHyphens/>
        <w:spacing w:line="600" w:lineRule="exact"/>
        <w:ind w:firstLine="640"/>
        <w:outlineLvl w:val="1"/>
        <w:rPr>
          <w:rFonts w:ascii="黑体" w:hAnsi="黑体" w:eastAsia="黑体" w:cs="Times New Roman"/>
          <w:b/>
          <w:bCs/>
          <w:sz w:val="32"/>
          <w:szCs w:val="32"/>
        </w:rPr>
      </w:pPr>
      <w:r>
        <w:rPr>
          <w:rFonts w:hint="eastAsia" w:ascii="黑体" w:hAnsi="Calibri" w:eastAsia="黑体" w:cs="Times New Roman"/>
          <w:sz w:val="32"/>
          <w:szCs w:val="32"/>
        </w:rPr>
        <w:t>八、</w:t>
      </w:r>
      <w:r>
        <w:rPr>
          <w:rFonts w:hint="eastAsia" w:ascii="黑体" w:hAnsi="黑体" w:eastAsia="黑体" w:cs="Times New Roman"/>
          <w:bCs/>
          <w:sz w:val="32"/>
          <w:szCs w:val="32"/>
        </w:rPr>
        <w:t>政府性基金预算支出决算情况说明</w:t>
      </w:r>
    </w:p>
    <w:p w14:paraId="0E46EFE3">
      <w:p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年度政府性基金预算财政拨款支出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67EFE7FF">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bCs/>
          <w:sz w:val="32"/>
          <w:szCs w:val="32"/>
        </w:rPr>
        <w:t>九、国有资本经营预算支出决算情况说明</w:t>
      </w:r>
    </w:p>
    <w:p w14:paraId="3875BFEE">
      <w:p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年度国有资本经营预算财政拨款支出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636940E5">
      <w:pPr>
        <w:suppressAutoHyphens/>
        <w:spacing w:line="600" w:lineRule="exact"/>
        <w:ind w:firstLine="640" w:firstLineChars="200"/>
        <w:outlineLvl w:val="1"/>
        <w:rPr>
          <w:rFonts w:hint="eastAsia" w:ascii="黑体" w:hAnsi="黑体" w:eastAsia="黑体" w:cs="Times New Roman"/>
          <w:bCs/>
          <w:sz w:val="32"/>
          <w:szCs w:val="32"/>
        </w:rPr>
      </w:pPr>
      <w:r>
        <w:rPr>
          <w:rFonts w:hint="eastAsia" w:ascii="黑体" w:hAnsi="黑体" w:eastAsia="黑体" w:cs="Times New Roman"/>
          <w:bCs/>
          <w:sz w:val="32"/>
          <w:szCs w:val="32"/>
        </w:rPr>
        <w:t>十、其他重要事项的情况说明</w:t>
      </w:r>
    </w:p>
    <w:p w14:paraId="6F8B1A4A">
      <w:pPr>
        <w:suppressAutoHyphens/>
        <w:spacing w:line="600" w:lineRule="exact"/>
        <w:ind w:firstLine="643" w:firstLineChars="200"/>
        <w:outlineLvl w:val="2"/>
        <w:rPr>
          <w:rFonts w:ascii="仿宋" w:hAnsi="仿宋" w:eastAsia="仿宋" w:cs="Times New Roman"/>
          <w:sz w:val="32"/>
          <w:szCs w:val="32"/>
        </w:rPr>
      </w:pPr>
      <w:r>
        <w:rPr>
          <w:rFonts w:hint="eastAsia" w:ascii="仿宋" w:hAnsi="仿宋" w:eastAsia="仿宋" w:cs="Times New Roman"/>
          <w:b/>
          <w:sz w:val="32"/>
          <w:szCs w:val="32"/>
        </w:rPr>
        <w:t>（一）机关运行经费支出情况</w:t>
      </w:r>
    </w:p>
    <w:p w14:paraId="063CE844">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年度，政协委员信息服务中心机关运行经费支出</w:t>
      </w:r>
      <w:r>
        <w:rPr>
          <w:rFonts w:ascii="仿宋_GB2312" w:hAnsi="Calibri" w:eastAsia="仿宋_GB2312" w:cs="Times New Roman"/>
          <w:sz w:val="32"/>
          <w:szCs w:val="32"/>
        </w:rPr>
        <w:t>1.6</w:t>
      </w: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万元，比202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年度增加</w:t>
      </w:r>
      <w:r>
        <w:rPr>
          <w:rFonts w:hint="eastAsia" w:ascii="仿宋_GB2312" w:hAnsi="Calibri" w:eastAsia="仿宋_GB2312" w:cs="Times New Roman"/>
          <w:sz w:val="32"/>
          <w:szCs w:val="32"/>
          <w:lang w:val="en-US" w:eastAsia="zh-CN"/>
        </w:rPr>
        <w:t>0.02</w:t>
      </w:r>
      <w:r>
        <w:rPr>
          <w:rFonts w:hint="eastAsia" w:ascii="仿宋_GB2312" w:hAnsi="Calibri" w:eastAsia="仿宋_GB2312" w:cs="Times New Roman"/>
          <w:sz w:val="32"/>
          <w:szCs w:val="32"/>
        </w:rPr>
        <w:t>万元，增长</w:t>
      </w:r>
      <w:r>
        <w:rPr>
          <w:rFonts w:hint="eastAsia" w:ascii="仿宋_GB2312" w:hAnsi="Calibri" w:eastAsia="仿宋_GB2312" w:cs="Times New Roman"/>
          <w:sz w:val="32"/>
          <w:szCs w:val="32"/>
          <w:lang w:val="en-US" w:eastAsia="zh-CN"/>
        </w:rPr>
        <w:t>1</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2024年5月</w:t>
      </w:r>
      <w:r>
        <w:rPr>
          <w:rFonts w:hint="eastAsia" w:ascii="仿宋_GB2312" w:hAnsi="Calibri" w:eastAsia="仿宋_GB2312" w:cs="Times New Roman"/>
          <w:sz w:val="32"/>
          <w:szCs w:val="32"/>
        </w:rPr>
        <w:t>有人员调进。</w:t>
      </w:r>
    </w:p>
    <w:p w14:paraId="1179F00C">
      <w:pPr>
        <w:suppressAutoHyphens/>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（二）政府采购支出情况</w:t>
      </w:r>
    </w:p>
    <w:p w14:paraId="4BBE6DFE">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年度，政府采购支出总额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61639673">
      <w:pPr>
        <w:suppressAutoHyphens/>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（三）国有资产占有使用情况</w:t>
      </w:r>
    </w:p>
    <w:p w14:paraId="6B6BBCD5">
      <w:pPr>
        <w:suppressAutoHyphens/>
        <w:autoSpaceDE w:val="0"/>
        <w:autoSpaceDN w:val="0"/>
        <w:adjustRightInd w:val="0"/>
        <w:spacing w:line="60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截至202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w:t>
      </w:r>
      <w:r>
        <w:rPr>
          <w:rFonts w:ascii="仿宋_GB2312" w:hAnsi="Calibri" w:eastAsia="仿宋_GB2312" w:cs="Times New Roman"/>
          <w:sz w:val="32"/>
          <w:szCs w:val="32"/>
        </w:rPr>
        <w:t>31</w:t>
      </w:r>
      <w:r>
        <w:rPr>
          <w:rFonts w:hint="eastAsia" w:ascii="仿宋_GB2312" w:hAnsi="Calibri" w:eastAsia="仿宋_GB2312" w:cs="Times New Roman"/>
          <w:sz w:val="32"/>
          <w:szCs w:val="32"/>
        </w:rPr>
        <w:t>日，共有车辆</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辆，其中：主要领导干部用车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辆、机要通信用车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辆、应急保障用车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辆、其他用车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辆，其他用车主要是用于……。单价</w:t>
      </w:r>
      <w:r>
        <w:rPr>
          <w:rFonts w:ascii="仿宋_GB2312" w:hAnsi="Calibri" w:eastAsia="仿宋_GB2312" w:cs="Times New Roman"/>
          <w:sz w:val="32"/>
          <w:szCs w:val="32"/>
        </w:rPr>
        <w:t>50</w:t>
      </w:r>
      <w:r>
        <w:rPr>
          <w:rFonts w:hint="eastAsia" w:ascii="仿宋_GB2312" w:hAnsi="Calibri" w:eastAsia="仿宋_GB2312" w:cs="Times New Roman"/>
          <w:sz w:val="32"/>
          <w:szCs w:val="32"/>
        </w:rPr>
        <w:t>万元以上通用设备</w:t>
      </w:r>
      <w:r>
        <w:rPr>
          <w:rFonts w:ascii="仿宋_GB2312" w:hAnsi="Calibri" w:eastAsia="仿宋_GB2312" w:cs="Times New Roman"/>
          <w:sz w:val="32"/>
          <w:szCs w:val="32"/>
        </w:rPr>
        <w:t>0</w:t>
      </w:r>
      <w:r>
        <w:rPr>
          <w:rFonts w:hint="eastAsia" w:ascii="仿宋_GB2312" w:hAnsi="Calibri" w:eastAsia="仿宋_GB2312" w:cs="Times New Roman"/>
          <w:sz w:val="32"/>
          <w:szCs w:val="32"/>
        </w:rPr>
        <w:t>台（套），单价</w:t>
      </w:r>
      <w:r>
        <w:rPr>
          <w:rFonts w:ascii="仿宋_GB2312" w:hAnsi="Calibri" w:eastAsia="仿宋_GB2312" w:cs="Times New Roman"/>
          <w:sz w:val="32"/>
          <w:szCs w:val="32"/>
        </w:rPr>
        <w:t>100</w:t>
      </w:r>
      <w:r>
        <w:rPr>
          <w:rFonts w:hint="eastAsia" w:ascii="仿宋_GB2312" w:hAnsi="Calibri" w:eastAsia="仿宋_GB2312" w:cs="Times New Roman"/>
          <w:sz w:val="32"/>
          <w:szCs w:val="32"/>
        </w:rPr>
        <w:t>万元以上专用设备（不含车辆）</w:t>
      </w:r>
      <w:r>
        <w:rPr>
          <w:rFonts w:ascii="仿宋_GB2312" w:hAnsi="Calibri" w:eastAsia="仿宋_GB2312" w:cs="Times New Roman"/>
          <w:sz w:val="32"/>
          <w:szCs w:val="32"/>
        </w:rPr>
        <w:t>0</w:t>
      </w:r>
      <w:r>
        <w:rPr>
          <w:rFonts w:hint="eastAsia" w:ascii="仿宋_GB2312" w:hAnsi="Calibri" w:eastAsia="仿宋_GB2312" w:cs="Times New Roman"/>
          <w:sz w:val="32"/>
          <w:szCs w:val="32"/>
        </w:rPr>
        <w:t>台（套）。</w:t>
      </w:r>
    </w:p>
    <w:p w14:paraId="68BA439C">
      <w:pPr>
        <w:suppressAutoHyphens/>
        <w:autoSpaceDE w:val="0"/>
        <w:autoSpaceDN w:val="0"/>
        <w:adjustRightInd w:val="0"/>
        <w:spacing w:line="600" w:lineRule="exact"/>
        <w:ind w:firstLine="643" w:firstLineChars="200"/>
        <w:jc w:val="left"/>
        <w:outlineLvl w:val="2"/>
        <w:rPr>
          <w:rFonts w:hint="eastAsia" w:ascii="仿宋" w:hAnsi="仿宋" w:eastAsia="仿宋" w:cs="Times New Roman"/>
          <w:b/>
          <w:sz w:val="32"/>
          <w:szCs w:val="32"/>
        </w:rPr>
      </w:pPr>
      <w:r>
        <w:rPr>
          <w:rFonts w:hint="eastAsia" w:ascii="仿宋" w:hAnsi="仿宋" w:eastAsia="仿宋" w:cs="Times New Roman"/>
          <w:b/>
          <w:sz w:val="32"/>
          <w:szCs w:val="32"/>
        </w:rPr>
        <w:t>（四）预算绩效管理情况</w:t>
      </w:r>
    </w:p>
    <w:p w14:paraId="31E23107">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政协委员信息服务中心无项目。</w:t>
      </w:r>
    </w:p>
    <w:p w14:paraId="3ADB3855">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174BD5EF">
      <w:pPr>
        <w:suppressAutoHyphens/>
        <w:spacing w:line="600" w:lineRule="exact"/>
        <w:jc w:val="center"/>
        <w:outlineLvl w:val="0"/>
        <w:rPr>
          <w:rFonts w:ascii="黑体" w:hAnsi="黑体" w:eastAsia="黑体" w:cs="Times New Roman"/>
          <w:bCs/>
          <w:kern w:val="44"/>
          <w:sz w:val="44"/>
          <w:szCs w:val="44"/>
        </w:rPr>
      </w:pPr>
      <w:r>
        <w:rPr>
          <w:rFonts w:hint="eastAsia" w:ascii="黑体" w:hAnsi="黑体" w:eastAsia="黑体" w:cs="Times New Roman"/>
          <w:sz w:val="44"/>
          <w:szCs w:val="44"/>
        </w:rPr>
        <w:t>第三部分  名</w:t>
      </w:r>
      <w:r>
        <w:rPr>
          <w:rFonts w:hint="eastAsia" w:ascii="黑体" w:hAnsi="黑体" w:eastAsia="黑体" w:cs="Times New Roman"/>
          <w:bCs/>
          <w:kern w:val="44"/>
          <w:sz w:val="44"/>
          <w:szCs w:val="44"/>
        </w:rPr>
        <w:t>词解释</w:t>
      </w:r>
    </w:p>
    <w:p w14:paraId="1F5D8107">
      <w:pPr>
        <w:suppressAutoHyphens/>
        <w:spacing w:line="600" w:lineRule="exact"/>
        <w:jc w:val="left"/>
        <w:rPr>
          <w:rFonts w:ascii="宋体" w:hAnsi="Calibri" w:eastAsia="宋体" w:cs="Times New Roman"/>
          <w:b/>
          <w:sz w:val="44"/>
          <w:szCs w:val="44"/>
        </w:rPr>
      </w:pPr>
    </w:p>
    <w:p w14:paraId="46BE7AEB">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672A7802">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ascii="仿宋_GB2312" w:hAnsi="Calibri" w:eastAsia="仿宋_GB2312" w:cs="Times New Roman"/>
          <w:sz w:val="32"/>
          <w:szCs w:val="32"/>
        </w:rPr>
        <w:t>.</w:t>
      </w:r>
      <w:r>
        <w:rPr>
          <w:rFonts w:hint="eastAsia" w:ascii="仿宋_GB2312" w:hAnsi="Calibri" w:eastAsia="仿宋_GB2312" w:cs="Times New Roman"/>
          <w:sz w:val="32"/>
          <w:szCs w:val="32"/>
        </w:rPr>
        <w:t>一般公共服务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20102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机关运行费用、人员经费、政协会议等项目涉及的办公费等</w:t>
      </w:r>
      <w:r>
        <w:rPr>
          <w:rFonts w:hint="eastAsia" w:ascii="仿宋_GB2312" w:hAnsi="Calibri" w:eastAsia="仿宋_GB2312" w:cs="Times New Roman"/>
          <w:sz w:val="32"/>
          <w:szCs w:val="32"/>
        </w:rPr>
        <w:t>。</w:t>
      </w:r>
    </w:p>
    <w:p w14:paraId="07A0D039">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ascii="仿宋_GB2312" w:hAnsi="Calibri" w:eastAsia="仿宋_GB2312" w:cs="Times New Roman"/>
          <w:sz w:val="32"/>
          <w:szCs w:val="32"/>
        </w:rPr>
        <w:t>.</w:t>
      </w:r>
      <w:r>
        <w:rPr>
          <w:rFonts w:hint="eastAsia" w:ascii="仿宋_GB2312" w:hAnsi="Calibri" w:eastAsia="仿宋_GB2312" w:cs="Times New Roman"/>
          <w:sz w:val="32"/>
          <w:szCs w:val="32"/>
        </w:rPr>
        <w:t>社会保障和就业</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20805</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指单位养老保险和职业年金缴费</w:t>
      </w:r>
      <w:r>
        <w:rPr>
          <w:rFonts w:hint="eastAsia" w:ascii="仿宋_GB2312" w:hAnsi="Calibri" w:eastAsia="仿宋_GB2312" w:cs="Times New Roman"/>
          <w:sz w:val="32"/>
          <w:szCs w:val="32"/>
        </w:rPr>
        <w:t>。</w:t>
      </w:r>
    </w:p>
    <w:p w14:paraId="5232F2DD">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ascii="仿宋_GB2312" w:hAnsi="Calibri" w:eastAsia="仿宋_GB2312" w:cs="Times New Roman"/>
          <w:sz w:val="32"/>
          <w:szCs w:val="32"/>
        </w:rPr>
        <w:t>.</w:t>
      </w:r>
      <w:r>
        <w:rPr>
          <w:rFonts w:hint="eastAsia" w:ascii="仿宋_GB2312" w:hAnsi="Calibri" w:eastAsia="仿宋_GB2312" w:cs="Times New Roman"/>
          <w:sz w:val="32"/>
          <w:szCs w:val="32"/>
        </w:rPr>
        <w:t>卫生健康</w:t>
      </w:r>
      <w:r>
        <w:rPr>
          <w:rFonts w:hint="eastAsia" w:ascii="仿宋_GB2312" w:hAnsi="Calibri" w:eastAsia="仿宋_GB2312" w:cs="Times New Roman"/>
          <w:sz w:val="32"/>
          <w:szCs w:val="32"/>
          <w:lang w:eastAsia="zh-CN"/>
        </w:rPr>
        <w:t>（</w:t>
      </w:r>
      <w:r>
        <w:rPr>
          <w:rFonts w:hint="eastAsia" w:ascii="仿宋" w:hAnsi="仿宋" w:eastAsia="仿宋" w:cs="Times New Roman"/>
          <w:b w:val="0"/>
          <w:bCs w:val="0"/>
          <w:sz w:val="32"/>
          <w:szCs w:val="32"/>
        </w:rPr>
        <w:t>2</w:t>
      </w:r>
      <w:r>
        <w:rPr>
          <w:rFonts w:ascii="仿宋" w:hAnsi="仿宋" w:eastAsia="仿宋" w:cs="Times New Roman"/>
          <w:b w:val="0"/>
          <w:bCs w:val="0"/>
          <w:sz w:val="32"/>
          <w:szCs w:val="32"/>
        </w:rPr>
        <w:t>10</w:t>
      </w:r>
      <w:r>
        <w:rPr>
          <w:rFonts w:hint="eastAsia" w:ascii="仿宋" w:hAnsi="仿宋" w:eastAsia="仿宋" w:cs="Times New Roman"/>
          <w:b w:val="0"/>
          <w:bCs w:val="0"/>
          <w:sz w:val="32"/>
          <w:szCs w:val="32"/>
          <w:lang w:val="en-US" w:eastAsia="zh-CN"/>
        </w:rPr>
        <w:t>11）：指单位基本医疗保险和公务员医疗补助缴费。</w:t>
      </w:r>
    </w:p>
    <w:p w14:paraId="2DBD4DA9">
      <w:pPr>
        <w:suppressAutoHyphens/>
        <w:ind w:firstLine="640" w:firstLineChars="200"/>
        <w:rPr>
          <w:rFonts w:hint="eastAsia" w:ascii="仿宋" w:hAnsi="仿宋" w:eastAsia="仿宋" w:cs="Times New Roman"/>
          <w:b w:val="0"/>
          <w:bCs/>
          <w:sz w:val="32"/>
          <w:szCs w:val="32"/>
          <w:lang w:val="en-US" w:eastAsia="zh-CN"/>
        </w:rPr>
      </w:pPr>
      <w:r>
        <w:rPr>
          <w:rFonts w:hint="eastAsia" w:ascii="仿宋_GB2312" w:hAnsi="Calibri" w:eastAsia="仿宋_GB2312" w:cs="Times New Roman"/>
          <w:sz w:val="32"/>
          <w:szCs w:val="32"/>
          <w:lang w:val="en-US" w:eastAsia="zh-CN"/>
        </w:rPr>
        <w:t>5</w:t>
      </w:r>
      <w:r>
        <w:rPr>
          <w:rFonts w:ascii="仿宋_GB2312" w:hAnsi="Calibri" w:eastAsia="仿宋_GB2312" w:cs="Times New Roman"/>
          <w:sz w:val="32"/>
          <w:szCs w:val="32"/>
        </w:rPr>
        <w:t>.</w:t>
      </w:r>
      <w:r>
        <w:rPr>
          <w:rFonts w:hint="eastAsia" w:ascii="仿宋_GB2312" w:hAnsi="Calibri" w:eastAsia="仿宋_GB2312" w:cs="Times New Roman"/>
          <w:sz w:val="32"/>
          <w:szCs w:val="32"/>
        </w:rPr>
        <w:t>住房保障</w:t>
      </w:r>
      <w:r>
        <w:rPr>
          <w:rFonts w:hint="eastAsia" w:ascii="仿宋_GB2312" w:hAnsi="Calibri" w:eastAsia="仿宋_GB2312" w:cs="Times New Roman"/>
          <w:sz w:val="32"/>
          <w:szCs w:val="32"/>
          <w:lang w:eastAsia="zh-CN"/>
        </w:rPr>
        <w:t>（</w:t>
      </w:r>
      <w:r>
        <w:rPr>
          <w:rFonts w:hint="eastAsia" w:ascii="仿宋" w:hAnsi="仿宋" w:eastAsia="仿宋" w:cs="Times New Roman"/>
          <w:b w:val="0"/>
          <w:bCs/>
          <w:sz w:val="32"/>
          <w:szCs w:val="32"/>
          <w:lang w:val="en-US" w:eastAsia="zh-CN"/>
        </w:rPr>
        <w:t>2210201）：指单位住房公积金缴费。</w:t>
      </w:r>
    </w:p>
    <w:p w14:paraId="38C5B0B8">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6</w:t>
      </w:r>
      <w:r>
        <w:rPr>
          <w:rFonts w:ascii="仿宋_GB2312" w:hAnsi="Calibri" w:eastAsia="仿宋_GB2312" w:cs="Times New Roman"/>
          <w:sz w:val="32"/>
          <w:szCs w:val="32"/>
        </w:rPr>
        <w:t>.</w:t>
      </w:r>
      <w:r>
        <w:rPr>
          <w:rFonts w:hint="eastAsia" w:ascii="仿宋_GB2312" w:hAnsi="Calibri" w:eastAsia="仿宋_GB2312" w:cs="Times New Roman"/>
          <w:sz w:val="32"/>
          <w:szCs w:val="32"/>
        </w:rPr>
        <w:t>基本支出：指为保障机构正常运转、完成日常工作任务而发生的人员支出和公用支出。</w:t>
      </w:r>
    </w:p>
    <w:p w14:paraId="1B0EC59C">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单位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14:paraId="3378C487">
      <w:pPr>
        <w:autoSpaceDE w:val="0"/>
        <w:autoSpaceDN w:val="0"/>
        <w:adjustRightInd w:val="0"/>
        <w:spacing w:line="560" w:lineRule="exact"/>
        <w:ind w:firstLine="640" w:firstLineChars="200"/>
        <w:jc w:val="left"/>
        <w:rPr>
          <w:rFonts w:ascii="仿宋" w:hAnsi="仿宋" w:eastAsia="仿宋" w:cs="Times New Roman"/>
          <w:b/>
          <w:sz w:val="32"/>
          <w:szCs w:val="32"/>
        </w:rPr>
      </w:pPr>
      <w:r>
        <w:rPr>
          <w:rFonts w:hint="eastAsia" w:ascii="仿宋_GB2312" w:hAnsi="Calibri" w:eastAsia="仿宋_GB2312" w:cs="仿宋"/>
          <w:kern w:val="0"/>
          <w:sz w:val="32"/>
          <w:szCs w:val="32"/>
          <w:lang w:val="en-US" w:eastAsia="zh-CN"/>
        </w:rPr>
        <w:t>8</w:t>
      </w:r>
      <w:r>
        <w:rPr>
          <w:rFonts w:ascii="仿宋_GB2312" w:hAnsi="Calibri" w:eastAsia="仿宋_GB2312" w:cs="仿宋"/>
          <w:kern w:val="0"/>
          <w:sz w:val="32"/>
          <w:szCs w:val="32"/>
        </w:rPr>
        <w:t>.</w:t>
      </w:r>
      <w:r>
        <w:rPr>
          <w:rFonts w:hint="eastAsia" w:ascii="仿宋_GB2312" w:hAnsi="Calibri" w:eastAsia="仿宋_GB2312" w:cs="仿宋"/>
          <w:kern w:val="0"/>
          <w:sz w:val="32"/>
          <w:szCs w:val="32"/>
        </w:rPr>
        <w:t>机关运行经费：为保障行政单位（含参照公务员法管理的事业单位）运行用于购买货物和服务的各项资金，包括办公及印刷费、差旅费及其他费用。</w:t>
      </w:r>
    </w:p>
    <w:p w14:paraId="12CE59BD">
      <w:pPr>
        <w:suppressAutoHyphens/>
        <w:spacing w:line="600" w:lineRule="exact"/>
        <w:jc w:val="center"/>
        <w:outlineLvl w:val="0"/>
        <w:rPr>
          <w:rFonts w:ascii="黑体" w:hAnsi="黑体" w:eastAsia="黑体" w:cs="Times New Roman"/>
          <w:bCs/>
          <w:kern w:val="44"/>
          <w:sz w:val="44"/>
          <w:szCs w:val="44"/>
        </w:rPr>
      </w:pPr>
      <w:r>
        <w:rPr>
          <w:rFonts w:ascii="宋体" w:hAnsi="Calibri" w:eastAsia="宋体" w:cs="Times New Roman"/>
          <w:b/>
          <w:sz w:val="44"/>
          <w:szCs w:val="44"/>
        </w:rPr>
        <w:br w:type="page"/>
      </w:r>
      <w:r>
        <w:rPr>
          <w:rFonts w:hint="eastAsia" w:ascii="黑体" w:hAnsi="黑体" w:eastAsia="黑体" w:cs="Times New Roman"/>
          <w:sz w:val="44"/>
          <w:szCs w:val="44"/>
        </w:rPr>
        <w:t>第</w:t>
      </w:r>
      <w:r>
        <w:rPr>
          <w:rFonts w:hint="eastAsia" w:ascii="黑体" w:hAnsi="黑体" w:eastAsia="黑体" w:cs="Times New Roman"/>
          <w:bCs/>
          <w:kern w:val="44"/>
          <w:sz w:val="44"/>
          <w:szCs w:val="44"/>
        </w:rPr>
        <w:t>四部分 附件</w:t>
      </w:r>
    </w:p>
    <w:p w14:paraId="3755993E">
      <w:pPr>
        <w:suppressAutoHyphens/>
        <w:spacing w:line="572" w:lineRule="exact"/>
        <w:jc w:val="left"/>
        <w:outlineLvl w:val="0"/>
        <w:rPr>
          <w:rFonts w:ascii="仿宋_GB2312" w:hAnsi="仿宋_GB2312" w:eastAsia="仿宋_GB2312" w:cs="仿宋_GB2312"/>
          <w:sz w:val="32"/>
          <w:szCs w:val="32"/>
        </w:rPr>
      </w:pPr>
    </w:p>
    <w:p w14:paraId="580EFF62">
      <w:pPr>
        <w:suppressAutoHyphens/>
        <w:spacing w:line="600" w:lineRule="exact"/>
        <w:jc w:val="center"/>
        <w:outlineLvl w:val="0"/>
        <w:rPr>
          <w:rFonts w:hint="eastAsia" w:ascii="Calibri" w:hAnsi="Times New Roman" w:eastAsia="宋体" w:cs="Times New Roman"/>
          <w:sz w:val="32"/>
          <w:szCs w:val="32"/>
        </w:rPr>
      </w:pPr>
      <w:r>
        <w:rPr>
          <w:rFonts w:hint="eastAsia" w:ascii="Calibri" w:hAnsi="Times New Roman" w:eastAsia="宋体" w:cs="Times New Roman"/>
          <w:sz w:val="32"/>
          <w:szCs w:val="32"/>
        </w:rPr>
        <w:t>部门预算项目支出绩效自评表（202</w:t>
      </w:r>
      <w:r>
        <w:rPr>
          <w:rFonts w:hint="eastAsia" w:ascii="Calibri" w:hAnsi="Times New Roman" w:eastAsia="宋体" w:cs="Times New Roman"/>
          <w:sz w:val="32"/>
          <w:szCs w:val="32"/>
          <w:lang w:val="en-US" w:eastAsia="zh-CN"/>
        </w:rPr>
        <w:t>4</w:t>
      </w:r>
      <w:r>
        <w:rPr>
          <w:rFonts w:hint="eastAsia" w:ascii="Calibri" w:hAnsi="Times New Roman" w:eastAsia="宋体" w:cs="Times New Roman"/>
          <w:sz w:val="32"/>
          <w:szCs w:val="32"/>
        </w:rPr>
        <w:t>年度）</w:t>
      </w:r>
    </w:p>
    <w:p w14:paraId="0577FE3F">
      <w:pPr>
        <w:pStyle w:val="2"/>
        <w:ind w:firstLine="960" w:firstLineChars="3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该单位为政协办公室下属事业机构，无项目。</w:t>
      </w:r>
    </w:p>
    <w:p w14:paraId="610389FE">
      <w:pPr>
        <w:suppressAutoHyphens/>
        <w:spacing w:after="140" w:line="276" w:lineRule="auto"/>
        <w:rPr>
          <w:rFonts w:hint="eastAsia" w:ascii="仿宋_GB2312" w:hAnsi="Calibri" w:eastAsia="仿宋_GB2312" w:cs="仿宋"/>
          <w:kern w:val="0"/>
          <w:sz w:val="32"/>
          <w:szCs w:val="32"/>
        </w:rPr>
      </w:pPr>
    </w:p>
    <w:p w14:paraId="71F1C63E">
      <w:pPr>
        <w:suppressAutoHyphens/>
        <w:spacing w:after="140" w:line="276" w:lineRule="auto"/>
        <w:rPr>
          <w:rFonts w:hint="eastAsia" w:ascii="仿宋_GB2312" w:hAnsi="Calibri" w:eastAsia="仿宋_GB2312" w:cs="仿宋"/>
          <w:kern w:val="0"/>
          <w:sz w:val="32"/>
          <w:szCs w:val="32"/>
        </w:rPr>
      </w:pPr>
    </w:p>
    <w:p w14:paraId="2434F3A5">
      <w:pPr>
        <w:suppressAutoHyphens/>
        <w:spacing w:after="140" w:line="276" w:lineRule="auto"/>
        <w:rPr>
          <w:rFonts w:hint="eastAsia" w:ascii="仿宋_GB2312" w:hAnsi="Calibri" w:eastAsia="仿宋_GB2312" w:cs="仿宋"/>
          <w:kern w:val="0"/>
          <w:sz w:val="32"/>
          <w:szCs w:val="32"/>
        </w:rPr>
      </w:pPr>
    </w:p>
    <w:p w14:paraId="6E9F92E0">
      <w:pPr>
        <w:suppressAutoHyphens/>
        <w:spacing w:after="140" w:line="276" w:lineRule="auto"/>
        <w:rPr>
          <w:rFonts w:hint="eastAsia" w:ascii="仿宋_GB2312" w:hAnsi="Calibri" w:eastAsia="仿宋_GB2312" w:cs="仿宋"/>
          <w:kern w:val="0"/>
          <w:sz w:val="32"/>
          <w:szCs w:val="32"/>
        </w:rPr>
      </w:pPr>
    </w:p>
    <w:p w14:paraId="2E1D673B">
      <w:pPr>
        <w:suppressAutoHyphens/>
        <w:spacing w:after="140" w:line="276" w:lineRule="auto"/>
        <w:rPr>
          <w:rFonts w:hint="eastAsia" w:ascii="仿宋_GB2312" w:hAnsi="Calibri" w:eastAsia="仿宋_GB2312" w:cs="仿宋"/>
          <w:kern w:val="0"/>
          <w:sz w:val="32"/>
          <w:szCs w:val="32"/>
        </w:rPr>
      </w:pPr>
    </w:p>
    <w:p w14:paraId="2AF4F550">
      <w:pPr>
        <w:suppressAutoHyphens/>
        <w:spacing w:after="140" w:line="276" w:lineRule="auto"/>
        <w:rPr>
          <w:rFonts w:hint="eastAsia" w:ascii="仿宋_GB2312" w:hAnsi="Calibri" w:eastAsia="仿宋_GB2312" w:cs="仿宋"/>
          <w:kern w:val="0"/>
          <w:sz w:val="32"/>
          <w:szCs w:val="32"/>
        </w:rPr>
      </w:pPr>
    </w:p>
    <w:p w14:paraId="641286FA">
      <w:pPr>
        <w:suppressAutoHyphens/>
        <w:spacing w:after="140" w:line="276" w:lineRule="auto"/>
        <w:rPr>
          <w:rFonts w:hint="eastAsia" w:ascii="仿宋_GB2312" w:hAnsi="Calibri" w:eastAsia="仿宋_GB2312" w:cs="仿宋"/>
          <w:kern w:val="0"/>
          <w:sz w:val="32"/>
          <w:szCs w:val="32"/>
        </w:rPr>
      </w:pPr>
    </w:p>
    <w:p w14:paraId="5DE47670">
      <w:pPr>
        <w:suppressAutoHyphens/>
        <w:spacing w:after="140" w:line="276" w:lineRule="auto"/>
        <w:rPr>
          <w:rFonts w:hint="eastAsia" w:ascii="仿宋_GB2312" w:hAnsi="Calibri" w:eastAsia="仿宋_GB2312" w:cs="仿宋"/>
          <w:kern w:val="0"/>
          <w:sz w:val="32"/>
          <w:szCs w:val="32"/>
        </w:rPr>
      </w:pPr>
    </w:p>
    <w:p w14:paraId="54D7987F">
      <w:pPr>
        <w:suppressAutoHyphens/>
        <w:spacing w:after="140" w:line="276" w:lineRule="auto"/>
        <w:rPr>
          <w:rFonts w:hint="eastAsia" w:ascii="仿宋_GB2312" w:hAnsi="Calibri" w:eastAsia="仿宋_GB2312" w:cs="仿宋"/>
          <w:kern w:val="0"/>
          <w:sz w:val="32"/>
          <w:szCs w:val="32"/>
        </w:rPr>
      </w:pPr>
    </w:p>
    <w:p w14:paraId="01933D67">
      <w:pPr>
        <w:suppressAutoHyphens/>
        <w:spacing w:after="140" w:line="276" w:lineRule="auto"/>
        <w:rPr>
          <w:rFonts w:hint="eastAsia" w:ascii="仿宋_GB2312" w:hAnsi="Calibri" w:eastAsia="仿宋_GB2312" w:cs="仿宋"/>
          <w:kern w:val="0"/>
          <w:sz w:val="32"/>
          <w:szCs w:val="32"/>
        </w:rPr>
      </w:pPr>
    </w:p>
    <w:p w14:paraId="0AC1E775">
      <w:pPr>
        <w:pStyle w:val="2"/>
        <w:rPr>
          <w:rFonts w:hint="eastAsia" w:ascii="仿宋_GB2312" w:hAnsi="Calibri" w:eastAsia="仿宋_GB2312" w:cs="仿宋"/>
          <w:kern w:val="0"/>
          <w:sz w:val="32"/>
          <w:szCs w:val="32"/>
        </w:rPr>
      </w:pPr>
    </w:p>
    <w:p w14:paraId="16E24B07">
      <w:pPr>
        <w:rPr>
          <w:rFonts w:hint="eastAsia" w:ascii="仿宋_GB2312" w:hAnsi="Calibri" w:eastAsia="仿宋_GB2312" w:cs="仿宋"/>
          <w:kern w:val="0"/>
          <w:sz w:val="32"/>
          <w:szCs w:val="32"/>
        </w:rPr>
      </w:pPr>
    </w:p>
    <w:p w14:paraId="7B7B9748">
      <w:pPr>
        <w:pStyle w:val="2"/>
        <w:rPr>
          <w:rFonts w:hint="eastAsia"/>
        </w:rPr>
      </w:pPr>
    </w:p>
    <w:p w14:paraId="5D1A5983">
      <w:pPr>
        <w:suppressAutoHyphens/>
        <w:rPr>
          <w:rFonts w:hint="eastAsia" w:ascii="黑体" w:hAnsi="黑体" w:eastAsia="黑体" w:cs="Times New Roman"/>
          <w:sz w:val="44"/>
          <w:szCs w:val="44"/>
        </w:rPr>
      </w:pPr>
    </w:p>
    <w:p w14:paraId="3C2F861F">
      <w:pPr>
        <w:suppressAutoHyphens/>
        <w:spacing w:line="600" w:lineRule="exact"/>
        <w:jc w:val="center"/>
        <w:outlineLvl w:val="0"/>
        <w:rPr>
          <w:rFonts w:hint="eastAsia" w:ascii="仿宋" w:hAnsi="仿宋" w:eastAsia="仿宋" w:cs="Times New Roman"/>
          <w:szCs w:val="24"/>
        </w:rPr>
      </w:pPr>
      <w:r>
        <w:rPr>
          <w:rFonts w:hint="eastAsia" w:ascii="黑体" w:hAnsi="黑体" w:eastAsia="黑体" w:cs="Times New Roman"/>
          <w:sz w:val="44"/>
          <w:szCs w:val="44"/>
        </w:rPr>
        <w:t>第</w:t>
      </w:r>
      <w:r>
        <w:rPr>
          <w:rFonts w:hint="eastAsia" w:ascii="黑体" w:hAnsi="黑体" w:eastAsia="黑体" w:cs="Times New Roman"/>
          <w:bCs/>
          <w:kern w:val="44"/>
          <w:sz w:val="44"/>
          <w:szCs w:val="44"/>
        </w:rPr>
        <w:t>五部分 附表</w:t>
      </w:r>
    </w:p>
    <w:p w14:paraId="70741350">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bCs/>
          <w:sz w:val="32"/>
          <w:szCs w:val="32"/>
        </w:rPr>
        <w:t>一、收</w:t>
      </w:r>
      <w:r>
        <w:rPr>
          <w:rFonts w:hint="eastAsia" w:ascii="仿宋" w:hAnsi="仿宋" w:eastAsia="仿宋" w:cs="Times New Roman"/>
          <w:sz w:val="32"/>
          <w:szCs w:val="32"/>
        </w:rPr>
        <w:t>入支出决算总表</w:t>
      </w:r>
    </w:p>
    <w:p w14:paraId="5EA455B3">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bCs/>
          <w:sz w:val="32"/>
          <w:szCs w:val="32"/>
        </w:rPr>
        <w:t>二、收</w:t>
      </w:r>
      <w:r>
        <w:rPr>
          <w:rFonts w:hint="eastAsia" w:ascii="仿宋" w:hAnsi="仿宋" w:eastAsia="仿宋" w:cs="Times New Roman"/>
          <w:sz w:val="32"/>
          <w:szCs w:val="32"/>
        </w:rPr>
        <w:t>入决算表</w:t>
      </w:r>
    </w:p>
    <w:p w14:paraId="120062B4">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三、</w:t>
      </w:r>
      <w:r>
        <w:rPr>
          <w:rFonts w:hint="eastAsia" w:ascii="仿宋" w:hAnsi="仿宋" w:eastAsia="仿宋" w:cs="Times New Roman"/>
          <w:bCs/>
          <w:sz w:val="32"/>
          <w:szCs w:val="32"/>
        </w:rPr>
        <w:t>支</w:t>
      </w:r>
      <w:r>
        <w:rPr>
          <w:rFonts w:hint="eastAsia" w:ascii="仿宋" w:hAnsi="仿宋" w:eastAsia="仿宋" w:cs="Times New Roman"/>
          <w:sz w:val="32"/>
          <w:szCs w:val="32"/>
        </w:rPr>
        <w:t>出决算表</w:t>
      </w:r>
    </w:p>
    <w:p w14:paraId="2E86090E">
      <w:pPr>
        <w:keepNext/>
        <w:keepLines/>
        <w:suppressAutoHyphens/>
        <w:spacing w:before="260" w:after="260" w:line="416" w:lineRule="auto"/>
        <w:outlineLvl w:val="1"/>
        <w:rPr>
          <w:rFonts w:ascii="仿宋" w:hAnsi="仿宋" w:eastAsia="仿宋" w:cs="Times New Roman"/>
          <w:bCs/>
          <w:sz w:val="32"/>
          <w:szCs w:val="32"/>
        </w:rPr>
      </w:pPr>
      <w:r>
        <w:rPr>
          <w:rFonts w:hint="eastAsia" w:ascii="仿宋" w:hAnsi="仿宋" w:eastAsia="仿宋" w:cs="Times New Roman"/>
          <w:sz w:val="32"/>
          <w:szCs w:val="32"/>
        </w:rPr>
        <w:t>四、</w:t>
      </w:r>
      <w:r>
        <w:rPr>
          <w:rFonts w:hint="eastAsia" w:ascii="仿宋" w:hAnsi="仿宋" w:eastAsia="仿宋" w:cs="Times New Roman"/>
          <w:bCs/>
          <w:sz w:val="32"/>
          <w:szCs w:val="32"/>
        </w:rPr>
        <w:t>财</w:t>
      </w:r>
      <w:r>
        <w:rPr>
          <w:rFonts w:hint="eastAsia" w:ascii="仿宋" w:hAnsi="仿宋" w:eastAsia="仿宋" w:cs="Times New Roman"/>
          <w:sz w:val="32"/>
          <w:szCs w:val="32"/>
        </w:rPr>
        <w:t>政拨款收入支出决算总表</w:t>
      </w:r>
    </w:p>
    <w:p w14:paraId="2582792A">
      <w:pPr>
        <w:keepNext/>
        <w:keepLines/>
        <w:suppressAutoHyphens/>
        <w:spacing w:before="260" w:after="260" w:line="416" w:lineRule="auto"/>
        <w:outlineLvl w:val="1"/>
        <w:rPr>
          <w:rFonts w:ascii="仿宋" w:hAnsi="仿宋" w:eastAsia="仿宋" w:cs="Times New Roman"/>
          <w:sz w:val="32"/>
          <w:szCs w:val="32"/>
        </w:rPr>
      </w:pPr>
      <w:r>
        <w:rPr>
          <w:rFonts w:hint="eastAsia" w:ascii="仿宋" w:hAnsi="仿宋" w:eastAsia="仿宋" w:cs="Times New Roman"/>
          <w:sz w:val="32"/>
          <w:szCs w:val="32"/>
        </w:rPr>
        <w:t>五、</w:t>
      </w:r>
      <w:r>
        <w:rPr>
          <w:rFonts w:hint="eastAsia" w:ascii="仿宋" w:hAnsi="仿宋" w:eastAsia="仿宋" w:cs="Times New Roman"/>
          <w:bCs/>
          <w:sz w:val="32"/>
          <w:szCs w:val="32"/>
        </w:rPr>
        <w:t>财</w:t>
      </w:r>
      <w:r>
        <w:rPr>
          <w:rFonts w:hint="eastAsia" w:ascii="仿宋" w:hAnsi="仿宋" w:eastAsia="仿宋" w:cs="Times New Roman"/>
          <w:sz w:val="32"/>
          <w:szCs w:val="32"/>
        </w:rPr>
        <w:t>政拨款支出决算明细表</w:t>
      </w:r>
    </w:p>
    <w:p w14:paraId="33A1FEE2">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六、</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般公共预算财政拨款支出决算表</w:t>
      </w:r>
    </w:p>
    <w:p w14:paraId="19810DD8">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七、</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般公共预算财政拨款支出决算明细表</w:t>
      </w:r>
    </w:p>
    <w:p w14:paraId="334CBE27">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八、</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般公共预算财政拨款基本支出决算表</w:t>
      </w:r>
    </w:p>
    <w:p w14:paraId="418EDD8B">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九、</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般公共预算财政拨款项目支出决算表</w:t>
      </w:r>
    </w:p>
    <w:p w14:paraId="3C23961C">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十、</w:t>
      </w:r>
      <w:r>
        <w:rPr>
          <w:rFonts w:hint="eastAsia" w:ascii="仿宋" w:hAnsi="仿宋" w:eastAsia="仿宋" w:cs="Times New Roman"/>
          <w:bCs/>
          <w:sz w:val="32"/>
          <w:szCs w:val="32"/>
        </w:rPr>
        <w:t>政</w:t>
      </w:r>
      <w:r>
        <w:rPr>
          <w:rFonts w:hint="eastAsia" w:ascii="仿宋" w:hAnsi="仿宋" w:eastAsia="仿宋" w:cs="Times New Roman"/>
          <w:sz w:val="32"/>
          <w:szCs w:val="32"/>
        </w:rPr>
        <w:t>府性基金预算财政拨款收入支出决算表</w:t>
      </w:r>
    </w:p>
    <w:p w14:paraId="50F8775D">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十一、</w:t>
      </w:r>
      <w:r>
        <w:rPr>
          <w:rFonts w:hint="eastAsia" w:ascii="仿宋" w:hAnsi="仿宋" w:eastAsia="仿宋" w:cs="Times New Roman"/>
          <w:bCs/>
          <w:sz w:val="32"/>
          <w:szCs w:val="32"/>
        </w:rPr>
        <w:t>国</w:t>
      </w:r>
      <w:r>
        <w:rPr>
          <w:rFonts w:hint="eastAsia" w:ascii="仿宋" w:hAnsi="仿宋" w:eastAsia="仿宋" w:cs="Times New Roman"/>
          <w:sz w:val="32"/>
          <w:szCs w:val="32"/>
        </w:rPr>
        <w:t>有资本经营预算财政拨款收入支出决算表</w:t>
      </w:r>
    </w:p>
    <w:p w14:paraId="53425442">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十二、国有资本经营预算财政拨款支出决算表</w:t>
      </w:r>
    </w:p>
    <w:p w14:paraId="381891E1">
      <w:pPr>
        <w:keepNext/>
        <w:keepLines/>
        <w:suppressAutoHyphens/>
        <w:spacing w:before="260" w:after="260" w:line="416" w:lineRule="auto"/>
        <w:outlineLvl w:val="1"/>
        <w:rPr>
          <w:rFonts w:hint="eastAsia" w:ascii="Cambria" w:hAnsi="Cambria" w:eastAsia="仿宋" w:cs="Times New Roman"/>
          <w:b/>
          <w:bCs/>
          <w:sz w:val="32"/>
          <w:szCs w:val="32"/>
        </w:rPr>
      </w:pPr>
      <w:r>
        <w:rPr>
          <w:rFonts w:hint="eastAsia" w:ascii="仿宋" w:hAnsi="仿宋" w:eastAsia="仿宋" w:cs="Times New Roman"/>
          <w:sz w:val="32"/>
          <w:szCs w:val="32"/>
        </w:rPr>
        <w:t>十三、财政拨款“三公”经费支出决算表</w:t>
      </w:r>
    </w:p>
    <w:p w14:paraId="6A17CBD1">
      <w:pPr>
        <w:suppressAutoHyphens/>
        <w:rPr>
          <w:rFonts w:ascii="Calibri" w:hAnsi="Calibri" w:eastAsia="宋体" w:cs="Times New Roman"/>
          <w:szCs w:val="24"/>
        </w:rPr>
      </w:pPr>
    </w:p>
    <w:p w14:paraId="669996F8">
      <w:pPr>
        <w:rPr>
          <w:rFonts w:ascii="黑体" w:hAnsi="黑体" w:eastAsia="黑体"/>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5161FB-403D-4866-A6FE-8D50E95E31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D10167-F0B7-4053-864A-69CB3A3A526C}"/>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289C981E-6040-4A24-B1D0-A672F7C07115}"/>
  </w:font>
  <w:font w:name="仿宋">
    <w:panose1 w:val="02010609060101010101"/>
    <w:charset w:val="86"/>
    <w:family w:val="modern"/>
    <w:pitch w:val="default"/>
    <w:sig w:usb0="800002BF" w:usb1="38CF7CFA" w:usb2="00000016" w:usb3="00000000" w:csb0="00040001" w:csb1="00000000"/>
    <w:embedRegular r:id="rId4" w:fontKey="{25A8EB77-7F2D-4FA4-95E3-6882754F4B61}"/>
  </w:font>
  <w:font w:name="仿宋_GB2312">
    <w:panose1 w:val="02010609030101010101"/>
    <w:charset w:val="86"/>
    <w:family w:val="modern"/>
    <w:pitch w:val="default"/>
    <w:sig w:usb0="00000001" w:usb1="080E0000" w:usb2="00000000" w:usb3="00000000" w:csb0="00040000" w:csb1="00000000"/>
    <w:embedRegular r:id="rId5" w:fontKey="{2606104B-013C-4CB9-90C4-101002675905}"/>
  </w:font>
  <w:font w:name="Cambria">
    <w:panose1 w:val="02040503050406030204"/>
    <w:charset w:val="00"/>
    <w:family w:val="roman"/>
    <w:pitch w:val="default"/>
    <w:sig w:usb0="E00006FF" w:usb1="420024FF" w:usb2="02000000" w:usb3="00000000" w:csb0="2000019F" w:csb1="00000000"/>
    <w:embedRegular r:id="rId6" w:fontKey="{BFDA5574-CF28-474D-B4E3-6100E969EA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6CE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FAAC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0FAAC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52C5"/>
    <w:multiLevelType w:val="multilevel"/>
    <w:tmpl w:val="37C252C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08B266F"/>
    <w:multiLevelType w:val="multilevel"/>
    <w:tmpl w:val="508B266F"/>
    <w:lvl w:ilvl="0" w:tentative="0">
      <w:start w:val="3"/>
      <w:numFmt w:val="japaneseCounting"/>
      <w:lvlText w:val="（%1）"/>
      <w:lvlJc w:val="left"/>
      <w:pPr>
        <w:ind w:left="1720" w:hanging="1080"/>
      </w:pPr>
      <w:rPr>
        <w:rFonts w:hint="default" w:hAnsiTheme="minorHAnsi" w:cstheme="minorBidi"/>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99"/>
    <w:rsid w:val="00063FEE"/>
    <w:rsid w:val="00292EE2"/>
    <w:rsid w:val="005D5FA9"/>
    <w:rsid w:val="007310EC"/>
    <w:rsid w:val="0074072A"/>
    <w:rsid w:val="00782869"/>
    <w:rsid w:val="00860A1B"/>
    <w:rsid w:val="008B0476"/>
    <w:rsid w:val="00907BA9"/>
    <w:rsid w:val="009505E0"/>
    <w:rsid w:val="00B06775"/>
    <w:rsid w:val="00C4433B"/>
    <w:rsid w:val="00D806F4"/>
    <w:rsid w:val="00F722AD"/>
    <w:rsid w:val="00FD0499"/>
    <w:rsid w:val="00FD52F9"/>
    <w:rsid w:val="07935BEC"/>
    <w:rsid w:val="0EBE385C"/>
    <w:rsid w:val="0ED902EA"/>
    <w:rsid w:val="118A1E93"/>
    <w:rsid w:val="13CC1D73"/>
    <w:rsid w:val="150D4169"/>
    <w:rsid w:val="153E0A4F"/>
    <w:rsid w:val="19213BDD"/>
    <w:rsid w:val="1B4E3A88"/>
    <w:rsid w:val="22D1584F"/>
    <w:rsid w:val="25D23BCF"/>
    <w:rsid w:val="2A560FB8"/>
    <w:rsid w:val="329D63F7"/>
    <w:rsid w:val="3AAA595E"/>
    <w:rsid w:val="3B5034D7"/>
    <w:rsid w:val="3E8306F7"/>
    <w:rsid w:val="3FA4359C"/>
    <w:rsid w:val="4651424C"/>
    <w:rsid w:val="492663AE"/>
    <w:rsid w:val="57C47B2E"/>
    <w:rsid w:val="5F6F3773"/>
    <w:rsid w:val="6A3A63EF"/>
    <w:rsid w:val="724F0D1A"/>
    <w:rsid w:val="761467BF"/>
    <w:rsid w:val="7721799D"/>
    <w:rsid w:val="7922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3168</Words>
  <Characters>4108</Characters>
  <Lines>40</Lines>
  <Paragraphs>11</Paragraphs>
  <TotalTime>22</TotalTime>
  <ScaleCrop>false</ScaleCrop>
  <LinksUpToDate>false</LinksUpToDate>
  <CharactersWithSpaces>4128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2024-09-07T08:41:00Z</dcterms:created>
  <dc:creator>政协财务室</dc:creator>
  <cp:lastModifiedBy>奕夕^_^</cp:lastModifiedBy>
  <dcterms:modified xsi:type="dcterms:W3CDTF">2025-10-15T08:01:59Z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9D03437C42E64DFCB9FF902242D2643C_12</vt:lpwstr>
  </property>
</Properties>
</file>