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2022年度阿坝州松潘县</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仿宋_GB2312" w:eastAsia="仿宋_GB2312" w:cs="仿宋_GB2312"/>
          <w:kern w:val="0"/>
          <w:sz w:val="32"/>
          <w:szCs w:val="32"/>
        </w:rPr>
      </w:pPr>
      <w:r>
        <w:rPr>
          <w:rFonts w:hint="eastAsia" w:ascii="方正小标宋简体" w:hAnsi="方正小标宋简体" w:eastAsia="方正小标宋简体" w:cs="方正小标宋简体"/>
          <w:kern w:val="0"/>
          <w:sz w:val="44"/>
          <w:szCs w:val="44"/>
          <w:lang w:val="en-US" w:eastAsia="zh-CN" w:bidi="ar"/>
        </w:rPr>
        <w:t>政协委员信息服务中心决算公开</w:t>
      </w: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已经保密审查、内容审定，同意对外公开</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pPr>
        <w:pStyle w:val="2"/>
        <w:rPr>
          <w:rFonts w:hint="eastAsia"/>
        </w:rPr>
      </w:pP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目录</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76" w:lineRule="exact"/>
        <w:ind w:left="0" w:right="0" w:firstLine="1920" w:firstLineChars="600"/>
        <w:jc w:val="left"/>
        <w:textAlignment w:val="auto"/>
        <w:rPr>
          <w:rFonts w:hint="eastAsia" w:ascii="仿宋_GB2312" w:hAnsi="宋体"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76" w:lineRule="exact"/>
        <w:ind w:left="0" w:right="0" w:firstLine="1920" w:firstLineChars="6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公开时间：2023年9月10日</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第一部分 部门概况</w:t>
      </w:r>
      <w:r>
        <w:tab/>
      </w:r>
      <w:r>
        <w:rPr>
          <w:rFonts w:hint="eastAsia"/>
          <w:lang w:val="en-US" w:eastAsia="zh-CN"/>
        </w:rPr>
        <w:t>4</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lang w:val="en-US" w:eastAsia="zh-CN"/>
        </w:rPr>
      </w:pPr>
      <w:r>
        <w:rPr>
          <w:rFonts w:hint="eastAsia" w:ascii="仿宋_GB2312" w:hAnsi="宋体" w:eastAsia="仿宋_GB2312" w:cs="仿宋_GB2312"/>
          <w:kern w:val="0"/>
          <w:sz w:val="32"/>
          <w:szCs w:val="32"/>
          <w:lang w:val="en-US" w:eastAsia="zh-CN" w:bidi="ar"/>
        </w:rPr>
        <w:t>一、基本职能及主要工作</w:t>
      </w:r>
      <w:r>
        <w:tab/>
      </w:r>
      <w:r>
        <w:rPr>
          <w:rFonts w:hint="eastAsia"/>
          <w:lang w:val="en-US" w:eastAsia="zh-CN"/>
        </w:rPr>
        <w:t>4-6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二、机构设置</w:t>
      </w:r>
      <w:r>
        <w:tab/>
      </w:r>
      <w:r>
        <w:rPr>
          <w:rFonts w:hint="eastAsia"/>
          <w:lang w:val="en-US" w:eastAsia="zh-CN"/>
        </w:rPr>
        <w:t>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第二部分 2022年度部门决算情况说明</w:t>
      </w:r>
      <w:r>
        <w:tab/>
      </w:r>
      <w:r>
        <w:rPr>
          <w:rFonts w:hint="eastAsia"/>
          <w:lang w:val="en-US" w:eastAsia="zh-CN"/>
        </w:rPr>
        <w:t>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一、收入支出决算总体情况说明</w:t>
      </w:r>
      <w:r>
        <w:tab/>
      </w:r>
      <w:r>
        <w:rPr>
          <w:rFonts w:hint="eastAsia"/>
          <w:lang w:val="en-US" w:eastAsia="zh-CN"/>
        </w:rPr>
        <w:t>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二、收入决算情况说明</w:t>
      </w:r>
      <w:r>
        <w:tab/>
      </w:r>
      <w:r>
        <w:rPr>
          <w:rFonts w:hint="eastAsia"/>
          <w:lang w:val="en-US" w:eastAsia="zh-CN"/>
        </w:rPr>
        <w:t>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三、支出决算情况说明</w:t>
      </w:r>
      <w:r>
        <w:tab/>
      </w:r>
      <w:r>
        <w:rPr>
          <w:rFonts w:hint="eastAsia"/>
          <w:lang w:val="en-US" w:eastAsia="zh-CN"/>
        </w:rPr>
        <w:t>7</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四、财政拨款收入支出决算总体情况说明</w:t>
      </w:r>
      <w:r>
        <w:tab/>
      </w:r>
      <w:r>
        <w:rPr>
          <w:rFonts w:hint="eastAsia"/>
          <w:lang w:val="en-US" w:eastAsia="zh-CN"/>
        </w:rPr>
        <w:t>7</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五、一般公共预算财政拨款支出决算情况说明</w:t>
      </w:r>
      <w:r>
        <w:tab/>
      </w:r>
      <w:r>
        <w:rPr>
          <w:rFonts w:hint="eastAsia"/>
          <w:lang w:val="en-US" w:eastAsia="zh-CN"/>
        </w:rPr>
        <w:t>7</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六、一般公共预算财政拨款基本支出决算情况说明</w:t>
      </w:r>
      <w:r>
        <w:tab/>
      </w:r>
      <w:r>
        <w:rPr>
          <w:rFonts w:hint="eastAsia"/>
          <w:lang w:val="en-US" w:eastAsia="zh-CN"/>
        </w:rPr>
        <w:t>8</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七、财政拨款“三公”经费支出决算情况说明</w:t>
      </w:r>
      <w:r>
        <w:tab/>
      </w:r>
      <w:r>
        <w:rPr>
          <w:rFonts w:hint="eastAsia"/>
          <w:lang w:val="en-US" w:eastAsia="zh-CN"/>
        </w:rPr>
        <w:t>8</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八、政府性基金预算支出决算情况说明</w:t>
      </w:r>
      <w:r>
        <w:tab/>
      </w:r>
      <w:r>
        <w:rPr>
          <w:rFonts w:hint="eastAsia"/>
          <w:lang w:val="en-US" w:eastAsia="zh-CN"/>
        </w:rPr>
        <w:t>9</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hAnsi="宋体" w:cs="仿宋_GB2312" w:eastAsiaTheme="minorEastAsia"/>
          <w:kern w:val="0"/>
          <w:sz w:val="32"/>
          <w:szCs w:val="32"/>
          <w:lang w:val="en-US" w:eastAsia="zh-CN" w:bidi="ar"/>
        </w:rPr>
      </w:pPr>
      <w:r>
        <w:rPr>
          <w:rFonts w:hint="eastAsia" w:ascii="仿宋_GB2312" w:hAnsi="宋体" w:eastAsia="仿宋_GB2312" w:cs="仿宋_GB2312"/>
          <w:kern w:val="0"/>
          <w:sz w:val="32"/>
          <w:szCs w:val="32"/>
          <w:lang w:val="en-US" w:eastAsia="zh-CN" w:bidi="ar"/>
        </w:rPr>
        <w:t>九、国有资本经营预算支出决算情况说明</w:t>
      </w:r>
      <w:r>
        <w:tab/>
      </w:r>
      <w:r>
        <w:rPr>
          <w:rFonts w:hint="eastAsia"/>
          <w:lang w:val="en-US" w:eastAsia="zh-CN"/>
        </w:rPr>
        <w:t>9</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 xml:space="preserve">十、其他重要事项的情况说明 </w:t>
      </w:r>
      <w:r>
        <w:tab/>
      </w:r>
      <w:r>
        <w:rPr>
          <w:rFonts w:hint="eastAsia"/>
          <w:lang w:val="en-US" w:eastAsia="zh-CN"/>
        </w:rPr>
        <w:t>9</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第三部分 名词解释</w:t>
      </w:r>
      <w:r>
        <w:tab/>
      </w:r>
      <w:r>
        <w:rPr>
          <w:rFonts w:hint="eastAsia"/>
          <w:lang w:val="en-US" w:eastAsia="zh-CN"/>
        </w:rPr>
        <w:t>10-12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第四部分 附表</w:t>
      </w:r>
      <w:r>
        <w:tab/>
      </w:r>
      <w:r>
        <w:rPr>
          <w:rFonts w:hint="eastAsia"/>
          <w:lang w:val="en-US" w:eastAsia="zh-CN"/>
        </w:rPr>
        <w:t>12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一、收入支出决算总表</w:t>
      </w:r>
      <w:r>
        <w:tab/>
      </w:r>
      <w:r>
        <w:rPr>
          <w:rFonts w:hint="eastAsia"/>
          <w:lang w:val="en-US" w:eastAsia="zh-CN"/>
        </w:rPr>
        <w:t>12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二、收入决算表</w:t>
      </w:r>
      <w:r>
        <w:tab/>
      </w:r>
      <w:r>
        <w:rPr>
          <w:rFonts w:hint="eastAsia"/>
          <w:lang w:val="en-US" w:eastAsia="zh-CN"/>
        </w:rPr>
        <w:t>12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三、支出决算表</w:t>
      </w:r>
      <w:r>
        <w:tab/>
      </w:r>
      <w:r>
        <w:rPr>
          <w:rFonts w:hint="eastAsia"/>
          <w:lang w:val="en-US" w:eastAsia="zh-CN"/>
        </w:rPr>
        <w:t>12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四、财政拨款收入支出决算总表</w:t>
      </w:r>
      <w:r>
        <w:tab/>
      </w:r>
      <w:r>
        <w:rPr>
          <w:rFonts w:hint="eastAsia"/>
          <w:lang w:val="en-US" w:eastAsia="zh-CN"/>
        </w:rPr>
        <w:t>12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五、财政拨款支出决算明细表</w:t>
      </w:r>
      <w:r>
        <w:tab/>
      </w:r>
      <w:r>
        <w:rPr>
          <w:rFonts w:hint="eastAsia"/>
          <w:lang w:val="en-US" w:eastAsia="zh-CN"/>
        </w:rPr>
        <w:t>12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六、一般公共预算财政拨款支出决算表</w:t>
      </w:r>
      <w:r>
        <w:tab/>
      </w:r>
      <w:r>
        <w:rPr>
          <w:rFonts w:hint="eastAsia"/>
          <w:lang w:val="en-US" w:eastAsia="zh-CN"/>
        </w:rPr>
        <w:t>13</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七、一般公共预算财政拨款支出决算明细表</w:t>
      </w:r>
      <w:r>
        <w:tab/>
      </w:r>
      <w:r>
        <w:rPr>
          <w:rFonts w:hint="eastAsia"/>
          <w:lang w:val="en-US" w:eastAsia="zh-CN"/>
        </w:rPr>
        <w:t>13</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八、一般公共预算财政拨款基本支出决算表</w:t>
      </w:r>
      <w:r>
        <w:tab/>
      </w:r>
      <w:r>
        <w:rPr>
          <w:rFonts w:hint="eastAsia"/>
          <w:lang w:val="en-US" w:eastAsia="zh-CN"/>
        </w:rPr>
        <w:t>13</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九、一般公共预算财政拨款项目支出决算表</w:t>
      </w:r>
      <w:r>
        <w:tab/>
      </w:r>
      <w:r>
        <w:rPr>
          <w:rFonts w:hint="eastAsia"/>
          <w:lang w:val="en-US" w:eastAsia="zh-CN"/>
        </w:rPr>
        <w:t>13</w:t>
      </w:r>
    </w:p>
    <w:p>
      <w:pPr>
        <w:keepNext w:val="0"/>
        <w:keepLines w:val="0"/>
        <w:pageBreakBefore w:val="0"/>
        <w:kinsoku/>
        <w:wordWrap/>
        <w:overflowPunct/>
        <w:topLinePunct w:val="0"/>
        <w:autoSpaceDN/>
        <w:bidi w:val="0"/>
        <w:spacing w:line="576" w:lineRule="exact"/>
        <w:textAlignment w:val="auto"/>
      </w:pPr>
    </w:p>
    <w:p>
      <w:pPr>
        <w:keepNext w:val="0"/>
        <w:keepLines w:val="0"/>
        <w:pageBreakBefore w:val="0"/>
        <w:widowControl/>
        <w:kinsoku/>
        <w:wordWrap/>
        <w:overflowPunct/>
        <w:topLinePunct w:val="0"/>
        <w:autoSpaceDN/>
        <w:bidi w:val="0"/>
        <w:spacing w:line="576" w:lineRule="exact"/>
        <w:jc w:val="left"/>
        <w:textAlignment w:val="auto"/>
        <w:rPr>
          <w:rFonts w:hint="eastAsia" w:ascii="仿宋_GB2312" w:eastAsia="仿宋_GB2312" w:cs="仿宋_GB2312"/>
          <w:kern w:val="0"/>
          <w:sz w:val="32"/>
          <w:szCs w:val="32"/>
        </w:rPr>
      </w:pPr>
      <w:r>
        <w:rPr>
          <w:rFonts w:ascii="仿宋" w:hAnsi="仿宋" w:eastAsia="仿宋"/>
          <w:b/>
          <w:sz w:val="24"/>
        </w:rPr>
        <w:br w:type="page"/>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黑体" w:hAnsi="宋体" w:eastAsia="黑体" w:cs="黑体"/>
          <w:kern w:val="0"/>
          <w:sz w:val="32"/>
          <w:szCs w:val="32"/>
        </w:rPr>
      </w:pPr>
      <w:r>
        <w:rPr>
          <w:rFonts w:hint="eastAsia" w:ascii="黑体" w:hAnsi="黑体" w:eastAsia="黑体" w:cs="黑体"/>
          <w:kern w:val="0"/>
          <w:sz w:val="32"/>
          <w:szCs w:val="32"/>
          <w:lang w:val="en-US" w:eastAsia="zh-CN" w:bidi="ar"/>
        </w:rPr>
        <w:t>第一部分 部门概况</w:t>
      </w:r>
      <w:r>
        <w:rPr>
          <w:rFonts w:hint="eastAsia" w:ascii="黑体" w:hAnsi="宋体" w:eastAsia="黑体" w:cs="黑体"/>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一、基本职能及主要工作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（一）主要职能</w:t>
      </w:r>
    </w:p>
    <w:p>
      <w:pPr>
        <w:keepNext w:val="0"/>
        <w:keepLines w:val="0"/>
        <w:pageBreakBefore w:val="0"/>
        <w:kinsoku/>
        <w:wordWrap/>
        <w:overflowPunct/>
        <w:topLinePunct w:val="0"/>
        <w:autoSpaceDE/>
        <w:autoSpaceDN/>
        <w:bidi w:val="0"/>
        <w:adjustRightInd w:val="0"/>
        <w:snapToGrid w:val="0"/>
        <w:spacing w:after="0"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（一）负责县政协委员的联系工作，收集整理各界人士的意见、建议，及时向上级政协及县委、县政府反映，编辑、报送《社情民意》。</w:t>
      </w:r>
    </w:p>
    <w:p>
      <w:pPr>
        <w:keepNext w:val="0"/>
        <w:keepLines w:val="0"/>
        <w:pageBreakBefore w:val="0"/>
        <w:kinsoku/>
        <w:wordWrap/>
        <w:overflowPunct/>
        <w:topLinePunct w:val="0"/>
        <w:autoSpaceDE/>
        <w:autoSpaceDN/>
        <w:bidi w:val="0"/>
        <w:adjustRightInd w:val="0"/>
        <w:snapToGrid w:val="0"/>
        <w:spacing w:after="0" w:line="576" w:lineRule="exact"/>
        <w:ind w:left="609" w:leftChars="290" w:firstLine="0" w:firstLineChars="0"/>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hAnsi="仿宋_GB2312" w:eastAsia="仿宋_GB2312" w:cs="仿宋_GB2312"/>
          <w:b w:val="0"/>
          <w:bCs w:val="0"/>
          <w:color w:val="333333"/>
          <w:sz w:val="32"/>
          <w:szCs w:val="32"/>
          <w:lang w:val="en-US" w:eastAsia="zh-CN"/>
        </w:rPr>
        <w:t>负责政协委员的培训、学习统筹及安排工作。</w:t>
      </w:r>
      <w:r>
        <w:rPr>
          <w:rFonts w:hint="eastAsia" w:ascii="仿宋_GB2312" w:eastAsia="仿宋_GB2312"/>
          <w:sz w:val="32"/>
          <w:szCs w:val="32"/>
          <w:lang w:eastAsia="zh-CN"/>
        </w:rPr>
        <w:t>（三）</w:t>
      </w:r>
      <w:r>
        <w:rPr>
          <w:rFonts w:hint="eastAsia" w:ascii="仿宋_GB2312" w:hAnsi="仿宋_GB2312" w:eastAsia="仿宋_GB2312" w:cs="仿宋_GB2312"/>
          <w:b w:val="0"/>
          <w:bCs w:val="0"/>
          <w:color w:val="333333"/>
          <w:sz w:val="32"/>
          <w:szCs w:val="32"/>
          <w:lang w:val="en-US" w:eastAsia="zh-CN"/>
        </w:rPr>
        <w:t>负责政协委员的联络、交流、服务工作。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t>（四）负责政协委员反映社情民意及其他工作的收集、汇总等工作。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eastAsia="楷体_GB2312" w:cs="楷体_GB2312"/>
          <w:b/>
          <w:kern w:val="0"/>
          <w:sz w:val="32"/>
          <w:szCs w:val="32"/>
        </w:rPr>
      </w:pPr>
      <w:r>
        <w:rPr>
          <w:rFonts w:hint="eastAsia" w:ascii="楷体_GB2312" w:hAnsi="宋体" w:eastAsia="楷体_GB2312" w:cs="楷体_GB2312"/>
          <w:b/>
          <w:kern w:val="0"/>
          <w:sz w:val="32"/>
          <w:szCs w:val="32"/>
          <w:lang w:val="en-US" w:eastAsia="zh-CN" w:bidi="ar"/>
        </w:rPr>
        <w:t>（二）2022年重点工作完成情况</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b w:val="0"/>
          <w:spacing w:val="0"/>
          <w:kern w:val="10"/>
          <w:sz w:val="32"/>
          <w:szCs w:val="32"/>
        </w:rPr>
      </w:pPr>
      <w:r>
        <w:rPr>
          <w:rFonts w:hint="eastAsia" w:ascii="仿宋_GB2312" w:hAnsi="宋体" w:eastAsia="仿宋_GB2312" w:cs="仿宋_GB2312"/>
          <w:b/>
          <w:spacing w:val="0"/>
          <w:kern w:val="10"/>
          <w:sz w:val="32"/>
          <w:szCs w:val="32"/>
          <w:lang w:val="en-US" w:eastAsia="zh-CN" w:bidi="ar"/>
        </w:rPr>
        <w:t>1.协商平台作用有效发挥。</w:t>
      </w:r>
      <w:r>
        <w:rPr>
          <w:rFonts w:hint="eastAsia" w:ascii="仿宋_GB2312" w:hAnsi="宋体" w:eastAsia="仿宋_GB2312" w:cs="仿宋_GB2312"/>
          <w:b w:val="0"/>
          <w:spacing w:val="0"/>
          <w:kern w:val="10"/>
          <w:sz w:val="32"/>
          <w:szCs w:val="32"/>
          <w:lang w:val="en-US" w:eastAsia="zh-CN" w:bidi="ar"/>
        </w:rPr>
        <w:t>把协商作为主责主业，</w:t>
      </w:r>
      <w:r>
        <w:rPr>
          <w:rFonts w:hint="eastAsia" w:ascii="仿宋_GB2312" w:hAnsi="宋体" w:eastAsia="仿宋_GB2312" w:cs="仿宋_GB2312"/>
          <w:caps w:val="0"/>
          <w:spacing w:val="0"/>
          <w:kern w:val="10"/>
          <w:sz w:val="32"/>
          <w:szCs w:val="32"/>
          <w:lang w:val="en-US" w:eastAsia="zh-CN" w:bidi="ar"/>
        </w:rPr>
        <w:t>全面对标对表，精心培育打造“松州议事会</w:t>
      </w:r>
      <w:r>
        <w:rPr>
          <w:rFonts w:hint="eastAsia" w:ascii="仿宋_GB2312" w:hAnsi="宋体" w:eastAsia="仿宋_GB2312" w:cs="仿宋_GB2312"/>
          <w:i w:val="0"/>
          <w:caps w:val="0"/>
          <w:spacing w:val="0"/>
          <w:kern w:val="10"/>
          <w:sz w:val="32"/>
          <w:szCs w:val="32"/>
          <w:shd w:val="clear" w:fill="FFFFFF"/>
          <w:lang w:val="en-US" w:eastAsia="zh-CN" w:bidi="ar"/>
        </w:rPr>
        <w:t>·</w:t>
      </w:r>
      <w:r>
        <w:rPr>
          <w:rFonts w:hint="eastAsia" w:ascii="仿宋_GB2312" w:hAnsi="宋体" w:eastAsia="仿宋_GB2312" w:cs="仿宋_GB2312"/>
          <w:caps w:val="0"/>
          <w:spacing w:val="0"/>
          <w:kern w:val="10"/>
          <w:sz w:val="32"/>
          <w:szCs w:val="32"/>
          <w:lang w:val="en-US" w:eastAsia="zh-CN" w:bidi="ar"/>
        </w:rPr>
        <w:t>有事来协商”履职平台</w:t>
      </w:r>
      <w:r>
        <w:rPr>
          <w:rFonts w:hint="eastAsia" w:ascii="仿宋_GB2312" w:hAnsi="宋体" w:eastAsia="仿宋_GB2312" w:cs="仿宋_GB2312"/>
          <w:b w:val="0"/>
          <w:spacing w:val="0"/>
          <w:kern w:val="10"/>
          <w:sz w:val="32"/>
          <w:szCs w:val="32"/>
          <w:lang w:val="en-US" w:eastAsia="zh-CN" w:bidi="ar"/>
        </w:rPr>
        <w:t>设，健全完善工作机制，聚焦党委政府工作的重点、群众生产生活的难点、基层治理的短板选定协商议题，开展小微协商活动，补齐基层协商弱项短板，以“小”协商，发挥“大”作用。今年先后</w:t>
      </w:r>
      <w:r>
        <w:rPr>
          <w:rFonts w:hint="eastAsia" w:ascii="仿宋_GB2312" w:hAnsi="宋体" w:eastAsia="仿宋_GB2312" w:cs="仿宋_GB2312"/>
          <w:spacing w:val="0"/>
          <w:kern w:val="10"/>
          <w:sz w:val="32"/>
          <w:szCs w:val="32"/>
          <w:lang w:val="en-US" w:eastAsia="zh-CN" w:bidi="ar"/>
        </w:rPr>
        <w:t>开展了“解决农用动力电源</w:t>
      </w:r>
      <w:r>
        <w:rPr>
          <w:rFonts w:hint="eastAsia" w:ascii="仿宋_GB2312" w:hAnsi="宋体" w:eastAsia="仿宋_GB2312" w:cs="仿宋_GB2312"/>
          <w:kern w:val="10"/>
          <w:sz w:val="32"/>
          <w:szCs w:val="32"/>
          <w:lang w:val="en-US" w:eastAsia="zh-CN" w:bidi="ar"/>
        </w:rPr>
        <w:t>·</w:t>
      </w:r>
      <w:r>
        <w:rPr>
          <w:rFonts w:hint="eastAsia" w:ascii="仿宋_GB2312" w:hAnsi="宋体" w:eastAsia="仿宋_GB2312" w:cs="仿宋_GB2312"/>
          <w:spacing w:val="0"/>
          <w:kern w:val="10"/>
          <w:sz w:val="32"/>
          <w:szCs w:val="32"/>
          <w:lang w:val="en-US" w:eastAsia="zh-CN" w:bidi="ar"/>
        </w:rPr>
        <w:t>大力助推乡村振兴”“</w:t>
      </w:r>
      <w:r>
        <w:rPr>
          <w:rFonts w:hint="eastAsia" w:ascii="仿宋_GB2312" w:hAnsi="宋体" w:eastAsia="仿宋_GB2312" w:cs="仿宋_GB2312"/>
          <w:kern w:val="10"/>
          <w:sz w:val="32"/>
          <w:szCs w:val="32"/>
          <w:lang w:val="en-US" w:eastAsia="zh-CN" w:bidi="ar"/>
        </w:rPr>
        <w:t>稳经济·促就业·保民生</w:t>
      </w:r>
      <w:r>
        <w:rPr>
          <w:rFonts w:hint="eastAsia" w:ascii="仿宋_GB2312" w:hAnsi="宋体" w:eastAsia="仿宋_GB2312" w:cs="仿宋_GB2312"/>
          <w:spacing w:val="0"/>
          <w:kern w:val="10"/>
          <w:sz w:val="32"/>
          <w:szCs w:val="32"/>
          <w:lang w:val="en-US" w:eastAsia="zh-CN" w:bidi="ar"/>
        </w:rPr>
        <w:t>”“规范电力通信网络设施</w:t>
      </w:r>
      <w:r>
        <w:rPr>
          <w:rFonts w:hint="eastAsia" w:ascii="仿宋_GB2312" w:hAnsi="宋体" w:eastAsia="仿宋_GB2312" w:cs="仿宋_GB2312"/>
          <w:kern w:val="10"/>
          <w:sz w:val="32"/>
          <w:szCs w:val="32"/>
          <w:lang w:val="en-US" w:eastAsia="zh-CN" w:bidi="ar"/>
        </w:rPr>
        <w:t>·</w:t>
      </w:r>
      <w:r>
        <w:rPr>
          <w:rFonts w:hint="eastAsia" w:ascii="仿宋_GB2312" w:hAnsi="宋体" w:eastAsia="仿宋_GB2312" w:cs="仿宋_GB2312"/>
          <w:i w:val="0"/>
          <w:caps w:val="0"/>
          <w:spacing w:val="0"/>
          <w:kern w:val="10"/>
          <w:sz w:val="32"/>
          <w:szCs w:val="32"/>
          <w:shd w:val="clear" w:fill="FFFFFF"/>
          <w:lang w:val="en-US" w:eastAsia="zh-CN" w:bidi="ar"/>
        </w:rPr>
        <w:t>有序有效助推乡村振兴</w:t>
      </w:r>
      <w:r>
        <w:rPr>
          <w:rFonts w:hint="eastAsia" w:ascii="仿宋_GB2312" w:hAnsi="宋体" w:eastAsia="仿宋_GB2312" w:cs="仿宋_GB2312"/>
          <w:spacing w:val="0"/>
          <w:kern w:val="10"/>
          <w:sz w:val="32"/>
          <w:szCs w:val="32"/>
          <w:lang w:val="en-US" w:eastAsia="zh-CN" w:bidi="ar"/>
        </w:rPr>
        <w:t>”等4次小微协商活动，邀请县政府、县级相关部门、乡镇和部分政协委员、群众代表等全程参与协商，</w:t>
      </w:r>
      <w:r>
        <w:rPr>
          <w:rFonts w:hint="eastAsia" w:ascii="仿宋_GB2312" w:hAnsi="宋体" w:eastAsia="仿宋_GB2312" w:cs="仿宋_GB2312"/>
          <w:b w:val="0"/>
          <w:i w:val="0"/>
          <w:kern w:val="10"/>
          <w:sz w:val="32"/>
          <w:szCs w:val="32"/>
          <w:lang w:val="en-US" w:eastAsia="zh-CN" w:bidi="ar"/>
        </w:rPr>
        <w:t>提出各类意见建议21条，解决17条。</w:t>
      </w:r>
      <w:r>
        <w:rPr>
          <w:rFonts w:hint="eastAsia" w:ascii="仿宋_GB2312" w:hAnsi="宋体" w:eastAsia="仿宋_GB2312" w:cs="仿宋_GB2312"/>
          <w:spacing w:val="0"/>
          <w:kern w:val="10"/>
          <w:sz w:val="32"/>
          <w:szCs w:val="32"/>
          <w:lang w:val="en-US" w:eastAsia="zh-CN" w:bidi="ar"/>
        </w:rPr>
        <w:t>并跟踪督办2021年小微协商活动，督促活动成果转化。</w:t>
      </w:r>
      <w:r>
        <w:rPr>
          <w:rFonts w:hint="eastAsia" w:ascii="仿宋_GB2312" w:hAnsi="宋体" w:eastAsia="仿宋_GB2312" w:cs="仿宋_GB2312"/>
          <w:b w:val="0"/>
          <w:spacing w:val="0"/>
          <w:kern w:val="10"/>
          <w:sz w:val="32"/>
          <w:szCs w:val="32"/>
          <w:lang w:val="en-US" w:eastAsia="zh-CN" w:bidi="ar"/>
        </w:rPr>
        <w:t>协商活动接地气、合民意、反响好，</w:t>
      </w:r>
      <w:r>
        <w:rPr>
          <w:rFonts w:hint="eastAsia" w:ascii="仿宋_GB2312" w:hAnsi="宋体" w:eastAsia="仿宋_GB2312" w:cs="仿宋_GB2312"/>
          <w:i w:val="0"/>
          <w:caps w:val="0"/>
          <w:spacing w:val="0"/>
          <w:kern w:val="10"/>
          <w:sz w:val="32"/>
          <w:szCs w:val="32"/>
          <w:shd w:val="clear" w:fill="FFFFFF"/>
          <w:lang w:val="en-US" w:eastAsia="zh-CN" w:bidi="ar"/>
        </w:rPr>
        <w:t>切实解决了广大群众关心关注的热点难点</w:t>
      </w:r>
      <w:r>
        <w:rPr>
          <w:rFonts w:hint="eastAsia" w:ascii="仿宋_GB2312" w:hAnsi="宋体" w:eastAsia="仿宋_GB2312" w:cs="仿宋_GB2312"/>
          <w:b w:val="0"/>
          <w:spacing w:val="0"/>
          <w:kern w:val="10"/>
          <w:sz w:val="32"/>
          <w:szCs w:val="32"/>
          <w:lang w:val="en-US" w:eastAsia="zh-CN" w:bidi="ar"/>
        </w:rPr>
        <w:t>问题，推动政协协商与基层协商有效衔接，同社会治理、乡村振兴有机结合。</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spacing w:val="0"/>
          <w:kern w:val="10"/>
          <w:sz w:val="32"/>
          <w:szCs w:val="32"/>
        </w:rPr>
      </w:pPr>
      <w:r>
        <w:rPr>
          <w:rFonts w:hint="eastAsia" w:ascii="仿宋_GB2312" w:hAnsi="宋体" w:eastAsia="仿宋_GB2312" w:cs="仿宋_GB2312"/>
          <w:b/>
          <w:spacing w:val="0"/>
          <w:kern w:val="10"/>
          <w:sz w:val="32"/>
          <w:szCs w:val="32"/>
          <w:lang w:val="en-US" w:eastAsia="zh-CN" w:bidi="ar"/>
        </w:rPr>
        <w:t>2.委员培训圆满完成。</w:t>
      </w:r>
      <w:r>
        <w:rPr>
          <w:rFonts w:hint="eastAsia" w:ascii="仿宋_GB2312" w:hAnsi="宋体" w:eastAsia="仿宋_GB2312" w:cs="仿宋_GB2312"/>
          <w:spacing w:val="0"/>
          <w:kern w:val="10"/>
          <w:sz w:val="32"/>
          <w:szCs w:val="32"/>
          <w:lang w:val="en-US" w:eastAsia="zh-CN" w:bidi="ar"/>
        </w:rPr>
        <w:t>4月中旬，举办了为期三天的政协第十五届松潘县委员会2022年度委员培训班，县政协委员、驻松州政协委员和17个乡镇联系政协工作的副书记、政协机关干部职工约170人参训。7月中旬，组织50名政协委员赴浙江开展为期一周的履职提能培训。组织政协委员和机关干部参加全国政协第139期线上业务知识培训。通过培训，掀起了新一届政协加强学习研究的热潮，为委员学习人民政协理论和业务知识起到了引路的作用。增强了政协委员的荣誉感以及履行委员职责的责任感，进一步理解了人民政协开展工作的原则、方式和途径，对委员履职具有很强的指导意义。培训期间，举办了丰富多彩的政协委员文艺晚会。</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spacing w:val="0"/>
          <w:kern w:val="10"/>
          <w:sz w:val="32"/>
          <w:szCs w:val="32"/>
        </w:rPr>
      </w:pPr>
      <w:r>
        <w:rPr>
          <w:rFonts w:hint="eastAsia" w:ascii="仿宋_GB2312" w:hAnsi="宋体" w:eastAsia="仿宋_GB2312" w:cs="仿宋_GB2312"/>
          <w:b/>
          <w:spacing w:val="0"/>
          <w:kern w:val="10"/>
          <w:sz w:val="32"/>
          <w:szCs w:val="32"/>
          <w:lang w:val="en-US" w:eastAsia="zh-CN" w:bidi="ar"/>
        </w:rPr>
        <w:t>3.“双助”活动推动有力。</w:t>
      </w:r>
      <w:r>
        <w:rPr>
          <w:rFonts w:hint="eastAsia" w:ascii="仿宋_GB2312" w:hAnsi="宋体" w:eastAsia="仿宋_GB2312" w:cs="仿宋_GB2312"/>
          <w:i w:val="0"/>
          <w:caps w:val="0"/>
          <w:spacing w:val="0"/>
          <w:kern w:val="10"/>
          <w:sz w:val="32"/>
          <w:szCs w:val="32"/>
          <w:shd w:val="clear" w:fill="FFFFFF"/>
          <w:lang w:val="en-US" w:eastAsia="zh-CN" w:bidi="ar"/>
        </w:rPr>
        <w:t>结合实际制定了《松潘县政协“双助”活动实施方案》，主席会成员分别联系1个片区、4个乡镇，</w:t>
      </w:r>
      <w:r>
        <w:rPr>
          <w:rFonts w:hint="eastAsia" w:ascii="仿宋_GB2312" w:hAnsi="宋体" w:eastAsia="仿宋_GB2312" w:cs="仿宋_GB2312"/>
          <w:spacing w:val="0"/>
          <w:kern w:val="10"/>
          <w:sz w:val="32"/>
          <w:szCs w:val="32"/>
          <w:lang w:val="en-US" w:eastAsia="zh-CN" w:bidi="ar"/>
        </w:rPr>
        <w:t>131名政协委员结对帮扶264名困难农户，通过政策宣传、技术指导、劳务输出、困难救助等方式，助推了项目资金筹备、产业结构调整、技能技术培训、劳动就业务工等致富增收门路。4月19日，县政协召开了“</w:t>
      </w:r>
      <w:r>
        <w:rPr>
          <w:rFonts w:hint="eastAsia" w:ascii="仿宋_GB2312" w:hAnsi="宋体" w:eastAsia="仿宋_GB2312" w:cs="仿宋_GB2312"/>
          <w:i w:val="0"/>
          <w:caps w:val="0"/>
          <w:spacing w:val="0"/>
          <w:kern w:val="10"/>
          <w:sz w:val="32"/>
          <w:szCs w:val="32"/>
          <w:shd w:val="clear" w:fill="FFFFFF"/>
          <w:lang w:val="en-US" w:eastAsia="zh-CN" w:bidi="ar"/>
        </w:rPr>
        <w:t>助力巩固脱贫·助推乡村振兴</w:t>
      </w:r>
      <w:r>
        <w:rPr>
          <w:rFonts w:hint="eastAsia" w:ascii="仿宋_GB2312" w:hAnsi="宋体" w:eastAsia="仿宋_GB2312" w:cs="仿宋_GB2312"/>
          <w:spacing w:val="0"/>
          <w:kern w:val="10"/>
          <w:sz w:val="32"/>
          <w:szCs w:val="32"/>
          <w:lang w:val="en-US" w:eastAsia="zh-CN" w:bidi="ar"/>
        </w:rPr>
        <w:t>”</w:t>
      </w:r>
      <w:r>
        <w:rPr>
          <w:rFonts w:hint="eastAsia" w:ascii="仿宋_GB2312" w:hAnsi="宋体" w:eastAsia="仿宋_GB2312" w:cs="仿宋_GB2312"/>
          <w:i w:val="0"/>
          <w:caps w:val="0"/>
          <w:spacing w:val="0"/>
          <w:kern w:val="10"/>
          <w:sz w:val="32"/>
          <w:szCs w:val="32"/>
          <w:shd w:val="clear" w:fill="FFFFFF"/>
          <w:lang w:val="en-US" w:eastAsia="zh-CN" w:bidi="ar"/>
        </w:rPr>
        <w:t>专项活动推进会，详细部署了“双助”活动的工作任务、推进时段、达到效果。会上对工作成绩突出的3名政协委员进行</w:t>
      </w:r>
      <w:r>
        <w:rPr>
          <w:rFonts w:hint="eastAsia" w:ascii="仿宋_GB2312" w:hAnsi="宋体" w:eastAsia="仿宋_GB2312" w:cs="仿宋_GB2312"/>
          <w:spacing w:val="0"/>
          <w:kern w:val="10"/>
          <w:sz w:val="32"/>
          <w:szCs w:val="32"/>
          <w:lang w:val="en-US" w:eastAsia="zh-CN" w:bidi="ar"/>
        </w:rPr>
        <w:t>了表扬和授牌。广大委员充分发挥个人优势，分别在各行各业，扎实开展“我为群众办实事”和“五个一”活动等，体现委员担当、彰显委员作用。比如：委员泽仁周大力调整农业产业结构，种植反季节蔬菜；</w:t>
      </w:r>
      <w:r>
        <w:rPr>
          <w:rFonts w:hint="eastAsia" w:ascii="仿宋_GB2312" w:hAnsi="宋体" w:eastAsia="仿宋_GB2312" w:cs="仿宋_GB2312"/>
          <w:b w:val="0"/>
          <w:i w:val="0"/>
          <w:caps w:val="0"/>
          <w:spacing w:val="0"/>
          <w:kern w:val="10"/>
          <w:sz w:val="32"/>
          <w:szCs w:val="32"/>
          <w:shd w:val="clear" w:fill="FFFFFF"/>
          <w:lang w:val="en-US" w:eastAsia="zh-CN" w:bidi="ar"/>
        </w:rPr>
        <w:t>委员周晋近大胆探索，开创乡村民宿旅游；委员葛玲发挥党建引领作用，成立“农民合作社+脱贫户”；电商达人、致富奔康的残疾委员何顺权；委员罗吾拥扎为抗击疫情捐款捐物；马宗权抗震救灾走在前……</w:t>
      </w:r>
      <w:r>
        <w:rPr>
          <w:rFonts w:hint="eastAsia" w:ascii="仿宋_GB2312" w:hAnsi="宋体" w:eastAsia="仿宋_GB2312" w:cs="仿宋_GB2312"/>
          <w:spacing w:val="0"/>
          <w:kern w:val="10"/>
          <w:sz w:val="32"/>
          <w:szCs w:val="32"/>
          <w:lang w:val="en-US" w:eastAsia="zh-CN" w:bidi="ar"/>
        </w:rPr>
        <w:t>同时，积极鼓励委员助销“白羊沁芽”，增加农民收入。并通过松潘电视台、微松潘和政协微信公众号对委员们的先进事迹、成功经验和有效做法进行了大力宣传，激发参与热情、营造良好氛围，扩大委员影响、树立政协形象。</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二、机构设置</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阿坝州松潘县政协委员信息中心是松潘县政协办公室下属事业结构，是二级预算单位，是</w:t>
      </w:r>
      <w:r>
        <w:rPr>
          <w:rFonts w:hint="eastAsia" w:ascii="仿宋_GB2312" w:hAnsi="仿宋_GB2312" w:eastAsia="仿宋_GB2312" w:cs="仿宋_GB2312"/>
          <w:sz w:val="32"/>
          <w:szCs w:val="32"/>
          <w:lang w:val="en-US" w:eastAsia="zh-CN"/>
        </w:rPr>
        <w:t>2020年成立，2022年单独拨入事业经费的预算单位。</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黑体" w:hAnsi="黑体" w:eastAsia="黑体" w:cs="黑体"/>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黑体" w:hAnsi="黑体" w:eastAsia="黑体" w:cs="黑体"/>
          <w:kern w:val="0"/>
          <w:sz w:val="32"/>
          <w:szCs w:val="32"/>
          <w:lang w:val="en-US" w:eastAsia="zh-CN" w:bidi="ar"/>
        </w:rPr>
        <w:t xml:space="preserve">第二部分 2022年度部门决算情况说明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一、收入支出决算总体情况说明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2022年度收、支总计23.94万元。</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二、收入决算情况说明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本年收入合计23.94万元，其中：一般公共预算财政拨款收入23.94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楷体_GB2312" w:hAnsi="楷体_GB2312" w:eastAsia="楷体_GB2312" w:cs="楷体_GB2312"/>
          <w:b/>
          <w:bCs/>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 xml:space="preserve">  三、支出决算情况说明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2022年本年支出合计23.94万元，其中：基本支出23.94万元，占100%；项目支出0万元，占0.22%；上缴上级支出0.00万元，占0.00%；经营支出0.00万元，占经营支出0.00万元，占 0.00%；对附属单位补助支出0.00万元，占0.00%。</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楷体_GB2312" w:hAnsi="楷体_GB2312" w:eastAsia="楷体_GB2312" w:cs="楷体_GB2312"/>
          <w:b/>
          <w:bCs/>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 xml:space="preserve">  四、财政拨款收入支出决算总体情况说明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lang w:eastAsia="zh-CN"/>
        </w:rPr>
      </w:pPr>
      <w:r>
        <w:rPr>
          <w:rFonts w:hint="eastAsia" w:ascii="仿宋_GB2312" w:hAnsi="宋体" w:eastAsia="仿宋_GB2312" w:cs="仿宋_GB2312"/>
          <w:kern w:val="0"/>
          <w:sz w:val="32"/>
          <w:szCs w:val="32"/>
          <w:lang w:val="en-US" w:eastAsia="zh-CN" w:bidi="ar"/>
        </w:rPr>
        <w:t>2022年财政拨款收、支总计23.94万元。</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楷体_GB2312" w:hAnsi="楷体_GB2312" w:eastAsia="楷体_GB2312" w:cs="楷体_GB2312"/>
          <w:b/>
          <w:bCs/>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五、一般公共预算财政拨款支出决算情况说明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（一）一般公共预算财政拨款支出决算总体情况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lang w:eastAsia="zh-CN"/>
        </w:rPr>
      </w:pPr>
      <w:r>
        <w:rPr>
          <w:rFonts w:hint="eastAsia" w:ascii="仿宋_GB2312" w:hAnsi="宋体" w:eastAsia="仿宋_GB2312" w:cs="仿宋_GB2312"/>
          <w:kern w:val="0"/>
          <w:sz w:val="32"/>
          <w:szCs w:val="32"/>
          <w:lang w:val="en-US" w:eastAsia="zh-CN" w:bidi="ar"/>
        </w:rPr>
        <w:t>2022年一般公共预算财政拨款支出23.94万元，占本年支出合计的100.00%。</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（二）一般公共预算财政拨款支出决算结构情况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财政拨款支出23.94万元，主要用于以下方面：一般公共服务（类）支出17.37万元，占73%；教育支出（类）0.00万元，占0.00%；科学技术（类）支出0.00万元，占0.00%；文化旅游体育与传媒（类）支出0.00万元，占0.00%；社会保障和就业（类）支出3.37万元，占14%；卫生健康支出1.27万元，占5%；住房保障支出1.93万元，占8%。</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（三）一般公共预算财政拨款支出决算具体情况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2022年一般公共预算支出决算数为23.24，完成预算100.00%。其中：</w:t>
      </w:r>
    </w:p>
    <w:p>
      <w:pPr>
        <w:keepNext w:val="0"/>
        <w:keepLines w:val="0"/>
        <w:pageBreakBefore w:val="0"/>
        <w:widowControl/>
        <w:numPr>
          <w:ilvl w:val="0"/>
          <w:numId w:val="0"/>
        </w:numPr>
        <w:suppressLineNumbers w:val="0"/>
        <w:kinsoku/>
        <w:wordWrap/>
        <w:overflowPunct/>
        <w:topLinePunct w:val="0"/>
        <w:autoSpaceDE w:val="0"/>
        <w:autoSpaceDN/>
        <w:bidi w:val="0"/>
        <w:snapToGrid w:val="0"/>
        <w:spacing w:before="0" w:beforeAutospacing="0" w:after="0" w:afterAutospacing="0" w:line="576" w:lineRule="exact"/>
        <w:ind w:right="0" w:rightChars="0" w:firstLine="630" w:firstLineChars="300"/>
        <w:jc w:val="left"/>
        <w:textAlignment w:val="auto"/>
        <w:rPr>
          <w:rFonts w:ascii="仿宋" w:hAnsi="仿宋" w:eastAsia="仿宋"/>
          <w:b/>
          <w:color w:val="000000"/>
          <w:sz w:val="32"/>
          <w:szCs w:val="32"/>
        </w:rPr>
      </w:pPr>
      <w:r>
        <w:rPr>
          <w:rFonts w:hint="default" w:ascii="仿宋_GB2312" w:hAnsi="仿宋_GB2312" w:eastAsia="仿宋_GB2312" w:cs="仿宋_GB2312"/>
          <w:b w:val="0"/>
          <w:bCs w:val="0"/>
          <w:lang w:val="en-US" w:eastAsia="zh-CN"/>
        </w:rPr>
        <w:t xml:space="preserve"> </w:t>
      </w:r>
      <w:r>
        <w:rPr>
          <w:rStyle w:val="9"/>
          <w:rFonts w:ascii="仿宋" w:hAnsi="仿宋" w:eastAsia="仿宋"/>
          <w:bCs/>
          <w:color w:val="000000"/>
          <w:sz w:val="32"/>
          <w:szCs w:val="32"/>
        </w:rPr>
        <w:t>1.</w:t>
      </w:r>
      <w:r>
        <w:rPr>
          <w:rStyle w:val="9"/>
          <w:rFonts w:hint="eastAsia" w:ascii="仿宋" w:hAnsi="仿宋" w:eastAsia="仿宋"/>
          <w:bCs/>
          <w:color w:val="000000"/>
          <w:sz w:val="32"/>
          <w:szCs w:val="32"/>
        </w:rPr>
        <w:t>一般公共服务</w:t>
      </w:r>
      <w:r>
        <w:rPr>
          <w:rStyle w:val="9"/>
          <w:rFonts w:hint="eastAsia" w:ascii="仿宋" w:hAnsi="仿宋" w:eastAsia="仿宋"/>
          <w:bCs/>
          <w:color w:val="000000"/>
          <w:sz w:val="32"/>
          <w:szCs w:val="32"/>
          <w:lang w:eastAsia="zh-CN"/>
        </w:rPr>
        <w:t>支出（</w:t>
      </w:r>
      <w:r>
        <w:rPr>
          <w:rStyle w:val="9"/>
          <w:rFonts w:hint="eastAsia" w:ascii="仿宋" w:hAnsi="仿宋" w:eastAsia="仿宋"/>
          <w:bCs/>
          <w:color w:val="000000"/>
          <w:sz w:val="32"/>
          <w:szCs w:val="32"/>
          <w:lang w:val="en-US" w:eastAsia="zh-CN"/>
        </w:rPr>
        <w:t>201</w:t>
      </w:r>
      <w:r>
        <w:rPr>
          <w:rStyle w:val="9"/>
          <w:rFonts w:hint="default" w:ascii="仿宋" w:hAnsi="仿宋" w:eastAsia="仿宋"/>
          <w:bCs/>
          <w:color w:val="000000"/>
          <w:sz w:val="32"/>
          <w:szCs w:val="32"/>
          <w:lang w:val="en-US" w:eastAsia="zh-CN"/>
        </w:rPr>
        <w:t>02</w:t>
      </w:r>
      <w:r>
        <w:rPr>
          <w:rStyle w:val="9"/>
          <w:rFonts w:hint="eastAsia" w:ascii="仿宋" w:hAnsi="仿宋" w:eastAsia="仿宋"/>
          <w:bCs/>
          <w:color w:val="000000"/>
          <w:sz w:val="32"/>
          <w:szCs w:val="32"/>
          <w:lang w:val="en-US" w:eastAsia="zh-CN"/>
        </w:rPr>
        <w:t>50</w:t>
      </w:r>
      <w:r>
        <w:rPr>
          <w:rStyle w:val="9"/>
          <w:rFonts w:hint="eastAsia" w:ascii="仿宋" w:hAnsi="仿宋" w:eastAsia="仿宋"/>
          <w:bCs/>
          <w:color w:val="000000"/>
          <w:sz w:val="32"/>
          <w:szCs w:val="32"/>
          <w:lang w:eastAsia="zh-CN"/>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决算为</w:t>
      </w:r>
      <w:r>
        <w:rPr>
          <w:rStyle w:val="9"/>
          <w:rFonts w:hint="eastAsia" w:ascii="仿宋" w:hAnsi="仿宋" w:eastAsia="仿宋"/>
          <w:b w:val="0"/>
          <w:bCs/>
          <w:color w:val="000000"/>
          <w:sz w:val="32"/>
          <w:szCs w:val="32"/>
          <w:lang w:val="en-US" w:eastAsia="zh-CN"/>
        </w:rPr>
        <w:t>17.37</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rPr>
          <w:rStyle w:val="9"/>
          <w:rFonts w:hint="eastAsia" w:ascii="仿宋" w:hAnsi="仿宋" w:eastAsia="仿宋"/>
          <w:b w:val="0"/>
          <w:bCs/>
          <w:color w:val="000000"/>
          <w:sz w:val="32"/>
          <w:szCs w:val="32"/>
          <w:lang w:val="en-US" w:eastAsia="zh-CN"/>
        </w:rPr>
      </w:pPr>
      <w:r>
        <w:rPr>
          <w:rStyle w:val="9"/>
          <w:rFonts w:ascii="仿宋" w:hAnsi="仿宋" w:eastAsia="仿宋"/>
          <w:bCs/>
          <w:color w:val="000000"/>
          <w:sz w:val="32"/>
          <w:szCs w:val="32"/>
        </w:rPr>
        <w:t>2.</w:t>
      </w:r>
      <w:r>
        <w:rPr>
          <w:rStyle w:val="9"/>
          <w:rFonts w:hint="eastAsia" w:ascii="仿宋" w:hAnsi="仿宋" w:eastAsia="仿宋"/>
          <w:bCs/>
          <w:color w:val="000000"/>
          <w:sz w:val="32"/>
          <w:szCs w:val="32"/>
        </w:rPr>
        <w:t>社会保障和就业（</w:t>
      </w:r>
      <w:r>
        <w:rPr>
          <w:rStyle w:val="9"/>
          <w:rFonts w:hint="eastAsia" w:ascii="仿宋" w:hAnsi="仿宋" w:eastAsia="仿宋"/>
          <w:bCs/>
          <w:color w:val="000000"/>
          <w:sz w:val="32"/>
          <w:szCs w:val="32"/>
          <w:lang w:val="en-US" w:eastAsia="zh-CN"/>
        </w:rPr>
        <w:t>20805</w:t>
      </w:r>
      <w:r>
        <w:rPr>
          <w:rStyle w:val="9"/>
          <w:rFonts w:hint="eastAsia" w:ascii="仿宋" w:hAnsi="仿宋" w:eastAsia="仿宋"/>
          <w:bCs/>
          <w:color w:val="000000"/>
          <w:sz w:val="32"/>
          <w:szCs w:val="32"/>
        </w:rPr>
        <w:t>）</w:t>
      </w:r>
      <w:r>
        <w:rPr>
          <w:rStyle w:val="9"/>
          <w:rFonts w:hint="eastAsia" w:ascii="仿宋" w:hAnsi="仿宋" w:eastAsia="仿宋"/>
          <w:bCs/>
          <w:color w:val="000000"/>
          <w:sz w:val="32"/>
          <w:szCs w:val="32"/>
          <w:lang w:eastAsia="zh-CN"/>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3.37</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r>
        <w:rPr>
          <w:rStyle w:val="9"/>
          <w:rFonts w:hint="eastAsia" w:ascii="仿宋" w:hAnsi="仿宋" w:eastAsia="仿宋"/>
          <w:b w:val="0"/>
          <w:bCs/>
          <w:color w:val="000000"/>
          <w:sz w:val="32"/>
          <w:szCs w:val="32"/>
          <w:lang w:eastAsia="zh-CN"/>
        </w:rPr>
        <w:t>其中（</w:t>
      </w:r>
      <w:r>
        <w:rPr>
          <w:rStyle w:val="9"/>
          <w:rFonts w:hint="eastAsia" w:ascii="仿宋" w:hAnsi="仿宋" w:eastAsia="仿宋"/>
          <w:b w:val="0"/>
          <w:bCs/>
          <w:color w:val="000000"/>
          <w:sz w:val="32"/>
          <w:szCs w:val="32"/>
          <w:lang w:val="en-US" w:eastAsia="zh-CN"/>
        </w:rPr>
        <w:t>2080505</w:t>
      </w:r>
      <w:r>
        <w:rPr>
          <w:rStyle w:val="9"/>
          <w:rFonts w:hint="eastAsia" w:ascii="仿宋" w:hAnsi="仿宋" w:eastAsia="仿宋"/>
          <w:b w:val="0"/>
          <w:bCs/>
          <w:color w:val="000000"/>
          <w:sz w:val="32"/>
          <w:szCs w:val="32"/>
          <w:lang w:eastAsia="zh-CN"/>
        </w:rPr>
        <w:t>）养老保险支出：</w:t>
      </w:r>
      <w:r>
        <w:rPr>
          <w:rStyle w:val="9"/>
          <w:rFonts w:hint="eastAsia" w:ascii="仿宋" w:hAnsi="仿宋" w:eastAsia="仿宋"/>
          <w:b w:val="0"/>
          <w:bCs/>
          <w:color w:val="000000"/>
          <w:sz w:val="32"/>
          <w:szCs w:val="32"/>
          <w:lang w:val="en-US" w:eastAsia="zh-CN"/>
        </w:rPr>
        <w:t>1.81万元，（2080506）职业年金支出：1.56万元。</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 w:hAnsi="仿宋" w:eastAsia="仿宋"/>
          <w:b/>
          <w:color w:val="000000"/>
          <w:sz w:val="32"/>
          <w:szCs w:val="32"/>
          <w:lang w:eastAsia="zh-CN"/>
        </w:rPr>
      </w:pPr>
      <w:r>
        <w:rPr>
          <w:rStyle w:val="9"/>
          <w:rFonts w:hint="eastAsia" w:ascii="仿宋" w:hAnsi="仿宋" w:eastAsia="仿宋"/>
          <w:b/>
          <w:bCs w:val="0"/>
          <w:color w:val="000000"/>
          <w:sz w:val="32"/>
          <w:szCs w:val="32"/>
          <w:lang w:val="en-US" w:eastAsia="zh-CN"/>
        </w:rPr>
        <w:t>3.</w:t>
      </w:r>
      <w:r>
        <w:rPr>
          <w:rFonts w:hint="eastAsia" w:ascii="仿宋" w:hAnsi="仿宋" w:eastAsia="仿宋"/>
          <w:b/>
          <w:bCs/>
          <w:color w:val="000000"/>
          <w:sz w:val="32"/>
          <w:szCs w:val="32"/>
        </w:rPr>
        <w:t>卫生健康</w:t>
      </w:r>
      <w:r>
        <w:rPr>
          <w:rStyle w:val="9"/>
          <w:rFonts w:hint="eastAsia" w:ascii="仿宋" w:hAnsi="仿宋" w:eastAsia="仿宋"/>
          <w:bCs/>
          <w:color w:val="000000"/>
          <w:sz w:val="32"/>
          <w:szCs w:val="32"/>
        </w:rPr>
        <w:t>（</w:t>
      </w:r>
      <w:r>
        <w:rPr>
          <w:rStyle w:val="9"/>
          <w:rFonts w:hint="eastAsia" w:ascii="仿宋" w:hAnsi="仿宋" w:eastAsia="仿宋"/>
          <w:bCs/>
          <w:color w:val="000000"/>
          <w:sz w:val="32"/>
          <w:szCs w:val="32"/>
          <w:lang w:val="en-US" w:eastAsia="zh-CN"/>
        </w:rPr>
        <w:t>2101102</w:t>
      </w:r>
      <w:r>
        <w:rPr>
          <w:rStyle w:val="9"/>
          <w:rFonts w:hint="eastAsia" w:ascii="仿宋" w:hAnsi="仿宋" w:eastAsia="仿宋"/>
          <w:bCs/>
          <w:color w:val="000000"/>
          <w:sz w:val="32"/>
          <w:szCs w:val="32"/>
        </w:rPr>
        <w:t>）</w:t>
      </w:r>
      <w:r>
        <w:rPr>
          <w:rStyle w:val="9"/>
          <w:rFonts w:hint="eastAsia" w:ascii="仿宋" w:hAnsi="仿宋" w:eastAsia="仿宋"/>
          <w:bCs/>
          <w:color w:val="000000"/>
          <w:sz w:val="32"/>
          <w:szCs w:val="32"/>
          <w:lang w:eastAsia="zh-CN"/>
        </w:rPr>
        <w:t>：</w:t>
      </w:r>
      <w:r>
        <w:rPr>
          <w:rStyle w:val="9"/>
          <w:rFonts w:hint="eastAsia" w:ascii="仿宋" w:hAnsi="仿宋" w:eastAsia="仿宋"/>
          <w:b w:val="0"/>
          <w:bCs w:val="0"/>
          <w:color w:val="000000"/>
          <w:sz w:val="32"/>
          <w:szCs w:val="32"/>
          <w:lang w:eastAsia="zh-CN"/>
        </w:rPr>
        <w:t>事业单位医疗</w:t>
      </w:r>
      <w:r>
        <w:rPr>
          <w:rStyle w:val="9"/>
          <w:rFonts w:hint="eastAsia" w:ascii="仿宋" w:hAnsi="仿宋" w:eastAsia="仿宋"/>
          <w:b w:val="0"/>
          <w:bCs w:val="0"/>
          <w:color w:val="000000"/>
          <w:sz w:val="32"/>
          <w:szCs w:val="32"/>
        </w:rPr>
        <w:t>支</w:t>
      </w:r>
      <w:r>
        <w:rPr>
          <w:rStyle w:val="9"/>
          <w:rFonts w:hint="eastAsia" w:ascii="仿宋" w:hAnsi="仿宋" w:eastAsia="仿宋"/>
          <w:b w:val="0"/>
          <w:bCs/>
          <w:color w:val="000000"/>
          <w:sz w:val="32"/>
          <w:szCs w:val="32"/>
        </w:rPr>
        <w:t>出决算为</w:t>
      </w:r>
      <w:r>
        <w:rPr>
          <w:rStyle w:val="9"/>
          <w:rFonts w:hint="eastAsia" w:ascii="仿宋" w:hAnsi="仿宋" w:eastAsia="仿宋"/>
          <w:b w:val="0"/>
          <w:bCs/>
          <w:color w:val="000000"/>
          <w:sz w:val="32"/>
          <w:szCs w:val="32"/>
          <w:lang w:val="en-US" w:eastAsia="zh-CN"/>
        </w:rPr>
        <w:t>1.27</w:t>
      </w:r>
      <w:r>
        <w:rPr>
          <w:rFonts w:hint="eastAsia" w:ascii="仿宋_GB2312" w:hAnsi="宋体" w:eastAsia="仿宋_GB2312" w:cs="仿宋_GB2312"/>
          <w:kern w:val="0"/>
          <w:sz w:val="32"/>
          <w:szCs w:val="32"/>
          <w:lang w:val="en-US" w:eastAsia="zh-CN" w:bidi="ar"/>
        </w:rPr>
        <w:t>万元。</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eastAsia="仿宋_GB2312" w:cs="仿宋_GB2312"/>
          <w:kern w:val="0"/>
          <w:sz w:val="32"/>
          <w:szCs w:val="32"/>
          <w:lang w:val="en-US"/>
        </w:rPr>
      </w:pPr>
      <w:r>
        <w:rPr>
          <w:rStyle w:val="9"/>
          <w:rFonts w:hint="eastAsia" w:ascii="仿宋" w:hAnsi="仿宋" w:eastAsia="仿宋"/>
          <w:b/>
          <w:bCs w:val="0"/>
          <w:color w:val="000000"/>
          <w:sz w:val="32"/>
          <w:szCs w:val="32"/>
          <w:lang w:val="en-US" w:eastAsia="zh-CN"/>
        </w:rPr>
        <w:t>4.住房保障（2210201）：</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1.93</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r>
        <w:rPr>
          <w:rFonts w:hint="default" w:ascii="仿宋_GB2312" w:eastAsia="仿宋_GB2312" w:cs="仿宋_GB2312"/>
          <w:kern w:val="0"/>
          <w:sz w:val="32"/>
          <w:szCs w:val="32"/>
          <w:lang w:val="en-US"/>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 xml:space="preserve">六、一般公共预算财政拨款基本支出决算情况说明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财政拨款基本支出23.94万元，其中：人员经费23.14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公用经费0.8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七、“三公”经费财政拨款支出决算情况说明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（一）“三公”经费财政拨款支出决算总体情况说明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2022年“三公”经费财政拨款支出决算为0万元。</w:t>
      </w:r>
    </w:p>
    <w:p>
      <w:pPr>
        <w:keepNext w:val="0"/>
        <w:keepLines w:val="0"/>
        <w:pageBreakBefore w:val="0"/>
        <w:widowControl/>
        <w:numPr>
          <w:ilvl w:val="0"/>
          <w:numId w:val="0"/>
        </w:numPr>
        <w:suppressLineNumbers w:val="0"/>
        <w:kinsoku/>
        <w:wordWrap/>
        <w:overflowPunct/>
        <w:topLinePunct w:val="0"/>
        <w:autoSpaceDE w:val="0"/>
        <w:autoSpaceDN/>
        <w:bidi w:val="0"/>
        <w:snapToGrid w:val="0"/>
        <w:spacing w:before="0" w:beforeAutospacing="0" w:after="0" w:afterAutospacing="0" w:line="576" w:lineRule="exact"/>
        <w:ind w:right="0" w:rightChars="0" w:firstLine="643" w:firstLineChars="200"/>
        <w:jc w:val="left"/>
        <w:textAlignment w:val="auto"/>
        <w:rPr>
          <w:rFonts w:hint="eastAsia"/>
        </w:rPr>
      </w:pPr>
      <w:r>
        <w:rPr>
          <w:rFonts w:hint="eastAsia" w:ascii="仿宋_GB2312" w:hAnsi="宋体" w:eastAsia="仿宋_GB2312" w:cs="仿宋_GB2312"/>
          <w:b/>
          <w:bCs/>
          <w:kern w:val="0"/>
          <w:sz w:val="32"/>
          <w:szCs w:val="32"/>
          <w:lang w:val="en-US" w:eastAsia="zh-CN" w:bidi="ar"/>
        </w:rPr>
        <w:t>（二）“三公”经费财政拨款支出决算具体情况说明</w:t>
      </w:r>
    </w:p>
    <w:p>
      <w:pPr>
        <w:keepNext w:val="0"/>
        <w:keepLines w:val="0"/>
        <w:pageBreakBefore w:val="0"/>
        <w:kinsoku/>
        <w:wordWrap/>
        <w:overflowPunct/>
        <w:topLinePunct w:val="0"/>
        <w:autoSpaceDN/>
        <w:bidi w:val="0"/>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bCs/>
          <w:kern w:val="0"/>
          <w:sz w:val="32"/>
          <w:szCs w:val="32"/>
          <w:lang w:val="en-US" w:eastAsia="zh-CN" w:bidi="ar"/>
        </w:rPr>
        <w:t xml:space="preserve">    </w:t>
      </w:r>
      <w:r>
        <w:rPr>
          <w:rFonts w:hint="eastAsia" w:ascii="仿宋_GB2312" w:hAnsi="仿宋_GB2312" w:eastAsia="仿宋_GB2312" w:cs="仿宋_GB2312"/>
          <w:sz w:val="32"/>
          <w:szCs w:val="32"/>
          <w:lang w:val="en-US" w:eastAsia="zh-CN"/>
        </w:rPr>
        <w:t xml:space="preserve"> 松潘县政协委员信息服务中心2022年度无“三公经费”支出。</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八、政府性基金预算支出决算情况说明</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2022年政府性基金预算财政拨款支出0.00万元。</w:t>
      </w:r>
    </w:p>
    <w:p>
      <w:pPr>
        <w:keepNext w:val="0"/>
        <w:keepLines w:val="0"/>
        <w:pageBreakBefore w:val="0"/>
        <w:kinsoku/>
        <w:wordWrap/>
        <w:overflowPunct/>
        <w:topLinePunct w:val="0"/>
        <w:autoSpaceDN/>
        <w:bidi w:val="0"/>
        <w:spacing w:line="576" w:lineRule="exact"/>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lang w:val="en-US" w:eastAsia="zh-CN"/>
        </w:rPr>
        <w:t xml:space="preserve"> 九、国有资本经营预算支出决算情况说明</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cs="仿宋_GB2312"/>
          <w:kern w:val="0"/>
          <w:sz w:val="32"/>
          <w:szCs w:val="32"/>
        </w:rPr>
      </w:pPr>
      <w:r>
        <w:rPr>
          <w:rFonts w:hint="eastAsia" w:ascii="仿宋_GB2312" w:hAnsi="仿宋_GB2312" w:eastAsia="仿宋_GB2312" w:cs="仿宋_GB2312"/>
          <w:sz w:val="32"/>
          <w:szCs w:val="32"/>
          <w:lang w:val="en-US" w:eastAsia="zh-CN"/>
        </w:rPr>
        <w:t>2022年国有资本经营预算财政拨款支</w:t>
      </w:r>
      <w:r>
        <w:rPr>
          <w:rFonts w:hint="eastAsia" w:ascii="仿宋_GB2312" w:hAnsi="宋体" w:eastAsia="仿宋_GB2312" w:cs="仿宋_GB2312"/>
          <w:kern w:val="0"/>
          <w:sz w:val="32"/>
          <w:szCs w:val="32"/>
          <w:lang w:val="en-US" w:eastAsia="zh-CN" w:bidi="ar"/>
        </w:rPr>
        <w:t>出0.00万元。</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十、其他重要事项的情况说明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（一）机关运行经费支出情况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2022年，松潘县政协委员信息服务中心机关运行经费支出0.8/万元。</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（二）政府采购支出情况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2022年松潘县政协委员信息服务中心无采购支出。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（三）国有资产占有使用情况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截至2022年12月31日，阿坝州松潘县政协委员信息服务中心共有车辆0辆，其中：主要领导干部用车0辆、机要通信用车0辆、应急保障用车0辆、其他用车0辆。其他用车主要是用于政协机</w:t>
      </w:r>
      <w:r>
        <w:rPr>
          <w:rFonts w:hint="default" w:ascii="仿宋_GB2312" w:hAnsi="宋体" w:eastAsia="仿宋_GB2312" w:cs="仿宋_GB2312"/>
          <w:kern w:val="0"/>
          <w:sz w:val="32"/>
          <w:szCs w:val="32"/>
          <w:lang w:val="en-US" w:eastAsia="zh-CN" w:bidi="ar"/>
        </w:rPr>
        <w:t xml:space="preserve"> </w:t>
      </w:r>
      <w:r>
        <w:rPr>
          <w:rFonts w:hint="eastAsia" w:ascii="仿宋_GB2312" w:hAnsi="宋体" w:eastAsia="仿宋_GB2312" w:cs="仿宋_GB2312"/>
          <w:kern w:val="0"/>
          <w:sz w:val="32"/>
          <w:szCs w:val="32"/>
          <w:lang w:val="en-US" w:eastAsia="zh-CN" w:bidi="ar"/>
        </w:rPr>
        <w:t>开展各项工作涉及的县内下乡、县外、州外、省外出差等的出行。支出单价100万元（含）以上设备（不含车辆）0台（套）。</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（四）预算绩效管理情况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由于阿坝州松潘县政协委员信息服务中心是2022年才开始单独拨入事业经费，故2022年没有形成阿坝州</w:t>
      </w:r>
      <w:bookmarkStart w:id="0" w:name="_GoBack"/>
      <w:bookmarkEnd w:id="0"/>
      <w:r>
        <w:rPr>
          <w:rFonts w:hint="eastAsia" w:ascii="仿宋_GB2312" w:hAnsi="宋体" w:eastAsia="仿宋_GB2312" w:cs="仿宋_GB2312"/>
          <w:kern w:val="0"/>
          <w:sz w:val="32"/>
          <w:szCs w:val="32"/>
          <w:lang w:val="en-US" w:eastAsia="zh-CN" w:bidi="ar"/>
        </w:rPr>
        <w:t>松潘县政协委员信息服务中心部门整体（含部门预算项目）绩效自评报告。</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lang w:val="en-US" w:eastAsia="zh-CN" w:bidi="ar"/>
        </w:rPr>
        <w:t>第三部分 名词解释</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1.财政拨款收入：指单位从同级财政部门取得的财政预算资金。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2.事业收入：指事业单位开展专业业务活动及辅助活动取得的收入。如…（二级预算单位事业收入情况）等。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3.经营收入：指事业单位在专业业务活动及其辅助活动之外开展非独立核算经营活动取得的收入。如…（二级预算单位经营收入情况）等。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4.其他收入：指单位取得的除上述收入以外的各项收入。主要是…（收入类型）等。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5.使用非财政拨款结余：指事业单位使用以前年度积累的非财政拨款结余弥补当年收支差额的金额。</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6.年初结转和结余：指以前年度尚未完成、结转到本年按有关规定继续使用的资金。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7.结余分配：指事业单位按照会计制度规定缴纳的所得税、提取的专用结余以及转入非财政拨款结余的金额等。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8、年末结转和结余：指单位按有关规定结转到下年或以后年度继续使用的资金。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9.一般公共服务（类）…（款）…（项）：指……。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10.外交（类）…（款）…（项）：指……。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11.公共安全（类）…（款）…（项）：指……。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12.教育（类）…（款）…（项）：指……。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13.科学技术（类）…（款）…（项）：指……。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14.文化体育与传媒（类）…（款）…（项）：指……。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15.社会保障和就业（类）…（款）…（项）：指……。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16.医疗卫生与计划生育（类）…（款）…（项）：指……。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17.节能环保（类）…（款）…（项）：指……。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18.城乡社区（类）…（款）…（项）：指……。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19.农林水（类）…（款）…（项）：指……。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20.交通运输（类）…（款）…（项）：指……。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21.资源勘探信息等（类）…（款）…（项）：指……。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22.商业服务业（类）…（款）…（项）：指……。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23.金融（类）…（款）…（项）：指……。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24.国土海洋气象等（类）…（款）…（项）：指……。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25.住房保障（类）…（款）…（项）：指……。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26.粮油物资储备（类）…（款）…（项）：指……。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（解释本部门决算报表中涉及的全部功能分类科目至项级，不涉及的科目请自行删除。请参照《2022年政府收支分类科目》增减内容。）</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27.基本支出：指为保障机构正常运转、完成日常工作任务而发生的人员支出和公用支出。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28.项目支出：指在基本支出之外为完成特定行政任务和事业发展目标所发生的支出。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29.经营支出：指事业单位在专业业务活动及其辅助活动之外开展非独立核算经营活动发生的支出。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（名词解释部分请根据各部门实际列支情况罗列，并根据本部门职责职能增减名词解释内容。）</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第五部分 附表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一、收入支出决算总表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二、收入决算表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三、支出决算表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四、财政拨款收入支出决算总表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五、财政拨款支出决算明细表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六、一般公共预算财政拨款支出决算表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七、一般公共预算财政拨款支出决算明细表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八、一般公共预算财政拨款基本支出决算表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九、一般公共预算财政拨款项目支出决算表</w:t>
      </w:r>
    </w:p>
    <w:p>
      <w:pPr>
        <w:keepNext w:val="0"/>
        <w:keepLines w:val="0"/>
        <w:pageBreakBefore w:val="0"/>
        <w:kinsoku/>
        <w:wordWrap/>
        <w:overflowPunct/>
        <w:topLinePunct w:val="0"/>
        <w:autoSpaceDN/>
        <w:bidi w:val="0"/>
        <w:spacing w:line="576"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000000"/>
    <w:rsid w:val="01D4722B"/>
    <w:rsid w:val="02250EE0"/>
    <w:rsid w:val="0A720D92"/>
    <w:rsid w:val="0B55573F"/>
    <w:rsid w:val="123568A9"/>
    <w:rsid w:val="131D58FD"/>
    <w:rsid w:val="17BB4365"/>
    <w:rsid w:val="18D41EDE"/>
    <w:rsid w:val="19DA4C09"/>
    <w:rsid w:val="1B953200"/>
    <w:rsid w:val="1FB77BAB"/>
    <w:rsid w:val="21A635E1"/>
    <w:rsid w:val="221C3809"/>
    <w:rsid w:val="25F5038B"/>
    <w:rsid w:val="27B8791F"/>
    <w:rsid w:val="28AC3A43"/>
    <w:rsid w:val="29200A79"/>
    <w:rsid w:val="2E130DF9"/>
    <w:rsid w:val="2EAB7833"/>
    <w:rsid w:val="30DD1935"/>
    <w:rsid w:val="319E408E"/>
    <w:rsid w:val="31D627E9"/>
    <w:rsid w:val="335A4F16"/>
    <w:rsid w:val="349C651B"/>
    <w:rsid w:val="362756B7"/>
    <w:rsid w:val="37F31E0C"/>
    <w:rsid w:val="3889350E"/>
    <w:rsid w:val="388F7548"/>
    <w:rsid w:val="39353730"/>
    <w:rsid w:val="3C6F50E4"/>
    <w:rsid w:val="3CF11848"/>
    <w:rsid w:val="3E911522"/>
    <w:rsid w:val="434D20A0"/>
    <w:rsid w:val="4358249B"/>
    <w:rsid w:val="439F3F87"/>
    <w:rsid w:val="49563F8B"/>
    <w:rsid w:val="49AD198E"/>
    <w:rsid w:val="4A8E119D"/>
    <w:rsid w:val="4AAC224E"/>
    <w:rsid w:val="4CCD64F4"/>
    <w:rsid w:val="4D403CC5"/>
    <w:rsid w:val="4ED815EA"/>
    <w:rsid w:val="53740EE1"/>
    <w:rsid w:val="54432833"/>
    <w:rsid w:val="54BB3D09"/>
    <w:rsid w:val="594115A7"/>
    <w:rsid w:val="59A977AE"/>
    <w:rsid w:val="5CB33432"/>
    <w:rsid w:val="5F4E053E"/>
    <w:rsid w:val="60E8420E"/>
    <w:rsid w:val="69AC1078"/>
    <w:rsid w:val="6B9D02DA"/>
    <w:rsid w:val="6BA65FB5"/>
    <w:rsid w:val="6CC03A70"/>
    <w:rsid w:val="6E0C0DD7"/>
    <w:rsid w:val="71971EF8"/>
    <w:rsid w:val="74EC1B2A"/>
    <w:rsid w:val="78A6067A"/>
    <w:rsid w:val="7B67072B"/>
    <w:rsid w:val="7EC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420"/>
      <w:jc w:val="left"/>
    </w:pPr>
    <w:rPr>
      <w:rFonts w:asciiTheme="minorHAnsi" w:eastAsiaTheme="minorHAnsi"/>
      <w:i/>
      <w:iCs/>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7">
    <w:name w:val="toc 2"/>
    <w:basedOn w:val="1"/>
    <w:next w:val="1"/>
    <w:unhideWhenUsed/>
    <w:qFormat/>
    <w:uiPriority w:val="39"/>
    <w:pPr>
      <w:ind w:left="210"/>
      <w:jc w:val="left"/>
    </w:pPr>
    <w:rPr>
      <w:rFonts w:asciiTheme="minorHAnsi" w:eastAsiaTheme="minorHAnsi"/>
      <w:smallCaps/>
      <w:sz w:val="20"/>
      <w:szCs w:val="20"/>
    </w:rPr>
  </w:style>
  <w:style w:type="character" w:styleId="9">
    <w:name w:val="Strong"/>
    <w:basedOn w:val="8"/>
    <w:qFormat/>
    <w:uiPriority w:val="99"/>
    <w:rPr>
      <w:rFonts w:cs="Times New Roman"/>
      <w:b/>
    </w:rPr>
  </w:style>
  <w:style w:type="character" w:customStyle="1" w:styleId="11">
    <w:name w:val="15"/>
    <w:basedOn w:val="8"/>
    <w:qFormat/>
    <w:uiPriority w:val="0"/>
    <w:rPr>
      <w:rFonts w:hint="default" w:ascii="Times New Roman" w:hAnsi="Times New Roman" w:cs="Times New Roman"/>
      <w:b/>
    </w:rPr>
  </w:style>
  <w:style w:type="character" w:customStyle="1" w:styleId="12">
    <w:name w:val="10"/>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Administrator.WINMICR-08UCSRQ</dc:creator>
  <cp:lastModifiedBy>Administrator</cp:lastModifiedBy>
  <dcterms:modified xsi:type="dcterms:W3CDTF">2023-09-12T08:47:10Z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AF98F09A509748CAB8CBCA04220F311E_12</vt:lpwstr>
  </property>
</Properties>
</file>