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仿宋_GB2312" w:hAnsi="仿宋_GB2312" w:eastAsia="仿宋_GB2312" w:cs="仿宋_GB2312"/>
          <w:color w:val="000000"/>
          <w:sz w:val="32"/>
          <w:szCs w:val="32"/>
        </w:rPr>
      </w:pPr>
      <w:bookmarkStart w:id="0" w:name="_Toc15306267"/>
    </w:p>
    <w:p>
      <w:pPr>
        <w:spacing w:line="560" w:lineRule="exact"/>
        <w:jc w:val="center"/>
        <w:outlineLvl w:val="0"/>
        <w:rPr>
          <w:rFonts w:ascii="仿宋_GB2312" w:hAnsi="仿宋_GB2312" w:eastAsia="仿宋_GB2312" w:cs="仿宋_GB2312"/>
          <w:color w:val="000000"/>
          <w:sz w:val="32"/>
          <w:szCs w:val="32"/>
        </w:rPr>
      </w:pPr>
    </w:p>
    <w:p>
      <w:pPr>
        <w:spacing w:line="560" w:lineRule="exact"/>
        <w:jc w:val="center"/>
        <w:outlineLvl w:val="0"/>
        <w:rPr>
          <w:rFonts w:ascii="仿宋_GB2312" w:hAnsi="仿宋_GB2312" w:eastAsia="仿宋_GB2312" w:cs="仿宋_GB2312"/>
          <w:color w:val="000000"/>
          <w:sz w:val="32"/>
          <w:szCs w:val="32"/>
        </w:rPr>
      </w:pPr>
    </w:p>
    <w:p>
      <w:pPr>
        <w:spacing w:line="560" w:lineRule="exact"/>
        <w:jc w:val="center"/>
        <w:outlineLvl w:val="0"/>
        <w:rPr>
          <w:rFonts w:ascii="仿宋_GB2312" w:hAnsi="仿宋_GB2312" w:eastAsia="仿宋_GB2312" w:cs="仿宋_GB2312"/>
          <w:color w:val="000000"/>
          <w:sz w:val="32"/>
          <w:szCs w:val="32"/>
        </w:rPr>
      </w:pPr>
    </w:p>
    <w:p>
      <w:pPr>
        <w:adjustRightInd w:val="0"/>
        <w:snapToGrid w:val="0"/>
        <w:spacing w:line="560" w:lineRule="exact"/>
        <w:jc w:val="center"/>
        <w:outlineLvl w:val="0"/>
        <w:rPr>
          <w:rFonts w:ascii="黑体" w:hAnsi="黑体" w:eastAsia="黑体" w:cs="黑体"/>
          <w:color w:val="000000"/>
          <w:sz w:val="44"/>
          <w:szCs w:val="44"/>
        </w:rPr>
      </w:pPr>
      <w:bookmarkStart w:id="1" w:name="_Toc15378441"/>
      <w:bookmarkStart w:id="2" w:name="_Toc15396597"/>
      <w:bookmarkStart w:id="3" w:name="_Toc15396475"/>
      <w:bookmarkStart w:id="4" w:name="_Toc15377425"/>
      <w:bookmarkStart w:id="5" w:name="_Toc15377193"/>
      <w:r>
        <w:rPr>
          <w:rFonts w:hint="eastAsia" w:ascii="黑体" w:hAnsi="黑体" w:eastAsia="黑体" w:cs="黑体"/>
          <w:color w:val="000000"/>
          <w:sz w:val="44"/>
          <w:szCs w:val="44"/>
        </w:rPr>
        <w:t>2020年度</w:t>
      </w:r>
      <w:bookmarkEnd w:id="1"/>
      <w:bookmarkEnd w:id="2"/>
      <w:bookmarkEnd w:id="3"/>
      <w:bookmarkEnd w:id="4"/>
      <w:bookmarkEnd w:id="5"/>
    </w:p>
    <w:p>
      <w:pPr>
        <w:adjustRightInd w:val="0"/>
        <w:snapToGrid w:val="0"/>
        <w:spacing w:line="560" w:lineRule="exact"/>
        <w:jc w:val="center"/>
        <w:outlineLvl w:val="0"/>
        <w:rPr>
          <w:rFonts w:hint="eastAsia" w:ascii="黑体" w:hAnsi="黑体" w:eastAsia="黑体" w:cs="黑体"/>
          <w:color w:val="000000"/>
          <w:sz w:val="44"/>
          <w:szCs w:val="44"/>
        </w:rPr>
      </w:pPr>
      <w:bookmarkStart w:id="6" w:name="_Toc15396476"/>
      <w:bookmarkStart w:id="7" w:name="_Toc15377194"/>
      <w:bookmarkStart w:id="8" w:name="_Toc15378442"/>
      <w:bookmarkStart w:id="9" w:name="_Toc15377426"/>
      <w:bookmarkStart w:id="10" w:name="_Toc15396598"/>
      <w:r>
        <w:rPr>
          <w:rFonts w:hint="eastAsia" w:ascii="黑体" w:hAnsi="黑体" w:eastAsia="黑体" w:cs="黑体"/>
          <w:color w:val="000000"/>
          <w:sz w:val="44"/>
          <w:szCs w:val="44"/>
        </w:rPr>
        <w:t>四川省政协松潘县委员会</w:t>
      </w:r>
    </w:p>
    <w:p>
      <w:pPr>
        <w:adjustRightInd w:val="0"/>
        <w:snapToGrid w:val="0"/>
        <w:spacing w:line="560" w:lineRule="exact"/>
        <w:jc w:val="center"/>
        <w:outlineLvl w:val="0"/>
        <w:rPr>
          <w:rFonts w:hint="eastAsia" w:ascii="黑体" w:hAnsi="黑体" w:eastAsia="黑体" w:cs="黑体"/>
          <w:color w:val="000000"/>
          <w:sz w:val="44"/>
          <w:szCs w:val="44"/>
        </w:rPr>
      </w:pPr>
      <w:r>
        <w:rPr>
          <w:rFonts w:hint="eastAsia" w:ascii="黑体" w:hAnsi="黑体" w:eastAsia="黑体" w:cs="黑体"/>
          <w:color w:val="000000"/>
          <w:sz w:val="44"/>
          <w:szCs w:val="44"/>
        </w:rPr>
        <w:t>办公室部门决算</w:t>
      </w:r>
    </w:p>
    <w:p>
      <w:pPr>
        <w:adjustRightInd w:val="0"/>
        <w:snapToGrid w:val="0"/>
        <w:spacing w:line="560" w:lineRule="exact"/>
        <w:jc w:val="center"/>
        <w:outlineLvl w:val="0"/>
        <w:rPr>
          <w:rFonts w:ascii="黑体" w:hAnsi="黑体" w:eastAsia="黑体" w:cs="黑体"/>
          <w:color w:val="000000"/>
          <w:sz w:val="44"/>
          <w:szCs w:val="44"/>
        </w:rPr>
      </w:pPr>
      <w:r>
        <w:rPr>
          <w:rFonts w:hint="eastAsia" w:ascii="黑体" w:hAnsi="黑体" w:eastAsia="黑体" w:cs="黑体"/>
          <w:color w:val="000000"/>
          <w:sz w:val="44"/>
          <w:szCs w:val="44"/>
        </w:rPr>
        <w:t>编表说明</w:t>
      </w:r>
    </w:p>
    <w:bookmarkEnd w:id="0"/>
    <w:bookmarkEnd w:id="6"/>
    <w:bookmarkEnd w:id="7"/>
    <w:bookmarkEnd w:id="8"/>
    <w:bookmarkEnd w:id="9"/>
    <w:bookmarkEnd w:id="10"/>
    <w:p>
      <w:pPr>
        <w:adjustRightInd w:val="0"/>
        <w:snapToGrid w:val="0"/>
        <w:spacing w:line="560" w:lineRule="exact"/>
        <w:outlineLvl w:val="0"/>
        <w:rPr>
          <w:rFonts w:ascii="黑体" w:hAnsi="黑体" w:eastAsia="黑体" w:cs="黑体"/>
          <w:color w:val="000000"/>
          <w:sz w:val="44"/>
          <w:szCs w:val="44"/>
        </w:rPr>
      </w:pPr>
    </w:p>
    <w:p>
      <w:pPr>
        <w:widowControl/>
        <w:spacing w:line="560" w:lineRule="exact"/>
        <w:jc w:val="center"/>
        <w:rPr>
          <w:rFonts w:ascii="黑体" w:hAnsi="黑体" w:eastAsia="黑体" w:cs="黑体"/>
          <w:color w:val="000000"/>
          <w:sz w:val="44"/>
          <w:szCs w:val="44"/>
        </w:rPr>
      </w:pPr>
    </w:p>
    <w:p>
      <w:pPr>
        <w:spacing w:line="560" w:lineRule="exact"/>
        <w:rPr>
          <w:rFonts w:ascii="黑体" w:hAnsi="黑体" w:eastAsia="黑体" w:cs="黑体"/>
          <w:sz w:val="44"/>
          <w:szCs w:val="44"/>
        </w:rPr>
      </w:pPr>
    </w:p>
    <w:p>
      <w:pPr>
        <w:spacing w:line="560" w:lineRule="exact"/>
        <w:rPr>
          <w:rFonts w:ascii="黑体" w:hAnsi="黑体" w:eastAsia="黑体" w:cs="黑体"/>
          <w:sz w:val="44"/>
          <w:szCs w:val="44"/>
        </w:rPr>
      </w:pPr>
    </w:p>
    <w:p>
      <w:pPr>
        <w:spacing w:line="560" w:lineRule="exact"/>
        <w:rPr>
          <w:rFonts w:ascii="仿宋_GB2312" w:hAnsi="仿宋_GB2312" w:eastAsia="仿宋_GB2312" w:cs="仿宋_GB2312"/>
          <w:sz w:val="32"/>
          <w:szCs w:val="32"/>
        </w:rPr>
      </w:pPr>
    </w:p>
    <w:p>
      <w:pPr>
        <w:autoSpaceDE w:val="0"/>
        <w:autoSpaceDN w:val="0"/>
        <w:adjustRightInd w:val="0"/>
        <w:spacing w:line="560" w:lineRule="exact"/>
        <w:ind w:firstLine="127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保密审查情况：已审查，内容审定</w:t>
      </w:r>
    </w:p>
    <w:p>
      <w:pPr>
        <w:autoSpaceDE w:val="0"/>
        <w:autoSpaceDN w:val="0"/>
        <w:adjustRightInd w:val="0"/>
        <w:spacing w:line="560" w:lineRule="exact"/>
        <w:ind w:firstLine="127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部门主要负责人审签情况：已审签，同意对外公开</w:t>
      </w:r>
    </w:p>
    <w:p>
      <w:pPr>
        <w:widowControl/>
        <w:spacing w:line="560" w:lineRule="exact"/>
        <w:jc w:val="center"/>
        <w:rPr>
          <w:rFonts w:ascii="仿宋_GB2312" w:hAnsi="仿宋_GB2312" w:eastAsia="仿宋_GB2312" w:cs="仿宋_GB2312"/>
          <w:sz w:val="32"/>
          <w:szCs w:val="32"/>
        </w:rPr>
      </w:pPr>
    </w:p>
    <w:p>
      <w:pPr>
        <w:widowControl/>
        <w:spacing w:line="560" w:lineRule="exact"/>
        <w:jc w:val="center"/>
        <w:rPr>
          <w:rFonts w:ascii="黑体" w:hAnsi="黑体" w:eastAsia="黑体" w:cs="黑体"/>
          <w:color w:val="000000"/>
          <w:sz w:val="44"/>
          <w:szCs w:val="44"/>
        </w:rPr>
      </w:pPr>
      <w:r>
        <w:rPr>
          <w:rFonts w:hint="eastAsia" w:ascii="仿宋_GB2312" w:hAnsi="仿宋_GB2312" w:eastAsia="仿宋_GB2312" w:cs="仿宋_GB2312"/>
          <w:sz w:val="32"/>
          <w:szCs w:val="32"/>
        </w:rPr>
        <w:br w:type="page"/>
      </w:r>
      <w:r>
        <w:rPr>
          <w:rFonts w:hint="eastAsia" w:ascii="黑体" w:hAnsi="黑体" w:eastAsia="黑体" w:cs="黑体"/>
          <w:color w:val="000000"/>
          <w:sz w:val="44"/>
          <w:szCs w:val="44"/>
        </w:rPr>
        <w:t>目</w:t>
      </w:r>
      <w:r>
        <w:rPr>
          <w:rFonts w:hint="eastAsia" w:ascii="黑体" w:hAnsi="黑体" w:eastAsia="黑体" w:cs="黑体"/>
          <w:color w:val="000000"/>
          <w:sz w:val="44"/>
          <w:szCs w:val="44"/>
          <w:lang w:val="en-US" w:eastAsia="zh-CN"/>
        </w:rPr>
        <w:t xml:space="preserve"> </w:t>
      </w:r>
      <w:bookmarkStart w:id="70" w:name="_GoBack"/>
      <w:bookmarkEnd w:id="70"/>
      <w:r>
        <w:rPr>
          <w:rFonts w:hint="eastAsia" w:ascii="黑体" w:hAnsi="黑体" w:eastAsia="黑体" w:cs="黑体"/>
          <w:color w:val="000000"/>
          <w:sz w:val="44"/>
          <w:szCs w:val="44"/>
        </w:rPr>
        <w:t>录</w:t>
      </w:r>
    </w:p>
    <w:p>
      <w:pPr>
        <w:widowControl/>
        <w:spacing w:line="560" w:lineRule="exact"/>
        <w:jc w:val="center"/>
        <w:rPr>
          <w:rFonts w:ascii="黑体" w:hAnsi="黑体" w:eastAsia="黑体" w:cs="黑体"/>
          <w:sz w:val="32"/>
          <w:szCs w:val="32"/>
        </w:rPr>
      </w:pPr>
    </w:p>
    <w:p>
      <w:pPr>
        <w:pStyle w:val="12"/>
        <w:spacing w:line="560" w:lineRule="exact"/>
        <w:rPr>
          <w:rFonts w:ascii="黑体" w:hAnsi="黑体" w:eastAsia="黑体" w:cs="黑体"/>
          <w:sz w:val="32"/>
          <w:szCs w:val="32"/>
        </w:rPr>
      </w:pPr>
      <w:r>
        <w:rPr>
          <w:rFonts w:hint="eastAsia" w:ascii="黑体" w:hAnsi="黑体" w:eastAsia="黑体" w:cs="黑体"/>
          <w:sz w:val="32"/>
          <w:szCs w:val="32"/>
        </w:rPr>
        <w:t>公开时间：2020年9月</w:t>
      </w:r>
      <w:r>
        <w:rPr>
          <w:rFonts w:hint="eastAsia" w:ascii="黑体" w:hAnsi="黑体" w:eastAsia="黑体" w:cs="黑体"/>
          <w:sz w:val="32"/>
          <w:szCs w:val="32"/>
          <w:lang w:val="en-US" w:eastAsia="zh-CN"/>
        </w:rPr>
        <w:t>24</w:t>
      </w:r>
      <w:r>
        <w:rPr>
          <w:rFonts w:hint="eastAsia" w:ascii="黑体" w:hAnsi="黑体" w:eastAsia="黑体" w:cs="黑体"/>
          <w:sz w:val="32"/>
          <w:szCs w:val="32"/>
        </w:rPr>
        <w:t>日</w:t>
      </w:r>
    </w:p>
    <w:p>
      <w:pPr>
        <w:spacing w:line="560" w:lineRule="exact"/>
        <w:rPr>
          <w:rFonts w:ascii="仿宋_GB2312" w:hAnsi="仿宋_GB2312" w:eastAsia="仿宋_GB2312" w:cs="仿宋_GB2312"/>
          <w:sz w:val="32"/>
          <w:szCs w:val="32"/>
        </w:rPr>
      </w:pPr>
    </w:p>
    <w:p>
      <w:pPr>
        <w:pStyle w:val="12"/>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2"/>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3"/>
        <w:adjustRightInd w:val="0"/>
        <w:snapToGrid w:val="0"/>
        <w:spacing w:line="560" w:lineRule="exact"/>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 国有资本经营预算支出决算情况说明</w:t>
      </w:r>
    </w:p>
    <w:p>
      <w:pPr>
        <w:adjustRightInd w:val="0"/>
        <w:snapToGrid w:val="0"/>
        <w:spacing w:line="560" w:lineRule="exact"/>
        <w:ind w:firstLine="320" w:firstLineChars="100"/>
        <w:jc w:val="left"/>
        <w:rPr>
          <w:rFonts w:ascii="仿宋_GB2312" w:hAnsi="仿宋_GB2312" w:eastAsia="仿宋_GB2312" w:cs="仿宋_GB2312"/>
          <w:sz w:val="32"/>
          <w:szCs w:val="32"/>
        </w:rPr>
      </w:pPr>
      <w:r>
        <w:rPr>
          <w:rStyle w:val="17"/>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2"/>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2"/>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12"/>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p>
    <w:p>
      <w:pPr>
        <w:widowControl/>
        <w:spacing w:line="560" w:lineRule="exact"/>
        <w:jc w:val="left"/>
        <w:rPr>
          <w:rFonts w:ascii="仿宋_GB2312" w:hAnsi="仿宋_GB2312" w:eastAsia="仿宋_GB2312" w:cs="仿宋_GB2312"/>
          <w:bCs/>
          <w:kern w:val="44"/>
          <w:sz w:val="32"/>
          <w:szCs w:val="32"/>
        </w:rPr>
      </w:pPr>
      <w:bookmarkStart w:id="11" w:name="_Toc15396599"/>
      <w:bookmarkStart w:id="12" w:name="_Toc15377196"/>
      <w:r>
        <w:rPr>
          <w:rFonts w:hint="eastAsia" w:ascii="仿宋_GB2312" w:hAnsi="仿宋_GB2312" w:eastAsia="仿宋_GB2312" w:cs="仿宋_GB2312"/>
          <w:b/>
          <w:sz w:val="32"/>
          <w:szCs w:val="32"/>
        </w:rPr>
        <w:br w:type="page"/>
      </w:r>
    </w:p>
    <w:p>
      <w:pPr>
        <w:pStyle w:val="4"/>
        <w:spacing w:line="560" w:lineRule="exact"/>
        <w:jc w:val="center"/>
        <w:rPr>
          <w:rStyle w:val="27"/>
          <w:rFonts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7"/>
          <w:rFonts w:hint="eastAsia" w:ascii="方正小标宋简体" w:hAnsi="方正小标宋简体" w:eastAsia="方正小标宋简体" w:cs="方正小标宋简体"/>
          <w:b w:val="0"/>
          <w:bCs w:val="0"/>
        </w:rPr>
        <w:t>部门概况</w:t>
      </w:r>
      <w:bookmarkEnd w:id="11"/>
      <w:bookmarkEnd w:id="12"/>
    </w:p>
    <w:p>
      <w:pPr>
        <w:widowControl/>
        <w:spacing w:line="560" w:lineRule="exact"/>
        <w:jc w:val="left"/>
        <w:rPr>
          <w:rFonts w:ascii="仿宋_GB2312" w:hAnsi="仿宋_GB2312" w:eastAsia="仿宋_GB2312" w:cs="仿宋_GB2312"/>
          <w:color w:val="000000"/>
          <w:sz w:val="32"/>
          <w:szCs w:val="32"/>
        </w:rPr>
      </w:pPr>
    </w:p>
    <w:p>
      <w:pPr>
        <w:pStyle w:val="5"/>
        <w:spacing w:line="560" w:lineRule="exact"/>
        <w:rPr>
          <w:rStyle w:val="28"/>
          <w:rFonts w:ascii="黑体" w:hAnsi="黑体" w:eastAsia="黑体" w:cs="黑体"/>
          <w:b w:val="0"/>
          <w:bCs w:val="0"/>
        </w:rPr>
      </w:pPr>
      <w:bookmarkStart w:id="13" w:name="_Toc15396600"/>
      <w:bookmarkStart w:id="14" w:name="_Toc15377197"/>
      <w:r>
        <w:rPr>
          <w:rFonts w:hint="eastAsia" w:ascii="黑体" w:hAnsi="黑体" w:eastAsia="黑体" w:cs="黑体"/>
          <w:b w:val="0"/>
          <w:color w:val="000000"/>
        </w:rPr>
        <w:t>一、基</w:t>
      </w:r>
      <w:r>
        <w:rPr>
          <w:rStyle w:val="28"/>
          <w:rFonts w:hint="eastAsia" w:ascii="黑体" w:hAnsi="黑体" w:eastAsia="黑体" w:cs="黑体"/>
          <w:b w:val="0"/>
          <w:bCs w:val="0"/>
        </w:rPr>
        <w:t>本职能及主要工作</w:t>
      </w:r>
      <w:bookmarkEnd w:id="13"/>
      <w:bookmarkEnd w:id="14"/>
    </w:p>
    <w:p>
      <w:pPr>
        <w:shd w:val="clear" w:color="auto" w:fill="FFFFFF"/>
        <w:adjustRightInd w:val="0"/>
        <w:snapToGrid w:val="0"/>
        <w:spacing w:line="560" w:lineRule="exact"/>
        <w:ind w:firstLine="643" w:firstLineChars="200"/>
        <w:jc w:val="left"/>
        <w:rPr>
          <w:rFonts w:ascii="仿宋_GB2312" w:hAnsi="仿宋_GB2312" w:eastAsia="仿宋_GB2312" w:cs="仿宋_GB2312"/>
          <w:kern w:val="0"/>
          <w:sz w:val="32"/>
          <w:szCs w:val="32"/>
        </w:rPr>
      </w:pPr>
      <w:bookmarkStart w:id="15" w:name="_Toc15377198"/>
      <w:bookmarkStart w:id="16" w:name="_Toc15378445"/>
      <w:r>
        <w:rPr>
          <w:rFonts w:hint="eastAsia" w:ascii="楷体_GB2312" w:hAnsi="楷体_GB2312" w:eastAsia="楷体_GB2312" w:cs="楷体_GB2312"/>
          <w:b/>
          <w:color w:val="000000"/>
          <w:sz w:val="32"/>
          <w:szCs w:val="32"/>
        </w:rPr>
        <w:t>（一）主要职能。</w:t>
      </w:r>
      <w:bookmarkEnd w:id="15"/>
      <w:bookmarkEnd w:id="16"/>
      <w:bookmarkStart w:id="17" w:name="_Toc15377199"/>
      <w:bookmarkStart w:id="18" w:name="_Toc15378446"/>
      <w:r>
        <w:rPr>
          <w:rFonts w:hint="eastAsia" w:ascii="仿宋_GB2312" w:hAnsi="仿宋_GB2312" w:eastAsia="仿宋_GB2312" w:cs="仿宋_GB2312"/>
          <w:kern w:val="0"/>
          <w:sz w:val="32"/>
          <w:szCs w:val="32"/>
        </w:rPr>
        <w:t>政协松潘县委员会办公室的主要职能是政治协商和民主监督，组织参加政协的各党派、团体和各族各界人士参政议政。</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1、负责县政协委员会全体会议、常务委员会会议、党组会议、主席会议及有关政协工作会议的会务工作和文字材料工作。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2、负责向上级政协及县委、县政府报送的建议和建议案、信息等有关材料的起草工作。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3、负责县政协委员会全体会议、常务委员会会议决议、决定的具体组织实施工作。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4、负责县政协委员的联系工作，收集整理各界人士的意见、建议，及时向上级政协及县委、县政府反映，编辑、报送《社情民意》。</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5、负责承办县政协常务委员会、主席会议决定安排的委员视察、调研活动的组织和服务工作。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6、负责县政协的宣传和机关职工的学习及精神文明创建工作。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7、负责与县委、人大、政府有关部门及乡镇、政协各参加单位的联系、协调等工作；协调各专门委员会活动的组织工作。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8、负责县政协的对外联谊接待工作。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9、负责权限范围内的人事和机构编制管理工作。协同有关部门参与县政协委员的协商推荐、届中调整等具体工作。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10、负责县政协机关保密、文档和人民群众来信来访工作；负责县政协机关后勤、财务和离退休人员服务工作。</w:t>
      </w:r>
    </w:p>
    <w:p>
      <w:pPr>
        <w:shd w:val="clear" w:color="auto" w:fill="FFFFFF"/>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11、承办县政协领导交办的其他工作。</w:t>
      </w:r>
    </w:p>
    <w:p>
      <w:pPr>
        <w:adjustRightInd w:val="0"/>
        <w:spacing w:line="560" w:lineRule="exact"/>
        <w:ind w:firstLine="482" w:firstLineChars="15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（二）20120年重点工作完成情况</w:t>
      </w:r>
      <w:bookmarkEnd w:id="17"/>
      <w:bookmarkEnd w:id="18"/>
    </w:p>
    <w:p>
      <w:pPr>
        <w:adjustRightInd w:val="0"/>
        <w:spacing w:line="560" w:lineRule="exact"/>
        <w:ind w:firstLine="482" w:firstLineChars="150"/>
        <w:rPr>
          <w:rFonts w:ascii="仿宋_GB2312" w:hAnsi="仿宋_GB2312" w:eastAsia="仿宋_GB2312" w:cs="仿宋_GB2312"/>
          <w:kern w:val="0"/>
          <w:sz w:val="32"/>
          <w:szCs w:val="32"/>
          <w:u w:val="single"/>
          <w:lang w:val="zh-CN"/>
        </w:rPr>
      </w:pPr>
      <w:r>
        <w:rPr>
          <w:rFonts w:hint="eastAsia" w:ascii="仿宋_GB2312" w:hAnsi="仿宋_GB2312" w:eastAsia="仿宋_GB2312" w:cs="仿宋_GB2312"/>
          <w:b/>
          <w:sz w:val="32"/>
          <w:szCs w:val="32"/>
        </w:rPr>
        <w:t>1.助力推动脱贫攻坚。</w:t>
      </w:r>
      <w:r>
        <w:rPr>
          <w:rFonts w:hint="eastAsia" w:ascii="仿宋_GB2312" w:hAnsi="仿宋_GB2312" w:eastAsia="仿宋_GB2312" w:cs="仿宋_GB2312"/>
          <w:kern w:val="0"/>
          <w:sz w:val="32"/>
          <w:szCs w:val="32"/>
          <w:lang w:val="zh-CN"/>
        </w:rPr>
        <w:t>全体政协委员积极响应县委号召，发挥各自专长和优势，主动投入，通过结对帮扶、捐资助困等多种方式，合力推进脱贫攻坚。</w:t>
      </w:r>
      <w:r>
        <w:rPr>
          <w:rFonts w:hint="eastAsia" w:ascii="仿宋_GB2312" w:hAnsi="仿宋_GB2312" w:eastAsia="仿宋_GB2312" w:cs="仿宋_GB2312"/>
          <w:sz w:val="32"/>
          <w:szCs w:val="32"/>
        </w:rPr>
        <w:t>125名政协委员与139户贫困户携手同行，为群众办实事，协助实现“两不愁三保障”。</w:t>
      </w:r>
      <w:r>
        <w:rPr>
          <w:rFonts w:hint="eastAsia" w:ascii="仿宋_GB2312" w:hAnsi="仿宋_GB2312" w:eastAsia="仿宋_GB2312" w:cs="仿宋_GB2312"/>
          <w:kern w:val="0"/>
          <w:sz w:val="32"/>
          <w:szCs w:val="32"/>
          <w:lang w:val="zh-CN"/>
        </w:rPr>
        <w:t>主席会成员</w:t>
      </w:r>
      <w:r>
        <w:rPr>
          <w:rFonts w:hint="eastAsia" w:ascii="仿宋_GB2312" w:hAnsi="仿宋_GB2312" w:eastAsia="仿宋_GB2312" w:cs="仿宋_GB2312"/>
          <w:kern w:val="0"/>
          <w:sz w:val="32"/>
          <w:szCs w:val="32"/>
        </w:rPr>
        <w:t>带领机关干部职工，</w:t>
      </w:r>
      <w:r>
        <w:rPr>
          <w:rFonts w:hint="eastAsia" w:ascii="仿宋_GB2312" w:hAnsi="仿宋_GB2312" w:eastAsia="仿宋_GB2312" w:cs="仿宋_GB2312"/>
          <w:kern w:val="0"/>
          <w:sz w:val="32"/>
          <w:szCs w:val="32"/>
          <w:lang w:val="zh-CN"/>
        </w:rPr>
        <w:t>大力开展了“</w:t>
      </w:r>
      <w:r>
        <w:rPr>
          <w:rFonts w:hint="eastAsia" w:ascii="仿宋_GB2312" w:hAnsi="仿宋_GB2312" w:eastAsia="仿宋_GB2312" w:cs="仿宋_GB2312"/>
          <w:kern w:val="0"/>
          <w:sz w:val="32"/>
          <w:szCs w:val="32"/>
        </w:rPr>
        <w:t>两联一进</w:t>
      </w:r>
      <w:r>
        <w:rPr>
          <w:rFonts w:hint="eastAsia" w:ascii="仿宋_GB2312" w:hAnsi="仿宋_GB2312" w:eastAsia="仿宋_GB2312" w:cs="仿宋_GB2312"/>
          <w:kern w:val="0"/>
          <w:sz w:val="32"/>
          <w:szCs w:val="32"/>
          <w:lang w:val="zh-CN"/>
        </w:rPr>
        <w:t>”、“户户访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人人忙”活动。</w:t>
      </w:r>
    </w:p>
    <w:p>
      <w:pPr>
        <w:adjustRightInd w:val="0"/>
        <w:spacing w:line="560" w:lineRule="exact"/>
        <w:ind w:firstLine="643" w:firstLineChars="200"/>
        <w:rPr>
          <w:rFonts w:ascii="仿宋_GB2312" w:hAnsi="仿宋_GB2312" w:eastAsia="仿宋_GB2312" w:cs="仿宋_GB2312"/>
          <w:kern w:val="0"/>
          <w:sz w:val="32"/>
          <w:szCs w:val="32"/>
        </w:rPr>
      </w:pPr>
      <w:r>
        <w:rPr>
          <w:rStyle w:val="16"/>
          <w:rFonts w:hint="eastAsia" w:ascii="仿宋_GB2312" w:hAnsi="仿宋_GB2312" w:eastAsia="仿宋_GB2312" w:cs="仿宋_GB2312"/>
          <w:bCs/>
          <w:sz w:val="32"/>
          <w:szCs w:val="32"/>
        </w:rPr>
        <w:t>2.搭建</w:t>
      </w:r>
      <w:r>
        <w:rPr>
          <w:rFonts w:hint="eastAsia" w:ascii="仿宋_GB2312" w:hAnsi="仿宋_GB2312" w:eastAsia="仿宋_GB2312" w:cs="仿宋_GB2312"/>
          <w:b/>
          <w:bCs/>
          <w:sz w:val="32"/>
          <w:szCs w:val="32"/>
          <w:shd w:val="clear" w:color="auto" w:fill="FFFFFF"/>
        </w:rPr>
        <w:t>专题协商</w:t>
      </w:r>
      <w:r>
        <w:rPr>
          <w:rStyle w:val="16"/>
          <w:rFonts w:hint="eastAsia" w:ascii="仿宋_GB2312" w:hAnsi="仿宋_GB2312" w:eastAsia="仿宋_GB2312" w:cs="仿宋_GB2312"/>
          <w:bCs/>
          <w:sz w:val="32"/>
          <w:szCs w:val="32"/>
        </w:rPr>
        <w:t>平台</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kern w:val="0"/>
          <w:sz w:val="32"/>
          <w:szCs w:val="32"/>
        </w:rPr>
        <w:t>4月开展白羊大熊猫国家公园体制试点建设、省级民族团结进步示范县创建成果巩固情况工作协商；6月开展松潘县医联体建设情况工作协商；7月开展旅游服务业恢复振兴情况、“一府两院”工作协商；10月开展乡村振兴战略实施工作协商；12月开展松潘县2019年十大工程建设工作协商。</w:t>
      </w:r>
    </w:p>
    <w:p>
      <w:pPr>
        <w:adjustRightInd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3.狠抓提案提高质量。</w:t>
      </w:r>
      <w:r>
        <w:rPr>
          <w:rFonts w:hint="eastAsia" w:ascii="仿宋_GB2312" w:hAnsi="仿宋_GB2312" w:eastAsia="仿宋_GB2312" w:cs="仿宋_GB2312"/>
          <w:sz w:val="32"/>
          <w:szCs w:val="32"/>
        </w:rPr>
        <w:t>严把提案审查立案关，三次全会期间</w:t>
      </w:r>
      <w:r>
        <w:rPr>
          <w:rFonts w:hint="eastAsia" w:ascii="仿宋_GB2312" w:hAnsi="仿宋_GB2312" w:eastAsia="仿宋_GB2312" w:cs="仿宋_GB2312"/>
          <w:color w:val="000000"/>
          <w:sz w:val="32"/>
          <w:szCs w:val="32"/>
        </w:rPr>
        <w:t>收到书面提案78件，经提案审查委员会审查，立案75件。</w:t>
      </w:r>
    </w:p>
    <w:p>
      <w:pPr>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4.视察调研紧扣群众。</w:t>
      </w:r>
      <w:r>
        <w:rPr>
          <w:rFonts w:hint="eastAsia" w:ascii="仿宋_GB2312" w:hAnsi="仿宋_GB2312" w:eastAsia="仿宋_GB2312" w:cs="仿宋_GB2312"/>
          <w:kern w:val="0"/>
          <w:sz w:val="32"/>
          <w:szCs w:val="32"/>
        </w:rPr>
        <w:t>开展了“旅游服务业恢复振兴情况”“</w:t>
      </w:r>
      <w:r>
        <w:rPr>
          <w:rFonts w:hint="eastAsia" w:ascii="仿宋_GB2312" w:hAnsi="仿宋_GB2312" w:eastAsia="仿宋_GB2312" w:cs="仿宋_GB2312"/>
          <w:sz w:val="32"/>
          <w:szCs w:val="32"/>
        </w:rPr>
        <w:t>非物质文化遗产传承与发展”</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全县十大工程建设情况”等视察和“白羊大熊猫国家公园体制试点建设”“松潘县医联体建设情况”“民族团结进步示范县创建成果巩固情况”“乡村振兴战略实施情况”等调研</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shd w:val="clear" w:color="auto" w:fill="FFFFFF"/>
        </w:rPr>
        <w:t>视察调研报告经政协常委会讨论通过后以专报形式报送县委、县政府，积极争取成果转化</w:t>
      </w:r>
    </w:p>
    <w:p>
      <w:pPr>
        <w:adjustRightInd w:val="0"/>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5.收集民意反映呼声。</w:t>
      </w:r>
      <w:r>
        <w:rPr>
          <w:rFonts w:hint="eastAsia" w:ascii="仿宋_GB2312" w:hAnsi="仿宋_GB2312" w:eastAsia="仿宋_GB2312" w:cs="仿宋_GB2312"/>
          <w:sz w:val="32"/>
          <w:szCs w:val="32"/>
        </w:rPr>
        <w:t>民之所呼,政之所向。广大政协委员和机关干部</w:t>
      </w:r>
      <w:r>
        <w:rPr>
          <w:rFonts w:hint="eastAsia" w:ascii="仿宋_GB2312" w:hAnsi="仿宋_GB2312" w:eastAsia="仿宋_GB2312" w:cs="仿宋_GB2312"/>
          <w:kern w:val="0"/>
          <w:sz w:val="32"/>
          <w:szCs w:val="32"/>
        </w:rPr>
        <w:t>带着使命与情怀，带着问题和思考，广泛收集并研究社情民意。</w:t>
      </w:r>
      <w:r>
        <w:rPr>
          <w:rFonts w:hint="eastAsia" w:ascii="仿宋_GB2312" w:hAnsi="仿宋_GB2312" w:eastAsia="仿宋_GB2312" w:cs="仿宋_GB2312"/>
          <w:snapToGrid w:val="0"/>
          <w:kern w:val="0"/>
          <w:sz w:val="32"/>
          <w:szCs w:val="32"/>
        </w:rPr>
        <w:t>累计走访群众500余人次，解决实际问题100余件;</w:t>
      </w:r>
      <w:r>
        <w:rPr>
          <w:rFonts w:hint="eastAsia" w:ascii="仿宋_GB2312" w:hAnsi="仿宋_GB2312" w:eastAsia="仿宋_GB2312" w:cs="仿宋_GB2312"/>
          <w:sz w:val="32"/>
          <w:szCs w:val="32"/>
          <w:shd w:val="clear" w:color="auto" w:fill="FFFFFF"/>
        </w:rPr>
        <w:t>收集社情民意100多条，</w:t>
      </w:r>
      <w:r>
        <w:rPr>
          <w:rFonts w:hint="eastAsia" w:ascii="仿宋_GB2312" w:hAnsi="仿宋_GB2312" w:eastAsia="仿宋_GB2312" w:cs="仿宋_GB2312"/>
          <w:sz w:val="32"/>
          <w:szCs w:val="32"/>
        </w:rPr>
        <w:t>形成专题报告10份，</w:t>
      </w:r>
      <w:r>
        <w:rPr>
          <w:rStyle w:val="16"/>
          <w:rFonts w:hint="eastAsia" w:ascii="仿宋_GB2312" w:hAnsi="仿宋_GB2312" w:eastAsia="仿宋_GB2312" w:cs="仿宋_GB2312"/>
          <w:b w:val="0"/>
          <w:sz w:val="32"/>
          <w:szCs w:val="32"/>
          <w:shd w:val="clear" w:color="auto" w:fill="FFFFFF"/>
        </w:rPr>
        <w:t>及时把群众的合</w:t>
      </w:r>
      <w:r>
        <w:rPr>
          <w:rStyle w:val="16"/>
          <w:rFonts w:hint="eastAsia" w:ascii="仿宋_GB2312" w:hAnsi="仿宋_GB2312" w:eastAsia="仿宋_GB2312" w:cs="仿宋_GB2312"/>
          <w:b w:val="0"/>
          <w:bCs/>
          <w:sz w:val="32"/>
          <w:szCs w:val="32"/>
          <w:shd w:val="clear" w:color="auto" w:fill="FFFFFF"/>
        </w:rPr>
        <w:t>理要求、愿望向县委政府反馈，得到了县委政府高度重视</w:t>
      </w:r>
      <w:r>
        <w:rPr>
          <w:rFonts w:hint="eastAsia" w:ascii="仿宋_GB2312" w:hAnsi="仿宋_GB2312" w:eastAsia="仿宋_GB2312" w:cs="仿宋_GB2312"/>
          <w:sz w:val="32"/>
          <w:szCs w:val="32"/>
        </w:rPr>
        <w:t>。</w:t>
      </w:r>
    </w:p>
    <w:p>
      <w:pPr>
        <w:widowControl/>
        <w:adjustRightInd w:val="0"/>
        <w:snapToGrid w:val="0"/>
        <w:spacing w:line="56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6.联乡包村振兴乡村。</w:t>
      </w:r>
      <w:r>
        <w:rPr>
          <w:rFonts w:hint="eastAsia" w:ascii="仿宋_GB2312" w:hAnsi="仿宋_GB2312" w:eastAsia="仿宋_GB2312" w:cs="仿宋_GB2312"/>
          <w:kern w:val="0"/>
          <w:sz w:val="32"/>
          <w:szCs w:val="32"/>
        </w:rPr>
        <w:t>县政协机关在进安镇和牟尼乡两个乡镇开展了“联乡包村帮户”工作，建立了相关干部包村制度，建立工作档案，实行动态管理。针对每个乡镇不同特点，因地制宜开展工作，同时指导两个乡镇做好村务、财务、党务公开，梳理矛盾、排解纠纷，杜绝了越级上访和不稳定事件发生。</w:t>
      </w:r>
    </w:p>
    <w:p>
      <w:pPr>
        <w:pStyle w:val="14"/>
        <w:adjustRightInd w:val="0"/>
        <w:spacing w:beforeAutospacing="0" w:afterAutospacing="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7.机关核心更加强化。</w:t>
      </w:r>
      <w:r>
        <w:rPr>
          <w:rFonts w:hint="eastAsia" w:ascii="仿宋_GB2312" w:hAnsi="仿宋_GB2312" w:eastAsia="仿宋_GB2312" w:cs="仿宋_GB2312"/>
          <w:sz w:val="32"/>
          <w:szCs w:val="32"/>
        </w:rPr>
        <w:t>县政协机关履行把方向、管大局、保落实的政治责任，把党的领导落实到政协履职的各方面，全过程。团结带领全体政协委员和机关干部，把党的主张转化为履职的自觉行动。大力开展“两联一进”群众工作，带领机关干部与群众结亲戚、与僧侣交朋友，进一步密切了党群关系</w:t>
      </w:r>
    </w:p>
    <w:p>
      <w:pPr>
        <w:pStyle w:val="5"/>
        <w:spacing w:line="560" w:lineRule="exact"/>
        <w:ind w:firstLine="640" w:firstLineChars="200"/>
        <w:rPr>
          <w:rStyle w:val="28"/>
          <w:rFonts w:ascii="黑体" w:hAnsi="黑体" w:eastAsia="黑体" w:cs="黑体"/>
          <w:b w:val="0"/>
          <w:bCs w:val="0"/>
        </w:rPr>
      </w:pPr>
      <w:bookmarkStart w:id="19" w:name="_Toc15396601"/>
      <w:bookmarkStart w:id="20" w:name="_Toc15377200"/>
      <w:r>
        <w:rPr>
          <w:rFonts w:hint="eastAsia" w:ascii="黑体" w:hAnsi="黑体" w:eastAsia="黑体" w:cs="黑体"/>
          <w:b w:val="0"/>
          <w:color w:val="000000"/>
        </w:rPr>
        <w:t>二、机</w:t>
      </w:r>
      <w:r>
        <w:rPr>
          <w:rStyle w:val="28"/>
          <w:rFonts w:hint="eastAsia" w:ascii="黑体" w:hAnsi="黑体" w:eastAsia="黑体" w:cs="黑体"/>
          <w:b w:val="0"/>
          <w:bCs w:val="0"/>
        </w:rPr>
        <w:t>构设置</w:t>
      </w:r>
      <w:bookmarkEnd w:id="19"/>
      <w:bookmarkEnd w:id="20"/>
    </w:p>
    <w:p>
      <w:pPr>
        <w:adjustRightInd w:val="0"/>
        <w:snapToGrid w:val="0"/>
        <w:spacing w:line="560" w:lineRule="exact"/>
        <w:ind w:firstLine="640" w:firstLineChars="200"/>
        <w:rPr>
          <w:rFonts w:ascii="仿宋_GB2312" w:hAnsi="仿宋_GB2312" w:eastAsia="仿宋_GB2312" w:cs="仿宋_GB2312"/>
          <w:sz w:val="32"/>
          <w:szCs w:val="32"/>
        </w:rPr>
      </w:pPr>
      <w:bookmarkStart w:id="21" w:name="_Toc15377204"/>
      <w:bookmarkStart w:id="22" w:name="_Toc15396602"/>
      <w:r>
        <w:rPr>
          <w:rFonts w:hint="eastAsia" w:ascii="仿宋_GB2312" w:hAnsi="仿宋_GB2312" w:eastAsia="仿宋_GB2312" w:cs="仿宋_GB2312"/>
          <w:sz w:val="32"/>
          <w:szCs w:val="32"/>
        </w:rPr>
        <w:t>根据上述职责，县政协机关设办公室一个，设四个科级专门委员会即：经济科技委员会，文史提案学习委员会，教育卫生体育委员会，民族宗教委员会。松潘县政协设5个内设机构：</w:t>
      </w:r>
    </w:p>
    <w:p>
      <w:pPr>
        <w:adjustRightInd w:val="0"/>
        <w:snapToGrid w:val="0"/>
        <w:spacing w:line="560" w:lineRule="exact"/>
        <w:ind w:firstLine="482" w:firstLineChars="150"/>
        <w:rPr>
          <w:rFonts w:ascii="仿宋_GB2312" w:hAnsi="仿宋_GB2312" w:eastAsia="仿宋_GB2312" w:cs="仿宋_GB2312"/>
          <w:b/>
          <w:color w:val="333333"/>
          <w:kern w:val="0"/>
          <w:sz w:val="32"/>
          <w:szCs w:val="32"/>
        </w:rPr>
      </w:pPr>
      <w:r>
        <w:rPr>
          <w:rFonts w:hint="eastAsia" w:ascii="仿宋_GB2312" w:hAnsi="仿宋_GB2312" w:eastAsia="仿宋_GB2312" w:cs="仿宋_GB2312"/>
          <w:b/>
          <w:bCs/>
          <w:sz w:val="32"/>
          <w:szCs w:val="32"/>
        </w:rPr>
        <w:t>办公室</w:t>
      </w:r>
      <w:r>
        <w:rPr>
          <w:rFonts w:hint="eastAsia" w:ascii="仿宋_GB2312" w:hAnsi="仿宋_GB2312" w:eastAsia="仿宋_GB2312" w:cs="仿宋_GB2312"/>
          <w:b/>
          <w:color w:val="333333"/>
          <w:kern w:val="0"/>
          <w:sz w:val="32"/>
          <w:szCs w:val="32"/>
        </w:rPr>
        <w:t>主要职责：</w:t>
      </w:r>
    </w:p>
    <w:p>
      <w:pPr>
        <w:adjustRightInd w:val="0"/>
        <w:snapToGrid w:val="0"/>
        <w:spacing w:line="560" w:lineRule="exact"/>
        <w:ind w:firstLine="480" w:firstLineChars="15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1、负责政协委员会全体会议、常务委员会会议、党组会议、主席会议及有关政协工作会议的会务工作和文字材料工作。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2、负责向上级政协及县委、县政府报送的建议和建议案、信息等有关材料的起草工作。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3、负责政协委员会全体会议、常务委员会会议决议、决定的具体组织实施工作。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4、负责县政协委员的联系工作，收集整理各界人士的意见、建议，及时向上级政协及县委、县政府反映，编辑、报送《社情民意》。</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5、负责承办县政协常务委员会、主席会议决定安排的委员视察、调研活动的组织和服务工作。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6、负责县政协的宣传和机关职工的学习及精神文明创建工作。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7、负责与县委、人大、政府有关部门及乡镇、政协各参加单位的联系、协调等工作；协调各专门委员会活动的组织工作。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8、负责县政协的对外联谊接待工作。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9、负责权限范围内的人事和机构编制管理工作。协同有关部门参与县政协委员的协商推荐、届中调整等具体工作。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10、负责县政协机关保密、文档和人民群众来信来访工作；负责县政协机关后勤、财务和离退休人员服务工作。</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11、承办县政协领导交办的其他工作。</w:t>
      </w:r>
    </w:p>
    <w:p>
      <w:pPr>
        <w:shd w:val="clear" w:color="auto" w:fill="FFFFFF"/>
        <w:adjustRightInd w:val="0"/>
        <w:snapToGrid w:val="0"/>
        <w:spacing w:line="56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文史提案学习委员会主要职责：</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1、研究提出县政协全会期间的提案工作方案。</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2、努力创造条件，支持、协助委员围绕国家和地方的方针政策、重大施政措施以及人民群众普遍关心的问题，提出提案，发挥政治协商、民主监督、参政议政作用。</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3、对政协提案进行审查，提出处理意见，提交有关单位研究办理。</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4、推动和协助承办单位办理提案，促进落实。</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5、选择重点提案进行专题调查，或与有关专门委员会、党政有关部门联合组织调查研究，充实提案内容，扩大提案影响。</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6、向常委会和全体会议提出工作报告。</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7、承办政协常务委员会和主席会议交办的事项</w:t>
      </w:r>
    </w:p>
    <w:p>
      <w:pPr>
        <w:shd w:val="clear" w:color="auto" w:fill="FFFFFF"/>
        <w:adjustRightInd w:val="0"/>
        <w:snapToGrid w:val="0"/>
        <w:spacing w:line="56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经济科技委员会主要职责：</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1、学习、宣传和贯彻改革、开放、搞活的社会主义现代化建设总方针及有关政策、法律，帮助委员和各界人士了解当前经济建设的形势。</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2、广泛联系本委委员和各界人士，听取他们对国家和地方大政方针及其他政策、决策的意见，发挥民主渠道作用。</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3、就国家经济生活中的重要问题开展座谈讨论、专题调查等活动，向有关部门及其他有关组织提出建议。</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4、对常委会、主席会议交付及有关部门委托本委员会研讨的问题组织讨论。</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5、承办政协常务委员会和主席会议交办的事项。</w:t>
      </w:r>
    </w:p>
    <w:p>
      <w:pPr>
        <w:shd w:val="clear" w:color="auto" w:fill="FFFFFF"/>
        <w:adjustRightInd w:val="0"/>
        <w:snapToGrid w:val="0"/>
        <w:spacing w:line="56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教科文卫体委员会主要职责：</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1、学习、宣传、贯彻党和国家的方针、政策，帮助委员了解我国教育、科技、文化、医药、卫生、体育事业的发展情况，为社会主义三个文明建设和祖国统一服务。</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2、同人大教科文卫委员会和政府有关部门建立经常的工作联系，针对一些重大问题加强必要的对话和协商。</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3、广泛联系本委委员和有关各界人士，就教育、科技、文化、医药、卫生、体育等方面的重大问题开展座谈讨论、专题调查等活动，提出意见、建议，并推动解决。</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4、在统筹安排下，同有关组织、团体联合举办各种讲座、报告会，以开阔视野，交流信息，以便知情出力。</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5、承办政协常务委员会和主席会议交办的事项。</w:t>
      </w:r>
    </w:p>
    <w:p>
      <w:pPr>
        <w:shd w:val="clear" w:color="auto" w:fill="FFFFFF"/>
        <w:adjustRightInd w:val="0"/>
        <w:snapToGrid w:val="0"/>
        <w:spacing w:line="56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民族宗教委员会主要职责：</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学习、宣传党和国家有关改革开放的政策和社会主义建设的总方针，学习民族区域自治法、民族政策及有关法律，学习华侨工作的有关法律、政策。帮助委员和各界人士了解民族、宗教、港澳台侨工作情况，推动各界人士为少数民族地区经济、文化发展事业贡献力量，为和平统一祖国做贡献。</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2、联系本委委员、少数民族代表和有关人士，听取并反映有关民族、宗教、港澳台侨工作方面的意见和建议。</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3、组织本委委员调查了解国家宗教政策、民族政策和侨务政策的贯彻执行情况，并就存在的问题进行研究，向国家机关和其他有关组织提出建议、意见或批评；协助、督促解决问题，推动有关政策的落实。</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4、加强同宗教界人士的联系，协助开展学术交流和文化交往等活动，为和平统一祖国作贡献。</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5、对政协常务委员会和主席会议交付及政府有关部门委托本委员会研讨的问题组织讨论。</w:t>
      </w: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p>
    <w:p>
      <w:pPr>
        <w:shd w:val="clear" w:color="auto" w:fill="FFFFFF"/>
        <w:adjustRightInd w:val="0"/>
        <w:snapToGrid w:val="0"/>
        <w:spacing w:line="560" w:lineRule="exact"/>
        <w:ind w:firstLine="640" w:firstLineChars="200"/>
        <w:jc w:val="left"/>
        <w:rPr>
          <w:rFonts w:ascii="仿宋_GB2312" w:hAnsi="仿宋_GB2312" w:eastAsia="仿宋_GB2312" w:cs="仿宋_GB2312"/>
          <w:color w:val="333333"/>
          <w:kern w:val="0"/>
          <w:sz w:val="32"/>
          <w:szCs w:val="32"/>
        </w:rPr>
      </w:pPr>
    </w:p>
    <w:p>
      <w:pPr>
        <w:shd w:val="clear" w:color="auto" w:fill="FFFFFF"/>
        <w:adjustRightInd w:val="0"/>
        <w:snapToGrid w:val="0"/>
        <w:spacing w:line="560" w:lineRule="exact"/>
        <w:jc w:val="left"/>
        <w:rPr>
          <w:rFonts w:ascii="仿宋_GB2312" w:hAnsi="仿宋_GB2312" w:eastAsia="仿宋_GB2312" w:cs="仿宋_GB2312"/>
          <w:color w:val="333333"/>
          <w:kern w:val="0"/>
          <w:sz w:val="32"/>
          <w:szCs w:val="32"/>
        </w:rPr>
      </w:pPr>
    </w:p>
    <w:p>
      <w:pPr>
        <w:pStyle w:val="2"/>
        <w:spacing w:line="560" w:lineRule="exact"/>
        <w:ind w:firstLine="640"/>
        <w:rPr>
          <w:rFonts w:ascii="仿宋_GB2312" w:hAnsi="仿宋_GB2312" w:eastAsia="仿宋_GB2312" w:cs="仿宋_GB2312"/>
          <w:color w:val="333333"/>
          <w:kern w:val="0"/>
          <w:sz w:val="32"/>
          <w:szCs w:val="32"/>
        </w:rPr>
      </w:pPr>
    </w:p>
    <w:p>
      <w:pPr>
        <w:spacing w:line="560" w:lineRule="exact"/>
        <w:rPr>
          <w:rFonts w:ascii="仿宋_GB2312" w:hAnsi="仿宋_GB2312" w:eastAsia="仿宋_GB2312" w:cs="仿宋_GB2312"/>
          <w:color w:val="333333"/>
          <w:kern w:val="0"/>
          <w:sz w:val="32"/>
          <w:szCs w:val="32"/>
        </w:rPr>
      </w:pPr>
    </w:p>
    <w:p>
      <w:pPr>
        <w:pStyle w:val="2"/>
        <w:spacing w:line="560" w:lineRule="exact"/>
        <w:ind w:firstLine="640"/>
        <w:rPr>
          <w:rFonts w:ascii="仿宋_GB2312" w:hAnsi="仿宋_GB2312" w:eastAsia="仿宋_GB2312" w:cs="仿宋_GB2312"/>
          <w:color w:val="333333"/>
          <w:kern w:val="0"/>
          <w:sz w:val="32"/>
          <w:szCs w:val="32"/>
        </w:rPr>
      </w:pPr>
    </w:p>
    <w:p>
      <w:pPr>
        <w:spacing w:line="560" w:lineRule="exact"/>
        <w:rPr>
          <w:rFonts w:ascii="仿宋_GB2312" w:hAnsi="仿宋_GB2312" w:eastAsia="仿宋_GB2312" w:cs="仿宋_GB2312"/>
          <w:color w:val="333333"/>
          <w:kern w:val="0"/>
          <w:sz w:val="32"/>
          <w:szCs w:val="32"/>
        </w:rPr>
      </w:pPr>
    </w:p>
    <w:p>
      <w:pPr>
        <w:pStyle w:val="2"/>
        <w:spacing w:line="560" w:lineRule="exact"/>
      </w:pPr>
    </w:p>
    <w:p>
      <w:pPr>
        <w:pStyle w:val="4"/>
        <w:spacing w:line="560" w:lineRule="exact"/>
        <w:ind w:right="440"/>
        <w:jc w:val="center"/>
        <w:rPr>
          <w:rFonts w:ascii="黑体" w:hAnsi="黑体" w:eastAsia="黑体" w:cs="黑体"/>
        </w:rPr>
      </w:pPr>
      <w:r>
        <w:rPr>
          <w:rFonts w:hint="eastAsia" w:ascii="黑体" w:hAnsi="黑体" w:eastAsia="黑体" w:cs="黑体"/>
          <w:b w:val="0"/>
          <w:color w:val="000000"/>
        </w:rPr>
        <w:t>第二部分</w:t>
      </w:r>
      <w:r>
        <w:rPr>
          <w:rFonts w:hint="eastAsia" w:ascii="黑体" w:hAnsi="黑体" w:eastAsia="黑体" w:cs="黑体"/>
          <w:color w:val="000000"/>
        </w:rPr>
        <w:t xml:space="preserve"> </w:t>
      </w:r>
      <w:r>
        <w:rPr>
          <w:rStyle w:val="27"/>
          <w:rFonts w:hint="eastAsia" w:ascii="黑体" w:hAnsi="黑体" w:eastAsia="黑体" w:cs="黑体"/>
          <w:b w:val="0"/>
          <w:bCs w:val="0"/>
        </w:rPr>
        <w:t>2020年度部门决算情况说明</w:t>
      </w:r>
      <w:bookmarkEnd w:id="21"/>
      <w:bookmarkEnd w:id="22"/>
    </w:p>
    <w:p>
      <w:pPr>
        <w:pStyle w:val="26"/>
        <w:spacing w:line="560" w:lineRule="exact"/>
        <w:ind w:left="640" w:firstLine="0" w:firstLineChars="0"/>
        <w:outlineLvl w:val="1"/>
        <w:rPr>
          <w:rStyle w:val="28"/>
          <w:rFonts w:ascii="黑体" w:hAnsi="黑体" w:eastAsia="黑体" w:cs="黑体"/>
          <w:b w:val="0"/>
        </w:rPr>
      </w:pPr>
      <w:bookmarkStart w:id="23" w:name="_Toc15396603"/>
      <w:bookmarkStart w:id="24" w:name="_Toc15377205"/>
      <w:r>
        <w:rPr>
          <w:rFonts w:hint="eastAsia" w:ascii="黑体" w:hAnsi="黑体" w:eastAsia="黑体" w:cs="黑体"/>
          <w:color w:val="000000"/>
          <w:sz w:val="32"/>
          <w:szCs w:val="32"/>
        </w:rPr>
        <w:t>一、收</w:t>
      </w:r>
      <w:r>
        <w:rPr>
          <w:rStyle w:val="28"/>
          <w:rFonts w:hint="eastAsia" w:ascii="黑体" w:hAnsi="黑体" w:eastAsia="黑体" w:cs="黑体"/>
          <w:b w:val="0"/>
        </w:rPr>
        <w:t>入支出决算总体情况说明</w:t>
      </w:r>
      <w:bookmarkEnd w:id="23"/>
      <w:bookmarkEnd w:id="24"/>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2020年度收入总计792.96万元、支出总计734.13万元,年末结转58.83万元，与2019年相比收入</w:t>
      </w:r>
      <w:r>
        <w:rPr>
          <w:rFonts w:hint="eastAsia" w:ascii="仿宋_GB2312" w:hAnsi="仿宋_GB2312" w:eastAsia="仿宋_GB2312" w:cs="仿宋_GB2312"/>
          <w:sz w:val="32"/>
          <w:szCs w:val="32"/>
        </w:rPr>
        <w:t>769.88</w:t>
      </w:r>
      <w:r>
        <w:rPr>
          <w:rFonts w:hint="eastAsia" w:ascii="仿宋_GB2312" w:hAnsi="仿宋_GB2312" w:eastAsia="仿宋_GB2312" w:cs="仿宋_GB2312"/>
          <w:color w:val="000000"/>
          <w:sz w:val="32"/>
          <w:szCs w:val="32"/>
        </w:rPr>
        <w:t>万元、支总计</w:t>
      </w:r>
      <w:r>
        <w:rPr>
          <w:rFonts w:hint="eastAsia" w:ascii="仿宋_GB2312" w:hAnsi="仿宋_GB2312" w:eastAsia="仿宋_GB2312" w:cs="仿宋_GB2312"/>
          <w:sz w:val="32"/>
          <w:szCs w:val="32"/>
        </w:rPr>
        <w:t>为769.88万元，同比收入增加3%，增加收入23.08万元；同比支出减少5％，支出减少35.75万元。</w:t>
      </w:r>
      <w:r>
        <w:rPr>
          <w:rFonts w:hint="eastAsia" w:ascii="仿宋_GB2312" w:hAnsi="仿宋_GB2312" w:eastAsia="仿宋_GB2312" w:cs="仿宋_GB2312"/>
          <w:color w:val="000000"/>
          <w:sz w:val="32"/>
          <w:szCs w:val="32"/>
        </w:rPr>
        <w:t>主要变动原因是：收入增加是因为人员经费增加了，减少是因为公务用车维护费中维修费用相应减少。</w:t>
      </w:r>
    </w:p>
    <w:p>
      <w:pPr>
        <w:pStyle w:val="26"/>
        <w:spacing w:line="560" w:lineRule="exact"/>
        <w:ind w:left="640" w:firstLine="0" w:firstLineChars="0"/>
        <w:outlineLvl w:val="1"/>
        <w:rPr>
          <w:rStyle w:val="28"/>
          <w:rFonts w:ascii="黑体" w:hAnsi="黑体" w:eastAsia="黑体" w:cs="黑体"/>
          <w:b w:val="0"/>
        </w:rPr>
      </w:pPr>
      <w:bookmarkStart w:id="25" w:name="_Toc15377206"/>
      <w:bookmarkStart w:id="26" w:name="_Toc15396604"/>
      <w:r>
        <w:rPr>
          <w:rFonts w:hint="eastAsia" w:ascii="黑体" w:hAnsi="黑体" w:eastAsia="黑体" w:cs="黑体"/>
          <w:color w:val="000000"/>
          <w:sz w:val="32"/>
          <w:szCs w:val="32"/>
        </w:rPr>
        <w:t>二、收</w:t>
      </w:r>
      <w:r>
        <w:rPr>
          <w:rStyle w:val="28"/>
          <w:rFonts w:hint="eastAsia" w:ascii="黑体" w:hAnsi="黑体" w:eastAsia="黑体" w:cs="黑体"/>
          <w:b w:val="0"/>
        </w:rPr>
        <w:t>入决算情况说明</w:t>
      </w:r>
      <w:bookmarkEnd w:id="25"/>
      <w:bookmarkEnd w:id="26"/>
    </w:p>
    <w:p>
      <w:pPr>
        <w:spacing w:line="560" w:lineRule="exact"/>
        <w:ind w:firstLine="640" w:firstLineChars="200"/>
        <w:outlineLvl w:val="1"/>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2020年本年收入合计792.96万元，其中：一般公共预算财政拨款收入792.96万元，占100%。</w:t>
      </w:r>
    </w:p>
    <w:p>
      <w:pPr>
        <w:pStyle w:val="26"/>
        <w:spacing w:line="560" w:lineRule="exact"/>
        <w:ind w:left="640" w:firstLine="0" w:firstLineChars="0"/>
        <w:outlineLvl w:val="1"/>
        <w:rPr>
          <w:rStyle w:val="28"/>
          <w:rFonts w:ascii="黑体" w:hAnsi="黑体" w:eastAsia="黑体" w:cs="黑体"/>
          <w:b w:val="0"/>
        </w:rPr>
      </w:pPr>
      <w:bookmarkStart w:id="27" w:name="_Toc15396605"/>
      <w:bookmarkStart w:id="28" w:name="_Toc15377207"/>
      <w:r>
        <w:rPr>
          <w:rFonts w:hint="eastAsia" w:ascii="黑体" w:hAnsi="黑体" w:eastAsia="黑体" w:cs="黑体"/>
          <w:color w:val="000000"/>
          <w:sz w:val="32"/>
          <w:szCs w:val="32"/>
        </w:rPr>
        <w:t>三、支</w:t>
      </w:r>
      <w:r>
        <w:rPr>
          <w:rStyle w:val="28"/>
          <w:rFonts w:hint="eastAsia" w:ascii="黑体" w:hAnsi="黑体" w:eastAsia="黑体" w:cs="黑体"/>
          <w:b w:val="0"/>
        </w:rPr>
        <w:t>出决算情况说明</w:t>
      </w:r>
      <w:bookmarkEnd w:id="27"/>
      <w:bookmarkEnd w:id="28"/>
    </w:p>
    <w:p>
      <w:pPr>
        <w:spacing w:line="560" w:lineRule="exact"/>
        <w:ind w:firstLine="640" w:firstLineChars="200"/>
        <w:outlineLvl w:val="1"/>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2020年本年支出合计734.13万元，其中：基本支出 703.75万元，占96%；项目支出30.38万元，占4%。</w:t>
      </w:r>
    </w:p>
    <w:p>
      <w:pPr>
        <w:spacing w:line="560" w:lineRule="exact"/>
        <w:ind w:firstLine="640" w:firstLineChars="200"/>
        <w:outlineLvl w:val="1"/>
        <w:rPr>
          <w:rStyle w:val="28"/>
          <w:rFonts w:ascii="黑体" w:hAnsi="黑体" w:eastAsia="黑体" w:cs="黑体"/>
          <w:b w:val="0"/>
        </w:rPr>
      </w:pPr>
      <w:bookmarkStart w:id="29" w:name="_Toc15396606"/>
      <w:bookmarkStart w:id="30" w:name="_Toc15377208"/>
      <w:r>
        <w:rPr>
          <w:rFonts w:hint="eastAsia" w:ascii="黑体" w:hAnsi="黑体" w:eastAsia="黑体" w:cs="黑体"/>
          <w:color w:val="000000"/>
          <w:sz w:val="32"/>
          <w:szCs w:val="32"/>
        </w:rPr>
        <w:t>四、财</w:t>
      </w:r>
      <w:r>
        <w:rPr>
          <w:rStyle w:val="28"/>
          <w:rFonts w:hint="eastAsia" w:ascii="黑体" w:hAnsi="黑体" w:eastAsia="黑体" w:cs="黑体"/>
          <w:b w:val="0"/>
        </w:rPr>
        <w:t>政拨款收入支出决算总体情况说明</w:t>
      </w:r>
      <w:bookmarkEnd w:id="29"/>
      <w:bookmarkEnd w:id="30"/>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2020年财政拨款收入792.96万元、支出总计734.13万元。与2019年相比，财政拨款收入769.88万元、支出769.88万元，收入增加23.08万元，同比收入增加3%；支出减少35.75万元，同比支出减少5%。主要变动原因</w:t>
      </w:r>
      <w:bookmarkStart w:id="31" w:name="_Toc15377209"/>
      <w:bookmarkStart w:id="32" w:name="_Toc15396607"/>
      <w:r>
        <w:rPr>
          <w:rFonts w:hint="eastAsia" w:ascii="仿宋_GB2312" w:hAnsi="仿宋_GB2312" w:eastAsia="仿宋_GB2312" w:cs="仿宋_GB2312"/>
          <w:color w:val="000000"/>
          <w:sz w:val="32"/>
          <w:szCs w:val="32"/>
        </w:rPr>
        <w:t>收入增加是因为人员经费增加了，减少是因为公务用车维护费中维修费用相应减少。</w:t>
      </w:r>
    </w:p>
    <w:p>
      <w:pPr>
        <w:spacing w:line="560" w:lineRule="exact"/>
        <w:ind w:firstLine="640" w:firstLineChars="200"/>
        <w:rPr>
          <w:rStyle w:val="28"/>
          <w:rFonts w:ascii="仿宋_GB2312" w:hAnsi="仿宋_GB2312" w:eastAsia="仿宋_GB2312" w:cs="仿宋_GB2312"/>
          <w:b w:val="0"/>
          <w:bCs w:val="0"/>
          <w:color w:val="000000"/>
        </w:rPr>
      </w:pPr>
      <w:r>
        <w:rPr>
          <w:rFonts w:hint="eastAsia" w:ascii="黑体" w:hAnsi="黑体" w:eastAsia="黑体" w:cs="黑体"/>
          <w:color w:val="000000"/>
          <w:sz w:val="32"/>
          <w:szCs w:val="32"/>
        </w:rPr>
        <w:t>五、</w:t>
      </w:r>
      <w:r>
        <w:rPr>
          <w:rFonts w:hint="eastAsia" w:ascii="黑体" w:hAnsi="黑体" w:eastAsia="黑体" w:cs="黑体"/>
          <w:b/>
          <w:color w:val="000000"/>
          <w:sz w:val="32"/>
          <w:szCs w:val="32"/>
        </w:rPr>
        <w:t>一</w:t>
      </w:r>
      <w:r>
        <w:rPr>
          <w:rStyle w:val="28"/>
          <w:rFonts w:hint="eastAsia" w:ascii="黑体" w:hAnsi="黑体" w:eastAsia="黑体" w:cs="黑体"/>
          <w:b w:val="0"/>
        </w:rPr>
        <w:t>般公共预算财政拨款支出决算情况说明</w:t>
      </w:r>
      <w:bookmarkEnd w:id="31"/>
      <w:bookmarkEnd w:id="32"/>
    </w:p>
    <w:p>
      <w:pPr>
        <w:spacing w:line="560" w:lineRule="exact"/>
        <w:ind w:firstLine="643" w:firstLineChars="200"/>
        <w:outlineLvl w:val="2"/>
        <w:rPr>
          <w:rFonts w:ascii="楷体_GB2312" w:hAnsi="楷体_GB2312" w:eastAsia="楷体_GB2312" w:cs="楷体_GB2312"/>
          <w:b/>
          <w:color w:val="000000"/>
          <w:sz w:val="32"/>
          <w:szCs w:val="32"/>
        </w:rPr>
      </w:pPr>
      <w:bookmarkStart w:id="33" w:name="_Toc15377210"/>
      <w:r>
        <w:rPr>
          <w:rFonts w:hint="eastAsia" w:ascii="楷体_GB2312" w:hAnsi="楷体_GB2312" w:eastAsia="楷体_GB2312" w:cs="楷体_GB2312"/>
          <w:b/>
          <w:color w:val="000000"/>
          <w:sz w:val="32"/>
          <w:szCs w:val="32"/>
        </w:rPr>
        <w:t>（一）一般公共预算财政拨款支出决算总体情况</w:t>
      </w:r>
      <w:bookmarkEnd w:id="33"/>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2020年一般公共预算财政拨款支出734.13万元，占本年支出合计的96%。与2019年相比，一般公共预算财政拨款增加23.08万元，增3%。主要变动原因是</w:t>
      </w:r>
      <w:bookmarkStart w:id="34" w:name="_Toc15377211"/>
      <w:r>
        <w:rPr>
          <w:rFonts w:hint="eastAsia" w:ascii="仿宋_GB2312" w:hAnsi="仿宋_GB2312" w:eastAsia="仿宋_GB2312" w:cs="仿宋_GB2312"/>
          <w:color w:val="000000"/>
          <w:sz w:val="32"/>
          <w:szCs w:val="32"/>
        </w:rPr>
        <w:t>主要变动原因收入增加是因为人员经费增加了，减少是因为公务用车维护费中维修费用相应减少。</w:t>
      </w:r>
    </w:p>
    <w:p>
      <w:pPr>
        <w:spacing w:line="56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（二）一般公共预算财政拨款支出决算结构情况</w:t>
      </w:r>
      <w:bookmarkEnd w:id="34"/>
    </w:p>
    <w:p>
      <w:pPr>
        <w:spacing w:line="56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2020年一般公共预算财</w:t>
      </w:r>
      <w:r>
        <w:rPr>
          <w:rFonts w:hint="eastAsia" w:ascii="仿宋_GB2312" w:hAnsi="仿宋_GB2312" w:eastAsia="仿宋_GB2312" w:cs="仿宋_GB2312"/>
          <w:color w:val="000000" w:themeColor="text1"/>
          <w:sz w:val="32"/>
          <w:szCs w:val="32"/>
        </w:rPr>
        <w:t>政拨款支出734.13万元，主要用于以下方面:</w:t>
      </w:r>
      <w:r>
        <w:rPr>
          <w:rFonts w:hint="eastAsia" w:ascii="仿宋_GB2312" w:hAnsi="仿宋_GB2312" w:eastAsia="仿宋_GB2312" w:cs="仿宋_GB2312"/>
          <w:bCs/>
          <w:color w:val="000000" w:themeColor="text1"/>
          <w:sz w:val="32"/>
          <w:szCs w:val="32"/>
        </w:rPr>
        <w:t>一般公共服务（类）支出596.8万元，占81%；社会保障和就业（类）支出55.6万元，占8%；卫生健康支出36.01万元，占5%；住房保障支出45.72万元，占6%。</w:t>
      </w:r>
    </w:p>
    <w:p>
      <w:pPr>
        <w:spacing w:line="560" w:lineRule="exact"/>
        <w:ind w:firstLine="643" w:firstLineChars="200"/>
        <w:outlineLvl w:val="2"/>
        <w:rPr>
          <w:rFonts w:ascii="楷体_GB2312" w:hAnsi="楷体_GB2312" w:eastAsia="楷体_GB2312" w:cs="楷体_GB2312"/>
          <w:b/>
          <w:color w:val="000000"/>
          <w:sz w:val="32"/>
          <w:szCs w:val="32"/>
        </w:rPr>
      </w:pPr>
      <w:bookmarkStart w:id="35" w:name="_Toc15377212"/>
      <w:r>
        <w:rPr>
          <w:rFonts w:hint="eastAsia" w:ascii="楷体_GB2312" w:hAnsi="楷体_GB2312" w:eastAsia="楷体_GB2312" w:cs="楷体_GB2312"/>
          <w:b/>
          <w:color w:val="000000"/>
          <w:sz w:val="32"/>
          <w:szCs w:val="32"/>
        </w:rPr>
        <w:t>（三）一般公共预算财政拨款支出决算具体情况</w:t>
      </w:r>
      <w:bookmarkEnd w:id="35"/>
    </w:p>
    <w:p>
      <w:pPr>
        <w:spacing w:line="560" w:lineRule="exact"/>
        <w:ind w:firstLine="640" w:firstLineChars="200"/>
        <w:outlineLvl w:val="2"/>
        <w:rPr>
          <w:rFonts w:ascii="仿宋_GB2312" w:hAnsi="仿宋_GB2312" w:eastAsia="仿宋_GB2312" w:cs="仿宋_GB2312"/>
          <w:bCs/>
          <w:color w:val="FF0000"/>
          <w:sz w:val="32"/>
          <w:szCs w:val="32"/>
        </w:rPr>
      </w:pPr>
      <w:bookmarkStart w:id="36" w:name="_Toc15378460"/>
      <w:bookmarkStart w:id="37" w:name="_Toc15377444"/>
      <w:bookmarkStart w:id="38" w:name="_Toc15377213"/>
      <w:r>
        <w:rPr>
          <w:rFonts w:hint="eastAsia" w:ascii="仿宋_GB2312" w:hAnsi="仿宋_GB2312" w:eastAsia="仿宋_GB2312" w:cs="仿宋_GB2312"/>
          <w:bCs/>
          <w:color w:val="000000" w:themeColor="text1"/>
          <w:sz w:val="32"/>
          <w:szCs w:val="32"/>
        </w:rPr>
        <w:t>2020年一般公共预算支出决算数为734.13，</w:t>
      </w:r>
      <w:r>
        <w:rPr>
          <w:rStyle w:val="16"/>
          <w:rFonts w:hint="eastAsia" w:ascii="仿宋_GB2312" w:hAnsi="仿宋_GB2312" w:eastAsia="仿宋_GB2312" w:cs="仿宋_GB2312"/>
          <w:b w:val="0"/>
          <w:bCs/>
          <w:color w:val="000000" w:themeColor="text1"/>
          <w:sz w:val="32"/>
          <w:szCs w:val="32"/>
        </w:rPr>
        <w:t>完成</w:t>
      </w:r>
      <w:r>
        <w:rPr>
          <w:rStyle w:val="16"/>
          <w:rFonts w:hint="eastAsia" w:ascii="仿宋_GB2312" w:hAnsi="仿宋_GB2312" w:eastAsia="仿宋_GB2312" w:cs="仿宋_GB2312"/>
          <w:b w:val="0"/>
          <w:bCs/>
          <w:color w:val="000000"/>
          <w:sz w:val="32"/>
          <w:szCs w:val="32"/>
        </w:rPr>
        <w:t>预算92%。其中：</w:t>
      </w:r>
      <w:bookmarkEnd w:id="36"/>
      <w:bookmarkEnd w:id="37"/>
      <w:bookmarkEnd w:id="38"/>
    </w:p>
    <w:p>
      <w:pPr>
        <w:spacing w:line="560" w:lineRule="exact"/>
        <w:ind w:firstLine="640"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1.一般公共服务支出：</w:t>
      </w:r>
    </w:p>
    <w:p>
      <w:pPr>
        <w:spacing w:line="560" w:lineRule="exact"/>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行政运行566.41万元，完成预算的100%；政协会议22.28万元，完成预算100%；委员视察8.1万元，完成预算100%。</w:t>
      </w:r>
    </w:p>
    <w:p>
      <w:pPr>
        <w:spacing w:line="560" w:lineRule="exact"/>
        <w:ind w:firstLine="640" w:firstLineChars="200"/>
        <w:rPr>
          <w:rFonts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2.社会保障和就业支出: 支出决算为55.6万元，完成预算100%。</w:t>
      </w:r>
    </w:p>
    <w:p>
      <w:pPr>
        <w:spacing w:line="560" w:lineRule="exact"/>
        <w:ind w:firstLine="640"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3.</w:t>
      </w:r>
      <w:r>
        <w:rPr>
          <w:rFonts w:hint="eastAsia" w:ascii="仿宋_GB2312" w:hAnsi="仿宋_GB2312" w:eastAsia="仿宋_GB2312" w:cs="仿宋_GB2312"/>
          <w:bCs/>
          <w:color w:val="000000" w:themeColor="text1"/>
          <w:sz w:val="32"/>
          <w:szCs w:val="32"/>
        </w:rPr>
        <w:t>卫生健康支出</w:t>
      </w:r>
      <w:r>
        <w:rPr>
          <w:rStyle w:val="16"/>
          <w:rFonts w:hint="eastAsia" w:ascii="仿宋_GB2312" w:hAnsi="仿宋_GB2312" w:eastAsia="仿宋_GB2312" w:cs="仿宋_GB2312"/>
          <w:b w:val="0"/>
          <w:bCs/>
          <w:color w:val="000000"/>
          <w:sz w:val="32"/>
          <w:szCs w:val="32"/>
        </w:rPr>
        <w:t>:支出决算为36.01万元，完成预算100%。</w:t>
      </w:r>
    </w:p>
    <w:p>
      <w:pPr>
        <w:spacing w:line="560" w:lineRule="exact"/>
        <w:ind w:firstLine="640"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 w:val="0"/>
          <w:bCs/>
          <w:color w:val="000000"/>
          <w:sz w:val="32"/>
          <w:szCs w:val="32"/>
        </w:rPr>
        <w:t>4.住房保障支出：45.72万元，完成预算100%。</w:t>
      </w:r>
    </w:p>
    <w:p>
      <w:pPr>
        <w:tabs>
          <w:tab w:val="right" w:pos="8306"/>
        </w:tabs>
        <w:spacing w:line="560" w:lineRule="exact"/>
        <w:ind w:firstLine="640"/>
        <w:outlineLvl w:val="1"/>
        <w:rPr>
          <w:rStyle w:val="28"/>
          <w:rFonts w:ascii="仿宋_GB2312" w:hAnsi="仿宋_GB2312" w:eastAsia="仿宋_GB2312" w:cs="仿宋_GB2312"/>
        </w:rPr>
      </w:pPr>
      <w:bookmarkStart w:id="39" w:name="_Toc15396608"/>
      <w:bookmarkStart w:id="40" w:name="_Toc15377214"/>
      <w:r>
        <w:rPr>
          <w:rFonts w:hint="eastAsia" w:ascii="黑体" w:hAnsi="黑体" w:eastAsia="黑体" w:cs="黑体"/>
          <w:color w:val="000000"/>
          <w:sz w:val="32"/>
          <w:szCs w:val="32"/>
        </w:rPr>
        <w:t>六</w:t>
      </w:r>
      <w:r>
        <w:rPr>
          <w:rFonts w:hint="eastAsia" w:ascii="黑体" w:hAnsi="黑体" w:eastAsia="黑体" w:cs="黑体"/>
          <w:b/>
          <w:color w:val="000000"/>
          <w:sz w:val="32"/>
          <w:szCs w:val="32"/>
        </w:rPr>
        <w:t>、一</w:t>
      </w:r>
      <w:r>
        <w:rPr>
          <w:rStyle w:val="28"/>
          <w:rFonts w:hint="eastAsia" w:ascii="黑体" w:hAnsi="黑体" w:eastAsia="黑体" w:cs="黑体"/>
          <w:b w:val="0"/>
        </w:rPr>
        <w:t>般公共预算财政拨款基本支出决算情况说明</w:t>
      </w:r>
      <w:bookmarkEnd w:id="39"/>
      <w:bookmarkEnd w:id="40"/>
      <w:r>
        <w:rPr>
          <w:rStyle w:val="28"/>
          <w:rFonts w:hint="eastAsia" w:ascii="仿宋_GB2312" w:hAnsi="仿宋_GB2312" w:eastAsia="仿宋_GB2312" w:cs="仿宋_GB2312"/>
          <w:b w:val="0"/>
        </w:rPr>
        <w:tab/>
      </w:r>
    </w:p>
    <w:p>
      <w:pPr>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2020年一般公共预算财政拨款基本支出792.96万元，其中：</w:t>
      </w:r>
    </w:p>
    <w:p>
      <w:pPr>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574.30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159.83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exact"/>
        <w:ind w:firstLine="640"/>
        <w:outlineLvl w:val="1"/>
        <w:rPr>
          <w:rStyle w:val="28"/>
          <w:rFonts w:ascii="黑体" w:hAnsi="黑体" w:eastAsia="黑体" w:cs="黑体"/>
          <w:b w:val="0"/>
        </w:rPr>
      </w:pPr>
      <w:bookmarkStart w:id="41" w:name="_Toc15377215"/>
      <w:bookmarkStart w:id="42" w:name="_Toc15396609"/>
      <w:r>
        <w:rPr>
          <w:rFonts w:hint="eastAsia" w:ascii="黑体" w:hAnsi="黑体" w:eastAsia="黑体" w:cs="黑体"/>
          <w:color w:val="000000"/>
          <w:sz w:val="32"/>
          <w:szCs w:val="32"/>
        </w:rPr>
        <w:t>七、</w:t>
      </w:r>
      <w:r>
        <w:rPr>
          <w:rStyle w:val="28"/>
          <w:rFonts w:hint="eastAsia" w:ascii="黑体" w:hAnsi="黑体" w:eastAsia="黑体" w:cs="黑体"/>
        </w:rPr>
        <w:t>“</w:t>
      </w:r>
      <w:r>
        <w:rPr>
          <w:rStyle w:val="28"/>
          <w:rFonts w:hint="eastAsia" w:ascii="黑体" w:hAnsi="黑体" w:eastAsia="黑体" w:cs="黑体"/>
          <w:b w:val="0"/>
        </w:rPr>
        <w:t>三公”经费财政拨款支出决算情况说明</w:t>
      </w:r>
      <w:bookmarkEnd w:id="41"/>
      <w:bookmarkEnd w:id="42"/>
    </w:p>
    <w:p>
      <w:pPr>
        <w:spacing w:line="560" w:lineRule="exact"/>
        <w:ind w:firstLine="640"/>
        <w:outlineLvl w:val="2"/>
        <w:rPr>
          <w:rFonts w:ascii="楷体_GB2312" w:hAnsi="楷体_GB2312" w:eastAsia="楷体_GB2312" w:cs="楷体_GB2312"/>
          <w:b/>
          <w:color w:val="000000"/>
          <w:sz w:val="32"/>
          <w:szCs w:val="32"/>
        </w:rPr>
      </w:pPr>
      <w:bookmarkStart w:id="43" w:name="_Toc15377216"/>
      <w:r>
        <w:rPr>
          <w:rFonts w:hint="eastAsia" w:ascii="楷体_GB2312" w:hAnsi="楷体_GB2312" w:eastAsia="楷体_GB2312" w:cs="楷体_GB2312"/>
          <w:b/>
          <w:color w:val="000000"/>
          <w:sz w:val="32"/>
          <w:szCs w:val="32"/>
        </w:rPr>
        <w:t>（一）“三公”经费财政拨款支出决算总体情况说明</w:t>
      </w:r>
      <w:bookmarkEnd w:id="43"/>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2020年“三公”经费财政拨款支出决算为39.56万元，完成预算100%。</w:t>
      </w:r>
    </w:p>
    <w:p>
      <w:pPr>
        <w:spacing w:line="560" w:lineRule="exact"/>
        <w:ind w:firstLine="640"/>
        <w:outlineLvl w:val="2"/>
        <w:rPr>
          <w:rFonts w:ascii="楷体_GB2312" w:hAnsi="楷体_GB2312" w:eastAsia="楷体_GB2312" w:cs="楷体_GB2312"/>
          <w:b/>
          <w:color w:val="000000"/>
          <w:sz w:val="32"/>
          <w:szCs w:val="32"/>
        </w:rPr>
      </w:pPr>
      <w:bookmarkStart w:id="44" w:name="_Toc15377217"/>
      <w:r>
        <w:rPr>
          <w:rFonts w:hint="eastAsia" w:ascii="楷体_GB2312" w:hAnsi="楷体_GB2312" w:eastAsia="楷体_GB2312" w:cs="楷体_GB2312"/>
          <w:b/>
          <w:color w:val="000000"/>
          <w:sz w:val="32"/>
          <w:szCs w:val="32"/>
        </w:rPr>
        <w:t>（二）“三公”经费财政拨款支出决算具体情况说明</w:t>
      </w:r>
      <w:bookmarkEnd w:id="44"/>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2020年“三公”经费财政拨款支出决算中，因公出国（境）费支出决算0万元，占0%；公务用车购置及运行维护费支出决算37.94万元，占96%；公务接待费支出决算1.62万元，占4 %。</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1.因公出国（境）经费支出0</w:t>
      </w:r>
      <w:r>
        <w:rPr>
          <w:rFonts w:hint="eastAsia" w:ascii="仿宋_GB2312" w:hAnsi="仿宋_GB2312" w:eastAsia="仿宋_GB2312" w:cs="仿宋_GB2312"/>
          <w:color w:val="000000"/>
          <w:sz w:val="32"/>
          <w:szCs w:val="32"/>
        </w:rPr>
        <w:t>万元，</w:t>
      </w:r>
      <w:r>
        <w:rPr>
          <w:rStyle w:val="16"/>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全年安排因公出国（境）团组0次，出国（境）0人。因公出国（境）支出决算比2019年增加/减少0万元，增长/下降0%。</w:t>
      </w:r>
    </w:p>
    <w:p>
      <w:pPr>
        <w:spacing w:line="560" w:lineRule="exact"/>
        <w:ind w:firstLine="64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37.94万元,</w:t>
      </w:r>
      <w:r>
        <w:rPr>
          <w:rStyle w:val="16"/>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公务用车购置及运行维护费支出决算比2019年减少24.33万元，减少64%。主要原因车辆大修情况减少。</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rPr>
        <w:t>0万元。全年按规定更新购置公务用车0辆，金额0元。截至2020年12月底，单位共有公务用车3辆，其中：一般公务用车3辆。</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rPr>
        <w:t>37.94万元。主要用于所需的公务用车燃料费、维修费、过路过桥费、保险费等支出。</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1.62万元，</w:t>
      </w:r>
      <w:r>
        <w:rPr>
          <w:rStyle w:val="16"/>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公务接待费支出决算比2019年减少1.07万元，减少266%。主要原因是接待量减少。</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国内公务接待支出1.62</w:t>
      </w:r>
      <w:r>
        <w:rPr>
          <w:rFonts w:hint="eastAsia" w:ascii="仿宋_GB2312" w:hAnsi="仿宋_GB2312" w:eastAsia="仿宋_GB2312" w:cs="仿宋_GB2312"/>
          <w:color w:val="000000"/>
          <w:sz w:val="32"/>
          <w:szCs w:val="32"/>
        </w:rPr>
        <w:t>万元，主要用于开展业务活动开支的餐费等。国内公务接待13批次，共计约220人次（不包括陪同人员），共计支出1.62万元，具体内容包括：餐费。</w:t>
      </w:r>
      <w:bookmarkStart w:id="45" w:name="_Toc15396610"/>
      <w:bookmarkStart w:id="46" w:name="_Toc15377218"/>
    </w:p>
    <w:p>
      <w:pPr>
        <w:spacing w:line="560" w:lineRule="exact"/>
        <w:ind w:firstLine="640"/>
        <w:outlineLvl w:val="1"/>
        <w:rPr>
          <w:rStyle w:val="28"/>
          <w:rFonts w:ascii="黑体" w:hAnsi="黑体" w:eastAsia="黑体" w:cs="黑体"/>
        </w:rPr>
      </w:pPr>
      <w:r>
        <w:rPr>
          <w:rFonts w:hint="eastAsia" w:ascii="黑体" w:hAnsi="黑体" w:eastAsia="黑体" w:cs="黑体"/>
          <w:color w:val="000000"/>
          <w:sz w:val="32"/>
          <w:szCs w:val="32"/>
        </w:rPr>
        <w:t>八、</w:t>
      </w:r>
      <w:r>
        <w:rPr>
          <w:rStyle w:val="28"/>
          <w:rFonts w:hint="eastAsia" w:ascii="黑体" w:hAnsi="黑体" w:eastAsia="黑体" w:cs="黑体"/>
          <w:b w:val="0"/>
        </w:rPr>
        <w:t>政府性基金预算支出决算情况说明</w:t>
      </w:r>
      <w:bookmarkEnd w:id="45"/>
      <w:bookmarkEnd w:id="46"/>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2020年政府性基金预算拨款支出0万元。</w:t>
      </w:r>
    </w:p>
    <w:p>
      <w:pPr>
        <w:spacing w:line="560" w:lineRule="exact"/>
        <w:ind w:firstLine="640" w:firstLineChars="200"/>
        <w:outlineLvl w:val="1"/>
        <w:rPr>
          <w:rStyle w:val="28"/>
          <w:rFonts w:ascii="黑体" w:hAnsi="黑体" w:eastAsia="黑体" w:cs="黑体"/>
          <w:b w:val="0"/>
        </w:rPr>
      </w:pPr>
      <w:bookmarkStart w:id="47" w:name="_Toc15396611"/>
      <w:bookmarkStart w:id="48" w:name="_Toc15377219"/>
      <w:r>
        <w:rPr>
          <w:rStyle w:val="28"/>
          <w:rFonts w:hint="eastAsia" w:ascii="黑体" w:hAnsi="黑体" w:eastAsia="黑体" w:cs="黑体"/>
          <w:b w:val="0"/>
        </w:rPr>
        <w:t>九、国有资本经营预算支出决算情况说明</w:t>
      </w:r>
      <w:bookmarkEnd w:id="47"/>
      <w:bookmarkEnd w:id="48"/>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2020年国有资本经营预算拨款支出0万元。</w:t>
      </w:r>
    </w:p>
    <w:p>
      <w:pPr>
        <w:spacing w:line="560" w:lineRule="exact"/>
        <w:ind w:firstLine="800" w:firstLineChars="250"/>
        <w:outlineLvl w:val="1"/>
        <w:rPr>
          <w:rStyle w:val="28"/>
          <w:rFonts w:ascii="黑体" w:hAnsi="黑体" w:eastAsia="黑体" w:cs="黑体"/>
        </w:rPr>
      </w:pPr>
      <w:bookmarkStart w:id="49" w:name="_Toc15396612"/>
      <w:bookmarkStart w:id="50" w:name="_Toc15377221"/>
      <w:r>
        <w:rPr>
          <w:rFonts w:hint="eastAsia" w:ascii="黑体" w:hAnsi="黑体" w:eastAsia="黑体" w:cs="黑体"/>
          <w:color w:val="000000"/>
          <w:sz w:val="32"/>
          <w:szCs w:val="32"/>
        </w:rPr>
        <w:t>十</w:t>
      </w:r>
      <w:r>
        <w:rPr>
          <w:rStyle w:val="28"/>
          <w:rFonts w:hint="eastAsia" w:ascii="黑体" w:hAnsi="黑体" w:eastAsia="黑体" w:cs="黑体"/>
        </w:rPr>
        <w:t>、</w:t>
      </w:r>
      <w:r>
        <w:rPr>
          <w:rStyle w:val="28"/>
          <w:rFonts w:hint="eastAsia" w:ascii="黑体" w:hAnsi="黑体" w:eastAsia="黑体" w:cs="黑体"/>
          <w:b w:val="0"/>
        </w:rPr>
        <w:t>其他重要事项的情况说明</w:t>
      </w:r>
      <w:bookmarkEnd w:id="49"/>
      <w:bookmarkEnd w:id="50"/>
    </w:p>
    <w:p>
      <w:pPr>
        <w:spacing w:line="560" w:lineRule="exact"/>
        <w:ind w:firstLine="643" w:firstLineChars="200"/>
        <w:outlineLvl w:val="2"/>
        <w:rPr>
          <w:rFonts w:ascii="楷体_GB2312" w:hAnsi="楷体_GB2312" w:eastAsia="楷体_GB2312" w:cs="楷体_GB2312"/>
          <w:color w:val="000000"/>
          <w:sz w:val="32"/>
          <w:szCs w:val="32"/>
        </w:rPr>
      </w:pPr>
      <w:bookmarkStart w:id="51" w:name="_Toc15377222"/>
      <w:r>
        <w:rPr>
          <w:rFonts w:hint="eastAsia" w:ascii="楷体_GB2312" w:hAnsi="楷体_GB2312" w:eastAsia="楷体_GB2312" w:cs="楷体_GB2312"/>
          <w:b/>
          <w:color w:val="000000"/>
          <w:sz w:val="32"/>
          <w:szCs w:val="32"/>
        </w:rPr>
        <w:t>（一）机关运行经费支出情况</w:t>
      </w:r>
      <w:bookmarkEnd w:id="51"/>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2020年，政协机关运行经费支出734.13万元，比2019年减少35.75万元，减少5%。主要变动原因是2020年公务用车运行费用减少。</w:t>
      </w:r>
    </w:p>
    <w:p>
      <w:pPr>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bookmarkStart w:id="52" w:name="_Toc15377223"/>
      <w:r>
        <w:rPr>
          <w:rFonts w:hint="eastAsia" w:ascii="楷体_GB2312" w:hAnsi="楷体_GB2312" w:eastAsia="楷体_GB2312" w:cs="楷体_GB2312"/>
          <w:b/>
          <w:color w:val="000000"/>
          <w:sz w:val="32"/>
          <w:szCs w:val="32"/>
        </w:rPr>
        <w:t>（二）政府采购支出情况</w:t>
      </w:r>
      <w:bookmarkEnd w:id="52"/>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2020年，政府采购支出总额0万元，其中：政府采购货物支出0万元、政府采购工程支出0万元、政府采购服务支出0万元。</w:t>
      </w:r>
    </w:p>
    <w:p>
      <w:pPr>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bookmarkStart w:id="53" w:name="_Toc15377224"/>
      <w:r>
        <w:rPr>
          <w:rFonts w:hint="eastAsia" w:ascii="楷体_GB2312" w:hAnsi="楷体_GB2312" w:eastAsia="楷体_GB2312" w:cs="楷体_GB2312"/>
          <w:b/>
          <w:color w:val="000000"/>
          <w:sz w:val="32"/>
          <w:szCs w:val="32"/>
        </w:rPr>
        <w:t>（三）国有资产占有使用情况</w:t>
      </w:r>
      <w:bookmarkEnd w:id="53"/>
    </w:p>
    <w:p>
      <w:pPr>
        <w:autoSpaceDE w:val="0"/>
        <w:autoSpaceDN w:val="0"/>
        <w:adjustRightInd w:val="0"/>
        <w:spacing w:line="560" w:lineRule="exact"/>
        <w:ind w:firstLine="640" w:firstLineChars="200"/>
        <w:jc w:val="left"/>
        <w:rPr>
          <w:rFonts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截至2020年12月31日，政协机关共有车辆3辆，其中：一般公务用车3辆。</w:t>
      </w:r>
    </w:p>
    <w:p>
      <w:pPr>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根据预算绩效管理要求，政协松潘县委员会办公室在年初预算编制阶段，组织编制了绩效目标，预算执行过程中，开展绩效监控，年终执行完毕后，开展了绩效目标完成情况梳理填报。</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仿宋_GB2312" w:eastAsia="仿宋_GB2312" w:cs="仿宋_GB2312"/>
          <w:sz w:val="32"/>
          <w:szCs w:val="32"/>
          <w:lang w:val="zh-CN"/>
        </w:rPr>
        <w:t>根据对政协办2020年部门整体支出项目绩效评价指标体系和绩效情况的检查，2020年政协办部门整体绩效自评分95分，为“优”等级。</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政协机关的支出管理还有待进一步细化和量化，强化机关经费预算管理的刚性约束，支出按预算和工作进度执行，进一步规范各项支出；财务人员的业务水平有待提升。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zh-CN"/>
        </w:rPr>
        <w:t>进一步提高部门预算基本支出的财政保障水平；加强财务管理，严格财务审核；加强财务人员业务水平的学习。</w:t>
      </w:r>
    </w:p>
    <w:p>
      <w:pPr>
        <w:spacing w:line="560"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本部门按要求对2020年部门整体支出绩效评价情况开展自评，《政协2020年部门整体支出绩效评价报告》见附件附件1</w:t>
      </w:r>
    </w:p>
    <w:p>
      <w:pPr>
        <w:spacing w:line="560" w:lineRule="exact"/>
        <w:jc w:val="center"/>
        <w:outlineLvl w:val="0"/>
        <w:rPr>
          <w:rStyle w:val="27"/>
          <w:rFonts w:ascii="方正小标宋简体" w:hAnsi="方正小标宋简体" w:eastAsia="方正小标宋简体" w:cs="方正小标宋简体"/>
          <w:b w:val="0"/>
        </w:rPr>
      </w:pPr>
      <w:bookmarkStart w:id="54" w:name="_Toc15396614"/>
      <w:bookmarkStart w:id="55" w:name="_Toc15377226"/>
      <w:r>
        <w:rPr>
          <w:rFonts w:hint="eastAsia" w:ascii="方正小标宋简体" w:hAnsi="方正小标宋简体" w:eastAsia="方正小标宋简体" w:cs="方正小标宋简体"/>
          <w:color w:val="000000"/>
          <w:sz w:val="44"/>
          <w:szCs w:val="44"/>
        </w:rPr>
        <w:t>第</w:t>
      </w:r>
      <w:r>
        <w:rPr>
          <w:rStyle w:val="27"/>
          <w:rFonts w:hint="eastAsia" w:ascii="方正小标宋简体" w:hAnsi="方正小标宋简体" w:eastAsia="方正小标宋简体" w:cs="方正小标宋简体"/>
          <w:b w:val="0"/>
        </w:rPr>
        <w:t>三部分 附件</w:t>
      </w:r>
      <w:bookmarkEnd w:id="54"/>
    </w:p>
    <w:p>
      <w:pPr>
        <w:spacing w:line="560" w:lineRule="exact"/>
        <w:jc w:val="center"/>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2020年松潘县政协部门整体支出绩效报告</w:t>
      </w:r>
    </w:p>
    <w:p>
      <w:pPr>
        <w:spacing w:line="560" w:lineRule="exact"/>
        <w:jc w:val="center"/>
        <w:rPr>
          <w:rFonts w:ascii="仿宋" w:hAnsi="仿宋" w:eastAsia="仿宋" w:cs="楷体_GB2312"/>
          <w:sz w:val="32"/>
          <w:szCs w:val="32"/>
        </w:rPr>
      </w:pPr>
    </w:p>
    <w:p>
      <w:pPr>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（一）机构组成</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rPr>
        <w:t>县政协机关设办公室一个，设四个科级专门委员会即：经济科技委员会，提案文史学习委员会，教育卫生体育委员会，民族宗教委员会。松潘县政协设5个内设机构：</w:t>
      </w:r>
    </w:p>
    <w:p>
      <w:pPr>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（二）机构职能</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1、负责政协委员会全体会议、常务委员会会议、党组会议、主席会议及有关政协工作会议的会务工作和文字材料工作。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2、负责向上级政协及县委、县政府报送的建议和建议案、信息等有关材料的起草工作。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3、负责政协委员会全体会议、常务委员会会议决议、决定的具体组织实施工作。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4、负责县政协委员的联系工作，收集整理各界人士的意见、建议，及时向上级政协及县委、县政府反映，编辑、报送《社情民意》。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5、负责承办县政协常务委员会、主席会议决定安排的委员视察、调研活动的组织和服务工作。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6、负责县政协的宣传和机关职工的学习及精神文明创建工作。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7、负责与县委、人大、政府有关部门及乡镇、政协各参加单位的联系、协调等工作；协调各专门委员会活动的组织工作。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8、负责县政协的对外联谊接待工作。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9、负责权限范围内的人事和机构编制管理工作。协同有关部门参与县政协委员的协商推荐、届中调整等具体工作。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10、负责县政协机关保密、文档和人民群众来信来访工作；负责县政协机关后勤、财务和离退休人员服务工作。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11、承办县政协领导交办的其他工作。</w:t>
      </w:r>
    </w:p>
    <w:p>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（三）人员概况</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政协松潘县委员会行政编制14人，工勤人员3人；政协松潘县委员会现有人数行政25人，工勤4人；转非7人，退休29人。</w:t>
      </w:r>
    </w:p>
    <w:p>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二、部门财政资金收支情况</w:t>
      </w:r>
    </w:p>
    <w:p>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（一）部门财政资金收入情况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2019年松潘县政协本年度财政拨款收入769.88万元。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2019年度松潘县政协财政拨款本年支出769.88万元，政协2019年财政拨款收支总决算与2018年相比，财政拨款收入增加了87.05万元，上升率14.22％，；同比支出增加2.89％，支出增加18.95万元。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2019年松潘县政协本年度财政拨款收入415.80万元</w:t>
      </w:r>
    </w:p>
    <w:p>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（二）部门财政资金支出情况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政协松潘县2018年度一般公共预算财政拨款支出700.15万元，与2017年相比，支出增加2.89％，2018年一般公共预算财政拨款收入为699.15万元，同比2017年，上升14.22%。</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政协松潘县2018年一般公共预算财政拨款支出700.15万元，主要用于以下方面：一般公共服务支出587.24元,占83.87%;社会保障和就业支出53.65万元,占7.66%;医疗卫生支出18.50万元,占2.64%:住房保障支出39.76万元,占5.68%,会议费支出31.52万元,占总支出4.5%,委员视察费20.42万元,占总支出2.92%。</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政协松潘县2019年度一般公共预算财政拨款支出415.80万元，主要用于以下方面：一般公共服务支出388.13元,占93.34%；人员经费323.70万元，占总支出77.84%；办公经费支出64.42万元，占总支出15.49%；会议费支出24.24万元,占总支出5.8%,委员视察费3.44万元,占总支出0.82%。</w:t>
      </w:r>
    </w:p>
    <w:p>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（三）综合管理情况</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政协松潘县委员会认真贯彻落实《党政机关厉行节约反对浪费条例》中关于从严从紧控制公务开支要求，从严控制经费开支，三公经费等大幅下降、在资金使用上一直按照国家财经法规和本单位财务管理制度资金，资金拨付有完整的审批程序和手续，按照财经制度有关要求，有计划地安排、使用资金，严格财务审批制度。重大开支党组会集体研究，保证资金使用合法合规，同时资金使用无截留，挤占，挪用，虚列支出等情况，在严格执行各项有关法律法规，财务规章制度的同时，我们单位还制定《进一步加强车辆管理的通知》、《关于规范请假，休假制度严格考勤制度的通知》、《松潘县政协公务卡管理制度》、《财务报账制度》等制度。</w:t>
      </w:r>
    </w:p>
    <w:p>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四、整体绩效</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2018年及2019年1月至6月根据年初工作计划和工作重点，我政协办紧紧围绕年度目标任务，勇于创新、扎实工作，全面完成了各项工作任务，取得了良好的工作业绩。</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政协机关认真落实中央、省委关于加强政协工作的一系列指示精神，切实加强党对政协工作的领导，积极发挥政协的职能作用，充分调动各方面积极性，形成了“党委重视、政府支持、政协主动、社会关注”的政协工作良好局面，同时积极主动做好县委政府安排的各项工作，深入一线，主动作为，创新工作思路，创造性地开展工作，亮点纷呈，成效显著。</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政协机关一年来坚持理论学习与创新工作相结合，坚持围绕中心服务大局与工作主线相结合，坚持政协工作与群众路线相结合，主动作为，敢于担当，充分发挥了政协带头参与、勇挑重担、建言献策、大胆创新的职能作用，较好地完成了各项工作任务。</w:t>
      </w:r>
    </w:p>
    <w:p>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五、评价结论及建议</w:t>
      </w:r>
    </w:p>
    <w:p>
      <w:pPr>
        <w:spacing w:line="560" w:lineRule="exact"/>
        <w:ind w:firstLine="643" w:firstLineChars="200"/>
        <w:rPr>
          <w:rFonts w:ascii="仿宋" w:hAnsi="仿宋" w:eastAsia="仿宋" w:cs="仿宋_GB2312"/>
          <w:sz w:val="32"/>
          <w:szCs w:val="32"/>
          <w:lang w:val="zh-CN"/>
        </w:rPr>
      </w:pPr>
      <w:r>
        <w:rPr>
          <w:rFonts w:hint="eastAsia" w:ascii="楷体_GB2312" w:hAnsi="楷体_GB2312" w:eastAsia="楷体_GB2312" w:cs="楷体_GB2312"/>
          <w:b/>
          <w:bCs/>
          <w:sz w:val="32"/>
          <w:szCs w:val="32"/>
          <w:lang w:val="zh-CN"/>
        </w:rPr>
        <w:t>（一）评价结论。</w:t>
      </w:r>
      <w:r>
        <w:rPr>
          <w:rFonts w:hint="eastAsia" w:ascii="仿宋" w:hAnsi="仿宋" w:eastAsia="仿宋" w:cs="仿宋_GB2312"/>
          <w:sz w:val="32"/>
          <w:szCs w:val="32"/>
          <w:lang w:val="zh-CN"/>
        </w:rPr>
        <w:t>根据对政协办2018年及2019年（1月至6月）部门整体支出项目绩效评价指标体系和绩效情况的检查，2018年及2019年（1月至6月）我政协办部门整体绩效自评分99分，为“优”等级。</w:t>
      </w:r>
    </w:p>
    <w:p>
      <w:pPr>
        <w:spacing w:line="560" w:lineRule="exact"/>
        <w:ind w:firstLine="643" w:firstLineChars="200"/>
        <w:rPr>
          <w:rFonts w:ascii="仿宋" w:hAnsi="仿宋" w:eastAsia="仿宋" w:cs="仿宋_GB2312"/>
          <w:sz w:val="32"/>
          <w:szCs w:val="32"/>
          <w:lang w:val="zh-CN"/>
        </w:rPr>
      </w:pPr>
      <w:r>
        <w:rPr>
          <w:rFonts w:hint="eastAsia" w:ascii="楷体_GB2312" w:hAnsi="楷体_GB2312" w:eastAsia="楷体_GB2312" w:cs="楷体_GB2312"/>
          <w:b/>
          <w:bCs/>
          <w:sz w:val="32"/>
          <w:szCs w:val="32"/>
          <w:lang w:val="zh-CN"/>
        </w:rPr>
        <w:t>（二）存在问题。</w:t>
      </w:r>
      <w:r>
        <w:rPr>
          <w:rFonts w:hint="eastAsia" w:ascii="仿宋" w:hAnsi="仿宋" w:eastAsia="仿宋" w:cs="仿宋_GB2312"/>
          <w:sz w:val="32"/>
          <w:szCs w:val="32"/>
          <w:lang w:val="zh-CN"/>
        </w:rPr>
        <w:t>政协机关的支出管理还有待进一步细化和量化，强化机关经费预算管理的刚性约束，支出按预算和工作进度执行，进一步规范各项支出；财务人员的业务水平有待提升。</w:t>
      </w:r>
    </w:p>
    <w:p>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（三）改进建议。</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1、进一步提高部门预算基本支出的财政保障水平。</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2、加强财务管理，严格财务审核。</w:t>
      </w:r>
    </w:p>
    <w:p>
      <w:pPr>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3、加强财务人员业务水平的学习。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widowControl/>
        <w:spacing w:line="560" w:lineRule="exact"/>
        <w:jc w:val="left"/>
        <w:rPr>
          <w:rStyle w:val="27"/>
          <w:rFonts w:ascii="仿宋_GB2312" w:hAnsi="仿宋_GB2312" w:eastAsia="仿宋_GB2312" w:cs="仿宋_GB2312"/>
          <w:b w:val="0"/>
          <w:sz w:val="32"/>
          <w:szCs w:val="32"/>
        </w:rPr>
      </w:pPr>
    </w:p>
    <w:p>
      <w:pPr>
        <w:widowControl/>
        <w:spacing w:line="560" w:lineRule="exact"/>
        <w:jc w:val="left"/>
        <w:rPr>
          <w:rStyle w:val="27"/>
          <w:rFonts w:ascii="仿宋_GB2312" w:hAnsi="仿宋_GB2312" w:eastAsia="仿宋_GB2312" w:cs="仿宋_GB2312"/>
          <w:b w:val="0"/>
          <w:sz w:val="32"/>
          <w:szCs w:val="32"/>
        </w:rPr>
      </w:pPr>
      <w:r>
        <w:rPr>
          <w:rStyle w:val="27"/>
          <w:rFonts w:hint="eastAsia" w:ascii="仿宋_GB2312" w:hAnsi="仿宋_GB2312" w:eastAsia="仿宋_GB2312" w:cs="仿宋_GB2312"/>
          <w:b w:val="0"/>
          <w:sz w:val="32"/>
          <w:szCs w:val="32"/>
        </w:rPr>
        <w:br w:type="page"/>
      </w:r>
    </w:p>
    <w:p>
      <w:pPr>
        <w:spacing w:line="560" w:lineRule="exact"/>
        <w:jc w:val="center"/>
        <w:outlineLvl w:val="0"/>
        <w:rPr>
          <w:rStyle w:val="27"/>
          <w:rFonts w:ascii="仿宋_GB2312" w:hAnsi="仿宋_GB2312" w:eastAsia="仿宋_GB2312" w:cs="仿宋_GB2312"/>
          <w:b w:val="0"/>
          <w:sz w:val="32"/>
          <w:szCs w:val="32"/>
        </w:rPr>
      </w:pPr>
    </w:p>
    <w:p>
      <w:pPr>
        <w:spacing w:line="560" w:lineRule="exact"/>
        <w:jc w:val="center"/>
        <w:outlineLvl w:val="0"/>
        <w:rPr>
          <w:rStyle w:val="27"/>
          <w:rFonts w:ascii="方正小标宋简体" w:hAnsi="方正小标宋简体" w:eastAsia="方正小标宋简体" w:cs="方正小标宋简体"/>
          <w:b w:val="0"/>
        </w:rPr>
      </w:pPr>
      <w:bookmarkStart w:id="56" w:name="_Toc15396618"/>
      <w:r>
        <w:rPr>
          <w:rFonts w:hint="eastAsia" w:ascii="方正小标宋简体" w:hAnsi="方正小标宋简体" w:eastAsia="方正小标宋简体" w:cs="方正小标宋简体"/>
          <w:color w:val="000000"/>
          <w:sz w:val="44"/>
          <w:szCs w:val="44"/>
        </w:rPr>
        <w:t>第</w:t>
      </w:r>
      <w:r>
        <w:rPr>
          <w:rStyle w:val="27"/>
          <w:rFonts w:hint="eastAsia" w:ascii="方正小标宋简体" w:hAnsi="方正小标宋简体" w:eastAsia="方正小标宋简体" w:cs="方正小标宋简体"/>
          <w:b w:val="0"/>
        </w:rPr>
        <w:t>五部分 附表</w:t>
      </w:r>
      <w:bookmarkEnd w:id="55"/>
      <w:bookmarkEnd w:id="56"/>
    </w:p>
    <w:p>
      <w:pPr>
        <w:spacing w:line="560" w:lineRule="exact"/>
        <w:jc w:val="center"/>
        <w:outlineLvl w:val="0"/>
        <w:rPr>
          <w:rFonts w:ascii="仿宋_GB2312" w:hAnsi="仿宋_GB2312" w:eastAsia="仿宋_GB2312" w:cs="仿宋_GB2312"/>
          <w:b/>
          <w:color w:val="000000"/>
          <w:sz w:val="32"/>
          <w:szCs w:val="32"/>
        </w:rPr>
      </w:pPr>
    </w:p>
    <w:p>
      <w:pPr>
        <w:pStyle w:val="5"/>
        <w:spacing w:line="560" w:lineRule="exact"/>
        <w:rPr>
          <w:rFonts w:ascii="仿宋_GB2312" w:hAnsi="仿宋_GB2312" w:eastAsia="仿宋_GB2312" w:cs="仿宋_GB2312"/>
          <w:color w:val="000000"/>
        </w:rPr>
      </w:pPr>
      <w:bookmarkStart w:id="57" w:name="_Toc15396619"/>
      <w:r>
        <w:rPr>
          <w:rFonts w:hint="eastAsia" w:ascii="仿宋_GB2312" w:hAnsi="仿宋_GB2312" w:eastAsia="仿宋_GB2312" w:cs="仿宋_GB2312"/>
          <w:b w:val="0"/>
          <w:color w:val="000000"/>
        </w:rPr>
        <w:t>一、收</w:t>
      </w:r>
      <w:r>
        <w:rPr>
          <w:rStyle w:val="28"/>
          <w:rFonts w:hint="eastAsia" w:ascii="仿宋_GB2312" w:hAnsi="仿宋_GB2312" w:eastAsia="仿宋_GB2312" w:cs="仿宋_GB2312"/>
          <w:b w:val="0"/>
          <w:bCs w:val="0"/>
        </w:rPr>
        <w:t>入支出决算总表</w:t>
      </w:r>
      <w:bookmarkEnd w:id="57"/>
    </w:p>
    <w:p>
      <w:pPr>
        <w:pStyle w:val="5"/>
        <w:spacing w:line="560" w:lineRule="exact"/>
        <w:rPr>
          <w:rFonts w:ascii="仿宋_GB2312" w:hAnsi="仿宋_GB2312" w:eastAsia="仿宋_GB2312" w:cs="仿宋_GB2312"/>
          <w:color w:val="000000"/>
        </w:rPr>
      </w:pPr>
      <w:bookmarkStart w:id="58" w:name="_Toc15396620"/>
      <w:r>
        <w:rPr>
          <w:rFonts w:hint="eastAsia" w:ascii="仿宋_GB2312" w:hAnsi="仿宋_GB2312" w:eastAsia="仿宋_GB2312" w:cs="仿宋_GB2312"/>
          <w:b w:val="0"/>
          <w:color w:val="000000"/>
        </w:rPr>
        <w:t>二、收</w:t>
      </w:r>
      <w:r>
        <w:rPr>
          <w:rStyle w:val="28"/>
          <w:rFonts w:hint="eastAsia" w:ascii="仿宋_GB2312" w:hAnsi="仿宋_GB2312" w:eastAsia="仿宋_GB2312" w:cs="仿宋_GB2312"/>
          <w:b w:val="0"/>
          <w:bCs w:val="0"/>
        </w:rPr>
        <w:t>入决算表</w:t>
      </w:r>
      <w:bookmarkEnd w:id="58"/>
    </w:p>
    <w:p>
      <w:pPr>
        <w:pStyle w:val="5"/>
        <w:spacing w:line="560" w:lineRule="exact"/>
        <w:rPr>
          <w:rFonts w:ascii="仿宋_GB2312" w:hAnsi="仿宋_GB2312" w:eastAsia="仿宋_GB2312" w:cs="仿宋_GB2312"/>
          <w:color w:val="000000"/>
        </w:rPr>
      </w:pPr>
      <w:bookmarkStart w:id="59" w:name="_Toc15396621"/>
      <w:r>
        <w:rPr>
          <w:rStyle w:val="28"/>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8"/>
          <w:rFonts w:hint="eastAsia" w:ascii="仿宋_GB2312" w:hAnsi="仿宋_GB2312" w:eastAsia="仿宋_GB2312" w:cs="仿宋_GB2312"/>
          <w:b w:val="0"/>
          <w:bCs w:val="0"/>
        </w:rPr>
        <w:t>出决算表</w:t>
      </w:r>
      <w:bookmarkEnd w:id="59"/>
    </w:p>
    <w:p>
      <w:pPr>
        <w:pStyle w:val="5"/>
        <w:spacing w:line="560" w:lineRule="exact"/>
        <w:rPr>
          <w:rFonts w:ascii="仿宋_GB2312" w:hAnsi="仿宋_GB2312" w:eastAsia="仿宋_GB2312" w:cs="仿宋_GB2312"/>
          <w:b w:val="0"/>
          <w:color w:val="000000"/>
        </w:rPr>
      </w:pPr>
      <w:bookmarkStart w:id="60" w:name="_Toc15396622"/>
      <w:r>
        <w:rPr>
          <w:rStyle w:val="28"/>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8"/>
          <w:rFonts w:hint="eastAsia" w:ascii="仿宋_GB2312" w:hAnsi="仿宋_GB2312" w:eastAsia="仿宋_GB2312" w:cs="仿宋_GB2312"/>
          <w:b w:val="0"/>
          <w:bCs w:val="0"/>
        </w:rPr>
        <w:t>政拨款收入支出决算总表</w:t>
      </w:r>
      <w:bookmarkEnd w:id="60"/>
    </w:p>
    <w:p>
      <w:pPr>
        <w:pStyle w:val="5"/>
        <w:spacing w:line="560" w:lineRule="exact"/>
        <w:rPr>
          <w:rStyle w:val="28"/>
          <w:rFonts w:ascii="仿宋_GB2312" w:hAnsi="仿宋_GB2312" w:eastAsia="仿宋_GB2312" w:cs="仿宋_GB2312"/>
          <w:b w:val="0"/>
          <w:bCs w:val="0"/>
        </w:rPr>
      </w:pPr>
      <w:bookmarkStart w:id="61" w:name="_Toc15396623"/>
      <w:r>
        <w:rPr>
          <w:rStyle w:val="28"/>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8"/>
          <w:rFonts w:hint="eastAsia" w:ascii="仿宋_GB2312" w:hAnsi="仿宋_GB2312" w:eastAsia="仿宋_GB2312" w:cs="仿宋_GB2312"/>
          <w:b w:val="0"/>
          <w:bCs w:val="0"/>
        </w:rPr>
        <w:t>政拨款支出决算明细表</w:t>
      </w:r>
      <w:bookmarkEnd w:id="61"/>
      <w:bookmarkStart w:id="62" w:name="_Toc15396624"/>
    </w:p>
    <w:p>
      <w:pPr>
        <w:pStyle w:val="5"/>
        <w:spacing w:line="560" w:lineRule="exact"/>
        <w:rPr>
          <w:rFonts w:ascii="仿宋_GB2312" w:hAnsi="仿宋_GB2312" w:eastAsia="仿宋_GB2312" w:cs="仿宋_GB2312"/>
          <w:color w:val="000000"/>
        </w:rPr>
      </w:pPr>
      <w:r>
        <w:rPr>
          <w:rStyle w:val="28"/>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般公共预算财政拨款支出决算表</w:t>
      </w:r>
      <w:bookmarkEnd w:id="62"/>
    </w:p>
    <w:p>
      <w:pPr>
        <w:pStyle w:val="5"/>
        <w:spacing w:line="560" w:lineRule="exact"/>
        <w:rPr>
          <w:rFonts w:ascii="仿宋_GB2312" w:hAnsi="仿宋_GB2312" w:eastAsia="仿宋_GB2312" w:cs="仿宋_GB2312"/>
          <w:color w:val="000000"/>
        </w:rPr>
      </w:pPr>
      <w:bookmarkStart w:id="63" w:name="_Toc15396625"/>
      <w:r>
        <w:rPr>
          <w:rStyle w:val="28"/>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般公共预算财政拨款支出决算明细表</w:t>
      </w:r>
      <w:bookmarkEnd w:id="63"/>
    </w:p>
    <w:p>
      <w:pPr>
        <w:pStyle w:val="5"/>
        <w:spacing w:line="560" w:lineRule="exact"/>
        <w:rPr>
          <w:rFonts w:ascii="仿宋_GB2312" w:hAnsi="仿宋_GB2312" w:eastAsia="仿宋_GB2312" w:cs="仿宋_GB2312"/>
          <w:color w:val="000000"/>
        </w:rPr>
      </w:pPr>
      <w:bookmarkStart w:id="64" w:name="_Toc15396626"/>
      <w:r>
        <w:rPr>
          <w:rStyle w:val="28"/>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般公共预算财政拨款基本支出决算表</w:t>
      </w:r>
      <w:bookmarkEnd w:id="64"/>
    </w:p>
    <w:p>
      <w:pPr>
        <w:pStyle w:val="5"/>
        <w:spacing w:line="560" w:lineRule="exact"/>
        <w:rPr>
          <w:rFonts w:ascii="仿宋_GB2312" w:hAnsi="仿宋_GB2312" w:eastAsia="仿宋_GB2312" w:cs="仿宋_GB2312"/>
          <w:color w:val="000000"/>
        </w:rPr>
      </w:pPr>
      <w:bookmarkStart w:id="65" w:name="_Toc15396627"/>
      <w:r>
        <w:rPr>
          <w:rStyle w:val="28"/>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般公共预算财政拨款项目支出决算表</w:t>
      </w:r>
      <w:bookmarkEnd w:id="65"/>
    </w:p>
    <w:p>
      <w:pPr>
        <w:pStyle w:val="5"/>
        <w:spacing w:line="560" w:lineRule="exact"/>
        <w:rPr>
          <w:rFonts w:ascii="仿宋_GB2312" w:hAnsi="仿宋_GB2312" w:eastAsia="仿宋_GB2312" w:cs="仿宋_GB2312"/>
          <w:color w:val="000000"/>
        </w:rPr>
      </w:pPr>
      <w:bookmarkStart w:id="66" w:name="_Toc15396628"/>
      <w:r>
        <w:rPr>
          <w:rStyle w:val="28"/>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般公共预算财政拨款“三公”经费支出决算表</w:t>
      </w:r>
      <w:bookmarkEnd w:id="66"/>
    </w:p>
    <w:p>
      <w:pPr>
        <w:pStyle w:val="5"/>
        <w:spacing w:line="560" w:lineRule="exact"/>
        <w:rPr>
          <w:rFonts w:ascii="仿宋_GB2312" w:hAnsi="仿宋_GB2312" w:eastAsia="仿宋_GB2312" w:cs="仿宋_GB2312"/>
          <w:color w:val="000000"/>
        </w:rPr>
      </w:pPr>
      <w:bookmarkStart w:id="67" w:name="_Toc15396629"/>
      <w:r>
        <w:rPr>
          <w:rStyle w:val="28"/>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8"/>
          <w:rFonts w:hint="eastAsia" w:ascii="仿宋_GB2312" w:hAnsi="仿宋_GB2312" w:eastAsia="仿宋_GB2312" w:cs="仿宋_GB2312"/>
          <w:b w:val="0"/>
          <w:bCs w:val="0"/>
        </w:rPr>
        <w:t>府性基金预算财政拨款收入支出决算表</w:t>
      </w:r>
      <w:bookmarkEnd w:id="67"/>
    </w:p>
    <w:p>
      <w:pPr>
        <w:pStyle w:val="5"/>
        <w:spacing w:line="560" w:lineRule="exact"/>
        <w:rPr>
          <w:rFonts w:ascii="仿宋_GB2312" w:hAnsi="仿宋_GB2312" w:eastAsia="仿宋_GB2312" w:cs="仿宋_GB2312"/>
          <w:color w:val="000000"/>
        </w:rPr>
      </w:pPr>
      <w:bookmarkStart w:id="68" w:name="_Toc15396630"/>
      <w:r>
        <w:rPr>
          <w:rStyle w:val="28"/>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8"/>
          <w:rFonts w:hint="eastAsia" w:ascii="仿宋_GB2312" w:hAnsi="仿宋_GB2312" w:eastAsia="仿宋_GB2312" w:cs="仿宋_GB2312"/>
          <w:b w:val="0"/>
          <w:bCs w:val="0"/>
        </w:rPr>
        <w:t>府性基金预算财政拨款“三公”经费支出决算表</w:t>
      </w:r>
      <w:bookmarkEnd w:id="68"/>
    </w:p>
    <w:p>
      <w:pPr>
        <w:pStyle w:val="5"/>
        <w:spacing w:line="560" w:lineRule="exact"/>
      </w:pPr>
      <w:bookmarkStart w:id="69" w:name="_Toc15396631"/>
      <w:r>
        <w:rPr>
          <w:rStyle w:val="28"/>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8"/>
          <w:rFonts w:hint="eastAsia" w:ascii="仿宋_GB2312" w:hAnsi="仿宋_GB2312" w:eastAsia="仿宋_GB2312" w:cs="仿宋_GB2312"/>
          <w:b w:val="0"/>
          <w:bCs w:val="0"/>
        </w:rPr>
        <w:t>有资本经营预算支出决算</w:t>
      </w:r>
      <w:bookmarkEnd w:id="69"/>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2"/>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25565"/>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0A94"/>
    <w:rsid w:val="00142216"/>
    <w:rsid w:val="00144D6A"/>
    <w:rsid w:val="0014729F"/>
    <w:rsid w:val="00157BAB"/>
    <w:rsid w:val="001654D1"/>
    <w:rsid w:val="00174518"/>
    <w:rsid w:val="0018106D"/>
    <w:rsid w:val="001877A7"/>
    <w:rsid w:val="00191536"/>
    <w:rsid w:val="00196687"/>
    <w:rsid w:val="001C0962"/>
    <w:rsid w:val="001D7531"/>
    <w:rsid w:val="001E3719"/>
    <w:rsid w:val="001E737D"/>
    <w:rsid w:val="001F0592"/>
    <w:rsid w:val="001F7506"/>
    <w:rsid w:val="002006CD"/>
    <w:rsid w:val="00201FDE"/>
    <w:rsid w:val="00202B36"/>
    <w:rsid w:val="00204B7A"/>
    <w:rsid w:val="00204CDE"/>
    <w:rsid w:val="0021101A"/>
    <w:rsid w:val="00212A61"/>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54707"/>
    <w:rsid w:val="005664BB"/>
    <w:rsid w:val="00566FFA"/>
    <w:rsid w:val="0057481D"/>
    <w:rsid w:val="00575F0B"/>
    <w:rsid w:val="0058486E"/>
    <w:rsid w:val="00585B33"/>
    <w:rsid w:val="0059014D"/>
    <w:rsid w:val="005B5C64"/>
    <w:rsid w:val="005C6BD0"/>
    <w:rsid w:val="005C6C4C"/>
    <w:rsid w:val="005D1C8B"/>
    <w:rsid w:val="005D468D"/>
    <w:rsid w:val="005D5CED"/>
    <w:rsid w:val="005D6EC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27FA"/>
    <w:rsid w:val="00871F71"/>
    <w:rsid w:val="00872FD8"/>
    <w:rsid w:val="00885AF4"/>
    <w:rsid w:val="008939CD"/>
    <w:rsid w:val="008B6C13"/>
    <w:rsid w:val="008B768C"/>
    <w:rsid w:val="008C4DB1"/>
    <w:rsid w:val="008C4EAF"/>
    <w:rsid w:val="008C5176"/>
    <w:rsid w:val="008C7FD0"/>
    <w:rsid w:val="008D2E2A"/>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AF60C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7CE"/>
    <w:rsid w:val="00C03E31"/>
    <w:rsid w:val="00C30E69"/>
    <w:rsid w:val="00C33E72"/>
    <w:rsid w:val="00C354B2"/>
    <w:rsid w:val="00C35554"/>
    <w:rsid w:val="00C42709"/>
    <w:rsid w:val="00C470B3"/>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44FD2"/>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C1117"/>
    <w:rsid w:val="00EC478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236103"/>
    <w:rsid w:val="05A479FA"/>
    <w:rsid w:val="07B5564D"/>
    <w:rsid w:val="091B6299"/>
    <w:rsid w:val="0AB94377"/>
    <w:rsid w:val="0BC46FBD"/>
    <w:rsid w:val="10C055FF"/>
    <w:rsid w:val="15D542D7"/>
    <w:rsid w:val="16BB723D"/>
    <w:rsid w:val="1A1D232B"/>
    <w:rsid w:val="1EC700A3"/>
    <w:rsid w:val="21933CE0"/>
    <w:rsid w:val="240371BF"/>
    <w:rsid w:val="24820D50"/>
    <w:rsid w:val="250C4971"/>
    <w:rsid w:val="2587239F"/>
    <w:rsid w:val="26003A54"/>
    <w:rsid w:val="28CB5E71"/>
    <w:rsid w:val="29FD04D3"/>
    <w:rsid w:val="2DBC32DC"/>
    <w:rsid w:val="319F7F4E"/>
    <w:rsid w:val="340124F7"/>
    <w:rsid w:val="356A7BED"/>
    <w:rsid w:val="37460BE1"/>
    <w:rsid w:val="39037D09"/>
    <w:rsid w:val="3B1011DE"/>
    <w:rsid w:val="4C600B83"/>
    <w:rsid w:val="4C6F6AA4"/>
    <w:rsid w:val="4C8A76FB"/>
    <w:rsid w:val="4D151A03"/>
    <w:rsid w:val="4EB86C58"/>
    <w:rsid w:val="4ECE2238"/>
    <w:rsid w:val="4F7C6918"/>
    <w:rsid w:val="4FD045E8"/>
    <w:rsid w:val="5112056C"/>
    <w:rsid w:val="51DD2DB3"/>
    <w:rsid w:val="51E03904"/>
    <w:rsid w:val="56BC774A"/>
    <w:rsid w:val="573460C2"/>
    <w:rsid w:val="5B1015A6"/>
    <w:rsid w:val="605C4611"/>
    <w:rsid w:val="61AE62BA"/>
    <w:rsid w:val="61F033C9"/>
    <w:rsid w:val="63225CDA"/>
    <w:rsid w:val="65BE65B7"/>
    <w:rsid w:val="6FFF0691"/>
    <w:rsid w:val="71DD15BA"/>
    <w:rsid w:val="726E594C"/>
    <w:rsid w:val="72734D90"/>
    <w:rsid w:val="7C0A5912"/>
    <w:rsid w:val="7F144D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rPr>
  </w:style>
  <w:style w:type="paragraph" w:styleId="3">
    <w:name w:val="Body Text Indent"/>
    <w:basedOn w:val="1"/>
    <w:unhideWhenUsed/>
    <w:qFormat/>
    <w:uiPriority w:val="99"/>
    <w:pPr>
      <w:spacing w:after="120"/>
      <w:ind w:left="420" w:leftChars="200"/>
    </w:p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jc w:val="left"/>
    </w:pPr>
    <w:rPr>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Char"/>
    <w:basedOn w:val="15"/>
    <w:link w:val="4"/>
    <w:qFormat/>
    <w:uiPriority w:val="9"/>
    <w:rPr>
      <w:rFonts w:ascii="Times New Roman" w:hAnsi="Times New Roman"/>
      <w:b/>
      <w:bCs/>
      <w:kern w:val="44"/>
      <w:sz w:val="44"/>
      <w:szCs w:val="44"/>
    </w:rPr>
  </w:style>
  <w:style w:type="character" w:customStyle="1" w:styleId="28">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9"/>
    <w:semiHidden/>
    <w:qFormat/>
    <w:uiPriority w:val="99"/>
    <w:rPr>
      <w:rFonts w:ascii="Times New Roman" w:hAnsi="Times New Roman"/>
      <w:kern w:val="2"/>
      <w:sz w:val="18"/>
      <w:szCs w:val="18"/>
    </w:rPr>
  </w:style>
  <w:style w:type="character" w:customStyle="1" w:styleId="31">
    <w:name w:val="标题 3 Char"/>
    <w:basedOn w:val="15"/>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64E2F-D78A-4558-B91B-F45AB01F895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1342</Words>
  <Characters>7655</Characters>
  <Lines>63</Lines>
  <Paragraphs>17</Paragraphs>
  <ScaleCrop>false</ScaleCrop>
  <LinksUpToDate>false</LinksUpToDate>
  <CharactersWithSpaces>8980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2021-09-21T09:46:00Z</dcterms:created>
  <dc:creator>曹颖</dc:creator>
  <cp:lastModifiedBy>123</cp:lastModifiedBy>
  <cp:lastPrinted>2020-09-24T06:37:00Z</cp:lastPrinted>
  <dcterms:modified xsi:type="dcterms:W3CDTF">2021-09-23T09:39:04Z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