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141" w:name="_GoBack"/>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425"/>
      <w:bookmarkStart w:id="2" w:name="_Toc15378441"/>
      <w:bookmarkStart w:id="3" w:name="_Toc15377193"/>
      <w:bookmarkStart w:id="4" w:name="_Toc15396475"/>
      <w:bookmarkStart w:id="5" w:name="_Toc15396597"/>
      <w:r>
        <w:rPr>
          <w:rFonts w:ascii="黑体" w:hAnsi="黑体" w:eastAsia="黑体"/>
          <w:sz w:val="72"/>
          <w:szCs w:val="72"/>
        </w:rPr>
        <w:t>202</w:t>
      </w:r>
      <w:r>
        <w:rPr>
          <w:rFonts w:hint="eastAsia" w:ascii="黑体" w:hAnsi="黑体" w:eastAsia="黑体"/>
          <w:sz w:val="72"/>
          <w:szCs w:val="72"/>
          <w:lang w:val="en-US" w:eastAsia="zh-CN"/>
        </w:rPr>
        <w:t>2</w:t>
      </w:r>
      <w:r>
        <w:rPr>
          <w:rFonts w:hint="eastAsia" w:ascii="黑体" w:hAnsi="黑体" w:eastAsia="黑体"/>
          <w:sz w:val="72"/>
          <w:szCs w:val="72"/>
        </w:rPr>
        <w:t>年度</w:t>
      </w:r>
      <w:bookmarkEnd w:id="1"/>
      <w:bookmarkEnd w:id="2"/>
      <w:bookmarkEnd w:id="3"/>
      <w:bookmarkEnd w:id="4"/>
      <w:bookmarkEnd w:id="5"/>
    </w:p>
    <w:bookmarkEnd w:id="0"/>
    <w:p>
      <w:pPr>
        <w:pStyle w:val="20"/>
        <w:keepNext w:val="0"/>
        <w:keepLines w:val="0"/>
        <w:widowControl/>
        <w:suppressLineNumbers w:val="0"/>
        <w:spacing w:before="0" w:beforeAutospacing="0"/>
        <w:ind w:left="0"/>
        <w:jc w:val="center"/>
        <w:rPr>
          <w:rFonts w:hint="eastAsia" w:ascii="宋体" w:hAnsi="宋体" w:eastAsia="宋体" w:cs="宋体"/>
          <w:sz w:val="40"/>
          <w:szCs w:val="40"/>
        </w:rPr>
      </w:pPr>
      <w:r>
        <w:rPr>
          <w:rFonts w:hint="eastAsia" w:ascii="宋体" w:hAnsi="宋体" w:eastAsia="宋体" w:cs="宋体"/>
          <w:sz w:val="40"/>
          <w:szCs w:val="40"/>
        </w:rPr>
        <w:t>阿坝州松潘县人大预算联网中心单位决算</w:t>
      </w:r>
    </w:p>
    <w:p>
      <w:pPr>
        <w:adjustRightInd w:val="0"/>
        <w:snapToGrid w:val="0"/>
        <w:spacing w:line="360" w:lineRule="auto"/>
        <w:jc w:val="center"/>
        <w:outlineLvl w:val="0"/>
        <w:rPr>
          <w:rFonts w:hint="eastAsia" w:ascii="宋体" w:hAnsi="宋体" w:eastAsia="宋体" w:cs="宋体"/>
          <w:sz w:val="40"/>
          <w:szCs w:val="40"/>
        </w:rPr>
      </w:pPr>
      <w:r>
        <w:rPr>
          <w:rFonts w:hint="eastAsia" w:ascii="宋体" w:hAnsi="宋体" w:eastAsia="宋体" w:cs="宋体"/>
          <w:sz w:val="40"/>
          <w:szCs w:val="40"/>
        </w:rPr>
        <w:t>单位决算</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jc w:val="center"/>
        <w:rPr>
          <w:rFonts w:hint="eastAsia" w:ascii="宋体" w:hAnsi="宋体" w:eastAsia="宋体" w:cs="宋体"/>
          <w:sz w:val="24"/>
          <w:szCs w:val="24"/>
        </w:rPr>
      </w:pPr>
      <w:r>
        <w:rPr>
          <w:rFonts w:hint="eastAsia" w:ascii="宋体" w:hAnsi="宋体" w:eastAsia="宋体" w:cs="宋体"/>
          <w:sz w:val="24"/>
          <w:szCs w:val="24"/>
        </w:rPr>
        <w:t>已审查，内容审定已审签，同意对外公开</w:t>
      </w: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ind w:firstLine="3840" w:firstLineChars="800"/>
        <w:rPr>
          <w:rFonts w:ascii="黑体" w:hAnsi="黑体" w:eastAsia="黑体"/>
          <w:color w:val="000000"/>
          <w:sz w:val="48"/>
          <w:szCs w:val="48"/>
        </w:rPr>
      </w:pP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年9月</w:t>
      </w:r>
      <w:r>
        <w:rPr>
          <w:rFonts w:hint="eastAsia" w:hAnsiTheme="minorHAnsi"/>
          <w:b w:val="0"/>
          <w:bCs w:val="0"/>
          <w:sz w:val="24"/>
          <w:szCs w:val="24"/>
          <w:lang w:val="en-US" w:eastAsia="zh-CN"/>
        </w:rPr>
        <w:t>20</w:t>
      </w:r>
      <w:r>
        <w:rPr>
          <w:rFonts w:hint="eastAsia" w:hAnsiTheme="minorHAnsi"/>
          <w:b w:val="0"/>
          <w:bCs w:val="0"/>
          <w:sz w:val="24"/>
          <w:szCs w:val="24"/>
        </w:rPr>
        <w:t>日</w:t>
      </w:r>
    </w:p>
    <w:p>
      <w:pPr>
        <w:pStyle w:val="15"/>
        <w:tabs>
          <w:tab w:val="right" w:leader="dot" w:pos="8296"/>
        </w:tabs>
        <w:rPr>
          <w:rFonts w:hAnsiTheme="minorHAnsi"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rPr>
        <w:t>4</w:t>
      </w:r>
    </w:p>
    <w:p>
      <w:pPr>
        <w:pStyle w:val="18"/>
        <w:tabs>
          <w:tab w:val="right" w:leader="dot" w:pos="8296"/>
        </w:tabs>
        <w:rPr>
          <w:rFonts w:hAnsiTheme="minorHAnsi" w:cstheme="minorBidi"/>
          <w:smallCaps w:val="0"/>
          <w:sz w:val="21"/>
          <w:szCs w:val="22"/>
        </w:rPr>
      </w:pPr>
      <w:r>
        <w:rPr>
          <w:rFonts w:ascii="黑体" w:hAnsi="黑体" w:eastAsia="黑体"/>
          <w:color w:val="000000"/>
        </w:rPr>
        <w:t>一、基</w:t>
      </w:r>
      <w:r>
        <w:rPr>
          <w:rFonts w:ascii="黑体" w:hAnsi="黑体" w:eastAsia="黑体"/>
        </w:rPr>
        <w:t>本职能及主要工作</w:t>
      </w:r>
      <w:r>
        <w:tab/>
      </w:r>
      <w:r>
        <w:rPr>
          <w:rFonts w:hint="eastAsia"/>
        </w:rPr>
        <w:t>4</w:t>
      </w:r>
    </w:p>
    <w:p>
      <w:pPr>
        <w:pStyle w:val="10"/>
        <w:tabs>
          <w:tab w:val="right" w:leader="dot" w:pos="8296"/>
        </w:tabs>
        <w:spacing w:line="240" w:lineRule="atLeast"/>
        <w:rPr>
          <w:rFonts w:hint="eastAsia"/>
        </w:rPr>
      </w:pPr>
      <w:r>
        <w:rPr>
          <w:rFonts w:ascii="仿宋" w:hAnsi="仿宋" w:eastAsia="仿宋"/>
          <w:bCs/>
          <w:color w:val="000000"/>
        </w:rPr>
        <w:t>主要职能。</w:t>
      </w:r>
      <w:r>
        <w:tab/>
      </w:r>
      <w:r>
        <w:rPr>
          <w:rFonts w:hint="eastAsia"/>
        </w:rPr>
        <w:t>4</w:t>
      </w:r>
    </w:p>
    <w:p>
      <w:pPr>
        <w:pStyle w:val="18"/>
        <w:tabs>
          <w:tab w:val="right" w:leader="dot" w:pos="8296"/>
        </w:tabs>
        <w:rPr>
          <w:rFonts w:hint="eastAsia"/>
          <w:lang w:val="en-US" w:eastAsia="zh-CN"/>
        </w:rPr>
      </w:pPr>
      <w:r>
        <w:rPr>
          <w:rFonts w:hint="eastAsia" w:ascii="仿宋" w:hAnsi="仿宋" w:eastAsia="仿宋" w:cs="Times New Roman"/>
          <w:bCs/>
          <w:i/>
          <w:iCs/>
          <w:color w:val="000000"/>
          <w:kern w:val="2"/>
          <w:sz w:val="20"/>
          <w:szCs w:val="20"/>
          <w:lang w:val="en-US" w:eastAsia="zh-CN" w:bidi="ar-SA"/>
        </w:rPr>
        <w:t>2022年重点工作完成情况</w:t>
      </w:r>
      <w:r>
        <w:tab/>
      </w:r>
      <w:r>
        <w:rPr>
          <w:rFonts w:hint="eastAsia"/>
          <w:lang w:val="en-US" w:eastAsia="zh-CN"/>
        </w:rPr>
        <w:t>4</w:t>
      </w:r>
    </w:p>
    <w:p>
      <w:pPr>
        <w:pStyle w:val="18"/>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6</w:t>
      </w:r>
    </w:p>
    <w:p>
      <w:pPr>
        <w:pStyle w:val="15"/>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1</w:t>
      </w:r>
      <w:r>
        <w:rPr>
          <w:rFonts w:ascii="黑体" w:hAnsi="黑体" w:eastAsia="黑体"/>
          <w:b w:val="0"/>
          <w:bCs w:val="0"/>
        </w:rPr>
        <w:t>年度部门决算情况说明</w:t>
      </w:r>
      <w:r>
        <w:tab/>
      </w:r>
      <w:r>
        <w:rPr>
          <w:rFonts w:hint="eastAsia"/>
          <w:lang w:val="en-US" w:eastAsia="zh-CN"/>
        </w:rPr>
        <w:t>7</w:t>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7</w:t>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7</w:t>
      </w:r>
    </w:p>
    <w:p>
      <w:pPr>
        <w:pStyle w:val="18"/>
        <w:tabs>
          <w:tab w:val="left" w:pos="840"/>
          <w:tab w:val="right" w:leader="dot" w:pos="8296"/>
        </w:tabs>
        <w:rPr>
          <w:rFonts w:hint="eastAsia" w:hAnsiTheme="minorHAnsi" w:eastAsiaTheme="minorHAnsi" w:cstheme="minorBidi"/>
          <w:smallCaps w:val="0"/>
          <w:sz w:val="21"/>
          <w:szCs w:val="22"/>
          <w:lang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7</w:t>
      </w:r>
    </w:p>
    <w:p>
      <w:pPr>
        <w:pStyle w:val="18"/>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7</w:t>
      </w:r>
    </w:p>
    <w:p>
      <w:pPr>
        <w:pStyle w:val="18"/>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8</w:t>
      </w:r>
    </w:p>
    <w:p>
      <w:pPr>
        <w:pStyle w:val="10"/>
        <w:tabs>
          <w:tab w:val="right" w:leader="dot" w:pos="8296"/>
        </w:tabs>
        <w:rPr>
          <w:rFonts w:hint="eastAsia" w:hAnsiTheme="minorHAnsi" w:eastAsiaTheme="minorHAnsi" w:cstheme="minorBidi"/>
          <w:i w:val="0"/>
          <w:iCs w:val="0"/>
          <w:sz w:val="21"/>
          <w:szCs w:val="22"/>
          <w:lang w:eastAsia="zh-CN"/>
        </w:rPr>
      </w:pPr>
      <w:r>
        <w:rPr>
          <w:rFonts w:ascii="仿宋" w:hAnsi="仿宋" w:eastAsia="仿宋"/>
          <w:b/>
          <w:color w:val="000000"/>
        </w:rPr>
        <w:t>（一）一般公共预算财政拨款支出决算总体情况</w:t>
      </w:r>
      <w:r>
        <w:tab/>
      </w:r>
      <w:r>
        <w:rPr>
          <w:rFonts w:hint="eastAsia"/>
          <w:lang w:val="en-US" w:eastAsia="zh-CN"/>
        </w:rPr>
        <w:t>8</w:t>
      </w:r>
    </w:p>
    <w:p>
      <w:pPr>
        <w:pStyle w:val="10"/>
        <w:tabs>
          <w:tab w:val="right" w:leader="dot" w:pos="8296"/>
        </w:tabs>
        <w:rPr>
          <w:rFonts w:hint="eastAsia"/>
          <w:lang w:val="en-US" w:eastAsia="zh-CN"/>
        </w:rPr>
      </w:pPr>
      <w:r>
        <w:rPr>
          <w:rFonts w:ascii="仿宋" w:hAnsi="仿宋" w:eastAsia="仿宋"/>
          <w:b/>
          <w:color w:val="000000"/>
        </w:rPr>
        <w:t>（二）一般公共预算财政拨款支出决算结构情况</w:t>
      </w:r>
      <w:r>
        <w:tab/>
      </w:r>
      <w:r>
        <w:rPr>
          <w:rFonts w:hint="eastAsia"/>
          <w:lang w:val="en-US" w:eastAsia="zh-CN"/>
        </w:rPr>
        <w:t>8</w:t>
      </w:r>
    </w:p>
    <w:p>
      <w:pPr>
        <w:pStyle w:val="10"/>
        <w:tabs>
          <w:tab w:val="right" w:leader="dot" w:pos="8296"/>
        </w:tabs>
        <w:rPr>
          <w:rFonts w:hint="eastAsia" w:hAnsiTheme="minorHAnsi" w:eastAsia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8</w:t>
      </w:r>
    </w:p>
    <w:p>
      <w:pPr>
        <w:pStyle w:val="18"/>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9</w:t>
      </w:r>
    </w:p>
    <w:p>
      <w:pPr>
        <w:pStyle w:val="18"/>
        <w:tabs>
          <w:tab w:val="right" w:leader="dot" w:pos="8296"/>
        </w:tabs>
        <w:rPr>
          <w:rFonts w:hint="eastAsia" w:hAnsiTheme="minorHAnsi" w:eastAsiaTheme="minorHAnsi" w:cstheme="minorBidi"/>
          <w:smallCaps w:val="0"/>
          <w:sz w:val="21"/>
          <w:szCs w:val="22"/>
          <w:lang w:eastAsia="zh-CN"/>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lang w:val="en-US" w:eastAsia="zh-CN"/>
        </w:rPr>
        <w:t>9</w:t>
      </w:r>
    </w:p>
    <w:p>
      <w:pPr>
        <w:pStyle w:val="10"/>
        <w:tabs>
          <w:tab w:val="right" w:leader="dot" w:pos="8296"/>
        </w:tabs>
        <w:rPr>
          <w:rFonts w:hint="eastAsia" w:hAnsiTheme="minorHAnsi" w:eastAsiaTheme="minorHAnsi" w:cstheme="minorBidi"/>
          <w:i w:val="0"/>
          <w:iCs w:val="0"/>
          <w:sz w:val="21"/>
          <w:szCs w:val="22"/>
          <w:lang w:eastAsia="zh-CN"/>
        </w:rPr>
      </w:pPr>
      <w:r>
        <w:rPr>
          <w:rFonts w:ascii="仿宋" w:hAnsi="仿宋" w:eastAsia="仿宋"/>
          <w:b/>
          <w:color w:val="000000"/>
        </w:rPr>
        <w:t>（一）“三公”经费财政拨款支出决算总体情况说明</w:t>
      </w:r>
      <w:r>
        <w:tab/>
      </w:r>
      <w:r>
        <w:rPr>
          <w:rFonts w:hint="eastAsia"/>
          <w:lang w:val="en-US" w:eastAsia="zh-CN"/>
        </w:rPr>
        <w:t>9</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（二）“三公”经费财政拨款支出决算具体情况说明</w:t>
      </w:r>
      <w:r>
        <w:tab/>
      </w:r>
      <w:r>
        <w:rPr>
          <w:rFonts w:hint="eastAsia"/>
          <w:lang w:val="en-US" w:eastAsia="zh-CN"/>
        </w:rPr>
        <w:t>10</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11</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九、 国有资本经营预算支出决算情况说明</w:t>
      </w:r>
      <w:r>
        <w:tab/>
      </w:r>
      <w:r>
        <w:rPr>
          <w:rFonts w:hint="eastAsia"/>
          <w:lang w:val="en-US" w:eastAsia="zh-CN"/>
        </w:rPr>
        <w:t>11</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lang w:val="en-US" w:eastAsia="zh-CN"/>
        </w:rPr>
        <w:t>11</w:t>
      </w:r>
    </w:p>
    <w:p>
      <w:pPr>
        <w:pStyle w:val="10"/>
        <w:tabs>
          <w:tab w:val="right" w:leader="dot" w:pos="8296"/>
        </w:tabs>
        <w:rPr>
          <w:rFonts w:hint="eastAsia"/>
          <w:lang w:val="en-US" w:eastAsia="zh-CN"/>
        </w:rPr>
      </w:pPr>
      <w:r>
        <w:rPr>
          <w:rFonts w:ascii="仿宋" w:hAnsi="仿宋" w:eastAsia="仿宋"/>
          <w:b/>
          <w:color w:val="000000"/>
        </w:rPr>
        <w:t>（一）机关运行经费支出情况</w:t>
      </w:r>
      <w:r>
        <w:tab/>
      </w:r>
      <w:r>
        <w:rPr>
          <w:rFonts w:hint="eastAsia"/>
          <w:lang w:val="en-US" w:eastAsia="zh-CN"/>
        </w:rPr>
        <w:t>11</w:t>
      </w:r>
    </w:p>
    <w:p>
      <w:pPr>
        <w:pStyle w:val="10"/>
        <w:tabs>
          <w:tab w:val="right" w:leader="dot" w:pos="8296"/>
        </w:tabs>
        <w:rPr>
          <w:rFonts w:hint="default"/>
          <w:lang w:val="en-US" w:eastAsia="zh-CN"/>
        </w:rPr>
      </w:pPr>
      <w:r>
        <w:rPr>
          <w:rFonts w:ascii="仿宋" w:hAnsi="仿宋" w:eastAsia="仿宋"/>
          <w:b/>
          <w:color w:val="000000"/>
        </w:rPr>
        <w:t>（二）政府采购支出情况</w:t>
      </w:r>
      <w:r>
        <w:tab/>
      </w:r>
      <w:r>
        <w:rPr>
          <w:rFonts w:hint="eastAsia"/>
          <w:lang w:val="en-US" w:eastAsia="zh-CN"/>
        </w:rPr>
        <w:t>11</w:t>
      </w:r>
    </w:p>
    <w:p>
      <w:pPr>
        <w:pStyle w:val="10"/>
        <w:tabs>
          <w:tab w:val="right" w:leader="dot" w:pos="8296"/>
        </w:tabs>
        <w:rPr>
          <w:rFonts w:hint="eastAsia"/>
          <w:lang w:val="en-US" w:eastAsia="zh-CN"/>
        </w:rPr>
      </w:pPr>
      <w:r>
        <w:rPr>
          <w:rFonts w:ascii="仿宋" w:hAnsi="仿宋" w:eastAsia="仿宋"/>
          <w:b/>
          <w:color w:val="000000"/>
        </w:rPr>
        <w:t>（三）国有资产占有使用情况</w:t>
      </w:r>
      <w:r>
        <w:tab/>
      </w:r>
      <w:r>
        <w:rPr>
          <w:rFonts w:hint="eastAsia"/>
          <w:lang w:val="en-US" w:eastAsia="zh-CN"/>
        </w:rPr>
        <w:t>11</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b/>
          <w:color w:val="000000"/>
        </w:rPr>
        <w:t>（四）预算绩效管理情况。</w:t>
      </w:r>
      <w:r>
        <w:tab/>
      </w:r>
      <w:r>
        <w:rPr>
          <w:rFonts w:hint="eastAsia"/>
          <w:lang w:val="en-US" w:eastAsia="zh-CN"/>
        </w:rPr>
        <w:t>12</w:t>
      </w:r>
    </w:p>
    <w:p>
      <w:pPr>
        <w:pStyle w:val="15"/>
        <w:tabs>
          <w:tab w:val="right" w:leader="dot" w:pos="8296"/>
        </w:tabs>
        <w:rPr>
          <w:rFonts w:hint="eastAsia" w:hAnsiTheme="minorHAnsi" w:eastAsiaTheme="minorHAnsi" w:cstheme="minorBidi"/>
          <w:b w:val="0"/>
          <w:bCs w:val="0"/>
          <w:caps w:val="0"/>
          <w:sz w:val="21"/>
          <w:szCs w:val="22"/>
          <w:lang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rPr>
        <w:t>1</w:t>
      </w:r>
      <w:r>
        <w:rPr>
          <w:rFonts w:hint="eastAsia"/>
          <w:lang w:val="en-US" w:eastAsia="zh-CN"/>
        </w:rPr>
        <w:t>3</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16</w:t>
      </w:r>
    </w:p>
    <w:p>
      <w:pPr>
        <w:pStyle w:val="15"/>
        <w:tabs>
          <w:tab w:val="right" w:leader="dot" w:pos="8296"/>
        </w:tabs>
        <w:rPr>
          <w:rFonts w:hint="default" w:eastAsiaTheme="minorHAnsi"/>
          <w:lang w:val="en-US" w:eastAsia="zh-CN"/>
        </w:rPr>
      </w:pPr>
      <w:r>
        <w:rPr>
          <w:rFonts w:ascii="黑体" w:hAnsi="黑体" w:eastAsia="黑体" w:cs="黑体"/>
        </w:rPr>
        <w:t>附件1</w:t>
      </w:r>
      <w:r>
        <w:tab/>
      </w:r>
      <w:r>
        <w:rPr>
          <w:rFonts w:hint="eastAsia"/>
          <w:lang w:val="en-US" w:eastAsia="zh-CN"/>
        </w:rPr>
        <w:t>16</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方正小标宋简体" w:hAnsi="黑体" w:eastAsia="方正小标宋简体" w:cs="黑体"/>
        </w:rPr>
        <w:t>部门202</w:t>
      </w:r>
      <w:r>
        <w:rPr>
          <w:rFonts w:hint="eastAsia" w:ascii="方正小标宋简体" w:hAnsi="黑体" w:eastAsia="方正小标宋简体" w:cs="黑体"/>
          <w:lang w:val="en-US" w:eastAsia="zh-CN"/>
        </w:rPr>
        <w:t>2</w:t>
      </w:r>
      <w:r>
        <w:rPr>
          <w:rFonts w:ascii="方正小标宋简体" w:hAnsi="黑体" w:eastAsia="方正小标宋简体" w:cs="黑体"/>
        </w:rPr>
        <w:t>年部门整体支出绩效评价报告</w:t>
      </w:r>
      <w:r>
        <w:tab/>
      </w:r>
      <w:r>
        <w:rPr>
          <w:rFonts w:hint="eastAsia"/>
          <w:lang w:val="en-US" w:eastAsia="zh-CN"/>
        </w:rPr>
        <w:t>16</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22</w:t>
      </w:r>
    </w:p>
    <w:p>
      <w:pPr>
        <w:pStyle w:val="18"/>
        <w:tabs>
          <w:tab w:val="right" w:leader="dot" w:pos="8296"/>
        </w:tabs>
        <w:rPr>
          <w:rFonts w:hint="eastAsia"/>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22</w:t>
      </w:r>
    </w:p>
    <w:p>
      <w:pPr>
        <w:pStyle w:val="18"/>
        <w:tabs>
          <w:tab w:val="right" w:leader="dot" w:pos="8296"/>
        </w:tabs>
        <w:rPr>
          <w:rFonts w:hint="eastAsia"/>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22</w:t>
      </w:r>
    </w:p>
    <w:p>
      <w:pPr>
        <w:pStyle w:val="18"/>
        <w:tabs>
          <w:tab w:val="right" w:leader="dot" w:pos="8296"/>
        </w:tabs>
        <w:rPr>
          <w:rFonts w:hint="eastAsia"/>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22</w:t>
      </w:r>
    </w:p>
    <w:p>
      <w:pPr>
        <w:pStyle w:val="18"/>
        <w:tabs>
          <w:tab w:val="right" w:leader="dot" w:pos="8296"/>
        </w:tabs>
        <w:rPr>
          <w:rFonts w:hint="eastAsia"/>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22</w:t>
      </w:r>
    </w:p>
    <w:p>
      <w:pPr>
        <w:pStyle w:val="18"/>
        <w:tabs>
          <w:tab w:val="right" w:leader="dot" w:pos="8296"/>
        </w:tabs>
        <w:rPr>
          <w:rFonts w:hint="eastAsia"/>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22</w:t>
      </w:r>
    </w:p>
    <w:p>
      <w:pPr>
        <w:pStyle w:val="18"/>
        <w:tabs>
          <w:tab w:val="right" w:leader="dot" w:pos="8296"/>
        </w:tabs>
        <w:rPr>
          <w:rFonts w:hint="eastAsia"/>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22</w:t>
      </w:r>
    </w:p>
    <w:p>
      <w:pPr>
        <w:pStyle w:val="18"/>
        <w:tabs>
          <w:tab w:val="right" w:leader="dot" w:pos="8296"/>
        </w:tabs>
        <w:rPr>
          <w:rFonts w:hint="eastAsia"/>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22</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22</w:t>
      </w:r>
    </w:p>
    <w:p>
      <w:pPr>
        <w:pStyle w:val="18"/>
        <w:tabs>
          <w:tab w:val="right" w:leader="dot" w:pos="8296"/>
        </w:tabs>
        <w:rPr>
          <w:rFonts w:hint="eastAsia"/>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22</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22</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22</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22</w:t>
      </w:r>
    </w:p>
    <w:p>
      <w:pPr>
        <w:pStyle w:val="18"/>
        <w:tabs>
          <w:tab w:val="right" w:leader="dot" w:pos="8296"/>
        </w:tabs>
        <w:rPr>
          <w:rFonts w:hint="default"/>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有资本经营预算财政拨款支出决算表</w:t>
      </w:r>
      <w:r>
        <w:tab/>
      </w:r>
      <w:r>
        <w:rPr>
          <w:rFonts w:hint="eastAsia"/>
          <w:lang w:val="en-US" w:eastAsia="zh-CN"/>
        </w:rPr>
        <w:t>22</w:t>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22</w:t>
      </w:r>
    </w:p>
    <w:p>
      <w:r>
        <w:rPr>
          <w:rFonts w:asciiTheme="minorHAnsi" w:eastAsiaTheme="minorHAnsi"/>
          <w:b/>
          <w:bCs/>
          <w:caps/>
          <w:sz w:val="20"/>
          <w:szCs w:val="20"/>
        </w:rPr>
        <w:fldChar w:fldCharType="end"/>
      </w:r>
    </w:p>
    <w:p>
      <w:pPr>
        <w:widowControl/>
        <w:spacing w:line="440" w:lineRule="exact"/>
        <w:ind w:firstLine="2200" w:firstLineChars="500"/>
        <w:jc w:val="left"/>
        <w:rPr>
          <w:rStyle w:val="25"/>
          <w:rFonts w:ascii="黑体" w:hAnsi="黑体" w:eastAsia="黑体"/>
          <w:bCs w:val="0"/>
        </w:rPr>
      </w:pPr>
      <w:bookmarkStart w:id="6" w:name="_Toc15396599"/>
      <w:bookmarkStart w:id="7" w:name="_Toc79163851"/>
      <w:bookmarkStart w:id="8" w:name="_Toc79163601"/>
      <w:bookmarkStart w:id="9" w:name="_Toc15377196"/>
      <w:r>
        <w:rPr>
          <w:rFonts w:hint="eastAsia" w:ascii="黑体" w:hAnsi="黑体" w:eastAsia="黑体"/>
          <w:sz w:val="44"/>
          <w:szCs w:val="44"/>
        </w:rPr>
        <w:t>第一部分</w:t>
      </w:r>
      <w:r>
        <w:rPr>
          <w:rFonts w:ascii="黑体" w:hAnsi="黑体" w:eastAsia="黑体"/>
        </w:rPr>
        <w:t xml:space="preserve"> </w:t>
      </w:r>
      <w:bookmarkEnd w:id="6"/>
      <w:bookmarkEnd w:id="7"/>
      <w:bookmarkEnd w:id="8"/>
      <w:bookmarkEnd w:id="9"/>
      <w:r>
        <w:rPr>
          <w:rFonts w:hint="eastAsia"/>
        </w:rPr>
        <w:t xml:space="preserve"> </w:t>
      </w:r>
      <w:r>
        <w:rPr>
          <w:rFonts w:hint="eastAsia" w:ascii="黑体" w:hAnsi="黑体" w:eastAsia="黑体"/>
          <w:sz w:val="44"/>
          <w:szCs w:val="44"/>
        </w:rPr>
        <w:t>单位概况</w:t>
      </w:r>
      <w:r>
        <w:rPr>
          <w:rFonts w:hint="eastAsia" w:ascii="黑体" w:hAnsi="黑体" w:eastAsia="黑体"/>
          <w:sz w:val="44"/>
          <w:szCs w:val="44"/>
        </w:rPr>
        <w:tab/>
      </w:r>
    </w:p>
    <w:p>
      <w:pPr>
        <w:widowControl/>
        <w:jc w:val="left"/>
        <w:rPr>
          <w:rFonts w:ascii="黑体" w:eastAsia="黑体"/>
          <w:color w:val="000000"/>
          <w:sz w:val="32"/>
          <w:szCs w:val="32"/>
        </w:rPr>
      </w:pPr>
    </w:p>
    <w:p>
      <w:pPr>
        <w:rPr>
          <w:rFonts w:hint="eastAsia"/>
        </w:rPr>
      </w:pPr>
      <w:bookmarkStart w:id="10" w:name="_Toc79163605"/>
      <w:bookmarkStart w:id="11" w:name="_Toc15396601"/>
      <w:bookmarkStart w:id="12" w:name="_Toc79163855"/>
      <w:bookmarkStart w:id="13" w:name="_Toc15377200"/>
      <w:r>
        <w:rPr>
          <w:rFonts w:hint="eastAsia" w:ascii="黑体" w:hAnsi="Cambria" w:eastAsia="黑体" w:cs="Times New Roman"/>
          <w:b w:val="0"/>
          <w:bCs/>
          <w:color w:val="000000"/>
          <w:kern w:val="2"/>
          <w:sz w:val="32"/>
          <w:szCs w:val="32"/>
          <w:lang w:val="en-US" w:eastAsia="zh-CN" w:bidi="ar-SA"/>
        </w:rPr>
        <w:t xml:space="preserve">     一、主要职责</w:t>
      </w:r>
      <w:r>
        <w:rPr>
          <w:rFonts w:hint="eastAsia" w:ascii="黑体" w:hAnsi="Cambria" w:eastAsia="黑体" w:cs="Times New Roman"/>
          <w:b w:val="0"/>
          <w:bCs/>
          <w:color w:val="000000"/>
          <w:kern w:val="2"/>
          <w:sz w:val="32"/>
          <w:szCs w:val="32"/>
          <w:lang w:val="en-US" w:eastAsia="zh-CN" w:bidi="ar-SA"/>
        </w:rPr>
        <w:tab/>
      </w:r>
      <w:r>
        <w:rPr>
          <w:rFonts w:hint="eastAsia"/>
        </w:rPr>
        <w:tab/>
      </w:r>
      <w:r>
        <w:rPr>
          <w:rFonts w:hint="eastAsia"/>
        </w:rPr>
        <w:tab/>
      </w:r>
      <w:r>
        <w:rPr>
          <w:rFonts w:hint="eastAsia"/>
        </w:rPr>
        <w:tab/>
      </w:r>
      <w:r>
        <w:rPr>
          <w:rFonts w:hint="eastAsia"/>
        </w:rPr>
        <w:tab/>
      </w:r>
    </w:p>
    <w:p>
      <w:pPr>
        <w:rPr>
          <w:rFonts w:hint="eastAsia"/>
        </w:rPr>
      </w:pPr>
      <w:r>
        <w:rPr>
          <w:rFonts w:hint="eastAsia"/>
        </w:rPr>
        <w:tab/>
      </w:r>
      <w:r>
        <w:rPr>
          <w:rFonts w:hint="eastAsia"/>
        </w:rPr>
        <w:tab/>
      </w:r>
      <w:r>
        <w:rPr>
          <w:rFonts w:hint="eastAsia"/>
        </w:rPr>
        <w:tab/>
      </w:r>
      <w:r>
        <w:rPr>
          <w:rFonts w:hint="eastAsia"/>
        </w:rPr>
        <w:tab/>
      </w:r>
      <w:r>
        <w:rPr>
          <w:rFonts w:hint="eastAsia"/>
        </w:rPr>
        <w:tab/>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主要职能。</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80" w:lineRule="exact"/>
        <w:ind w:left="0" w:right="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一、负责县人大代表和县人大常委会运用联网监督系统审查批准预算草案、预算调整草案、决算草案的服务工作。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80" w:lineRule="exact"/>
        <w:ind w:left="0" w:right="0" w:firstLine="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　　二、负责收集、分析研究预算安排与执行、财政转移支付、重点项目支出、政府债务等数据，为县人大及其常委会相关监督工作提供服务。</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80" w:lineRule="exact"/>
        <w:ind w:left="0" w:right="0" w:firstLine="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　　三、负责预算执行预警信息的排查、分析工作，做好与政府财政、税务等部门的沟通对接，起草分析报告。</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80" w:lineRule="exact"/>
        <w:ind w:left="0" w:right="0" w:firstLine="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　　四、负责预算联网监督系统数据更新及数据维护工作。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80" w:lineRule="exact"/>
        <w:ind w:left="0" w:right="0" w:firstLine="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　　五、负责预算联网监督中心硬件设施的日常维护工作。</w:t>
      </w:r>
    </w:p>
    <w:p>
      <w:pPr>
        <w:keepNext w:val="0"/>
        <w:keepLines w:val="0"/>
        <w:pageBreakBefore w:val="0"/>
        <w:widowControl/>
        <w:pBdr>
          <w:bottom w:val="single" w:color="DDDDDD" w:sz="6" w:space="8"/>
        </w:pBdr>
        <w:shd w:val="clear" w:color="auto" w:fill="FFFFFF"/>
        <w:kinsoku/>
        <w:wordWrap/>
        <w:overflowPunct/>
        <w:topLinePunct w:val="0"/>
        <w:autoSpaceDE/>
        <w:autoSpaceDN/>
        <w:bidi w:val="0"/>
        <w:adjustRightInd/>
        <w:spacing w:line="580" w:lineRule="exact"/>
        <w:textAlignment w:val="auto"/>
        <w:rPr>
          <w:rFonts w:hint="eastAsia" w:ascii="宋体" w:hAnsi="宋体" w:cs="宋体"/>
          <w:color w:val="000000"/>
          <w:kern w:val="0"/>
          <w:sz w:val="24"/>
          <w:szCs w:val="24"/>
        </w:rPr>
      </w:pPr>
      <w:r>
        <w:rPr>
          <w:rFonts w:hint="eastAsia" w:ascii="仿宋_GB2312" w:hAnsi="仿宋" w:eastAsia="仿宋_GB2312" w:cs="仿宋"/>
          <w:kern w:val="2"/>
          <w:sz w:val="32"/>
          <w:szCs w:val="32"/>
          <w:lang w:val="en-US" w:eastAsia="zh-CN" w:bidi="ar-SA"/>
        </w:rPr>
        <w:t>　　六、负责本县人大推进预算联网监督建设的业务联系和指导工作。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（二）2022年重点工作完成情况。</w:t>
      </w:r>
      <w:r>
        <w:rPr>
          <w:rFonts w:hint="eastAsia" w:ascii="仿宋_GB2312" w:hAnsi="仿宋_GB2312" w:eastAsia="仿宋_GB2312" w:cs="仿宋_GB2312"/>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加强经济运行情况的监督，</w:t>
      </w:r>
      <w:r>
        <w:rPr>
          <w:rFonts w:hint="default" w:ascii="Times New Roman" w:hAnsi="Times New Roman" w:eastAsia="仿宋_GB2312" w:cs="Times New Roman"/>
          <w:color w:val="auto"/>
          <w:sz w:val="32"/>
          <w:szCs w:val="32"/>
          <w:lang w:val="en-US" w:eastAsia="zh-CN"/>
        </w:rPr>
        <w:t>听取</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审议</w:t>
      </w:r>
      <w:r>
        <w:rPr>
          <w:rFonts w:hint="default" w:ascii="Times New Roman" w:hAnsi="Times New Roman" w:eastAsia="仿宋_GB2312" w:cs="Times New Roman"/>
          <w:sz w:val="32"/>
          <w:szCs w:val="32"/>
        </w:rPr>
        <w:t>国民经济和社会发展计划执行</w:t>
      </w:r>
      <w:r>
        <w:rPr>
          <w:rFonts w:hint="eastAsia" w:ascii="Times New Roman" w:hAnsi="Times New Roman" w:eastAsia="仿宋_GB2312" w:cs="Times New Roman"/>
          <w:sz w:val="32"/>
          <w:szCs w:val="32"/>
          <w:lang w:val="en-US" w:eastAsia="zh-CN"/>
        </w:rPr>
        <w:t>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财政预算执行</w:t>
      </w:r>
      <w:r>
        <w:rPr>
          <w:rFonts w:hint="eastAsia" w:ascii="Times New Roman" w:hAnsi="Times New Roman" w:eastAsia="仿宋_GB2312" w:cs="Times New Roman"/>
          <w:sz w:val="32"/>
          <w:szCs w:val="32"/>
          <w:lang w:val="en-US" w:eastAsia="zh-CN"/>
        </w:rPr>
        <w:t>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政府</w:t>
      </w:r>
      <w:r>
        <w:rPr>
          <w:rFonts w:hint="default" w:ascii="Times New Roman" w:hAnsi="Times New Roman" w:eastAsia="仿宋_GB2312" w:cs="Times New Roman"/>
          <w:color w:val="auto"/>
          <w:sz w:val="32"/>
          <w:szCs w:val="32"/>
          <w:lang w:val="en-US" w:eastAsia="zh-CN"/>
        </w:rPr>
        <w:t>预算调整方案</w:t>
      </w:r>
      <w:r>
        <w:rPr>
          <w:rFonts w:hint="eastAsia" w:ascii="Times New Roman" w:hAnsi="Times New Roman" w:eastAsia="仿宋_GB2312" w:cs="Times New Roman"/>
          <w:color w:val="000000"/>
          <w:sz w:val="32"/>
          <w:szCs w:val="32"/>
          <w:lang w:val="en-US" w:eastAsia="zh-CN"/>
        </w:rPr>
        <w:t>的报告</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全面分析运行情况，</w:t>
      </w:r>
      <w:r>
        <w:rPr>
          <w:rFonts w:hint="default" w:ascii="Times New Roman" w:hAnsi="Times New Roman" w:eastAsia="仿宋_GB2312" w:cs="Times New Roman"/>
          <w:color w:val="auto"/>
          <w:sz w:val="32"/>
          <w:szCs w:val="32"/>
          <w:lang w:val="en-US" w:eastAsia="zh-CN"/>
        </w:rPr>
        <w:t>提出</w:t>
      </w:r>
      <w:r>
        <w:rPr>
          <w:rFonts w:hint="eastAsia" w:ascii="Times New Roman" w:hAnsi="Times New Roman" w:eastAsia="仿宋_GB2312" w:cs="Times New Roman"/>
          <w:color w:val="auto"/>
          <w:sz w:val="32"/>
          <w:szCs w:val="32"/>
          <w:lang w:val="en-US" w:eastAsia="zh-CN"/>
        </w:rPr>
        <w:t>合理化</w:t>
      </w:r>
      <w:r>
        <w:rPr>
          <w:rFonts w:hint="default" w:ascii="Times New Roman" w:hAnsi="Times New Roman" w:eastAsia="仿宋_GB2312" w:cs="Times New Roman"/>
          <w:color w:val="auto"/>
          <w:sz w:val="32"/>
          <w:szCs w:val="32"/>
          <w:lang w:val="en-US" w:eastAsia="zh-CN"/>
        </w:rPr>
        <w:t>意见</w:t>
      </w:r>
      <w:r>
        <w:rPr>
          <w:rFonts w:hint="eastAsia" w:ascii="Times New Roman" w:hAnsi="Times New Roman" w:eastAsia="仿宋_GB2312" w:cs="Times New Roman"/>
          <w:color w:val="auto"/>
          <w:sz w:val="32"/>
          <w:szCs w:val="32"/>
          <w:lang w:val="en-US" w:eastAsia="zh-CN"/>
        </w:rPr>
        <w:t>建议8条</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听取</w:t>
      </w:r>
      <w:r>
        <w:rPr>
          <w:rFonts w:hint="default" w:ascii="Times New Roman" w:hAnsi="Times New Roman" w:eastAsia="仿宋_GB2312" w:cs="Times New Roman"/>
          <w:color w:val="000000"/>
          <w:sz w:val="32"/>
          <w:szCs w:val="32"/>
          <w:lang w:eastAsia="zh-CN"/>
        </w:rPr>
        <w:t>政府债务限额</w:t>
      </w:r>
      <w:r>
        <w:rPr>
          <w:rFonts w:hint="eastAsia" w:ascii="Times New Roman" w:hAnsi="Times New Roman" w:eastAsia="仿宋_GB2312" w:cs="Times New Roman"/>
          <w:color w:val="000000"/>
          <w:sz w:val="32"/>
          <w:szCs w:val="32"/>
          <w:lang w:val="en-US" w:eastAsia="zh-CN"/>
        </w:rPr>
        <w:t>的报告，</w:t>
      </w:r>
      <w:r>
        <w:rPr>
          <w:rFonts w:hint="default" w:ascii="Times New Roman" w:hAnsi="Times New Roman" w:eastAsia="仿宋_GB2312" w:cs="Times New Roman"/>
          <w:color w:val="auto"/>
          <w:sz w:val="32"/>
          <w:szCs w:val="32"/>
          <w:lang w:val="en-US" w:eastAsia="zh-CN"/>
        </w:rPr>
        <w:t>全力为经济发展提供法治支撑。加强审计发现问题整改的跟踪监督，</w:t>
      </w:r>
      <w:r>
        <w:rPr>
          <w:rFonts w:hint="default" w:ascii="Times New Roman" w:hAnsi="Times New Roman" w:eastAsia="仿宋_GB2312" w:cs="Times New Roman"/>
          <w:sz w:val="32"/>
          <w:szCs w:val="32"/>
        </w:rPr>
        <w:t>听取《松潘县2021年财政预算执行情况和其他财政收支情况的审计工作报告》</w:t>
      </w:r>
      <w:r>
        <w:rPr>
          <w:rFonts w:hint="eastAsia" w:ascii="Times New Roman" w:hAnsi="Times New Roman" w:eastAsia="仿宋_GB2312" w:cs="Times New Roman"/>
          <w:sz w:val="32"/>
          <w:szCs w:val="32"/>
          <w:lang w:val="en-US" w:eastAsia="zh-CN"/>
        </w:rPr>
        <w:t>及审计查出问题整改情况报告</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促进公共财政健康运行</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z w:val="32"/>
          <w:szCs w:val="32"/>
          <w:lang w:val="en-US" w:eastAsia="zh-CN"/>
        </w:rPr>
        <w:t>加强国有资产管理情况监督，</w:t>
      </w:r>
      <w:r>
        <w:rPr>
          <w:rFonts w:hint="default" w:ascii="Times New Roman" w:hAnsi="Times New Roman" w:eastAsia="仿宋_GB2312" w:cs="Times New Roman"/>
          <w:color w:val="000000"/>
          <w:sz w:val="32"/>
          <w:szCs w:val="32"/>
          <w:lang w:eastAsia="zh-CN"/>
        </w:rPr>
        <w:t>听取和审议《</w:t>
      </w:r>
      <w:r>
        <w:rPr>
          <w:rFonts w:hint="eastAsia" w:ascii="Times New Roman" w:hAnsi="Times New Roman" w:eastAsia="仿宋_GB2312" w:cs="Times New Roman"/>
          <w:color w:val="000000"/>
          <w:sz w:val="32"/>
          <w:szCs w:val="32"/>
          <w:lang w:val="en-US" w:eastAsia="zh-CN"/>
        </w:rPr>
        <w:t>关于</w:t>
      </w:r>
      <w:r>
        <w:rPr>
          <w:rFonts w:hint="default" w:ascii="Times New Roman" w:hAnsi="Times New Roman" w:eastAsia="仿宋_GB2312" w:cs="Times New Roman"/>
          <w:color w:val="000000"/>
          <w:sz w:val="32"/>
          <w:szCs w:val="32"/>
          <w:lang w:eastAsia="zh-CN"/>
        </w:rPr>
        <w:t>2021年国有资产管理情况的综合报告》</w:t>
      </w:r>
      <w:r>
        <w:rPr>
          <w:rFonts w:hint="default" w:ascii="Times New Roman" w:hAnsi="Times New Roman" w:eastAsia="仿宋_GB2312" w:cs="Times New Roman"/>
          <w:color w:val="auto"/>
          <w:sz w:val="32"/>
          <w:szCs w:val="32"/>
          <w:lang w:val="en-US" w:eastAsia="zh-CN"/>
        </w:rPr>
        <w:t>，深入推进信息和预算联网监督工作，</w:t>
      </w:r>
      <w:r>
        <w:rPr>
          <w:rFonts w:hint="eastAsia" w:ascii="Times New Roman" w:hAnsi="Times New Roman" w:eastAsia="仿宋_GB2312" w:cs="Times New Roman"/>
          <w:color w:val="auto"/>
          <w:sz w:val="32"/>
          <w:szCs w:val="32"/>
          <w:lang w:val="en-US" w:eastAsia="zh-CN"/>
        </w:rPr>
        <w:t>推进国有资产管理更加公开透明、规范有效</w:t>
      </w:r>
      <w:r>
        <w:rPr>
          <w:rFonts w:hint="default" w:ascii="Times New Roman" w:hAnsi="Times New Roman" w:eastAsia="仿宋_GB2312" w:cs="Times New Roman"/>
          <w:color w:val="auto"/>
          <w:sz w:val="32"/>
          <w:szCs w:val="32"/>
          <w:lang w:val="en-US" w:eastAsia="zh-CN"/>
        </w:rPr>
        <w:t>。深入开展疫情影响下助企纾困政策落实情况专题调研，</w:t>
      </w:r>
      <w:r>
        <w:rPr>
          <w:rFonts w:hint="eastAsia" w:ascii="Times New Roman" w:hAnsi="Times New Roman" w:eastAsia="仿宋_GB2312" w:cs="Times New Roman"/>
          <w:color w:val="auto"/>
          <w:sz w:val="32"/>
          <w:szCs w:val="32"/>
          <w:lang w:val="en-US" w:eastAsia="zh-CN"/>
        </w:rPr>
        <w:t>提出意见建议4条，</w:t>
      </w:r>
      <w:r>
        <w:rPr>
          <w:rFonts w:hint="default" w:ascii="Times New Roman" w:hAnsi="Times New Roman" w:eastAsia="仿宋_GB2312" w:cs="Times New Roman"/>
          <w:color w:val="auto"/>
          <w:sz w:val="32"/>
          <w:szCs w:val="32"/>
          <w:lang w:val="en-US" w:eastAsia="zh-CN"/>
        </w:rPr>
        <w:t>积极帮助企业解决疫情防控和复工复产难题，全力确保稳经济各项措施落地见效。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pStyle w:val="5"/>
        <w:ind w:firstLine="640" w:firstLineChars="200"/>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0"/>
      <w:bookmarkEnd w:id="11"/>
      <w:bookmarkEnd w:id="12"/>
      <w:bookmarkEnd w:id="13"/>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松潘县人大</w:t>
      </w:r>
      <w:r>
        <w:rPr>
          <w:rFonts w:hint="eastAsia" w:ascii="仿宋_GB2312" w:hAnsi="仿宋_GB2312" w:eastAsia="仿宋_GB2312" w:cs="仿宋_GB2312"/>
          <w:sz w:val="32"/>
          <w:szCs w:val="32"/>
          <w:lang w:eastAsia="zh-CN"/>
        </w:rPr>
        <w:t>预算联网中心属二</w:t>
      </w:r>
      <w:r>
        <w:rPr>
          <w:rFonts w:hint="eastAsia" w:ascii="仿宋_GB2312" w:hAnsi="仿宋_GB2312" w:eastAsia="仿宋_GB2312" w:cs="仿宋_GB2312"/>
          <w:sz w:val="32"/>
          <w:szCs w:val="32"/>
        </w:rPr>
        <w:t>级预算单位，独立编制机构数1个，独立核算机构数1个，财政供养人员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4"/>
        <w:ind w:right="440"/>
        <w:jc w:val="right"/>
        <w:rPr>
          <w:rStyle w:val="25"/>
          <w:rFonts w:ascii="黑体" w:hAnsi="黑体" w:eastAsia="黑体"/>
          <w:b w:val="0"/>
          <w:bCs w:val="0"/>
        </w:rPr>
      </w:pPr>
      <w:bookmarkStart w:id="14" w:name="_Toc15377204"/>
      <w:bookmarkStart w:id="15" w:name="_Toc15396602"/>
      <w:bookmarkStart w:id="16" w:name="_Toc79163609"/>
      <w:bookmarkStart w:id="17" w:name="_Toc79163859"/>
      <w:r>
        <w:rPr>
          <w:rFonts w:hint="eastAsia" w:ascii="黑体" w:hAnsi="黑体" w:eastAsia="黑体"/>
          <w:b w:val="0"/>
          <w:color w:val="000000"/>
        </w:rPr>
        <w:t>第二部分</w:t>
      </w:r>
      <w:r>
        <w:rPr>
          <w:rFonts w:ascii="黑体" w:hAnsi="黑体" w:eastAsia="黑体"/>
          <w:color w:val="000000"/>
        </w:rPr>
        <w:t xml:space="preserve"> </w:t>
      </w:r>
      <w:r>
        <w:rPr>
          <w:rStyle w:val="25"/>
          <w:rFonts w:ascii="黑体" w:hAnsi="黑体" w:eastAsia="黑体"/>
          <w:b w:val="0"/>
          <w:bCs w:val="0"/>
        </w:rPr>
        <w:t>202</w:t>
      </w:r>
      <w:r>
        <w:rPr>
          <w:rStyle w:val="25"/>
          <w:rFonts w:hint="eastAsia" w:ascii="黑体" w:hAnsi="黑体" w:eastAsia="黑体"/>
          <w:b w:val="0"/>
          <w:bCs w:val="0"/>
          <w:lang w:val="en-US" w:eastAsia="zh-CN"/>
        </w:rPr>
        <w:t>2</w:t>
      </w:r>
      <w:r>
        <w:rPr>
          <w:rStyle w:val="25"/>
          <w:rFonts w:hint="eastAsia" w:ascii="黑体" w:hAnsi="黑体" w:eastAsia="黑体"/>
          <w:b w:val="0"/>
          <w:bCs w:val="0"/>
        </w:rPr>
        <w:t>年度</w:t>
      </w:r>
      <w:r>
        <w:rPr>
          <w:rStyle w:val="25"/>
          <w:rFonts w:hint="eastAsia" w:ascii="黑体" w:hAnsi="黑体" w:eastAsia="黑体"/>
          <w:b w:val="0"/>
          <w:bCs w:val="0"/>
          <w:lang w:eastAsia="zh-CN"/>
        </w:rPr>
        <w:t>单位</w:t>
      </w:r>
      <w:r>
        <w:rPr>
          <w:rStyle w:val="25"/>
          <w:rFonts w:hint="eastAsia" w:ascii="黑体" w:hAnsi="黑体" w:eastAsia="黑体"/>
          <w:b w:val="0"/>
          <w:bCs w:val="0"/>
        </w:rPr>
        <w:t>决算情况说明</w:t>
      </w:r>
      <w:bookmarkEnd w:id="14"/>
      <w:bookmarkEnd w:id="15"/>
      <w:bookmarkEnd w:id="16"/>
      <w:bookmarkEnd w:id="17"/>
    </w:p>
    <w:p/>
    <w:p>
      <w:pPr>
        <w:pStyle w:val="36"/>
        <w:numPr>
          <w:ilvl w:val="0"/>
          <w:numId w:val="1"/>
        </w:numPr>
        <w:spacing w:line="600" w:lineRule="exact"/>
        <w:ind w:firstLineChars="0"/>
        <w:outlineLvl w:val="1"/>
        <w:rPr>
          <w:rStyle w:val="26"/>
          <w:rFonts w:ascii="黑体" w:hAnsi="黑体" w:eastAsia="黑体"/>
          <w:b w:val="0"/>
        </w:rPr>
      </w:pPr>
      <w:bookmarkStart w:id="18" w:name="_Toc15396603"/>
      <w:bookmarkStart w:id="19" w:name="_Toc79163860"/>
      <w:bookmarkStart w:id="20" w:name="_Toc79163610"/>
      <w:bookmarkStart w:id="21"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18"/>
      <w:bookmarkEnd w:id="19"/>
      <w:bookmarkEnd w:id="20"/>
      <w:bookmarkEnd w:id="21"/>
    </w:p>
    <w:p>
      <w:pPr>
        <w:pStyle w:val="2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2022年度收、支总计35.40万元。与2021年相比，收、支总计各增加35.40万元，增长0.00%。主要变动原因是2022年新设机构。</w:t>
      </w:r>
    </w:p>
    <w:p>
      <w:pPr>
        <w:pStyle w:val="36"/>
        <w:numPr>
          <w:ilvl w:val="0"/>
          <w:numId w:val="1"/>
        </w:numPr>
        <w:spacing w:line="600" w:lineRule="exact"/>
        <w:ind w:firstLineChars="0"/>
        <w:outlineLvl w:val="1"/>
        <w:rPr>
          <w:rStyle w:val="26"/>
          <w:rFonts w:ascii="黑体" w:hAnsi="黑体" w:eastAsia="黑体"/>
          <w:b w:val="0"/>
        </w:rPr>
      </w:pPr>
      <w:bookmarkStart w:id="22" w:name="_Toc15377206"/>
      <w:bookmarkStart w:id="23" w:name="_Toc15396604"/>
      <w:bookmarkStart w:id="24" w:name="_Toc79163861"/>
      <w:bookmarkStart w:id="25" w:name="_Toc79163611"/>
      <w:r>
        <w:rPr>
          <w:rFonts w:hint="eastAsia" w:ascii="黑体" w:hAnsi="黑体" w:eastAsia="黑体"/>
          <w:color w:val="000000"/>
          <w:sz w:val="32"/>
          <w:szCs w:val="32"/>
        </w:rPr>
        <w:t>收</w:t>
      </w:r>
      <w:r>
        <w:rPr>
          <w:rStyle w:val="26"/>
          <w:rFonts w:hint="eastAsia" w:ascii="黑体" w:hAnsi="黑体" w:eastAsia="黑体"/>
          <w:b w:val="0"/>
        </w:rPr>
        <w:t>入决算情况说明</w:t>
      </w:r>
      <w:bookmarkEnd w:id="22"/>
      <w:bookmarkEnd w:id="23"/>
      <w:bookmarkEnd w:id="24"/>
      <w:bookmarkEnd w:id="25"/>
    </w:p>
    <w:p>
      <w:pPr>
        <w:pStyle w:val="20"/>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2022年本年收入合计35.40万元，其中：一般公共预算财政拨款收入35.40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pPr>
        <w:pStyle w:val="36"/>
        <w:numPr>
          <w:ilvl w:val="0"/>
          <w:numId w:val="1"/>
        </w:numPr>
        <w:spacing w:line="600" w:lineRule="exact"/>
        <w:ind w:firstLineChars="0"/>
        <w:outlineLvl w:val="1"/>
        <w:rPr>
          <w:rStyle w:val="26"/>
          <w:rFonts w:ascii="黑体" w:hAnsi="黑体" w:eastAsia="黑体"/>
          <w:b w:val="0"/>
        </w:rPr>
      </w:pPr>
      <w:bookmarkStart w:id="26" w:name="_Toc79163862"/>
      <w:bookmarkStart w:id="27" w:name="_Toc79163612"/>
      <w:bookmarkStart w:id="28" w:name="_Toc15396605"/>
      <w:bookmarkStart w:id="2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6"/>
      <w:bookmarkEnd w:id="27"/>
      <w:bookmarkEnd w:id="28"/>
      <w:bookmarkEnd w:id="29"/>
    </w:p>
    <w:p>
      <w:pPr>
        <w:pStyle w:val="20"/>
        <w:keepNext w:val="0"/>
        <w:keepLines w:val="0"/>
        <w:widowControl/>
        <w:suppressLineNumbers w:val="0"/>
        <w:spacing w:before="0" w:beforeAutospacing="0"/>
        <w:ind w:left="0"/>
        <w:jc w:val="left"/>
        <w:rPr>
          <w:rFonts w:hint="eastAsia" w:ascii="仿宋_GB2312" w:hAnsi="仿宋_GB2312" w:eastAsia="仿宋_GB2312" w:cs="仿宋_GB2312"/>
          <w:kern w:val="2"/>
          <w:sz w:val="32"/>
          <w:szCs w:val="32"/>
          <w:lang w:val="en-US" w:eastAsia="zh-CN" w:bidi="ar-SA"/>
        </w:rPr>
      </w:pPr>
      <w:bookmarkStart w:id="30" w:name="_Toc79163613"/>
      <w:bookmarkStart w:id="31" w:name="_Toc15396606"/>
      <w:bookmarkStart w:id="32" w:name="_Toc79163863"/>
      <w:bookmarkStart w:id="33" w:name="_Toc15377208"/>
      <w:r>
        <w:rPr>
          <w:rFonts w:hint="eastAsia"/>
        </w:rPr>
        <w:t xml:space="preserve"> </w:t>
      </w: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 xml:space="preserve"> 2022年本年支出合计35.40万元，其中：基本支出35.40万元，占100.00%；项目支出0.00万元，占0.00%；上缴上级支出0.00万元，占0.00%；经营支出0.00万元，占经营支出0.00万元，占 0.00%；对附属单位补助支出0.00万元，占0.00%。</w:t>
      </w:r>
    </w:p>
    <w:p>
      <w:pPr>
        <w:pStyle w:val="20"/>
        <w:keepNext w:val="0"/>
        <w:keepLines w:val="0"/>
        <w:widowControl/>
        <w:suppressLineNumbers w:val="0"/>
        <w:spacing w:before="0" w:beforeAutospacing="0"/>
        <w:ind w:left="0" w:firstLine="640" w:firstLineChars="200"/>
        <w:jc w:val="left"/>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bookmarkEnd w:id="32"/>
      <w:bookmarkEnd w:id="33"/>
    </w:p>
    <w:p>
      <w:pPr>
        <w:pStyle w:val="2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lang w:val="en-US" w:eastAsia="zh-CN"/>
        </w:rPr>
      </w:pPr>
      <w:bookmarkStart w:id="34" w:name="_Toc15377209"/>
      <w:bookmarkStart w:id="35" w:name="_Toc79163614"/>
      <w:bookmarkStart w:id="36" w:name="_Toc15396607"/>
      <w:bookmarkStart w:id="37" w:name="_Toc79163864"/>
      <w:r>
        <w:rPr>
          <w:rFonts w:hint="eastAsia" w:ascii="仿宋_GB2312" w:hAnsi="仿宋_GB2312" w:eastAsia="仿宋_GB2312" w:cs="仿宋_GB2312"/>
          <w:kern w:val="2"/>
          <w:sz w:val="32"/>
          <w:szCs w:val="32"/>
          <w:lang w:val="en-US" w:eastAsia="zh-CN" w:bidi="ar-SA"/>
        </w:rPr>
        <w:t>2022年财政拨款收、支总计35.40万元。与2021年相比，财政拨款收、支总计各增加/减少35.40万元，增长0.00%。主要变动原因是2022年新设机构。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pStyle w:val="20"/>
        <w:keepNext w:val="0"/>
        <w:keepLines w:val="0"/>
        <w:widowControl/>
        <w:suppressLineNumbers w:val="0"/>
        <w:spacing w:before="0" w:beforeAutospacing="0"/>
        <w:ind w:firstLine="640" w:firstLineChars="200"/>
        <w:jc w:val="left"/>
        <w:rPr>
          <w:rStyle w:val="26"/>
          <w:rFonts w:ascii="黑体" w:hAnsi="黑体" w:eastAsia="黑体"/>
          <w:b w:val="0"/>
        </w:rPr>
      </w:pPr>
      <w:r>
        <w:rPr>
          <w:rFonts w:hint="eastAsia" w:ascii="仿宋" w:hAnsi="仿宋" w:eastAsia="仿宋"/>
          <w:color w:val="000000"/>
          <w:sz w:val="32"/>
          <w:szCs w:val="32"/>
        </w:rPr>
        <w:t xml:space="preserve"> </w:t>
      </w:r>
      <w:r>
        <w:rPr>
          <w:rFonts w:hint="eastAsia" w:ascii="仿宋" w:hAnsi="仿宋" w:eastAsia="仿宋"/>
          <w:b/>
          <w:bCs/>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4"/>
      <w:bookmarkEnd w:id="35"/>
      <w:bookmarkEnd w:id="36"/>
      <w:bookmarkEnd w:id="37"/>
    </w:p>
    <w:p>
      <w:pPr>
        <w:spacing w:line="600" w:lineRule="exact"/>
        <w:ind w:firstLine="643" w:firstLineChars="200"/>
        <w:outlineLvl w:val="2"/>
        <w:rPr>
          <w:rFonts w:ascii="仿宋" w:hAnsi="仿宋" w:eastAsia="仿宋"/>
          <w:b/>
          <w:color w:val="000000"/>
          <w:sz w:val="32"/>
          <w:szCs w:val="32"/>
        </w:rPr>
      </w:pPr>
      <w:bookmarkStart w:id="38" w:name="_Toc79163865"/>
      <w:bookmarkStart w:id="39" w:name="_Toc79163615"/>
      <w:bookmarkStart w:id="40" w:name="_Toc15377210"/>
      <w:r>
        <w:rPr>
          <w:rFonts w:hint="eastAsia" w:ascii="仿宋" w:hAnsi="仿宋" w:eastAsia="仿宋"/>
          <w:b/>
          <w:color w:val="000000"/>
          <w:sz w:val="32"/>
          <w:szCs w:val="32"/>
        </w:rPr>
        <w:t>（一）一般公共预算财政拨款支出决算总体情况</w:t>
      </w:r>
      <w:bookmarkEnd w:id="38"/>
      <w:bookmarkEnd w:id="39"/>
      <w:bookmarkEnd w:id="40"/>
    </w:p>
    <w:p>
      <w:pPr>
        <w:spacing w:line="600" w:lineRule="exact"/>
        <w:ind w:firstLine="640" w:firstLineChars="200"/>
        <w:outlineLvl w:val="1"/>
        <w:rPr>
          <w:rFonts w:hint="eastAsia" w:ascii="仿宋_GB2312" w:hAnsi="仿宋_GB2312" w:eastAsia="仿宋_GB2312" w:cs="仿宋_GB2312"/>
          <w:kern w:val="2"/>
          <w:sz w:val="32"/>
          <w:szCs w:val="32"/>
          <w:lang w:val="en-US" w:eastAsia="zh-CN" w:bidi="ar-SA"/>
        </w:rPr>
      </w:pPr>
      <w:bookmarkStart w:id="41" w:name="_Toc15377211"/>
      <w:bookmarkStart w:id="42" w:name="_Toc79163616"/>
      <w:bookmarkStart w:id="43" w:name="_Toc79163866"/>
      <w:r>
        <w:rPr>
          <w:rFonts w:hint="eastAsia" w:ascii="仿宋_GB2312" w:hAnsi="仿宋_GB2312" w:eastAsia="仿宋_GB2312" w:cs="仿宋_GB2312"/>
          <w:kern w:val="2"/>
          <w:sz w:val="32"/>
          <w:szCs w:val="32"/>
          <w:lang w:val="en-US" w:eastAsia="zh-CN" w:bidi="ar-SA"/>
        </w:rPr>
        <w:t xml:space="preserve">2022年一般公共预算财政拨款支出35.40万元，占本年支出合计的100.00%。与2021年相比，一般公共预算财政拨款支出增加35.40万元，增长0.00%。主要变动原因是2022年新设机构。        </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p>
    <w:p>
      <w:pPr>
        <w:spacing w:line="600" w:lineRule="exact"/>
        <w:ind w:firstLine="643" w:firstLineChars="200"/>
        <w:outlineLvl w:val="1"/>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1"/>
      <w:bookmarkEnd w:id="42"/>
      <w:bookmarkEnd w:id="43"/>
    </w:p>
    <w:p>
      <w:pPr>
        <w:pStyle w:val="20"/>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bookmarkStart w:id="44" w:name="_Toc79163867"/>
      <w:bookmarkStart w:id="45" w:name="_Toc15377212"/>
      <w:bookmarkStart w:id="46" w:name="_Toc79163617"/>
      <w:r>
        <w:rPr>
          <w:rFonts w:hint="eastAsia" w:ascii="仿宋_GB2312" w:hAnsi="仿宋_GB2312" w:eastAsia="仿宋_GB2312" w:cs="仿宋_GB2312"/>
          <w:sz w:val="32"/>
          <w:szCs w:val="32"/>
          <w:shd w:val="clear" w:fill="FFFFFF"/>
        </w:rPr>
        <w:t>2022年一般公共预算财政拨款支出35.40万元，主要用于以下方面</w:t>
      </w:r>
      <w:r>
        <w:rPr>
          <w:rFonts w:hint="eastAsia" w:ascii="仿宋_GB2312" w:hAnsi="仿宋_GB2312" w:eastAsia="仿宋_GB2312" w:cs="仿宋_GB2312"/>
          <w:sz w:val="32"/>
          <w:szCs w:val="32"/>
          <w:shd w:val="clear" w:fill="FFFFFF"/>
          <w:lang w:eastAsia="zh-CN"/>
        </w:rPr>
        <w:t>：</w:t>
      </w:r>
      <w:r>
        <w:rPr>
          <w:rStyle w:val="23"/>
          <w:rFonts w:hint="eastAsia" w:ascii="仿宋_GB2312" w:hAnsi="仿宋_GB2312" w:eastAsia="仿宋_GB2312" w:cs="仿宋_GB2312"/>
          <w:sz w:val="32"/>
          <w:szCs w:val="32"/>
          <w:shd w:val="clear" w:fill="FFFFFF"/>
        </w:rPr>
        <w:t>一般公共服务（类）</w:t>
      </w:r>
      <w:r>
        <w:rPr>
          <w:rFonts w:hint="eastAsia" w:ascii="仿宋_GB2312" w:hAnsi="仿宋_GB2312" w:eastAsia="仿宋_GB2312" w:cs="仿宋_GB2312"/>
          <w:sz w:val="32"/>
          <w:szCs w:val="32"/>
          <w:shd w:val="clear" w:fill="FFFFFF"/>
        </w:rPr>
        <w:t>支出27.33万元，占77.20%；</w:t>
      </w:r>
      <w:r>
        <w:rPr>
          <w:rStyle w:val="23"/>
          <w:rFonts w:hint="eastAsia" w:ascii="仿宋_GB2312" w:hAnsi="仿宋_GB2312" w:eastAsia="仿宋_GB2312" w:cs="仿宋_GB2312"/>
          <w:sz w:val="32"/>
          <w:szCs w:val="32"/>
          <w:shd w:val="clear" w:fill="FFFFFF"/>
        </w:rPr>
        <w:t>社会保障和就业（类）</w:t>
      </w:r>
      <w:r>
        <w:rPr>
          <w:rFonts w:hint="eastAsia" w:ascii="仿宋_GB2312" w:hAnsi="仿宋_GB2312" w:eastAsia="仿宋_GB2312" w:cs="仿宋_GB2312"/>
          <w:sz w:val="32"/>
          <w:szCs w:val="32"/>
          <w:shd w:val="clear" w:fill="FFFFFF"/>
        </w:rPr>
        <w:t>支出3.76万元，占10.62%；</w:t>
      </w:r>
      <w:r>
        <w:rPr>
          <w:rStyle w:val="23"/>
          <w:rFonts w:hint="eastAsia" w:ascii="仿宋_GB2312" w:hAnsi="仿宋_GB2312" w:eastAsia="仿宋_GB2312" w:cs="仿宋_GB2312"/>
          <w:sz w:val="32"/>
          <w:szCs w:val="32"/>
          <w:shd w:val="clear" w:fill="FFFFFF"/>
        </w:rPr>
        <w:t>卫生健康支出</w:t>
      </w:r>
      <w:r>
        <w:rPr>
          <w:rFonts w:hint="eastAsia" w:ascii="仿宋_GB2312" w:hAnsi="仿宋_GB2312" w:eastAsia="仿宋_GB2312" w:cs="仿宋_GB2312"/>
          <w:sz w:val="32"/>
          <w:szCs w:val="32"/>
          <w:shd w:val="clear" w:fill="FFFFFF"/>
        </w:rPr>
        <w:t>1.78万元，占5.03%；</w:t>
      </w:r>
      <w:r>
        <w:rPr>
          <w:rFonts w:hint="eastAsia" w:ascii="仿宋_GB2312" w:hAnsi="仿宋_GB2312" w:eastAsia="仿宋_GB2312" w:cs="仿宋_GB2312"/>
          <w:b/>
          <w:bCs/>
          <w:sz w:val="32"/>
          <w:szCs w:val="32"/>
          <w:shd w:val="clear" w:fill="FFFFFF"/>
        </w:rPr>
        <w:t>住房保障支出</w:t>
      </w:r>
      <w:r>
        <w:rPr>
          <w:rFonts w:hint="eastAsia" w:ascii="仿宋_GB2312" w:hAnsi="仿宋_GB2312" w:eastAsia="仿宋_GB2312" w:cs="仿宋_GB2312"/>
          <w:sz w:val="32"/>
          <w:szCs w:val="32"/>
          <w:shd w:val="clear" w:fill="FFFFFF"/>
        </w:rPr>
        <w:t>2.53万元，占7.15%</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pPr>
        <w:pStyle w:val="20"/>
        <w:keepNext w:val="0"/>
        <w:keepLines w:val="0"/>
        <w:widowControl/>
        <w:suppressLineNumbers w:val="0"/>
        <w:spacing w:before="0" w:beforeAutospacing="0"/>
        <w:ind w:firstLine="643" w:firstLineChars="200"/>
        <w:jc w:val="left"/>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4"/>
      <w:bookmarkEnd w:id="45"/>
      <w:bookmarkEnd w:id="46"/>
    </w:p>
    <w:p>
      <w:pPr>
        <w:spacing w:line="600" w:lineRule="exact"/>
        <w:ind w:firstLine="643" w:firstLineChars="200"/>
        <w:rPr>
          <w:rFonts w:ascii="仿宋_GB2312" w:eastAsia="仿宋_GB2312"/>
          <w:b/>
          <w:bCs/>
          <w:sz w:val="32"/>
          <w:szCs w:val="32"/>
        </w:rPr>
      </w:pPr>
      <w:bookmarkStart w:id="47" w:name="_Toc15378460"/>
      <w:bookmarkStart w:id="48" w:name="_Toc15377444"/>
      <w:bookmarkStart w:id="49" w:name="_Toc15377213"/>
      <w:r>
        <w:rPr>
          <w:rFonts w:ascii="仿宋_GB2312" w:eastAsia="仿宋_GB2312"/>
          <w:b/>
          <w:bCs/>
          <w:sz w:val="32"/>
          <w:szCs w:val="32"/>
        </w:rPr>
        <w:t>202</w:t>
      </w:r>
      <w:r>
        <w:rPr>
          <w:rFonts w:hint="eastAsia" w:ascii="仿宋_GB2312" w:eastAsia="仿宋_GB2312"/>
          <w:b/>
          <w:bCs/>
          <w:sz w:val="32"/>
          <w:szCs w:val="32"/>
          <w:lang w:val="en-US" w:eastAsia="zh-CN"/>
        </w:rPr>
        <w:t>2</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35.4万元</w:t>
      </w:r>
      <w:r>
        <w:rPr>
          <w:rFonts w:hint="eastAsia" w:ascii="仿宋_GB2312" w:eastAsia="仿宋_GB2312"/>
          <w:b/>
          <w:bCs/>
          <w:sz w:val="32"/>
          <w:szCs w:val="32"/>
        </w:rPr>
        <w:t>，完成预算100</w:t>
      </w:r>
      <w:r>
        <w:rPr>
          <w:rFonts w:ascii="仿宋_GB2312" w:eastAsia="仿宋_GB2312"/>
          <w:b/>
          <w:bCs/>
          <w:sz w:val="32"/>
          <w:szCs w:val="32"/>
        </w:rPr>
        <w:t>%</w:t>
      </w:r>
      <w:r>
        <w:rPr>
          <w:rFonts w:hint="eastAsia" w:ascii="仿宋_GB2312" w:eastAsia="仿宋_GB2312"/>
          <w:b/>
          <w:bCs/>
          <w:sz w:val="32"/>
          <w:szCs w:val="32"/>
        </w:rPr>
        <w:t>。其中：</w:t>
      </w:r>
      <w:bookmarkEnd w:id="47"/>
      <w:bookmarkEnd w:id="48"/>
      <w:bookmarkEnd w:id="49"/>
    </w:p>
    <w:p>
      <w:pPr>
        <w:numPr>
          <w:ilvl w:val="0"/>
          <w:numId w:val="2"/>
        </w:numPr>
        <w:spacing w:line="600" w:lineRule="exact"/>
        <w:ind w:firstLine="643" w:firstLineChars="200"/>
        <w:rPr>
          <w:rStyle w:val="23"/>
          <w:rFonts w:ascii="仿宋" w:hAnsi="仿宋" w:eastAsia="仿宋"/>
          <w:b w:val="0"/>
          <w:bCs/>
          <w:color w:val="000000"/>
          <w:sz w:val="32"/>
          <w:szCs w:val="32"/>
        </w:rPr>
      </w:pPr>
      <w:r>
        <w:rPr>
          <w:rStyle w:val="23"/>
          <w:rFonts w:hint="eastAsia" w:ascii="仿宋" w:hAnsi="仿宋" w:eastAsia="仿宋"/>
          <w:bCs/>
          <w:color w:val="000000"/>
          <w:sz w:val="32"/>
          <w:szCs w:val="32"/>
        </w:rPr>
        <w:t>一般公共服务（类）201（款）01（项）</w:t>
      </w:r>
      <w:r>
        <w:rPr>
          <w:rStyle w:val="23"/>
          <w:rFonts w:hint="eastAsia" w:ascii="仿宋" w:hAnsi="仿宋" w:eastAsia="仿宋"/>
          <w:bCs/>
          <w:color w:val="000000"/>
          <w:sz w:val="32"/>
          <w:szCs w:val="32"/>
          <w:lang w:eastAsia="zh-CN"/>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27.33</w:t>
      </w:r>
      <w:r>
        <w:rPr>
          <w:rStyle w:val="23"/>
          <w:rFonts w:hint="eastAsia" w:ascii="仿宋" w:hAnsi="仿宋" w:eastAsia="仿宋"/>
          <w:b w:val="0"/>
          <w:bCs/>
          <w:color w:val="000000"/>
          <w:sz w:val="32"/>
          <w:szCs w:val="32"/>
        </w:rPr>
        <w:t>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numPr>
          <w:ilvl w:val="0"/>
          <w:numId w:val="2"/>
        </w:num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rPr>
        <w:t>社会保障和就业（类）208（款）05（项）</w:t>
      </w:r>
      <w:r>
        <w:rPr>
          <w:rStyle w:val="23"/>
          <w:rFonts w:hint="eastAsia" w:ascii="仿宋" w:hAnsi="仿宋" w:eastAsia="仿宋"/>
          <w:bCs/>
          <w:color w:val="000000"/>
          <w:sz w:val="32"/>
          <w:szCs w:val="32"/>
          <w:lang w:eastAsia="zh-CN"/>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3.76</w:t>
      </w:r>
      <w:r>
        <w:rPr>
          <w:rStyle w:val="23"/>
          <w:rFonts w:hint="eastAsia" w:ascii="仿宋" w:hAnsi="仿宋" w:eastAsia="仿宋"/>
          <w:b w:val="0"/>
          <w:bCs/>
          <w:color w:val="000000"/>
          <w:sz w:val="32"/>
          <w:szCs w:val="32"/>
        </w:rPr>
        <w:t>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numPr>
          <w:ilvl w:val="0"/>
          <w:numId w:val="3"/>
        </w:numPr>
        <w:spacing w:line="600" w:lineRule="exact"/>
        <w:ind w:firstLine="643" w:firstLineChars="200"/>
        <w:rPr>
          <w:rStyle w:val="23"/>
          <w:rFonts w:ascii="仿宋" w:hAnsi="仿宋" w:eastAsia="仿宋"/>
          <w:b w:val="0"/>
          <w:bCs/>
          <w:color w:val="000000"/>
          <w:sz w:val="32"/>
          <w:szCs w:val="32"/>
        </w:rPr>
      </w:pP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（类）210（款）11（项）</w:t>
      </w:r>
      <w:r>
        <w:rPr>
          <w:rStyle w:val="23"/>
          <w:rFonts w:hint="eastAsia" w:ascii="仿宋" w:hAnsi="仿宋" w:eastAsia="仿宋"/>
          <w:bCs/>
          <w:color w:val="000000"/>
          <w:sz w:val="32"/>
          <w:szCs w:val="32"/>
          <w:lang w:eastAsia="zh-CN"/>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1.78</w:t>
      </w:r>
      <w:r>
        <w:rPr>
          <w:rStyle w:val="23"/>
          <w:rFonts w:hint="eastAsia" w:ascii="仿宋" w:hAnsi="仿宋" w:eastAsia="仿宋"/>
          <w:b w:val="0"/>
          <w:bCs/>
          <w:color w:val="000000"/>
          <w:sz w:val="32"/>
          <w:szCs w:val="32"/>
        </w:rPr>
        <w:t>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numPr>
          <w:ilvl w:val="0"/>
          <w:numId w:val="3"/>
        </w:num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rPr>
        <w:t>住房保障（类）221（款）02（项）</w:t>
      </w:r>
      <w:r>
        <w:rPr>
          <w:rStyle w:val="23"/>
          <w:rFonts w:hint="eastAsia" w:ascii="仿宋" w:hAnsi="仿宋" w:eastAsia="仿宋"/>
          <w:bCs/>
          <w:color w:val="000000"/>
          <w:sz w:val="32"/>
          <w:szCs w:val="32"/>
          <w:lang w:eastAsia="zh-CN"/>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2.53</w:t>
      </w:r>
      <w:r>
        <w:rPr>
          <w:rStyle w:val="23"/>
          <w:rFonts w:hint="eastAsia" w:ascii="仿宋" w:hAnsi="仿宋" w:eastAsia="仿宋"/>
          <w:b w:val="0"/>
          <w:bCs/>
          <w:color w:val="000000"/>
          <w:sz w:val="32"/>
          <w:szCs w:val="32"/>
        </w:rPr>
        <w:t>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tabs>
          <w:tab w:val="right" w:pos="8306"/>
        </w:tabs>
        <w:spacing w:line="600" w:lineRule="exact"/>
        <w:ind w:firstLine="640" w:firstLineChars="200"/>
        <w:outlineLvl w:val="1"/>
        <w:rPr>
          <w:rStyle w:val="26"/>
        </w:rPr>
      </w:pPr>
      <w:bookmarkStart w:id="50" w:name="_Toc79163868"/>
      <w:bookmarkStart w:id="51" w:name="_Toc79163618"/>
      <w:bookmarkStart w:id="52" w:name="_Toc15396608"/>
      <w:bookmarkStart w:id="5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50"/>
      <w:bookmarkEnd w:id="51"/>
      <w:bookmarkEnd w:id="52"/>
      <w:bookmarkEnd w:id="53"/>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35.4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33.8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54" w:name="_Toc79163619"/>
      <w:bookmarkStart w:id="55" w:name="_Toc15396609"/>
      <w:bookmarkStart w:id="56" w:name="_Toc79163869"/>
      <w:bookmarkStart w:id="57"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4"/>
      <w:bookmarkEnd w:id="55"/>
      <w:bookmarkEnd w:id="56"/>
      <w:bookmarkEnd w:id="57"/>
    </w:p>
    <w:p>
      <w:pPr>
        <w:spacing w:line="600" w:lineRule="exact"/>
        <w:ind w:firstLine="640"/>
        <w:outlineLvl w:val="2"/>
        <w:rPr>
          <w:rFonts w:ascii="仿宋" w:hAnsi="仿宋" w:eastAsia="仿宋"/>
          <w:b/>
          <w:color w:val="000000"/>
          <w:sz w:val="32"/>
          <w:szCs w:val="32"/>
        </w:rPr>
      </w:pPr>
      <w:bookmarkStart w:id="58" w:name="_Toc15377216"/>
      <w:bookmarkStart w:id="59" w:name="_Toc79163620"/>
      <w:bookmarkStart w:id="60" w:name="_Toc79163870"/>
      <w:r>
        <w:rPr>
          <w:rFonts w:hint="eastAsia" w:ascii="仿宋" w:hAnsi="仿宋" w:eastAsia="仿宋"/>
          <w:b/>
          <w:color w:val="000000"/>
          <w:sz w:val="32"/>
          <w:szCs w:val="32"/>
        </w:rPr>
        <w:t>（一）“三公”经费财政拨款支出决算总体情况说明</w:t>
      </w:r>
      <w:bookmarkEnd w:id="58"/>
      <w:bookmarkEnd w:id="59"/>
      <w:bookmarkEnd w:id="60"/>
    </w:p>
    <w:p>
      <w:pPr>
        <w:spacing w:line="600" w:lineRule="exact"/>
        <w:ind w:firstLine="640"/>
        <w:outlineLvl w:val="2"/>
        <w:rPr>
          <w:rFonts w:hint="eastAsia"/>
        </w:rPr>
      </w:pPr>
      <w:bookmarkStart w:id="61" w:name="_Toc79163621"/>
      <w:bookmarkStart w:id="62" w:name="_Toc15377217"/>
      <w:bookmarkStart w:id="63" w:name="_Toc79163871"/>
      <w:r>
        <w:rPr>
          <w:rFonts w:hint="eastAsia" w:ascii="仿宋" w:hAnsi="仿宋" w:eastAsia="仿宋"/>
          <w:color w:val="000000"/>
          <w:sz w:val="32"/>
          <w:szCs w:val="32"/>
        </w:rPr>
        <w:t xml:space="preserve"> 2022年“三公”经费财政拨款支出决算为</w:t>
      </w:r>
      <w:r>
        <w:rPr>
          <w:rFonts w:hint="eastAsia" w:ascii="仿宋" w:hAnsi="仿宋" w:eastAsia="仿宋"/>
          <w:color w:val="000000"/>
          <w:sz w:val="32"/>
          <w:szCs w:val="32"/>
          <w:lang w:val="en-US" w:eastAsia="zh-CN"/>
        </w:rPr>
        <w:t>0.02</w:t>
      </w:r>
      <w:r>
        <w:rPr>
          <w:rFonts w:hint="eastAsia" w:ascii="仿宋" w:hAnsi="仿宋" w:eastAsia="仿宋"/>
          <w:color w:val="000000"/>
          <w:sz w:val="32"/>
          <w:szCs w:val="32"/>
        </w:rPr>
        <w:t>万元，完成预算100.00%，决算数与预算数持平。</w:t>
      </w:r>
      <w:r>
        <w:rPr>
          <w:rFonts w:hint="eastAsia"/>
        </w:rPr>
        <w:tab/>
      </w:r>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61"/>
      <w:bookmarkEnd w:id="62"/>
      <w:bookmarkEnd w:id="63"/>
    </w:p>
    <w:p>
      <w:pPr>
        <w:spacing w:line="600" w:lineRule="exact"/>
        <w:ind w:firstLine="640"/>
        <w:outlineLvl w:val="2"/>
        <w:rPr>
          <w:rFonts w:hint="eastAsia" w:ascii="仿宋" w:hAnsi="仿宋" w:eastAsia="仿宋"/>
          <w:color w:val="000000"/>
          <w:sz w:val="32"/>
          <w:szCs w:val="32"/>
        </w:rPr>
      </w:pPr>
      <w:r>
        <w:rPr>
          <w:rFonts w:hint="eastAsia"/>
        </w:rPr>
        <w:t xml:space="preserve"> </w:t>
      </w:r>
      <w:r>
        <w:rPr>
          <w:rFonts w:hint="eastAsia" w:ascii="仿宋" w:hAnsi="仿宋" w:eastAsia="仿宋"/>
          <w:color w:val="000000"/>
          <w:sz w:val="32"/>
          <w:szCs w:val="32"/>
        </w:rPr>
        <w:t xml:space="preserve"> 2022年“三公”经费财政拨款支出决算中，因公出国（境）费支出决算0.00万元，占0.00%；公务用车购置及运行维护费支出决算</w:t>
      </w:r>
      <w:r>
        <w:rPr>
          <w:rFonts w:hint="eastAsia" w:ascii="仿宋" w:hAnsi="仿宋" w:eastAsia="仿宋"/>
          <w:color w:val="000000"/>
          <w:sz w:val="32"/>
          <w:szCs w:val="32"/>
          <w:lang w:val="en-US" w:eastAsia="zh-CN"/>
        </w:rPr>
        <w:t>0.00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0.00</w:t>
      </w:r>
      <w:r>
        <w:rPr>
          <w:rFonts w:hint="eastAsia" w:ascii="仿宋" w:hAnsi="仿宋" w:eastAsia="仿宋"/>
          <w:color w:val="000000"/>
          <w:sz w:val="32"/>
          <w:szCs w:val="32"/>
        </w:rPr>
        <w:t>%；公务接待费支出决算0.</w:t>
      </w:r>
      <w:r>
        <w:rPr>
          <w:rFonts w:hint="eastAsia" w:ascii="仿宋" w:hAnsi="仿宋" w:eastAsia="仿宋"/>
          <w:color w:val="000000"/>
          <w:sz w:val="32"/>
          <w:szCs w:val="32"/>
          <w:lang w:val="en-US" w:eastAsia="zh-CN"/>
        </w:rPr>
        <w:t>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p>
    <w:p>
      <w:pPr>
        <w:pStyle w:val="20"/>
        <w:keepNext w:val="0"/>
        <w:keepLines w:val="0"/>
        <w:widowControl/>
        <w:numPr>
          <w:ilvl w:val="0"/>
          <w:numId w:val="4"/>
        </w:numPr>
        <w:suppressLineNumbers w:val="0"/>
        <w:spacing w:before="0" w:beforeAutospacing="0"/>
        <w:ind w:left="160" w:leftChars="0" w:firstLine="0" w:firstLineChars="0"/>
        <w:jc w:val="left"/>
        <w:rPr>
          <w:rFonts w:hint="eastAsia" w:ascii="仿宋" w:hAnsi="仿宋" w:eastAsia="仿宋"/>
          <w:color w:val="000000"/>
          <w:sz w:val="32"/>
          <w:szCs w:val="32"/>
        </w:rPr>
      </w:pPr>
      <w:r>
        <w:rPr>
          <w:rFonts w:hint="eastAsia" w:ascii="仿宋" w:hAnsi="仿宋" w:eastAsia="仿宋"/>
          <w:color w:val="000000"/>
          <w:sz w:val="32"/>
          <w:szCs w:val="32"/>
        </w:rPr>
        <w:t>因公出国（境）经费支出0.00万元，完成预算0.00%。全年安排因公出国（境）团组0次，出国（境）0人。因公出国（境）支出决算比2021年增加0.00万元，增长0.00%。</w:t>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 xml:space="preserve"> 2.公务用车购置及运行维护费支出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，无公务用车。</w:t>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 xml:space="preserve">  3.</w:t>
      </w:r>
      <w:r>
        <w:rPr>
          <w:rFonts w:hint="eastAsia" w:ascii="仿宋" w:hAnsi="仿宋" w:eastAsia="仿宋"/>
          <w:color w:val="000000"/>
          <w:sz w:val="32"/>
          <w:szCs w:val="32"/>
        </w:rPr>
        <w:t>公务接待费支出0.02万元，完成预算100%。公务接待费支出决算比2021年增加0.02万元，增长0.00%。主要原因是</w:t>
      </w:r>
      <w:r>
        <w:rPr>
          <w:rFonts w:hint="eastAsia" w:ascii="仿宋" w:hAnsi="仿宋" w:eastAsia="仿宋"/>
          <w:color w:val="000000"/>
          <w:sz w:val="32"/>
          <w:szCs w:val="32"/>
          <w:lang w:eastAsia="zh-CN"/>
        </w:rPr>
        <w:t>新设机构</w:t>
      </w:r>
      <w:r>
        <w:rPr>
          <w:rFonts w:hint="eastAsia" w:ascii="仿宋" w:hAnsi="仿宋" w:eastAsia="仿宋"/>
          <w:color w:val="000000"/>
          <w:sz w:val="32"/>
          <w:szCs w:val="32"/>
        </w:rPr>
        <w:t>。其中：国内公务接待支出0.02万元，主要用于开展业务活动开支用餐费等。国内公务接待1批次，3人次（不包括陪同人员），共计支出0.02万元。</w:t>
      </w:r>
    </w:p>
    <w:p>
      <w:pPr>
        <w:pStyle w:val="20"/>
        <w:keepNext w:val="0"/>
        <w:keepLines w:val="0"/>
        <w:widowControl/>
        <w:numPr>
          <w:ilvl w:val="0"/>
          <w:numId w:val="0"/>
        </w:numPr>
        <w:suppressLineNumbers w:val="0"/>
        <w:spacing w:before="0" w:beforeAutospacing="0"/>
        <w:ind w:left="160" w:leftChars="0" w:firstLine="320" w:firstLineChars="100"/>
        <w:jc w:val="left"/>
        <w:rPr>
          <w:rFonts w:ascii="仿宋_GB2312" w:eastAsia="仿宋_GB2312"/>
          <w:color w:val="000000"/>
          <w:sz w:val="32"/>
          <w:szCs w:val="32"/>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外事接待支出0.00万元，外事接待0批次，0人，共计支出0.00万元。 </w:t>
      </w:r>
      <w:r>
        <w:rPr>
          <w:rFonts w:hint="eastAsia" w:ascii="仿宋" w:hAnsi="仿宋" w:eastAsia="仿宋"/>
          <w:color w:val="000000"/>
          <w:sz w:val="32"/>
          <w:szCs w:val="32"/>
        </w:rPr>
        <w:tab/>
      </w:r>
      <w:r>
        <w:rPr>
          <w:rFonts w:hint="eastAsia"/>
        </w:rPr>
        <w:tab/>
      </w:r>
      <w:r>
        <w:rPr>
          <w:rFonts w:hint="eastAsia"/>
        </w:rPr>
        <w:tab/>
      </w:r>
    </w:p>
    <w:p>
      <w:pPr>
        <w:spacing w:line="600" w:lineRule="exact"/>
        <w:ind w:firstLine="640"/>
        <w:outlineLvl w:val="1"/>
        <w:rPr>
          <w:rStyle w:val="26"/>
          <w:rFonts w:ascii="黑体" w:hAnsi="黑体" w:eastAsia="黑体"/>
        </w:rPr>
      </w:pPr>
      <w:bookmarkStart w:id="64" w:name="_Toc15396610"/>
      <w:bookmarkStart w:id="65" w:name="_Toc79163872"/>
      <w:bookmarkStart w:id="66" w:name="_Toc15377218"/>
      <w:bookmarkStart w:id="67" w:name="_Toc79163622"/>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64"/>
      <w:bookmarkEnd w:id="65"/>
      <w:bookmarkEnd w:id="66"/>
      <w:bookmarkEnd w:id="6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年政府性基金预算拨款支出0万元。</w:t>
      </w:r>
    </w:p>
    <w:p>
      <w:pPr>
        <w:numPr>
          <w:ilvl w:val="0"/>
          <w:numId w:val="5"/>
        </w:numPr>
        <w:spacing w:line="600" w:lineRule="exact"/>
        <w:ind w:firstLine="640"/>
        <w:outlineLvl w:val="1"/>
        <w:rPr>
          <w:rStyle w:val="26"/>
          <w:rFonts w:ascii="黑体" w:hAnsi="黑体" w:eastAsia="黑体"/>
          <w:b w:val="0"/>
        </w:rPr>
      </w:pPr>
      <w:bookmarkStart w:id="68" w:name="_Toc15377219"/>
      <w:bookmarkStart w:id="69" w:name="_Toc79163873"/>
      <w:bookmarkStart w:id="70" w:name="_Toc79163623"/>
      <w:bookmarkStart w:id="71" w:name="_Toc15396611"/>
      <w:r>
        <w:rPr>
          <w:rStyle w:val="26"/>
          <w:rFonts w:hint="eastAsia" w:ascii="黑体" w:hAnsi="黑体" w:eastAsia="黑体"/>
          <w:b w:val="0"/>
        </w:rPr>
        <w:t>国有资本经营预算支出决算情况说明</w:t>
      </w:r>
      <w:bookmarkEnd w:id="68"/>
      <w:bookmarkEnd w:id="69"/>
      <w:bookmarkEnd w:id="70"/>
      <w:bookmarkEnd w:id="71"/>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年国有资本经营预算拨款支出0万元。</w:t>
      </w:r>
    </w:p>
    <w:p>
      <w:pPr>
        <w:spacing w:line="600" w:lineRule="exact"/>
        <w:ind w:firstLine="800" w:firstLineChars="250"/>
        <w:outlineLvl w:val="1"/>
        <w:rPr>
          <w:rStyle w:val="26"/>
          <w:rFonts w:ascii="黑体" w:hAnsi="黑体" w:eastAsia="黑体"/>
          <w:color w:val="auto"/>
        </w:rPr>
      </w:pPr>
      <w:bookmarkStart w:id="72" w:name="_Toc79163624"/>
      <w:bookmarkStart w:id="73" w:name="_Toc79163874"/>
      <w:bookmarkStart w:id="74" w:name="_Toc15377221"/>
      <w:bookmarkStart w:id="75" w:name="_Toc15396612"/>
      <w:r>
        <w:rPr>
          <w:rFonts w:hint="eastAsia" w:ascii="黑体" w:hAnsi="黑体" w:eastAsia="黑体"/>
          <w:color w:val="auto"/>
          <w:sz w:val="32"/>
          <w:szCs w:val="32"/>
        </w:rPr>
        <w:t>十</w:t>
      </w:r>
      <w:r>
        <w:rPr>
          <w:rStyle w:val="26"/>
          <w:rFonts w:hint="eastAsia" w:ascii="黑体" w:hAnsi="黑体" w:eastAsia="黑体"/>
          <w:color w:val="auto"/>
        </w:rPr>
        <w:t>、</w:t>
      </w:r>
      <w:r>
        <w:rPr>
          <w:rStyle w:val="26"/>
          <w:rFonts w:hint="eastAsia" w:ascii="黑体" w:hAnsi="黑体" w:eastAsia="黑体"/>
          <w:b w:val="0"/>
          <w:color w:val="auto"/>
        </w:rPr>
        <w:t>其他重要事项的情况说明</w:t>
      </w:r>
      <w:bookmarkEnd w:id="72"/>
      <w:bookmarkEnd w:id="73"/>
      <w:bookmarkEnd w:id="74"/>
      <w:bookmarkEnd w:id="75"/>
    </w:p>
    <w:p>
      <w:pPr>
        <w:spacing w:line="600" w:lineRule="exact"/>
        <w:ind w:firstLine="643" w:firstLineChars="200"/>
        <w:outlineLvl w:val="2"/>
        <w:rPr>
          <w:rFonts w:ascii="仿宋" w:hAnsi="仿宋" w:eastAsia="仿宋"/>
          <w:color w:val="auto"/>
          <w:sz w:val="32"/>
          <w:szCs w:val="32"/>
        </w:rPr>
      </w:pPr>
      <w:bookmarkStart w:id="76" w:name="_Toc15377222"/>
      <w:bookmarkStart w:id="77" w:name="_Toc79163875"/>
      <w:bookmarkStart w:id="78" w:name="_Toc79163625"/>
      <w:r>
        <w:rPr>
          <w:rFonts w:hint="eastAsia" w:ascii="仿宋" w:hAnsi="仿宋" w:eastAsia="仿宋"/>
          <w:b/>
          <w:color w:val="auto"/>
          <w:sz w:val="32"/>
          <w:szCs w:val="32"/>
        </w:rPr>
        <w:t>（一）机关运行经费支出情况</w:t>
      </w:r>
      <w:bookmarkEnd w:id="76"/>
      <w:bookmarkEnd w:id="77"/>
      <w:bookmarkEnd w:id="78"/>
    </w:p>
    <w:p>
      <w:pPr>
        <w:spacing w:line="600" w:lineRule="exact"/>
        <w:ind w:firstLine="640"/>
        <w:rPr>
          <w:rFonts w:hint="eastAsia" w:ascii="仿宋_GB2312" w:eastAsia="仿宋_GB2312"/>
          <w:color w:val="000000"/>
          <w:sz w:val="32"/>
          <w:szCs w:val="32"/>
          <w:lang w:eastAsia="zh-CN"/>
        </w:rPr>
      </w:pPr>
      <w:bookmarkStart w:id="79" w:name="_Toc15377223"/>
      <w:bookmarkStart w:id="80" w:name="_Toc79163876"/>
      <w:bookmarkStart w:id="81" w:name="_Toc79163626"/>
      <w:r>
        <w:rPr>
          <w:rFonts w:hint="eastAsia" w:ascii="仿宋_GB2312" w:eastAsia="仿宋_GB2312"/>
          <w:color w:val="000000"/>
          <w:sz w:val="32"/>
          <w:szCs w:val="32"/>
        </w:rPr>
        <w:t>2022年，阿坝州松潘县人大预算联网中心机关运行经费支出0.00万元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（二）政府采购支出情况</w:t>
      </w:r>
      <w:bookmarkEnd w:id="79"/>
      <w:bookmarkEnd w:id="80"/>
      <w:bookmarkEnd w:id="81"/>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 xml:space="preserve"> 2022年，阿坝州松潘县人大预算联网中心政府采购支出总额0.00万元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82" w:name="_Toc79163627"/>
      <w:bookmarkStart w:id="83" w:name="_Toc15377224"/>
      <w:bookmarkStart w:id="84" w:name="_Toc79163877"/>
      <w:r>
        <w:rPr>
          <w:rFonts w:hint="eastAsia" w:ascii="仿宋" w:hAnsi="仿宋" w:eastAsia="仿宋"/>
          <w:b/>
          <w:color w:val="auto"/>
          <w:sz w:val="32"/>
          <w:szCs w:val="32"/>
        </w:rPr>
        <w:t>（三）国有资产占有使用情况</w:t>
      </w:r>
      <w:bookmarkEnd w:id="82"/>
      <w:bookmarkEnd w:id="83"/>
      <w:bookmarkEnd w:id="84"/>
    </w:p>
    <w:p>
      <w:pPr>
        <w:autoSpaceDE w:val="0"/>
        <w:autoSpaceDN w:val="0"/>
        <w:adjustRightInd w:val="0"/>
        <w:spacing w:line="600" w:lineRule="exact"/>
        <w:ind w:firstLine="640" w:firstLineChars="200"/>
        <w:jc w:val="left"/>
        <w:outlineLvl w:val="2"/>
        <w:rPr>
          <w:rFonts w:hint="eastAsia" w:ascii="仿宋_GB2312" w:eastAsia="仿宋_GB2312"/>
          <w:color w:val="000000"/>
          <w:sz w:val="32"/>
          <w:szCs w:val="32"/>
        </w:rPr>
      </w:pPr>
      <w:bookmarkStart w:id="85" w:name="_Toc79163628"/>
      <w:bookmarkStart w:id="86" w:name="_Toc79163878"/>
      <w:r>
        <w:rPr>
          <w:rFonts w:hint="eastAsia" w:ascii="仿宋_GB2312" w:eastAsia="仿宋_GB2312"/>
          <w:color w:val="000000"/>
          <w:sz w:val="32"/>
          <w:szCs w:val="32"/>
        </w:rPr>
        <w:t>截至2022年12月31日，阿坝州松潘县人大预算联网中心共有车辆0辆</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bookmarkEnd w:id="85"/>
      <w:bookmarkEnd w:id="86"/>
    </w:p>
    <w:p>
      <w:pPr>
        <w:pStyle w:val="20"/>
        <w:spacing w:before="0" w:beforeAutospacing="0" w:after="0" w:afterAutospacing="0" w:line="576" w:lineRule="exact"/>
        <w:ind w:firstLine="640" w:firstLineChars="200"/>
        <w:rPr>
          <w:rFonts w:ascii="仿宋" w:hAnsi="仿宋" w:eastAsia="仿宋" w:cs="仿宋"/>
          <w:color w:val="000000"/>
          <w:sz w:val="32"/>
          <w:szCs w:val="32"/>
        </w:rPr>
      </w:pPr>
      <w:r>
        <w:rPr>
          <w:rFonts w:hint="eastAsia" w:ascii="仿宋_GB2312" w:hAnsi="仿宋_GB2312" w:eastAsia="仿宋_GB2312" w:cs="仿宋_GB2312"/>
          <w:sz w:val="32"/>
          <w:szCs w:val="32"/>
        </w:rPr>
        <w:t>根据预算绩效管理要求，本部门按要求对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年部门整体支出开展绩效自评，从评价情况来看</w:t>
      </w:r>
      <w:r>
        <w:rPr>
          <w:rFonts w:hint="eastAsia" w:ascii="仿宋" w:hAnsi="仿宋" w:eastAsia="仿宋" w:cs="仿宋"/>
          <w:sz w:val="28"/>
          <w:szCs w:val="28"/>
        </w:rPr>
        <w:t>我单位无政府性债务及非税收收入。</w:t>
      </w:r>
      <w:r>
        <w:rPr>
          <w:rFonts w:hint="eastAsia" w:ascii="仿宋" w:hAnsi="仿宋" w:eastAsia="仿宋" w:cs="仿宋"/>
          <w:sz w:val="32"/>
          <w:szCs w:val="32"/>
        </w:rPr>
        <w:t>政府采购严格按照相关采购规定执行。资产管理严格按照资产管理制度执行，</w:t>
      </w:r>
      <w:r>
        <w:rPr>
          <w:rFonts w:hint="eastAsia" w:ascii="仿宋" w:hAnsi="仿宋" w:eastAsia="仿宋" w:cs="仿宋"/>
          <w:color w:val="000000"/>
          <w:sz w:val="32"/>
          <w:szCs w:val="32"/>
        </w:rPr>
        <w:t>严格执行</w:t>
      </w:r>
      <w:r>
        <w:rPr>
          <w:rFonts w:hint="eastAsia" w:ascii="仿宋" w:hAnsi="仿宋" w:eastAsia="仿宋" w:cs="仿宋"/>
          <w:color w:val="000000"/>
          <w:sz w:val="32"/>
          <w:szCs w:val="32"/>
          <w:lang w:eastAsia="zh-CN"/>
        </w:rPr>
        <w:t>法律法规</w:t>
      </w:r>
      <w:r>
        <w:rPr>
          <w:rFonts w:hint="eastAsia" w:ascii="仿宋" w:hAnsi="仿宋" w:eastAsia="仿宋" w:cs="仿宋"/>
          <w:color w:val="000000"/>
          <w:sz w:val="32"/>
          <w:szCs w:val="32"/>
        </w:rPr>
        <w:t>和有关规章制度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与行政单位履行职能需要相适应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科学合理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充分发挥资产使用效益</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勤俭节约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从严控制。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本部门无专项预算项目，因此本部门未组织开展项目支出绩效评价。</w:t>
      </w:r>
    </w:p>
    <w:p>
      <w:pPr>
        <w:spacing w:line="58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年部门整体支出绩效评价情况开展自评，《松潘县</w:t>
      </w:r>
      <w:r>
        <w:rPr>
          <w:rFonts w:hint="eastAsia" w:ascii="仿宋_GB2312" w:hAnsi="仿宋_GB2312" w:eastAsia="仿宋_GB2312" w:cs="仿宋_GB2312"/>
          <w:sz w:val="32"/>
          <w:szCs w:val="32"/>
          <w:lang w:eastAsia="zh-CN"/>
        </w:rPr>
        <w:t>人大预算联网中心</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0" w:firstLineChars="150"/>
        <w:jc w:val="center"/>
        <w:outlineLvl w:val="0"/>
        <w:rPr>
          <w:rStyle w:val="25"/>
          <w:rFonts w:ascii="黑体" w:hAnsi="黑体" w:eastAsia="黑体"/>
          <w:b w:val="0"/>
        </w:rPr>
      </w:pPr>
      <w:bookmarkStart w:id="87" w:name="_Toc15396613"/>
      <w:bookmarkStart w:id="88" w:name="_Toc15377225"/>
      <w:bookmarkStart w:id="89" w:name="_Toc79163629"/>
      <w:bookmarkStart w:id="90" w:name="_Toc79163879"/>
      <w:r>
        <w:rPr>
          <w:rFonts w:hint="eastAsia" w:ascii="黑体" w:hAnsi="黑体" w:eastAsia="黑体"/>
          <w:color w:val="000000"/>
          <w:sz w:val="44"/>
          <w:szCs w:val="44"/>
        </w:rPr>
        <w:t>名</w:t>
      </w:r>
      <w:r>
        <w:rPr>
          <w:rStyle w:val="25"/>
          <w:rFonts w:hint="eastAsia" w:ascii="黑体" w:hAnsi="黑体" w:eastAsia="黑体"/>
          <w:b w:val="0"/>
        </w:rPr>
        <w:t>词解释</w:t>
      </w:r>
      <w:bookmarkEnd w:id="87"/>
      <w:bookmarkEnd w:id="88"/>
      <w:bookmarkEnd w:id="89"/>
      <w:bookmarkEnd w:id="90"/>
    </w:p>
    <w:p>
      <w:pPr>
        <w:spacing w:line="600" w:lineRule="exact"/>
        <w:jc w:val="left"/>
        <w:rPr>
          <w:rFonts w:ascii="宋体"/>
          <w:b/>
          <w:color w:val="000000"/>
          <w:sz w:val="44"/>
          <w:szCs w:val="44"/>
        </w:rPr>
      </w:pP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w:t>
      </w:r>
      <w:r>
        <w:rPr>
          <w:rFonts w:hint="eastAsia" w:ascii="仿宋" w:hAnsi="仿宋" w:eastAsia="仿宋"/>
          <w:b/>
          <w:color w:val="000000"/>
          <w:sz w:val="32"/>
          <w:szCs w:val="32"/>
          <w:lang w:val="en-US" w:eastAsia="zh-CN"/>
        </w:rPr>
        <w:t>1</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35"/>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91" w:name="_Toc15377226"/>
      <w:r>
        <w:rPr>
          <w:rFonts w:ascii="宋体"/>
          <w:b/>
          <w:color w:val="000000"/>
          <w:sz w:val="44"/>
          <w:szCs w:val="44"/>
        </w:rPr>
        <w:br w:type="page"/>
      </w:r>
      <w:bookmarkStart w:id="92" w:name="_Toc79163630"/>
      <w:bookmarkStart w:id="93" w:name="_Toc79163880"/>
      <w:bookmarkStart w:id="94" w:name="_Toc15396614"/>
      <w:r>
        <w:rPr>
          <w:rFonts w:hint="eastAsia" w:ascii="黑体" w:hAnsi="黑体" w:eastAsia="黑体"/>
          <w:color w:val="000000"/>
          <w:sz w:val="44"/>
          <w:szCs w:val="44"/>
        </w:rPr>
        <w:t>第</w:t>
      </w:r>
      <w:r>
        <w:rPr>
          <w:rStyle w:val="25"/>
          <w:rFonts w:hint="eastAsia" w:ascii="黑体" w:hAnsi="黑体" w:eastAsia="黑体"/>
          <w:b w:val="0"/>
        </w:rPr>
        <w:t>四部分</w:t>
      </w:r>
      <w:r>
        <w:rPr>
          <w:rStyle w:val="25"/>
          <w:rFonts w:ascii="黑体" w:hAnsi="黑体" w:eastAsia="黑体"/>
          <w:b w:val="0"/>
        </w:rPr>
        <w:t xml:space="preserve"> </w:t>
      </w:r>
      <w:r>
        <w:rPr>
          <w:rStyle w:val="25"/>
          <w:rFonts w:hint="eastAsia" w:ascii="黑体" w:hAnsi="黑体" w:eastAsia="黑体"/>
          <w:b w:val="0"/>
        </w:rPr>
        <w:t>附件</w:t>
      </w:r>
      <w:bookmarkEnd w:id="92"/>
      <w:bookmarkEnd w:id="93"/>
      <w:bookmarkEnd w:id="94"/>
    </w:p>
    <w:p>
      <w:pPr>
        <w:spacing w:line="600" w:lineRule="exact"/>
        <w:jc w:val="left"/>
        <w:outlineLvl w:val="0"/>
        <w:rPr>
          <w:rFonts w:ascii="方正小标宋简体" w:hAnsi="方正小标宋简体" w:eastAsia="方正小标宋简体" w:cs="方正小标宋简体"/>
          <w:sz w:val="32"/>
          <w:szCs w:val="32"/>
        </w:rPr>
      </w:pPr>
      <w:bookmarkStart w:id="95" w:name="_Toc79163881"/>
      <w:bookmarkStart w:id="96" w:name="_Toc79163631"/>
      <w:r>
        <w:rPr>
          <w:rFonts w:hint="eastAsia" w:ascii="黑体" w:hAnsi="黑体" w:eastAsia="黑体" w:cs="黑体"/>
          <w:sz w:val="32"/>
          <w:szCs w:val="32"/>
        </w:rPr>
        <w:t>附件</w:t>
      </w:r>
      <w:r>
        <w:rPr>
          <w:rFonts w:ascii="黑体" w:hAnsi="黑体" w:eastAsia="黑体" w:cs="黑体"/>
          <w:sz w:val="32"/>
          <w:szCs w:val="32"/>
        </w:rPr>
        <w:t>1</w:t>
      </w:r>
      <w:bookmarkEnd w:id="95"/>
      <w:bookmarkEnd w:id="96"/>
    </w:p>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sz w:val="44"/>
          <w:szCs w:val="44"/>
          <w:lang w:val="en-US" w:eastAsia="zh-CN"/>
        </w:rPr>
      </w:pPr>
      <w:r>
        <w:rPr>
          <w:rFonts w:hint="eastAsia" w:ascii="仿宋" w:hAnsi="仿宋" w:eastAsia="仿宋" w:cs="仿宋"/>
          <w:b/>
          <w:sz w:val="44"/>
          <w:szCs w:val="44"/>
        </w:rPr>
        <w:t>松潘县</w:t>
      </w:r>
      <w:r>
        <w:rPr>
          <w:rFonts w:hint="eastAsia" w:ascii="仿宋" w:hAnsi="仿宋" w:eastAsia="仿宋" w:cs="仿宋"/>
          <w:b/>
          <w:sz w:val="44"/>
          <w:szCs w:val="44"/>
          <w:lang w:eastAsia="zh-CN"/>
        </w:rPr>
        <w:t>人大预算联网中心</w:t>
      </w:r>
    </w:p>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sz w:val="44"/>
          <w:szCs w:val="44"/>
        </w:rPr>
      </w:pPr>
      <w:r>
        <w:rPr>
          <w:rFonts w:hint="eastAsia" w:ascii="仿宋" w:hAnsi="仿宋" w:eastAsia="仿宋" w:cs="仿宋"/>
          <w:b/>
          <w:sz w:val="44"/>
          <w:szCs w:val="44"/>
          <w:lang w:eastAsia="zh-CN"/>
        </w:rPr>
        <w:t>2022年部门</w:t>
      </w:r>
      <w:r>
        <w:rPr>
          <w:rFonts w:hint="eastAsia" w:ascii="仿宋" w:hAnsi="仿宋" w:eastAsia="仿宋" w:cs="仿宋"/>
          <w:b/>
          <w:sz w:val="44"/>
          <w:szCs w:val="44"/>
        </w:rPr>
        <w:t>整体支出绩效</w:t>
      </w:r>
      <w:r>
        <w:rPr>
          <w:rFonts w:hint="eastAsia" w:ascii="仿宋" w:hAnsi="仿宋" w:eastAsia="仿宋" w:cs="仿宋"/>
          <w:b/>
          <w:sz w:val="44"/>
          <w:szCs w:val="44"/>
          <w:lang w:eastAsia="zh-CN"/>
        </w:rPr>
        <w:t>评价</w:t>
      </w:r>
      <w:r>
        <w:rPr>
          <w:rFonts w:hint="eastAsia" w:ascii="仿宋" w:hAnsi="仿宋" w:eastAsia="仿宋" w:cs="仿宋"/>
          <w:b/>
          <w:sz w:val="44"/>
          <w:szCs w:val="44"/>
        </w:rPr>
        <w:t>报告</w:t>
      </w:r>
    </w:p>
    <w:p>
      <w:pPr>
        <w:keepNext w:val="0"/>
        <w:keepLines w:val="0"/>
        <w:pageBreakBefore w:val="0"/>
        <w:kinsoku/>
        <w:wordWrap/>
        <w:overflowPunct/>
        <w:topLinePunct w:val="0"/>
        <w:autoSpaceDE/>
        <w:autoSpaceDN/>
        <w:bidi w:val="0"/>
        <w:spacing w:line="580" w:lineRule="exact"/>
        <w:jc w:val="left"/>
        <w:textAlignment w:val="auto"/>
        <w:rPr>
          <w:rFonts w:hint="eastAsia" w:ascii="仿宋" w:hAnsi="仿宋" w:eastAsia="仿宋" w:cs="仿宋"/>
          <w:b/>
          <w:sz w:val="28"/>
          <w:szCs w:val="28"/>
        </w:rPr>
      </w:pPr>
    </w:p>
    <w:p>
      <w:pPr>
        <w:keepNext w:val="0"/>
        <w:keepLines w:val="0"/>
        <w:pageBreakBefore w:val="0"/>
        <w:kinsoku/>
        <w:wordWrap/>
        <w:overflowPunct/>
        <w:topLinePunct w:val="0"/>
        <w:autoSpaceDE/>
        <w:autoSpaceDN/>
        <w:bidi w:val="0"/>
        <w:spacing w:line="580" w:lineRule="exact"/>
        <w:ind w:firstLine="964" w:firstLineChars="300"/>
        <w:jc w:val="left"/>
        <w:textAlignment w:val="auto"/>
        <w:rPr>
          <w:rFonts w:hint="eastAsia" w:ascii="黑体" w:hAnsi="黑体" w:eastAsia="黑体" w:cs="黑体"/>
          <w:b/>
          <w:sz w:val="32"/>
          <w:szCs w:val="32"/>
        </w:rPr>
      </w:pPr>
      <w:r>
        <w:rPr>
          <w:rFonts w:hint="eastAsia" w:ascii="黑体" w:hAnsi="黑体" w:eastAsia="黑体" w:cs="黑体"/>
          <w:b/>
          <w:sz w:val="32"/>
          <w:szCs w:val="32"/>
        </w:rPr>
        <w:t>一、</w:t>
      </w:r>
      <w:r>
        <w:rPr>
          <w:rFonts w:hint="eastAsia" w:ascii="黑体" w:hAnsi="黑体" w:eastAsia="黑体" w:cs="黑体"/>
          <w:b/>
          <w:sz w:val="32"/>
          <w:szCs w:val="32"/>
          <w:lang w:eastAsia="zh-CN"/>
        </w:rPr>
        <w:t>部门</w:t>
      </w:r>
      <w:r>
        <w:rPr>
          <w:rFonts w:hint="eastAsia" w:ascii="黑体" w:hAnsi="黑体" w:eastAsia="黑体" w:cs="黑体"/>
          <w:b/>
          <w:sz w:val="32"/>
          <w:szCs w:val="32"/>
        </w:rPr>
        <w:t>概况</w:t>
      </w:r>
    </w:p>
    <w:p>
      <w:pPr>
        <w:keepNext w:val="0"/>
        <w:keepLines w:val="0"/>
        <w:pageBreakBefore w:val="0"/>
        <w:kinsoku/>
        <w:wordWrap/>
        <w:overflowPunct/>
        <w:topLinePunct w:val="0"/>
        <w:autoSpaceDE/>
        <w:autoSpaceDN/>
        <w:bidi w:val="0"/>
        <w:spacing w:line="580" w:lineRule="exact"/>
        <w:ind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（一）机构组成。</w:t>
      </w:r>
    </w:p>
    <w:p>
      <w:pPr>
        <w:keepNext w:val="0"/>
        <w:keepLines w:val="0"/>
        <w:pageBreakBefore w:val="0"/>
        <w:kinsoku/>
        <w:wordWrap/>
        <w:overflowPunct/>
        <w:topLinePunct w:val="0"/>
        <w:autoSpaceDE/>
        <w:autoSpaceDN/>
        <w:bidi w:val="0"/>
        <w:spacing w:line="580" w:lineRule="exact"/>
        <w:ind w:left="0" w:leftChars="0" w:firstLine="840" w:firstLineChars="300"/>
        <w:textAlignment w:val="auto"/>
        <w:rPr>
          <w:rFonts w:hint="eastAsia" w:ascii="仿宋_GB2312" w:hAnsi="仿宋_GB2312" w:eastAsia="仿宋" w:cs="仿宋_GB2312"/>
          <w:sz w:val="32"/>
          <w:szCs w:val="32"/>
          <w:lang w:eastAsia="zh-CN"/>
        </w:rPr>
      </w:pPr>
      <w:r>
        <w:rPr>
          <w:rFonts w:hint="eastAsia" w:ascii="仿宋" w:hAnsi="仿宋" w:eastAsia="仿宋" w:cs="仿宋"/>
          <w:sz w:val="28"/>
          <w:szCs w:val="28"/>
          <w:lang w:eastAsia="zh-CN"/>
        </w:rPr>
        <w:t>松潘县人大办</w:t>
      </w:r>
      <w:r>
        <w:rPr>
          <w:rFonts w:hint="eastAsia" w:ascii="仿宋" w:hAnsi="仿宋" w:eastAsia="仿宋" w:cs="仿宋"/>
          <w:b w:val="0"/>
          <w:bCs w:val="0"/>
          <w:color w:val="000000"/>
          <w:kern w:val="36"/>
          <w:sz w:val="28"/>
          <w:szCs w:val="28"/>
          <w:lang w:eastAsia="zh-CN"/>
        </w:rPr>
        <w:t>预算联网中心</w:t>
      </w:r>
      <w:r>
        <w:rPr>
          <w:rFonts w:hint="eastAsia" w:ascii="仿宋" w:hAnsi="仿宋" w:eastAsia="仿宋" w:cs="仿宋"/>
          <w:sz w:val="28"/>
          <w:szCs w:val="28"/>
          <w:lang w:eastAsia="zh-CN"/>
        </w:rPr>
        <w:t>是松潘县人大常委会下</w:t>
      </w:r>
      <w:r>
        <w:rPr>
          <w:rFonts w:hint="eastAsia" w:ascii="仿宋" w:hAnsi="仿宋" w:eastAsia="仿宋" w:cs="仿宋"/>
          <w:sz w:val="28"/>
          <w:szCs w:val="28"/>
        </w:rPr>
        <w:t>属</w:t>
      </w:r>
      <w:r>
        <w:rPr>
          <w:rFonts w:hint="eastAsia" w:ascii="仿宋" w:hAnsi="仿宋" w:eastAsia="仿宋" w:cs="仿宋"/>
          <w:sz w:val="28"/>
          <w:szCs w:val="28"/>
          <w:lang w:eastAsia="zh-CN"/>
        </w:rPr>
        <w:t>二</w:t>
      </w:r>
      <w:r>
        <w:rPr>
          <w:rFonts w:hint="eastAsia" w:ascii="仿宋" w:hAnsi="仿宋" w:eastAsia="仿宋" w:cs="仿宋"/>
          <w:sz w:val="28"/>
          <w:szCs w:val="28"/>
        </w:rPr>
        <w:t>级</w:t>
      </w:r>
      <w:r>
        <w:rPr>
          <w:rFonts w:hint="eastAsia" w:ascii="仿宋" w:hAnsi="仿宋" w:eastAsia="仿宋" w:cs="仿宋"/>
          <w:sz w:val="28"/>
          <w:szCs w:val="28"/>
          <w:lang w:eastAsia="zh-CN"/>
        </w:rPr>
        <w:t>事业</w:t>
      </w:r>
      <w:r>
        <w:rPr>
          <w:rFonts w:hint="eastAsia" w:ascii="仿宋" w:hAnsi="仿宋" w:eastAsia="仿宋" w:cs="仿宋"/>
          <w:sz w:val="28"/>
          <w:szCs w:val="28"/>
        </w:rPr>
        <w:t>单位</w:t>
      </w:r>
      <w:r>
        <w:rPr>
          <w:rFonts w:hint="eastAsia" w:ascii="仿宋" w:hAnsi="仿宋" w:eastAsia="仿宋" w:cs="仿宋"/>
          <w:sz w:val="28"/>
          <w:szCs w:val="28"/>
          <w:lang w:eastAsia="zh-CN"/>
        </w:rPr>
        <w:t>。</w:t>
      </w:r>
    </w:p>
    <w:p>
      <w:pPr>
        <w:pStyle w:val="3"/>
        <w:keepNext w:val="0"/>
        <w:keepLines w:val="0"/>
        <w:pageBreakBefore w:val="0"/>
        <w:kinsoku/>
        <w:wordWrap/>
        <w:overflowPunct/>
        <w:topLinePunct w:val="0"/>
        <w:autoSpaceDE/>
        <w:autoSpaceDN/>
        <w:bidi w:val="0"/>
        <w:spacing w:line="580" w:lineRule="exact"/>
        <w:ind w:left="0" w:leftChars="0"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（二）机构职能</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80" w:lineRule="exact"/>
        <w:ind w:left="0" w:right="0" w:firstLine="0"/>
        <w:textAlignment w:val="auto"/>
        <w:rPr>
          <w:rFonts w:hint="eastAsia" w:ascii="仿宋_GB2312" w:hAnsi="仿宋" w:eastAsia="仿宋_GB2312" w:cs="仿宋"/>
          <w:kern w:val="2"/>
          <w:sz w:val="32"/>
          <w:szCs w:val="32"/>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 xml:space="preserve">       </w:t>
      </w:r>
      <w:r>
        <w:rPr>
          <w:rFonts w:hint="eastAsia" w:ascii="仿宋_GB2312" w:hAnsi="仿宋" w:eastAsia="仿宋_GB2312" w:cs="仿宋"/>
          <w:kern w:val="2"/>
          <w:sz w:val="32"/>
          <w:szCs w:val="32"/>
          <w:lang w:val="en-US" w:eastAsia="zh-CN" w:bidi="ar-SA"/>
        </w:rPr>
        <w:t>一、负责县人大代表和县人大常委会运用联网监督系统审查批准预算草案、预算调整草案、决算草案的服务工作。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80" w:lineRule="exact"/>
        <w:ind w:left="0" w:right="0" w:firstLine="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　　二、负责收集、分析研究预算安排与执行、财政转移支付、重点项目支出、政府债务等数据，为县人大及其常委会相关监督工作提供服务。</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80" w:lineRule="exact"/>
        <w:ind w:left="0" w:right="0" w:firstLine="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　　三、负责预算执行预警信息的排查、分析工作，做好与政府财政、税务等部门的沟通对接，起草分析报告。</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80" w:lineRule="exact"/>
        <w:ind w:left="0" w:right="0" w:firstLine="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　　四、负责预算联网监督系统数据更新及数据维护工作。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80" w:lineRule="exact"/>
        <w:ind w:left="0" w:right="0" w:firstLine="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　　五、负责预算联网监督中心硬件设施的日常维护工作。</w:t>
      </w:r>
    </w:p>
    <w:p>
      <w:pPr>
        <w:keepNext w:val="0"/>
        <w:keepLines w:val="0"/>
        <w:pageBreakBefore w:val="0"/>
        <w:widowControl/>
        <w:pBdr>
          <w:bottom w:val="single" w:color="DDDDDD" w:sz="6" w:space="8"/>
        </w:pBdr>
        <w:shd w:val="clear" w:color="auto" w:fill="FFFFFF"/>
        <w:kinsoku/>
        <w:wordWrap/>
        <w:overflowPunct/>
        <w:topLinePunct w:val="0"/>
        <w:autoSpaceDE/>
        <w:autoSpaceDN/>
        <w:bidi w:val="0"/>
        <w:adjustRightInd/>
        <w:spacing w:line="580" w:lineRule="exact"/>
        <w:textAlignment w:val="auto"/>
        <w:rPr>
          <w:rFonts w:hint="eastAsia" w:ascii="宋体" w:hAnsi="宋体" w:cs="宋体"/>
          <w:color w:val="000000"/>
          <w:kern w:val="0"/>
          <w:sz w:val="24"/>
          <w:szCs w:val="24"/>
        </w:rPr>
      </w:pPr>
      <w:r>
        <w:rPr>
          <w:rFonts w:hint="eastAsia" w:ascii="仿宋_GB2312" w:hAnsi="仿宋" w:eastAsia="仿宋_GB2312" w:cs="仿宋"/>
          <w:kern w:val="2"/>
          <w:sz w:val="32"/>
          <w:szCs w:val="32"/>
          <w:lang w:val="en-US" w:eastAsia="zh-CN" w:bidi="ar-SA"/>
        </w:rPr>
        <w:t>　　六、负责本县人大推进预算联网监督建设的业务联系和指导工作。</w:t>
      </w:r>
    </w:p>
    <w:p>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（三）人员概况</w:t>
      </w:r>
    </w:p>
    <w:p>
      <w:pPr>
        <w:keepNext w:val="0"/>
        <w:keepLines w:val="0"/>
        <w:pageBreakBefore w:val="0"/>
        <w:kinsoku/>
        <w:wordWrap/>
        <w:overflowPunct/>
        <w:topLinePunct w:val="0"/>
        <w:autoSpaceDE/>
        <w:autoSpaceDN/>
        <w:bidi w:val="0"/>
        <w:spacing w:line="5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color w:val="000000"/>
          <w:kern w:val="0"/>
          <w:sz w:val="28"/>
          <w:szCs w:val="28"/>
          <w:lang w:eastAsia="zh-CN"/>
        </w:rPr>
        <w:t>事业编制</w:t>
      </w:r>
      <w:r>
        <w:rPr>
          <w:rFonts w:hint="eastAsia" w:ascii="仿宋" w:hAnsi="仿宋" w:eastAsia="仿宋" w:cs="仿宋"/>
          <w:color w:val="000000"/>
          <w:kern w:val="0"/>
          <w:sz w:val="28"/>
          <w:szCs w:val="28"/>
          <w:lang w:val="en-US" w:eastAsia="zh-CN"/>
        </w:rPr>
        <w:t>2名</w:t>
      </w:r>
      <w:r>
        <w:rPr>
          <w:rFonts w:hint="eastAsia" w:ascii="仿宋" w:hAnsi="仿宋" w:eastAsia="仿宋" w:cs="仿宋"/>
          <w:color w:val="000000"/>
          <w:kern w:val="0"/>
          <w:sz w:val="28"/>
          <w:szCs w:val="28"/>
        </w:rPr>
        <w:t>。</w:t>
      </w:r>
    </w:p>
    <w:p>
      <w:pPr>
        <w:keepNext w:val="0"/>
        <w:keepLines w:val="0"/>
        <w:pageBreakBefore w:val="0"/>
        <w:kinsoku/>
        <w:wordWrap/>
        <w:overflowPunct/>
        <w:topLinePunct w:val="0"/>
        <w:autoSpaceDE/>
        <w:autoSpaceDN/>
        <w:bidi w:val="0"/>
        <w:spacing w:line="580" w:lineRule="exact"/>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二、</w:t>
      </w:r>
      <w:r>
        <w:rPr>
          <w:rFonts w:hint="eastAsia" w:ascii="黑体" w:hAnsi="黑体" w:eastAsia="黑体" w:cs="黑体"/>
          <w:b/>
          <w:sz w:val="32"/>
          <w:szCs w:val="32"/>
          <w:lang w:eastAsia="zh-CN"/>
        </w:rPr>
        <w:t>单位</w:t>
      </w:r>
      <w:r>
        <w:rPr>
          <w:rFonts w:hint="eastAsia" w:ascii="黑体" w:hAnsi="黑体" w:eastAsia="黑体" w:cs="黑体"/>
          <w:b/>
          <w:sz w:val="32"/>
          <w:szCs w:val="32"/>
        </w:rPr>
        <w:t>财政资金收支情况</w:t>
      </w:r>
    </w:p>
    <w:p>
      <w:pPr>
        <w:keepNext w:val="0"/>
        <w:keepLines w:val="0"/>
        <w:pageBreakBefore w:val="0"/>
        <w:tabs>
          <w:tab w:val="left" w:pos="750"/>
        </w:tabs>
        <w:kinsoku/>
        <w:wordWrap/>
        <w:overflowPunct/>
        <w:topLinePunct w:val="0"/>
        <w:autoSpaceDE/>
        <w:autoSpaceDN/>
        <w:bidi w:val="0"/>
        <w:spacing w:line="580" w:lineRule="exact"/>
        <w:ind w:firstLine="482" w:firstLineChars="15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单位</w:t>
      </w:r>
      <w:r>
        <w:rPr>
          <w:rFonts w:hint="eastAsia" w:ascii="仿宋_GB2312" w:hAnsi="仿宋_GB2312" w:eastAsia="仿宋_GB2312" w:cs="仿宋_GB2312"/>
          <w:b/>
          <w:sz w:val="32"/>
          <w:szCs w:val="32"/>
        </w:rPr>
        <w:t>财政资金收入情况</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财政资金收入</w:t>
      </w:r>
      <w:r>
        <w:rPr>
          <w:rFonts w:hint="eastAsia" w:ascii="仿宋_GB2312" w:hAnsi="仿宋_GB2312" w:eastAsia="仿宋_GB2312" w:cs="仿宋_GB2312"/>
          <w:sz w:val="32"/>
          <w:szCs w:val="32"/>
          <w:lang w:val="en-US" w:eastAsia="zh-CN"/>
        </w:rPr>
        <w:t>40.93</w:t>
      </w:r>
      <w:r>
        <w:rPr>
          <w:rFonts w:hint="eastAsia" w:ascii="仿宋_GB2312" w:hAnsi="仿宋_GB2312" w:eastAsia="仿宋_GB2312" w:cs="仿宋_GB2312"/>
          <w:sz w:val="32"/>
          <w:szCs w:val="32"/>
        </w:rPr>
        <w:t>万元。</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基本支出主要用于人大预算梁王中心正常运转的日常支出，包括基本工资、</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的正常运转的日常支出，包括基本工资、津贴补贴、基本养老保险、医疗保险、住房公积金等人员经费以及办公费、印刷费、水电费等日常公用经费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基本收入数40.93万元，其中：事业运行32.67万元，机关事业单位基本养老保险费支出2.51元，机关事业单位职业年金缴费支出1.26万元，事业单位基本医疗保险1.41万元，公务员医疗补助0.37万元，住房公积金2.71万元。</w:t>
      </w:r>
    </w:p>
    <w:p>
      <w:pPr>
        <w:keepNext w:val="0"/>
        <w:keepLines w:val="0"/>
        <w:pageBreakBefore w:val="0"/>
        <w:tabs>
          <w:tab w:val="left" w:pos="750"/>
        </w:tabs>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sz w:val="32"/>
          <w:szCs w:val="32"/>
          <w:lang w:eastAsia="zh-CN"/>
        </w:rPr>
        <w:t>单位</w:t>
      </w:r>
      <w:r>
        <w:rPr>
          <w:rFonts w:hint="eastAsia" w:ascii="仿宋_GB2312" w:hAnsi="仿宋_GB2312" w:eastAsia="仿宋_GB2312" w:cs="仿宋_GB2312"/>
          <w:b/>
          <w:sz w:val="32"/>
          <w:szCs w:val="32"/>
        </w:rPr>
        <w:t>财政资金支出情况</w:t>
      </w:r>
    </w:p>
    <w:p>
      <w:pPr>
        <w:keepNext w:val="0"/>
        <w:keepLines w:val="0"/>
        <w:pageBreakBefore w:val="0"/>
        <w:tabs>
          <w:tab w:val="left" w:pos="750"/>
        </w:tabs>
        <w:kinsoku/>
        <w:wordWrap/>
        <w:overflowPunct/>
        <w:topLinePunct w:val="0"/>
        <w:autoSpaceDE/>
        <w:autoSpaceDN/>
        <w:bidi w:val="0"/>
        <w:spacing w:line="580" w:lineRule="exact"/>
        <w:ind w:firstLine="964" w:firstLineChars="3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）2022</w:t>
      </w:r>
      <w:r>
        <w:rPr>
          <w:rFonts w:hint="eastAsia" w:ascii="仿宋_GB2312" w:hAnsi="仿宋_GB2312" w:eastAsia="仿宋_GB2312" w:cs="仿宋_GB2312"/>
          <w:b/>
          <w:bCs/>
          <w:sz w:val="32"/>
          <w:szCs w:val="32"/>
        </w:rPr>
        <w:t>年财政</w:t>
      </w:r>
      <w:r>
        <w:rPr>
          <w:rFonts w:hint="eastAsia" w:ascii="黑体" w:hAnsi="黑体" w:eastAsia="黑体" w:cs="黑体"/>
          <w:b/>
          <w:sz w:val="32"/>
          <w:szCs w:val="32"/>
        </w:rPr>
        <w:t>资金</w:t>
      </w:r>
      <w:r>
        <w:rPr>
          <w:rFonts w:hint="eastAsia" w:ascii="仿宋_GB2312" w:hAnsi="仿宋_GB2312" w:eastAsia="仿宋_GB2312" w:cs="仿宋_GB2312"/>
          <w:b/>
          <w:bCs/>
          <w:sz w:val="32"/>
          <w:szCs w:val="32"/>
        </w:rPr>
        <w:t>支出情况</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人大预算联网中心本年支出合计</w:t>
      </w:r>
      <w:r>
        <w:rPr>
          <w:rFonts w:hint="eastAsia" w:ascii="仿宋_GB2312" w:hAnsi="仿宋_GB2312" w:eastAsia="仿宋_GB2312" w:cs="仿宋_GB2312"/>
          <w:sz w:val="32"/>
          <w:szCs w:val="32"/>
          <w:lang w:val="en-US" w:eastAsia="zh-CN"/>
        </w:rPr>
        <w:t>40.4万元，其中：</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40.4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事业运行支出数32.33万元，完成预算98.96%。机关事业单位基本养老保险费支出数2.51万元，完成预算100%。机关事业单位职业年金缴费支出数1.25万元，完成预算99.1%。事业单位基本医疗支出数1.41万元，完成预算100%。公务员医疗补助支出数0.37万元，完成预算100%。住房公积金支出数2.53万元，完成预算93.61%。</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80" w:lineRule="exact"/>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三、</w:t>
      </w:r>
      <w:r>
        <w:rPr>
          <w:rFonts w:hint="eastAsia" w:ascii="黑体" w:hAnsi="黑体" w:eastAsia="黑体" w:cs="黑体"/>
          <w:b/>
          <w:sz w:val="32"/>
          <w:szCs w:val="32"/>
          <w:lang w:eastAsia="zh-CN"/>
        </w:rPr>
        <w:t>单位</w:t>
      </w:r>
      <w:r>
        <w:rPr>
          <w:rFonts w:hint="eastAsia" w:ascii="黑体" w:hAnsi="黑体" w:eastAsia="黑体" w:cs="黑体"/>
          <w:b/>
          <w:sz w:val="32"/>
          <w:szCs w:val="32"/>
        </w:rPr>
        <w:t>财政支出管理情况</w:t>
      </w:r>
    </w:p>
    <w:p>
      <w:pPr>
        <w:keepNext w:val="0"/>
        <w:keepLines w:val="0"/>
        <w:pageBreakBefore w:val="0"/>
        <w:tabs>
          <w:tab w:val="left" w:pos="750"/>
        </w:tabs>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（一）预算编制情况</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1、预算编制质量</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BFBFB"/>
          <w:lang w:bidi="ar"/>
        </w:rPr>
        <w:t>按照预算管理有关规定，目前</w:t>
      </w:r>
      <w:r>
        <w:rPr>
          <w:rFonts w:hint="eastAsia" w:ascii="仿宋_GB2312" w:hAnsi="仿宋_GB2312" w:eastAsia="仿宋_GB2312" w:cs="仿宋_GB2312"/>
          <w:color w:val="333333"/>
          <w:kern w:val="0"/>
          <w:sz w:val="32"/>
          <w:szCs w:val="32"/>
          <w:shd w:val="clear" w:color="auto" w:fill="FBFBFB"/>
          <w:lang w:eastAsia="zh-CN" w:bidi="ar"/>
        </w:rPr>
        <w:t>单位</w:t>
      </w:r>
      <w:r>
        <w:rPr>
          <w:rFonts w:hint="eastAsia" w:ascii="仿宋_GB2312" w:hAnsi="仿宋_GB2312" w:eastAsia="仿宋_GB2312" w:cs="仿宋_GB2312"/>
          <w:color w:val="333333"/>
          <w:kern w:val="0"/>
          <w:sz w:val="32"/>
          <w:szCs w:val="32"/>
          <w:shd w:val="clear" w:color="auto" w:fill="FBFBFB"/>
          <w:lang w:bidi="ar"/>
        </w:rPr>
        <w:t>预算的编制实行综合预算制度，即全部收入和支出都反映在预算中。</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预算编制是由</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财务严格按照《</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》的规定和财政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预算股的要求，在</w:t>
      </w:r>
      <w:r>
        <w:rPr>
          <w:rFonts w:hint="eastAsia" w:ascii="仿宋_GB2312" w:hAnsi="仿宋_GB2312" w:eastAsia="仿宋_GB2312" w:cs="仿宋_GB2312"/>
          <w:sz w:val="32"/>
          <w:szCs w:val="32"/>
          <w:lang w:eastAsia="zh-CN"/>
        </w:rPr>
        <w:t>既</w:t>
      </w:r>
      <w:r>
        <w:rPr>
          <w:rFonts w:hint="eastAsia" w:ascii="仿宋_GB2312" w:hAnsi="仿宋_GB2312" w:eastAsia="仿宋_GB2312" w:cs="仿宋_GB2312"/>
          <w:sz w:val="32"/>
          <w:szCs w:val="32"/>
        </w:rPr>
        <w:t>能保证本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日常业务工作顺利开展的需要，又不浪费资金的前提下，合理编制出本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的年度预算。</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2、绩效目标填报</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不涉及绩效考评相关项目。</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3、转移支付提前下达及专项转移支付分地区分项目编制情况</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单位不涉及</w:t>
      </w:r>
      <w:r>
        <w:rPr>
          <w:rFonts w:hint="eastAsia" w:ascii="仿宋_GB2312" w:hAnsi="仿宋_GB2312" w:eastAsia="仿宋_GB2312" w:cs="仿宋_GB2312"/>
          <w:sz w:val="32"/>
          <w:szCs w:val="32"/>
        </w:rPr>
        <w:t>转移支付资金</w:t>
      </w:r>
      <w:r>
        <w:rPr>
          <w:rFonts w:hint="eastAsia" w:ascii="仿宋_GB2312" w:hAnsi="仿宋_GB2312" w:eastAsia="仿宋_GB2312" w:cs="仿宋_GB2312"/>
          <w:sz w:val="32"/>
          <w:szCs w:val="32"/>
          <w:lang w:eastAsia="zh-CN"/>
        </w:rPr>
        <w:t>。</w:t>
      </w:r>
    </w:p>
    <w:p>
      <w:pPr>
        <w:keepNext w:val="0"/>
        <w:keepLines w:val="0"/>
        <w:pageBreakBefore w:val="0"/>
        <w:tabs>
          <w:tab w:val="left" w:pos="750"/>
        </w:tabs>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（二）执行管理情况</w:t>
      </w:r>
    </w:p>
    <w:p>
      <w:pPr>
        <w:keepNext w:val="0"/>
        <w:keepLines w:val="0"/>
        <w:pageBreakBefore w:val="0"/>
        <w:kinsoku/>
        <w:wordWrap/>
        <w:overflowPunct/>
        <w:topLinePunct w:val="0"/>
        <w:autoSpaceDE/>
        <w:autoSpaceDN/>
        <w:bidi w:val="0"/>
        <w:spacing w:line="58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县财政及时足额下达年初预算，为</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的业务工作顺利开展提供了强有力的财力保障</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b w:val="0"/>
          <w:bCs w:val="0"/>
          <w:i w:val="0"/>
          <w:caps w:val="0"/>
          <w:color w:val="auto"/>
          <w:spacing w:val="0"/>
          <w:sz w:val="32"/>
          <w:szCs w:val="32"/>
          <w:shd w:val="clear" w:color="auto" w:fill="FFFFFF"/>
        </w:rPr>
        <w:t>在支出过程中，能严格遵守各项规章制度，严格落实《</w:t>
      </w:r>
      <w:r>
        <w:rPr>
          <w:rFonts w:hint="eastAsia" w:ascii="仿宋_GB2312" w:hAnsi="仿宋_GB2312" w:eastAsia="仿宋_GB2312" w:cs="仿宋_GB2312"/>
          <w:b w:val="0"/>
          <w:bCs w:val="0"/>
          <w:i w:val="0"/>
          <w:caps w:val="0"/>
          <w:color w:val="auto"/>
          <w:spacing w:val="0"/>
          <w:sz w:val="32"/>
          <w:szCs w:val="32"/>
          <w:shd w:val="clear" w:color="auto" w:fill="FFFFFF"/>
          <w:lang w:eastAsia="zh-CN"/>
        </w:rPr>
        <w:t>中华人民共和国预算法</w:t>
      </w:r>
      <w:r>
        <w:rPr>
          <w:rFonts w:hint="eastAsia" w:ascii="仿宋_GB2312" w:hAnsi="仿宋_GB2312" w:eastAsia="仿宋_GB2312" w:cs="仿宋_GB2312"/>
          <w:b w:val="0"/>
          <w:bCs w:val="0"/>
          <w:i w:val="0"/>
          <w:caps w:val="0"/>
          <w:color w:val="auto"/>
          <w:spacing w:val="0"/>
          <w:sz w:val="32"/>
          <w:szCs w:val="32"/>
          <w:shd w:val="clear" w:color="auto" w:fill="FFFFFF"/>
        </w:rPr>
        <w:t>》及省、市绩效管理工作的有关规定，进一步规范财政资金的管理，强化财政支出绩效理念，提升</w:t>
      </w:r>
      <w:r>
        <w:rPr>
          <w:rFonts w:hint="eastAsia" w:ascii="仿宋_GB2312" w:hAnsi="仿宋_GB2312" w:eastAsia="仿宋_GB2312" w:cs="仿宋_GB2312"/>
          <w:b w:val="0"/>
          <w:bCs w:val="0"/>
          <w:i w:val="0"/>
          <w:caps w:val="0"/>
          <w:color w:val="auto"/>
          <w:spacing w:val="0"/>
          <w:sz w:val="32"/>
          <w:szCs w:val="32"/>
          <w:shd w:val="clear" w:color="auto" w:fill="FFFFFF"/>
          <w:lang w:eastAsia="zh-CN"/>
        </w:rPr>
        <w:t>单位</w:t>
      </w:r>
      <w:r>
        <w:rPr>
          <w:rFonts w:hint="eastAsia" w:ascii="仿宋_GB2312" w:hAnsi="仿宋_GB2312" w:eastAsia="仿宋_GB2312" w:cs="仿宋_GB2312"/>
          <w:b w:val="0"/>
          <w:bCs w:val="0"/>
          <w:i w:val="0"/>
          <w:caps w:val="0"/>
          <w:color w:val="auto"/>
          <w:spacing w:val="0"/>
          <w:sz w:val="32"/>
          <w:szCs w:val="32"/>
          <w:shd w:val="clear" w:color="auto" w:fill="FFFFFF"/>
        </w:rPr>
        <w:t>责任意识，提高资金使用效益</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pPr>
        <w:keepNext w:val="0"/>
        <w:keepLines w:val="0"/>
        <w:pageBreakBefore w:val="0"/>
        <w:kinsoku/>
        <w:wordWrap/>
        <w:overflowPunct/>
        <w:topLinePunct w:val="0"/>
        <w:autoSpaceDE/>
        <w:autoSpaceDN/>
        <w:bidi w:val="0"/>
        <w:spacing w:line="580" w:lineRule="exact"/>
        <w:ind w:firstLine="964" w:firstLineChars="3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2022</w:t>
      </w:r>
      <w:r>
        <w:rPr>
          <w:rFonts w:hint="eastAsia" w:ascii="仿宋_GB2312" w:hAnsi="仿宋_GB2312" w:eastAsia="仿宋_GB2312" w:cs="仿宋_GB2312"/>
          <w:b/>
          <w:bCs/>
          <w:sz w:val="32"/>
          <w:szCs w:val="32"/>
        </w:rPr>
        <w:t>年执行管理情况</w:t>
      </w:r>
    </w:p>
    <w:p>
      <w:pPr>
        <w:keepNext w:val="0"/>
        <w:keepLines w:val="0"/>
        <w:pageBreakBefore w:val="0"/>
        <w:tabs>
          <w:tab w:val="left" w:pos="750"/>
        </w:tabs>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事业运行支出数32.33万元，完成预算98.96%。机关事业单位基本养老保险费支出数2.51万元，完成预算100%。机关事业单位职业年金缴费支出数1.25万元，完成预算99.1%。事业单位基本医疗支出数1.41万元，完成预算100%。公务员医疗补助支出数0.37万元，完成预算100%。住房公积金支出数2.53万元，完成预算93.61%。</w:t>
      </w:r>
    </w:p>
    <w:p>
      <w:pPr>
        <w:keepNext w:val="0"/>
        <w:keepLines w:val="0"/>
        <w:pageBreakBefore w:val="0"/>
        <w:kinsoku/>
        <w:wordWrap/>
        <w:overflowPunct/>
        <w:topLinePunct w:val="0"/>
        <w:autoSpaceDE/>
        <w:autoSpaceDN/>
        <w:bidi w:val="0"/>
        <w:spacing w:line="5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一直提倡厉行节约，节能降耗的原则严格执行了中央八项规定。</w:t>
      </w:r>
    </w:p>
    <w:p>
      <w:pPr>
        <w:keepNext w:val="0"/>
        <w:keepLines w:val="0"/>
        <w:pageBreakBefore w:val="0"/>
        <w:kinsoku/>
        <w:wordWrap/>
        <w:overflowPunct/>
        <w:topLinePunct w:val="0"/>
        <w:autoSpaceDE/>
        <w:autoSpaceDN/>
        <w:bidi w:val="0"/>
        <w:spacing w:line="5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年“三公”经费预算数为</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我单位“三公”经费预算执行情况如下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共支出</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公务用车运行维护费发生</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公务接待费发生</w:t>
      </w:r>
      <w:r>
        <w:rPr>
          <w:rFonts w:hint="eastAsia" w:ascii="仿宋_GB2312" w:hAnsi="仿宋_GB2312" w:eastAsia="仿宋_GB2312" w:cs="仿宋_GB2312"/>
          <w:sz w:val="32"/>
          <w:szCs w:val="32"/>
          <w:lang w:val="en-US" w:eastAsia="zh-CN"/>
        </w:rPr>
        <w:t>0.02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4E4342"/>
          <w:sz w:val="32"/>
          <w:szCs w:val="32"/>
          <w:lang w:val="en-US" w:eastAsia="zh-CN"/>
        </w:rPr>
        <w:t xml:space="preserve"> （</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综合管理情况</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我单位无政府性债务</w:t>
      </w:r>
      <w:r>
        <w:rPr>
          <w:rFonts w:hint="eastAsia" w:ascii="仿宋_GB2312" w:hAnsi="仿宋_GB2312" w:eastAsia="仿宋_GB2312" w:cs="仿宋_GB2312"/>
          <w:sz w:val="32"/>
          <w:szCs w:val="32"/>
          <w:lang w:eastAsia="zh-CN"/>
        </w:rPr>
        <w:t>及非税收收入。</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政府采购严格按照相关采购规定执行。</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资产管理严格按照资产管理制度执行，</w:t>
      </w:r>
      <w:r>
        <w:rPr>
          <w:rFonts w:hint="eastAsia" w:ascii="仿宋_GB2312" w:hAnsi="仿宋_GB2312" w:eastAsia="仿宋_GB2312" w:cs="仿宋_GB2312"/>
          <w:color w:val="000000"/>
          <w:sz w:val="32"/>
          <w:szCs w:val="32"/>
        </w:rPr>
        <w:t>严格执行</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和有关规章制度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与行政单位履行职能需要相适应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建立单位内控制度，</w:t>
      </w:r>
      <w:r>
        <w:rPr>
          <w:rFonts w:hint="eastAsia" w:ascii="仿宋_GB2312" w:hAnsi="仿宋_GB2312" w:eastAsia="仿宋_GB2312" w:cs="仿宋_GB2312"/>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将同级财政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批复的本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预决算报表及相关说明全部在政府门户网站公开，</w:t>
      </w:r>
      <w:r>
        <w:rPr>
          <w:rFonts w:hint="eastAsia" w:ascii="仿宋_GB2312" w:hAnsi="仿宋_GB2312" w:eastAsia="仿宋_GB2312" w:cs="仿宋_GB2312"/>
          <w:color w:val="000000"/>
          <w:sz w:val="32"/>
          <w:szCs w:val="32"/>
        </w:rPr>
        <w:t>包括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收支总体情况和财政拨款收支情况，公开公示了我</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“三公”经费财政拨款预决算总额和分项数额。本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公开预决算的同时，一并公开了本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的职责、机构设置情况、预决算收支增减变化、机关运行经费安排以及政府采购等情况的说明，并对专业性较强的名词进行解释</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财务各项工作自觉配合县财政和上级</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的监督检查，对检查中存在的问题，严肃对待，认真开展整改落实。</w:t>
      </w:r>
    </w:p>
    <w:p>
      <w:pPr>
        <w:pStyle w:val="20"/>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b/>
          <w:bCs/>
          <w:color w:val="000000"/>
          <w:sz w:val="32"/>
          <w:szCs w:val="32"/>
        </w:rPr>
        <w:t>整体绩效</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我单位</w:t>
      </w:r>
      <w:r>
        <w:rPr>
          <w:rFonts w:hint="eastAsia" w:ascii="仿宋_GB2312" w:hAnsi="仿宋_GB2312" w:eastAsia="仿宋_GB2312" w:cs="仿宋_GB2312"/>
          <w:spacing w:val="15"/>
          <w:sz w:val="32"/>
          <w:szCs w:val="32"/>
        </w:rPr>
        <w:t>深入贯彻党的十九大、十九届二中、三中全会、</w:t>
      </w:r>
      <w:r>
        <w:rPr>
          <w:rFonts w:hint="eastAsia" w:ascii="仿宋_GB2312" w:hAnsi="仿宋_GB2312" w:eastAsia="仿宋_GB2312" w:cs="仿宋_GB2312"/>
          <w:spacing w:val="15"/>
          <w:sz w:val="32"/>
          <w:szCs w:val="32"/>
          <w:lang w:eastAsia="zh-CN"/>
        </w:rPr>
        <w:t>习近平总书记</w:t>
      </w:r>
      <w:r>
        <w:rPr>
          <w:rFonts w:hint="eastAsia" w:ascii="仿宋_GB2312" w:hAnsi="仿宋_GB2312" w:eastAsia="仿宋_GB2312" w:cs="仿宋_GB2312"/>
          <w:spacing w:val="15"/>
          <w:sz w:val="32"/>
          <w:szCs w:val="32"/>
        </w:rPr>
        <w:t>来川视察重要讲话精神、习近平新时代中国特色社会主义思想为指导，紧紧围绕县委、县政府中心工作和构建和谐社会的总体目标，</w:t>
      </w:r>
      <w:r>
        <w:rPr>
          <w:rFonts w:hint="eastAsia" w:ascii="仿宋_GB2312" w:hAnsi="仿宋_GB2312" w:eastAsia="仿宋_GB2312" w:cs="仿宋_GB2312"/>
          <w:sz w:val="32"/>
          <w:szCs w:val="32"/>
        </w:rPr>
        <w:t>加强队伍建设，切实改进工作作风，做到观念上有新转变，思想上有新飞跃，思路上有新调整，工作上有新突破，提升干部形象上有新发展</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b/>
          <w:bCs/>
          <w:sz w:val="32"/>
          <w:szCs w:val="32"/>
        </w:rPr>
        <w:t>评价结论及建议</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评价结论</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年我部门预算执行整体情况正常，按照各项工作有序开展的进度，财政资金收支情况同时也按进度执行。</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b/>
          <w:bCs/>
          <w:color w:val="000000"/>
          <w:sz w:val="32"/>
          <w:szCs w:val="32"/>
        </w:rPr>
        <w:t>存在的问题</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rPr>
        <w:t>资产管理工作存在不完善的地方对各项往来账清理、清查不够及时。</w:t>
      </w:r>
    </w:p>
    <w:p>
      <w:pPr>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b/>
          <w:bCs/>
          <w:color w:val="000000"/>
          <w:sz w:val="32"/>
          <w:szCs w:val="32"/>
        </w:rPr>
        <w:t>改进建议</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shd w:val="clear" w:color="auto" w:fill="FFFFFF"/>
        </w:rPr>
        <w:t>加强法规、制度学习</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auto"/>
          <w:spacing w:val="0"/>
          <w:sz w:val="32"/>
          <w:szCs w:val="32"/>
          <w:shd w:val="clear" w:color="auto" w:fill="FFFFFF"/>
        </w:rPr>
        <w:t>进一步</w:t>
      </w:r>
      <w:r>
        <w:rPr>
          <w:rFonts w:hint="eastAsia" w:ascii="仿宋_GB2312" w:hAnsi="仿宋_GB2312" w:eastAsia="仿宋_GB2312" w:cs="仿宋_GB2312"/>
          <w:b w:val="0"/>
          <w:bCs w:val="0"/>
          <w:i w:val="0"/>
          <w:caps w:val="0"/>
          <w:color w:val="auto"/>
          <w:spacing w:val="0"/>
          <w:sz w:val="32"/>
          <w:szCs w:val="32"/>
          <w:shd w:val="clear" w:color="auto" w:fill="FFFFFF"/>
          <w:lang w:eastAsia="zh-CN"/>
        </w:rPr>
        <w:t>贯彻落实中央八项规定，坚持厉行节约的原则。</w:t>
      </w:r>
    </w:p>
    <w:p>
      <w:pPr>
        <w:tabs>
          <w:tab w:val="left" w:pos="750"/>
        </w:tabs>
        <w:rPr>
          <w:rFonts w:ascii="仿宋" w:hAnsi="仿宋" w:eastAsia="仿宋" w:cs="仿宋"/>
          <w:sz w:val="28"/>
          <w:szCs w:val="28"/>
        </w:rPr>
      </w:pPr>
    </w:p>
    <w:p>
      <w:pPr>
        <w:spacing w:line="600" w:lineRule="exact"/>
        <w:ind w:firstLine="3080" w:firstLineChars="700"/>
        <w:outlineLvl w:val="0"/>
        <w:rPr>
          <w:rStyle w:val="25"/>
          <w:rFonts w:ascii="黑体" w:hAnsi="黑体" w:eastAsia="黑体"/>
          <w:b w:val="0"/>
        </w:rPr>
      </w:pPr>
      <w:bookmarkStart w:id="97" w:name="_Toc79163885"/>
      <w:bookmarkStart w:id="98" w:name="_Toc15396618"/>
      <w:bookmarkStart w:id="99" w:name="_Toc79163635"/>
      <w:r>
        <w:rPr>
          <w:rFonts w:hint="eastAsia" w:ascii="黑体" w:hAnsi="黑体" w:eastAsia="黑体"/>
          <w:color w:val="000000"/>
          <w:sz w:val="44"/>
          <w:szCs w:val="44"/>
        </w:rPr>
        <w:t>第</w:t>
      </w:r>
      <w:r>
        <w:rPr>
          <w:rStyle w:val="25"/>
          <w:rFonts w:hint="eastAsia" w:ascii="黑体" w:hAnsi="黑体" w:eastAsia="黑体"/>
          <w:b w:val="0"/>
        </w:rPr>
        <w:t>五部分</w:t>
      </w:r>
      <w:r>
        <w:rPr>
          <w:rStyle w:val="25"/>
          <w:rFonts w:ascii="黑体" w:hAnsi="黑体" w:eastAsia="黑体"/>
          <w:b w:val="0"/>
        </w:rPr>
        <w:t xml:space="preserve"> </w:t>
      </w:r>
      <w:r>
        <w:rPr>
          <w:rStyle w:val="25"/>
          <w:rFonts w:hint="eastAsia" w:ascii="黑体" w:hAnsi="黑体" w:eastAsia="黑体"/>
          <w:b w:val="0"/>
        </w:rPr>
        <w:t>附表</w:t>
      </w:r>
      <w:bookmarkEnd w:id="91"/>
      <w:bookmarkEnd w:id="97"/>
      <w:bookmarkEnd w:id="98"/>
      <w:bookmarkEnd w:id="99"/>
    </w:p>
    <w:p>
      <w:pPr>
        <w:pStyle w:val="5"/>
        <w:rPr>
          <w:rFonts w:ascii="仿宋" w:hAnsi="仿宋" w:eastAsia="仿宋"/>
          <w:color w:val="000000"/>
        </w:rPr>
      </w:pPr>
      <w:bookmarkStart w:id="100" w:name="_Toc15396619"/>
      <w:bookmarkStart w:id="101" w:name="_Toc79163636"/>
      <w:bookmarkStart w:id="102" w:name="_Toc79163886"/>
      <w:r>
        <w:rPr>
          <w:rFonts w:hint="eastAsia" w:ascii="仿宋" w:hAnsi="仿宋" w:eastAsia="仿宋"/>
          <w:b w:val="0"/>
          <w:color w:val="000000"/>
        </w:rPr>
        <w:t>一、收</w:t>
      </w:r>
      <w:r>
        <w:rPr>
          <w:rStyle w:val="26"/>
          <w:rFonts w:hint="eastAsia" w:ascii="仿宋" w:hAnsi="仿宋" w:eastAsia="仿宋"/>
          <w:b w:val="0"/>
          <w:bCs w:val="0"/>
        </w:rPr>
        <w:t>入支出决算总表</w:t>
      </w:r>
      <w:bookmarkEnd w:id="100"/>
      <w:bookmarkEnd w:id="101"/>
      <w:bookmarkEnd w:id="102"/>
    </w:p>
    <w:p>
      <w:pPr>
        <w:pStyle w:val="5"/>
        <w:rPr>
          <w:rFonts w:ascii="仿宋" w:hAnsi="仿宋" w:eastAsia="仿宋"/>
          <w:color w:val="000000"/>
        </w:rPr>
      </w:pPr>
      <w:bookmarkStart w:id="103" w:name="_Toc79163887"/>
      <w:bookmarkStart w:id="104" w:name="_Toc79163637"/>
      <w:bookmarkStart w:id="105"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103"/>
      <w:bookmarkEnd w:id="104"/>
      <w:bookmarkEnd w:id="105"/>
    </w:p>
    <w:p>
      <w:pPr>
        <w:pStyle w:val="5"/>
        <w:rPr>
          <w:rFonts w:ascii="仿宋" w:hAnsi="仿宋" w:eastAsia="仿宋"/>
          <w:color w:val="000000"/>
        </w:rPr>
      </w:pPr>
      <w:bookmarkStart w:id="106" w:name="_Toc15396621"/>
      <w:bookmarkStart w:id="107" w:name="_Toc79163638"/>
      <w:bookmarkStart w:id="108" w:name="_Toc79163888"/>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06"/>
      <w:bookmarkEnd w:id="107"/>
      <w:bookmarkEnd w:id="108"/>
    </w:p>
    <w:p>
      <w:pPr>
        <w:pStyle w:val="5"/>
        <w:rPr>
          <w:rFonts w:ascii="仿宋" w:hAnsi="仿宋" w:eastAsia="仿宋"/>
          <w:b w:val="0"/>
          <w:color w:val="000000"/>
        </w:rPr>
      </w:pPr>
      <w:bookmarkStart w:id="109" w:name="_Toc15396622"/>
      <w:bookmarkStart w:id="110" w:name="_Toc79163639"/>
      <w:bookmarkStart w:id="111" w:name="_Toc79163889"/>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09"/>
      <w:bookmarkEnd w:id="110"/>
      <w:bookmarkEnd w:id="111"/>
    </w:p>
    <w:p>
      <w:pPr>
        <w:pStyle w:val="5"/>
        <w:rPr>
          <w:rStyle w:val="26"/>
          <w:rFonts w:ascii="仿宋" w:hAnsi="仿宋" w:eastAsia="仿宋"/>
          <w:b w:val="0"/>
          <w:bCs w:val="0"/>
        </w:rPr>
      </w:pPr>
      <w:bookmarkStart w:id="112" w:name="_Toc79163890"/>
      <w:bookmarkStart w:id="113" w:name="_Toc15396623"/>
      <w:bookmarkStart w:id="114" w:name="_Toc79163640"/>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12"/>
      <w:bookmarkEnd w:id="113"/>
      <w:bookmarkEnd w:id="114"/>
      <w:bookmarkStart w:id="115" w:name="_Toc15396624"/>
    </w:p>
    <w:p>
      <w:pPr>
        <w:pStyle w:val="5"/>
        <w:rPr>
          <w:rFonts w:ascii="仿宋" w:hAnsi="仿宋" w:eastAsia="仿宋"/>
          <w:color w:val="000000"/>
        </w:rPr>
      </w:pPr>
      <w:bookmarkStart w:id="116" w:name="_Toc79163641"/>
      <w:bookmarkStart w:id="117" w:name="_Toc79163891"/>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15"/>
      <w:bookmarkEnd w:id="116"/>
      <w:bookmarkEnd w:id="117"/>
    </w:p>
    <w:p>
      <w:pPr>
        <w:pStyle w:val="5"/>
        <w:rPr>
          <w:rFonts w:ascii="仿宋" w:hAnsi="仿宋" w:eastAsia="仿宋"/>
          <w:color w:val="000000"/>
        </w:rPr>
      </w:pPr>
      <w:bookmarkStart w:id="118" w:name="_Toc15396625"/>
      <w:bookmarkStart w:id="119" w:name="_Toc79163642"/>
      <w:bookmarkStart w:id="120" w:name="_Toc79163892"/>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18"/>
      <w:bookmarkEnd w:id="119"/>
      <w:bookmarkEnd w:id="120"/>
    </w:p>
    <w:p>
      <w:pPr>
        <w:pStyle w:val="5"/>
        <w:rPr>
          <w:rFonts w:ascii="仿宋" w:hAnsi="仿宋" w:eastAsia="仿宋"/>
          <w:color w:val="000000"/>
        </w:rPr>
      </w:pPr>
      <w:bookmarkStart w:id="121" w:name="_Toc15396626"/>
      <w:bookmarkStart w:id="122" w:name="_Toc79163893"/>
      <w:bookmarkStart w:id="123" w:name="_Toc79163643"/>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21"/>
      <w:bookmarkEnd w:id="122"/>
      <w:bookmarkEnd w:id="123"/>
    </w:p>
    <w:p>
      <w:pPr>
        <w:pStyle w:val="5"/>
        <w:rPr>
          <w:rFonts w:ascii="仿宋" w:hAnsi="仿宋" w:eastAsia="仿宋"/>
          <w:color w:val="000000"/>
        </w:rPr>
      </w:pPr>
      <w:bookmarkStart w:id="124" w:name="_Toc79163644"/>
      <w:bookmarkStart w:id="125" w:name="_Toc79163894"/>
      <w:bookmarkStart w:id="126"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24"/>
      <w:bookmarkEnd w:id="125"/>
      <w:bookmarkEnd w:id="126"/>
    </w:p>
    <w:p>
      <w:pPr>
        <w:pStyle w:val="5"/>
        <w:rPr>
          <w:rFonts w:ascii="仿宋" w:hAnsi="仿宋" w:eastAsia="仿宋"/>
          <w:color w:val="000000"/>
        </w:rPr>
      </w:pPr>
      <w:bookmarkStart w:id="127" w:name="_Toc79163645"/>
      <w:bookmarkStart w:id="128" w:name="_Toc79163895"/>
      <w:bookmarkStart w:id="12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27"/>
      <w:bookmarkEnd w:id="128"/>
      <w:bookmarkEnd w:id="129"/>
    </w:p>
    <w:p>
      <w:pPr>
        <w:pStyle w:val="5"/>
        <w:rPr>
          <w:rFonts w:ascii="仿宋" w:hAnsi="仿宋" w:eastAsia="仿宋"/>
          <w:color w:val="000000"/>
        </w:rPr>
      </w:pPr>
      <w:bookmarkStart w:id="130" w:name="_Toc79163646"/>
      <w:bookmarkStart w:id="131" w:name="_Toc15396629"/>
      <w:bookmarkStart w:id="132" w:name="_Toc79163896"/>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30"/>
      <w:bookmarkEnd w:id="131"/>
      <w:bookmarkEnd w:id="132"/>
    </w:p>
    <w:p>
      <w:pPr>
        <w:pStyle w:val="5"/>
        <w:rPr>
          <w:rFonts w:ascii="仿宋" w:hAnsi="仿宋" w:eastAsia="仿宋"/>
          <w:color w:val="000000"/>
        </w:rPr>
      </w:pPr>
      <w:bookmarkStart w:id="133" w:name="_Toc15396630"/>
      <w:bookmarkStart w:id="134" w:name="_Toc79163647"/>
      <w:bookmarkStart w:id="135" w:name="_Toc79163897"/>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33"/>
      <w:bookmarkEnd w:id="134"/>
      <w:bookmarkEnd w:id="135"/>
    </w:p>
    <w:p>
      <w:pPr>
        <w:pStyle w:val="5"/>
        <w:rPr>
          <w:rStyle w:val="26"/>
          <w:rFonts w:ascii="仿宋" w:hAnsi="仿宋" w:eastAsia="仿宋"/>
          <w:b w:val="0"/>
          <w:bCs w:val="0"/>
        </w:rPr>
      </w:pPr>
      <w:bookmarkStart w:id="136" w:name="_Toc15396631"/>
      <w:bookmarkStart w:id="137" w:name="_Toc79163648"/>
      <w:bookmarkStart w:id="138" w:name="_Toc79163898"/>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有资本经营预算财政拨款支出决算表</w:t>
      </w:r>
      <w:bookmarkEnd w:id="136"/>
      <w:bookmarkEnd w:id="137"/>
      <w:bookmarkEnd w:id="138"/>
    </w:p>
    <w:p>
      <w:pPr>
        <w:pStyle w:val="5"/>
        <w:rPr>
          <w:rStyle w:val="26"/>
          <w:rFonts w:ascii="仿宋" w:hAnsi="仿宋" w:eastAsia="仿宋"/>
          <w:b w:val="0"/>
          <w:bCs w:val="0"/>
        </w:rPr>
      </w:pPr>
      <w:bookmarkStart w:id="139" w:name="_Toc79163649"/>
      <w:bookmarkStart w:id="140" w:name="_Toc79163899"/>
      <w:r>
        <w:rPr>
          <w:rStyle w:val="26"/>
          <w:rFonts w:hint="eastAsia" w:ascii="仿宋" w:hAnsi="仿宋" w:eastAsia="仿宋"/>
          <w:b w:val="0"/>
          <w:bCs w:val="0"/>
        </w:rPr>
        <w:t>十四、国有资本经营预算财政拨款支出决算表</w:t>
      </w:r>
      <w:bookmarkEnd w:id="139"/>
      <w:bookmarkEnd w:id="140"/>
    </w:p>
    <w:bookmarkEnd w:id="141"/>
    <w:sectPr>
      <w:headerReference r:id="rId3" w:type="default"/>
      <w:footerReference r:id="rId4" w:type="default"/>
      <w:pgSz w:w="11906" w:h="16838"/>
      <w:pgMar w:top="2098" w:right="1474" w:bottom="1984"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6</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F1E4155A"/>
    <w:multiLevelType w:val="singleLevel"/>
    <w:tmpl w:val="F1E4155A"/>
    <w:lvl w:ilvl="0" w:tentative="0">
      <w:start w:val="1"/>
      <w:numFmt w:val="decimal"/>
      <w:lvlText w:val="%1."/>
      <w:lvlJc w:val="left"/>
      <w:pPr>
        <w:tabs>
          <w:tab w:val="left" w:pos="312"/>
        </w:tabs>
        <w:ind w:left="160" w:leftChars="0" w:firstLine="0" w:firstLineChars="0"/>
      </w:pPr>
    </w:lvl>
  </w:abstractNum>
  <w:abstractNum w:abstractNumId="3">
    <w:nsid w:val="FB1FE865"/>
    <w:multiLevelType w:val="singleLevel"/>
    <w:tmpl w:val="FB1FE865"/>
    <w:lvl w:ilvl="0" w:tentative="0">
      <w:start w:val="6"/>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318AE049"/>
    <w:multiLevelType w:val="singleLevel"/>
    <w:tmpl w:val="318AE049"/>
    <w:lvl w:ilvl="0" w:tentative="0">
      <w:start w:val="1"/>
      <w:numFmt w:val="decimal"/>
      <w:lvlText w:val="%1."/>
      <w:lvlJc w:val="left"/>
      <w:pPr>
        <w:tabs>
          <w:tab w:val="left" w:pos="312"/>
        </w:tabs>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3428"/>
    <w:rsid w:val="002F567B"/>
    <w:rsid w:val="00305F0E"/>
    <w:rsid w:val="003216A9"/>
    <w:rsid w:val="00335A74"/>
    <w:rsid w:val="0036561B"/>
    <w:rsid w:val="0037013F"/>
    <w:rsid w:val="00380C92"/>
    <w:rsid w:val="003A484F"/>
    <w:rsid w:val="003A4883"/>
    <w:rsid w:val="003B0BE0"/>
    <w:rsid w:val="003B0C1B"/>
    <w:rsid w:val="003B643A"/>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268D8"/>
    <w:rsid w:val="0083706E"/>
    <w:rsid w:val="008408F6"/>
    <w:rsid w:val="008423A5"/>
    <w:rsid w:val="00850625"/>
    <w:rsid w:val="0085198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5790131"/>
    <w:rsid w:val="05A50F26"/>
    <w:rsid w:val="06F357E0"/>
    <w:rsid w:val="086D7A09"/>
    <w:rsid w:val="0A2032A3"/>
    <w:rsid w:val="10C055FF"/>
    <w:rsid w:val="118107EC"/>
    <w:rsid w:val="16BB723D"/>
    <w:rsid w:val="17D023BA"/>
    <w:rsid w:val="18DA04AF"/>
    <w:rsid w:val="190308CD"/>
    <w:rsid w:val="1B511573"/>
    <w:rsid w:val="1D155CEE"/>
    <w:rsid w:val="1EE06863"/>
    <w:rsid w:val="1FB62AC4"/>
    <w:rsid w:val="20537284"/>
    <w:rsid w:val="240371BF"/>
    <w:rsid w:val="241A4AAE"/>
    <w:rsid w:val="253711A8"/>
    <w:rsid w:val="29693E94"/>
    <w:rsid w:val="29E25EE4"/>
    <w:rsid w:val="29FD04D3"/>
    <w:rsid w:val="2AAF586C"/>
    <w:rsid w:val="2CD93A58"/>
    <w:rsid w:val="2DDA0A98"/>
    <w:rsid w:val="319F7F4E"/>
    <w:rsid w:val="35FB19DD"/>
    <w:rsid w:val="3F3E5F0C"/>
    <w:rsid w:val="420D1A20"/>
    <w:rsid w:val="46837112"/>
    <w:rsid w:val="4BE10962"/>
    <w:rsid w:val="4DAB41CC"/>
    <w:rsid w:val="4ECE2238"/>
    <w:rsid w:val="520131DF"/>
    <w:rsid w:val="5B99734B"/>
    <w:rsid w:val="5D0A65E0"/>
    <w:rsid w:val="5F2C111C"/>
    <w:rsid w:val="611E1041"/>
    <w:rsid w:val="612E5898"/>
    <w:rsid w:val="61780134"/>
    <w:rsid w:val="678F0E19"/>
    <w:rsid w:val="6A361D84"/>
    <w:rsid w:val="6AD53F67"/>
    <w:rsid w:val="6C4A05C8"/>
    <w:rsid w:val="6C9205D9"/>
    <w:rsid w:val="72734D90"/>
    <w:rsid w:val="740E39B4"/>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qFormat/>
    <w:uiPriority w:val="0"/>
    <w:pPr>
      <w:spacing w:line="540" w:lineRule="exact"/>
      <w:ind w:firstLine="640" w:firstLineChars="200"/>
    </w:pPr>
    <w:rPr>
      <w:rFonts w:eastAsia="仿宋_GB2312"/>
      <w:sz w:val="3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4"/>
    <w:qFormat/>
    <w:uiPriority w:val="99"/>
    <w:pPr>
      <w:spacing w:beforeLines="30"/>
    </w:pPr>
    <w:rPr>
      <w:rFonts w:ascii="仿宋_GB2312" w:eastAsia="仿宋_GB2312"/>
      <w:kern w:val="0"/>
      <w:sz w:val="24"/>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9"/>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5">
    <w:name w:val="标题 1 字符"/>
    <w:basedOn w:val="22"/>
    <w:link w:val="4"/>
    <w:qFormat/>
    <w:locked/>
    <w:uiPriority w:val="9"/>
    <w:rPr>
      <w:rFonts w:ascii="Times New Roman" w:hAnsi="Times New Roman" w:cs="Times New Roman"/>
      <w:b/>
      <w:bCs/>
      <w:kern w:val="44"/>
      <w:sz w:val="44"/>
      <w:szCs w:val="44"/>
    </w:rPr>
  </w:style>
  <w:style w:type="character" w:customStyle="1" w:styleId="26">
    <w:name w:val="标题 2 字符"/>
    <w:basedOn w:val="22"/>
    <w:link w:val="5"/>
    <w:qFormat/>
    <w:locked/>
    <w:uiPriority w:val="9"/>
    <w:rPr>
      <w:rFonts w:ascii="Cambria" w:hAnsi="Cambria" w:eastAsia="宋体" w:cs="Times New Roman"/>
      <w:b/>
      <w:bCs/>
      <w:kern w:val="2"/>
      <w:sz w:val="32"/>
      <w:szCs w:val="32"/>
    </w:rPr>
  </w:style>
  <w:style w:type="character" w:customStyle="1" w:styleId="27">
    <w:name w:val="标题 3 字符"/>
    <w:basedOn w:val="22"/>
    <w:link w:val="6"/>
    <w:qFormat/>
    <w:locked/>
    <w:uiPriority w:val="9"/>
    <w:rPr>
      <w:rFonts w:ascii="Times New Roman" w:hAnsi="Times New Roman" w:cs="Times New Roman"/>
      <w:b/>
      <w:bCs/>
      <w:kern w:val="2"/>
      <w:sz w:val="32"/>
      <w:szCs w:val="32"/>
    </w:rPr>
  </w:style>
  <w:style w:type="character" w:customStyle="1" w:styleId="28">
    <w:name w:val="Body Text Char"/>
    <w:basedOn w:val="22"/>
    <w:semiHidden/>
    <w:qFormat/>
    <w:uiPriority w:val="99"/>
    <w:rPr>
      <w:rFonts w:ascii="Times New Roman" w:hAnsi="Times New Roman" w:cs="Times New Roman"/>
      <w:sz w:val="24"/>
      <w:szCs w:val="24"/>
    </w:rPr>
  </w:style>
  <w:style w:type="character" w:customStyle="1" w:styleId="29">
    <w:name w:val="批注框文本 字符"/>
    <w:basedOn w:val="22"/>
    <w:link w:val="12"/>
    <w:semiHidden/>
    <w:qFormat/>
    <w:locked/>
    <w:uiPriority w:val="99"/>
    <w:rPr>
      <w:rFonts w:ascii="Times New Roman" w:hAnsi="Times New Roman" w:cs="Times New Roman"/>
      <w:kern w:val="2"/>
      <w:sz w:val="18"/>
      <w:szCs w:val="18"/>
    </w:rPr>
  </w:style>
  <w:style w:type="character" w:customStyle="1" w:styleId="30">
    <w:name w:val="Footer Char"/>
    <w:basedOn w:val="22"/>
    <w:semiHidden/>
    <w:qFormat/>
    <w:uiPriority w:val="99"/>
    <w:rPr>
      <w:rFonts w:ascii="Times New Roman" w:hAnsi="Times New Roman" w:cs="Times New Roman"/>
      <w:sz w:val="18"/>
      <w:szCs w:val="18"/>
    </w:rPr>
  </w:style>
  <w:style w:type="character" w:customStyle="1" w:styleId="31">
    <w:name w:val="Header Char"/>
    <w:basedOn w:val="22"/>
    <w:semiHidden/>
    <w:qFormat/>
    <w:uiPriority w:val="99"/>
    <w:rPr>
      <w:rFonts w:ascii="Times New Roman" w:hAnsi="Times New Roman" w:cs="Times New Roman"/>
      <w:sz w:val="18"/>
      <w:szCs w:val="18"/>
    </w:rPr>
  </w:style>
  <w:style w:type="character" w:customStyle="1" w:styleId="32">
    <w:name w:val="页眉 字符"/>
    <w:link w:val="14"/>
    <w:semiHidden/>
    <w:qFormat/>
    <w:locked/>
    <w:uiPriority w:val="99"/>
    <w:rPr>
      <w:sz w:val="18"/>
    </w:rPr>
  </w:style>
  <w:style w:type="character" w:customStyle="1" w:styleId="33">
    <w:name w:val="页脚 字符"/>
    <w:link w:val="13"/>
    <w:qFormat/>
    <w:locked/>
    <w:uiPriority w:val="99"/>
    <w:rPr>
      <w:sz w:val="18"/>
    </w:rPr>
  </w:style>
  <w:style w:type="character" w:customStyle="1" w:styleId="34">
    <w:name w:val="正文文本 字符"/>
    <w:link w:val="8"/>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9F9B-A1F1-412E-877B-8DD2A8A6A8C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7051</Words>
  <Characters>7718</Characters>
  <Lines>56</Lines>
  <Paragraphs>15</Paragraphs>
  <TotalTime>9</TotalTime>
  <ScaleCrop>false</ScaleCrop>
  <LinksUpToDate>false</LinksUpToDate>
  <CharactersWithSpaces>16007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暖暖</cp:lastModifiedBy>
  <cp:lastPrinted>2021-09-22T02:01:00Z</cp:lastPrinted>
  <dcterms:modified xsi:type="dcterms:W3CDTF">2023-09-11T10:06:39Z</dcterms:modified>
  <dc:title>阿坝州部门决算说明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630821C5CC184EE485F868F29FCC570F_13</vt:lpwstr>
  </property>
</Properties>
</file>