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BE7FA">
      <w:pPr>
        <w:rPr>
          <w:rFonts w:ascii="方正小标宋简体" w:hAnsi="宋体" w:eastAsia="方正小标宋简体"/>
          <w:color w:val="000000"/>
          <w:sz w:val="72"/>
          <w:szCs w:val="72"/>
        </w:rPr>
      </w:pPr>
      <w:bookmarkStart w:id="0" w:name="_Toc15378441"/>
      <w:bookmarkStart w:id="1" w:name="_Toc15396597"/>
      <w:bookmarkStart w:id="2" w:name="_Toc15396475"/>
      <w:bookmarkStart w:id="3" w:name="_Toc15377193"/>
      <w:bookmarkStart w:id="4" w:name="_Toc15377425"/>
      <w:bookmarkStart w:id="5" w:name="_Toc15306267"/>
    </w:p>
    <w:p w14:paraId="6D4715AF">
      <w:pPr>
        <w:ind w:firstLine="2160" w:firstLineChars="300"/>
        <w:rPr>
          <w:rFonts w:ascii="黑体" w:hAnsi="黑体" w:eastAsia="黑体"/>
          <w:sz w:val="72"/>
          <w:szCs w:val="72"/>
        </w:rPr>
      </w:pPr>
      <w:r>
        <w:rPr>
          <w:rFonts w:ascii="黑体" w:hAnsi="黑体" w:eastAsia="黑体"/>
          <w:sz w:val="72"/>
          <w:szCs w:val="72"/>
        </w:rPr>
        <w:t>202</w:t>
      </w:r>
      <w:r>
        <w:rPr>
          <w:rFonts w:hint="eastAsia" w:ascii="黑体" w:hAnsi="黑体" w:eastAsia="黑体"/>
          <w:sz w:val="72"/>
          <w:szCs w:val="72"/>
        </w:rPr>
        <w:t>1年度</w:t>
      </w:r>
      <w:bookmarkEnd w:id="0"/>
      <w:bookmarkEnd w:id="1"/>
      <w:bookmarkEnd w:id="2"/>
      <w:bookmarkEnd w:id="3"/>
      <w:bookmarkEnd w:id="4"/>
    </w:p>
    <w:p w14:paraId="3C309BBD">
      <w:pPr>
        <w:jc w:val="center"/>
        <w:outlineLvl w:val="0"/>
        <w:rPr>
          <w:rFonts w:ascii="方正小标宋简体" w:eastAsia="方正小标宋简体"/>
          <w:sz w:val="72"/>
          <w:szCs w:val="72"/>
        </w:rPr>
      </w:pPr>
      <w:bookmarkStart w:id="6" w:name="_Toc15377194"/>
      <w:bookmarkStart w:id="7" w:name="_Toc15396476"/>
      <w:bookmarkStart w:id="8" w:name="_Toc15396598"/>
      <w:bookmarkStart w:id="9" w:name="_Toc15377426"/>
      <w:bookmarkStart w:id="10" w:name="_Toc15378442"/>
      <w:bookmarkStart w:id="11" w:name="_Toc6101"/>
      <w:r>
        <w:rPr>
          <w:rFonts w:hint="eastAsia" w:ascii="方正小标宋简体" w:eastAsia="方正小标宋简体"/>
          <w:sz w:val="72"/>
          <w:szCs w:val="72"/>
        </w:rPr>
        <w:t>四川省阿坝州</w:t>
      </w:r>
      <w:bookmarkEnd w:id="5"/>
      <w:bookmarkStart w:id="12" w:name="_Toc15306268"/>
      <w:r>
        <w:rPr>
          <w:rFonts w:hint="eastAsia" w:ascii="方正小标宋简体" w:eastAsia="方正小标宋简体"/>
          <w:sz w:val="72"/>
          <w:szCs w:val="72"/>
        </w:rPr>
        <w:t>中共松潘县委办公室部门决算</w:t>
      </w:r>
      <w:bookmarkEnd w:id="6"/>
      <w:bookmarkEnd w:id="7"/>
      <w:bookmarkEnd w:id="8"/>
      <w:bookmarkEnd w:id="9"/>
      <w:bookmarkEnd w:id="10"/>
      <w:bookmarkEnd w:id="11"/>
      <w:bookmarkEnd w:id="12"/>
    </w:p>
    <w:p w14:paraId="59F58E9B">
      <w:pPr>
        <w:jc w:val="center"/>
        <w:rPr>
          <w:rFonts w:ascii="方正小标宋简体" w:eastAsia="方正小标宋简体"/>
          <w:sz w:val="52"/>
          <w:szCs w:val="52"/>
        </w:rPr>
      </w:pPr>
    </w:p>
    <w:p w14:paraId="657B2519">
      <w:pPr>
        <w:widowControl/>
        <w:jc w:val="center"/>
        <w:rPr>
          <w:rFonts w:ascii="方正小标宋简体" w:hAnsi="宋体" w:eastAsia="方正小标宋简体"/>
          <w:color w:val="000000"/>
          <w:sz w:val="36"/>
          <w:szCs w:val="36"/>
        </w:rPr>
      </w:pPr>
    </w:p>
    <w:p w14:paraId="25195812">
      <w:pPr>
        <w:rPr>
          <w:rFonts w:ascii="方正小标宋简体" w:hAnsi="宋体" w:eastAsia="方正小标宋简体"/>
          <w:sz w:val="36"/>
          <w:szCs w:val="36"/>
        </w:rPr>
      </w:pPr>
    </w:p>
    <w:p w14:paraId="1392EBC1">
      <w:pPr>
        <w:rPr>
          <w:rFonts w:ascii="方正小标宋简体" w:hAnsi="宋体" w:eastAsia="方正小标宋简体"/>
          <w:sz w:val="36"/>
          <w:szCs w:val="36"/>
        </w:rPr>
      </w:pPr>
    </w:p>
    <w:p w14:paraId="7234FA2A">
      <w:pPr>
        <w:rPr>
          <w:rFonts w:ascii="方正小标宋简体" w:hAnsi="宋体" w:eastAsia="方正小标宋简体"/>
          <w:sz w:val="36"/>
          <w:szCs w:val="36"/>
        </w:rPr>
      </w:pPr>
    </w:p>
    <w:p w14:paraId="79146D93">
      <w:pPr>
        <w:rPr>
          <w:rFonts w:ascii="方正小标宋简体" w:hAnsi="宋体" w:eastAsia="方正小标宋简体"/>
          <w:sz w:val="36"/>
          <w:szCs w:val="36"/>
        </w:rPr>
      </w:pPr>
    </w:p>
    <w:p w14:paraId="40F5E43C">
      <w:pPr>
        <w:autoSpaceDE w:val="0"/>
        <w:autoSpaceDN w:val="0"/>
        <w:adjustRightInd w:val="0"/>
        <w:ind w:left="420" w:leftChars="200"/>
        <w:jc w:val="left"/>
        <w:rPr>
          <w:rFonts w:ascii="宋体" w:hAnsi="宋体"/>
          <w:sz w:val="32"/>
          <w:szCs w:val="32"/>
        </w:rPr>
      </w:pPr>
      <w:r>
        <w:rPr>
          <w:rFonts w:hint="eastAsia" w:ascii="宋体" w:hAnsi="宋体" w:cs="仿宋_GB2312"/>
          <w:sz w:val="32"/>
          <w:szCs w:val="32"/>
        </w:rPr>
        <w:t>保密审查情况：已审查，内容审定</w:t>
      </w:r>
    </w:p>
    <w:p w14:paraId="1B2FFF97">
      <w:pPr>
        <w:autoSpaceDE w:val="0"/>
        <w:autoSpaceDN w:val="0"/>
        <w:adjustRightInd w:val="0"/>
        <w:ind w:left="420" w:leftChars="200"/>
        <w:jc w:val="left"/>
        <w:rPr>
          <w:rFonts w:ascii="宋体" w:hAnsi="宋体"/>
          <w:sz w:val="32"/>
          <w:szCs w:val="32"/>
        </w:rPr>
      </w:pPr>
      <w:r>
        <w:rPr>
          <w:rFonts w:hint="eastAsia" w:ascii="宋体" w:hAnsi="宋体" w:cs="仿宋_GB2312"/>
          <w:sz w:val="32"/>
          <w:szCs w:val="32"/>
        </w:rPr>
        <w:t>部门主要负责人审签情况：已审签，同意对外公开</w:t>
      </w:r>
    </w:p>
    <w:p w14:paraId="4B3F4B43">
      <w:pPr>
        <w:widowControl/>
        <w:jc w:val="center"/>
        <w:rPr>
          <w:rFonts w:ascii="方正小标宋简体" w:hAnsi="宋体" w:eastAsia="方正小标宋简体"/>
          <w:color w:val="000000"/>
          <w:sz w:val="36"/>
          <w:szCs w:val="36"/>
        </w:rPr>
      </w:pPr>
    </w:p>
    <w:p w14:paraId="3FE78122">
      <w:pPr>
        <w:widowControl/>
        <w:jc w:val="center"/>
        <w:rPr>
          <w:rFonts w:ascii="黑体" w:hAnsi="黑体" w:eastAsia="黑体"/>
          <w:color w:val="000000"/>
          <w:sz w:val="48"/>
          <w:szCs w:val="48"/>
        </w:rPr>
      </w:pPr>
      <w:r>
        <w:rPr>
          <w:rFonts w:ascii="方正小标宋简体" w:hAnsi="宋体" w:eastAsia="方正小标宋简体"/>
          <w:sz w:val="36"/>
          <w:szCs w:val="36"/>
        </w:rPr>
        <w:br w:type="page"/>
      </w:r>
      <w:r>
        <w:rPr>
          <w:rFonts w:hint="eastAsia" w:ascii="黑体" w:hAnsi="黑体" w:eastAsia="黑体"/>
          <w:color w:val="000000"/>
          <w:sz w:val="48"/>
          <w:szCs w:val="48"/>
        </w:rPr>
        <w:t>目录</w:t>
      </w:r>
    </w:p>
    <w:p w14:paraId="4EFCFD23">
      <w:pPr>
        <w:pStyle w:val="15"/>
        <w:jc w:val="center"/>
        <w:rPr>
          <w:rFonts w:hAnsiTheme="minorHAnsi"/>
          <w:b w:val="0"/>
          <w:bCs w:val="0"/>
          <w:sz w:val="24"/>
          <w:szCs w:val="24"/>
        </w:rPr>
      </w:pPr>
      <w:r>
        <w:rPr>
          <w:rFonts w:hint="eastAsia" w:hAnsiTheme="minorHAnsi"/>
          <w:b w:val="0"/>
          <w:bCs w:val="0"/>
          <w:sz w:val="24"/>
          <w:szCs w:val="24"/>
        </w:rPr>
        <w:t>公开时间：2022年9月</w:t>
      </w:r>
      <w:r>
        <w:rPr>
          <w:rFonts w:hint="eastAsia" w:hAnsiTheme="minorHAnsi"/>
          <w:b w:val="0"/>
          <w:bCs w:val="0"/>
          <w:sz w:val="24"/>
          <w:szCs w:val="24"/>
          <w:lang w:val="en-US" w:eastAsia="zh-CN"/>
        </w:rPr>
        <w:t>23</w:t>
      </w:r>
      <w:r>
        <w:rPr>
          <w:rFonts w:hint="eastAsia" w:hAnsiTheme="minorHAnsi"/>
          <w:b w:val="0"/>
          <w:bCs w:val="0"/>
          <w:sz w:val="24"/>
          <w:szCs w:val="24"/>
        </w:rPr>
        <w:t>日</w:t>
      </w:r>
    </w:p>
    <w:p w14:paraId="41353EF7">
      <w:pPr>
        <w:jc w:val="center"/>
      </w:pPr>
      <w:r>
        <w:rPr>
          <w:b w:val="0"/>
          <w:bCs w:val="0"/>
          <w:caps w:val="0"/>
        </w:rPr>
        <w:fldChar w:fldCharType="begin"/>
      </w:r>
      <w:r>
        <w:rPr>
          <w:b w:val="0"/>
          <w:bCs w:val="0"/>
          <w:caps w:val="0"/>
        </w:rPr>
        <w:instrText xml:space="preserve"> TOC \o \u </w:instrText>
      </w:r>
      <w:r>
        <w:rPr>
          <w:b w:val="0"/>
          <w:bCs w:val="0"/>
          <w:caps w:val="0"/>
        </w:rPr>
        <w:fldChar w:fldCharType="separate"/>
      </w:r>
    </w:p>
    <w:sdt>
      <w:sdtPr>
        <w:rPr>
          <w:rFonts w:ascii="宋体" w:hAnsi="宋体"/>
        </w:rPr>
        <w:id w:val="147480990"/>
      </w:sdtPr>
      <w:sdtEndPr>
        <w:rPr>
          <w:rFonts w:ascii="宋体" w:hAnsi="宋体"/>
          <w:b/>
        </w:rPr>
      </w:sdtEndPr>
      <w:sdtContent>
        <w:p w14:paraId="689A98A4">
          <w:pPr>
            <w:jc w:val="center"/>
          </w:pPr>
        </w:p>
        <w:p w14:paraId="7F1E80ED">
          <w:pPr>
            <w:pStyle w:val="41"/>
            <w:tabs>
              <w:tab w:val="right" w:leader="dot" w:pos="8306"/>
            </w:tabs>
            <w:rPr>
              <w:b/>
            </w:rPr>
          </w:pPr>
          <w:r>
            <w:fldChar w:fldCharType="begin"/>
          </w:r>
          <w:r>
            <w:instrText xml:space="preserve">TOC \o "1-2" \h \u </w:instrText>
          </w:r>
          <w:r>
            <w:fldChar w:fldCharType="separate"/>
          </w:r>
          <w:r>
            <w:fldChar w:fldCharType="begin"/>
          </w:r>
          <w:r>
            <w:instrText xml:space="preserve"> HYPERLINK \l "_Toc6101" </w:instrText>
          </w:r>
          <w:r>
            <w:fldChar w:fldCharType="separate"/>
          </w:r>
          <w:r>
            <w:rPr>
              <w:rFonts w:hint="eastAsia" w:ascii="方正小标宋简体" w:eastAsia="方正小标宋简体"/>
              <w:b/>
              <w:szCs w:val="72"/>
            </w:rPr>
            <w:t>四川省阿坝州中共松潘县委办公室部门决算</w:t>
          </w:r>
          <w:r>
            <w:rPr>
              <w:b/>
            </w:rPr>
            <w:tab/>
          </w:r>
          <w:r>
            <w:rPr>
              <w:b/>
            </w:rPr>
            <w:fldChar w:fldCharType="begin"/>
          </w:r>
          <w:r>
            <w:rPr>
              <w:b/>
            </w:rPr>
            <w:instrText xml:space="preserve"> PAGEREF _Toc6101 \h </w:instrText>
          </w:r>
          <w:r>
            <w:rPr>
              <w:b/>
            </w:rPr>
            <w:fldChar w:fldCharType="separate"/>
          </w:r>
          <w:r>
            <w:rPr>
              <w:b/>
            </w:rPr>
            <w:t>1</w:t>
          </w:r>
          <w:r>
            <w:rPr>
              <w:b/>
            </w:rPr>
            <w:fldChar w:fldCharType="end"/>
          </w:r>
          <w:r>
            <w:rPr>
              <w:b/>
            </w:rPr>
            <w:fldChar w:fldCharType="end"/>
          </w:r>
        </w:p>
        <w:p w14:paraId="0DCAA69A">
          <w:pPr>
            <w:pStyle w:val="41"/>
            <w:tabs>
              <w:tab w:val="right" w:leader="dot" w:pos="8306"/>
            </w:tabs>
            <w:rPr>
              <w:b/>
            </w:rPr>
          </w:pPr>
          <w:r>
            <w:fldChar w:fldCharType="begin"/>
          </w:r>
          <w:r>
            <w:instrText xml:space="preserve"> HYPERLINK \l "_Toc11679" </w:instrText>
          </w:r>
          <w:r>
            <w:fldChar w:fldCharType="separate"/>
          </w:r>
          <w:r>
            <w:rPr>
              <w:rFonts w:hint="eastAsia" w:ascii="黑体" w:hAnsi="黑体" w:eastAsia="黑体"/>
              <w:b/>
            </w:rPr>
            <w:t>第一部分部门概况</w:t>
          </w:r>
          <w:r>
            <w:rPr>
              <w:b/>
            </w:rPr>
            <w:tab/>
          </w:r>
          <w:r>
            <w:rPr>
              <w:b/>
            </w:rPr>
            <w:fldChar w:fldCharType="begin"/>
          </w:r>
          <w:r>
            <w:rPr>
              <w:b/>
            </w:rPr>
            <w:instrText xml:space="preserve"> PAGEREF _Toc11679 \h </w:instrText>
          </w:r>
          <w:r>
            <w:rPr>
              <w:b/>
            </w:rPr>
            <w:fldChar w:fldCharType="separate"/>
          </w:r>
          <w:r>
            <w:rPr>
              <w:b/>
            </w:rPr>
            <w:t>4</w:t>
          </w:r>
          <w:r>
            <w:rPr>
              <w:b/>
            </w:rPr>
            <w:fldChar w:fldCharType="end"/>
          </w:r>
          <w:r>
            <w:rPr>
              <w:b/>
            </w:rPr>
            <w:fldChar w:fldCharType="end"/>
          </w:r>
        </w:p>
        <w:p w14:paraId="052995B9">
          <w:pPr>
            <w:pStyle w:val="42"/>
            <w:tabs>
              <w:tab w:val="right" w:leader="dot" w:pos="8306"/>
            </w:tabs>
            <w:ind w:left="420"/>
          </w:pPr>
          <w:r>
            <w:fldChar w:fldCharType="begin"/>
          </w:r>
          <w:r>
            <w:instrText xml:space="preserve"> HYPERLINK \l "_Toc27923" </w:instrText>
          </w:r>
          <w:r>
            <w:fldChar w:fldCharType="separate"/>
          </w:r>
          <w:r>
            <w:rPr>
              <w:rFonts w:hint="eastAsia" w:ascii="黑体" w:hAnsi="黑体" w:eastAsia="黑体"/>
            </w:rPr>
            <w:t>一、基本职能及主要工作</w:t>
          </w:r>
          <w:r>
            <w:tab/>
          </w:r>
          <w:r>
            <w:fldChar w:fldCharType="begin"/>
          </w:r>
          <w:r>
            <w:instrText xml:space="preserve"> PAGEREF _Toc27923 \h </w:instrText>
          </w:r>
          <w:r>
            <w:fldChar w:fldCharType="separate"/>
          </w:r>
          <w:r>
            <w:t>4</w:t>
          </w:r>
          <w:r>
            <w:fldChar w:fldCharType="end"/>
          </w:r>
          <w:r>
            <w:fldChar w:fldCharType="end"/>
          </w:r>
        </w:p>
        <w:p w14:paraId="395E13AA">
          <w:pPr>
            <w:pStyle w:val="42"/>
            <w:tabs>
              <w:tab w:val="right" w:leader="dot" w:pos="8306"/>
            </w:tabs>
            <w:ind w:left="420"/>
          </w:pPr>
          <w:r>
            <w:fldChar w:fldCharType="begin"/>
          </w:r>
          <w:r>
            <w:instrText xml:space="preserve"> HYPERLINK \l "_Toc15727" </w:instrText>
          </w:r>
          <w:r>
            <w:fldChar w:fldCharType="separate"/>
          </w:r>
          <w:r>
            <w:rPr>
              <w:rFonts w:hint="eastAsia" w:ascii="仿宋" w:hAnsi="仿宋" w:eastAsia="仿宋"/>
            </w:rPr>
            <w:t>（一）主要职能。</w:t>
          </w:r>
          <w:r>
            <w:tab/>
          </w:r>
          <w:r>
            <w:fldChar w:fldCharType="begin"/>
          </w:r>
          <w:r>
            <w:instrText xml:space="preserve"> PAGEREF _Toc15727 \h </w:instrText>
          </w:r>
          <w:r>
            <w:fldChar w:fldCharType="separate"/>
          </w:r>
          <w:r>
            <w:t>4</w:t>
          </w:r>
          <w:r>
            <w:fldChar w:fldCharType="end"/>
          </w:r>
          <w:r>
            <w:fldChar w:fldCharType="end"/>
          </w:r>
        </w:p>
        <w:p w14:paraId="6136ABD2">
          <w:pPr>
            <w:pStyle w:val="42"/>
            <w:tabs>
              <w:tab w:val="right" w:leader="dot" w:pos="8306"/>
            </w:tabs>
            <w:ind w:left="420"/>
          </w:pPr>
          <w:r>
            <w:fldChar w:fldCharType="begin"/>
          </w:r>
          <w:r>
            <w:instrText xml:space="preserve"> HYPERLINK \l "_Toc11427" </w:instrText>
          </w:r>
          <w:r>
            <w:fldChar w:fldCharType="separate"/>
          </w:r>
          <w:r>
            <w:rPr>
              <w:rFonts w:hint="eastAsia" w:ascii="黑体" w:eastAsia="黑体"/>
            </w:rPr>
            <w:t>二、</w:t>
          </w:r>
          <w:r>
            <w:rPr>
              <w:rFonts w:hint="eastAsia" w:ascii="黑体" w:hAnsi="黑体" w:eastAsia="黑体"/>
            </w:rPr>
            <w:t>机构设置</w:t>
          </w:r>
          <w:r>
            <w:tab/>
          </w:r>
          <w:r>
            <w:fldChar w:fldCharType="begin"/>
          </w:r>
          <w:r>
            <w:instrText xml:space="preserve"> PAGEREF _Toc11427 \h </w:instrText>
          </w:r>
          <w:r>
            <w:fldChar w:fldCharType="separate"/>
          </w:r>
          <w:r>
            <w:t>8</w:t>
          </w:r>
          <w:r>
            <w:fldChar w:fldCharType="end"/>
          </w:r>
          <w:r>
            <w:fldChar w:fldCharType="end"/>
          </w:r>
        </w:p>
        <w:p w14:paraId="3B9BAFCC">
          <w:pPr>
            <w:pStyle w:val="41"/>
            <w:tabs>
              <w:tab w:val="right" w:leader="dot" w:pos="8306"/>
            </w:tabs>
            <w:rPr>
              <w:b/>
            </w:rPr>
          </w:pPr>
          <w:r>
            <w:fldChar w:fldCharType="begin"/>
          </w:r>
          <w:r>
            <w:instrText xml:space="preserve"> HYPERLINK \l "_Toc22754" </w:instrText>
          </w:r>
          <w:r>
            <w:fldChar w:fldCharType="separate"/>
          </w:r>
          <w:r>
            <w:rPr>
              <w:rFonts w:hint="eastAsia" w:ascii="黑体" w:hAnsi="黑体" w:eastAsia="黑体"/>
              <w:b/>
            </w:rPr>
            <w:t>第二部分</w:t>
          </w:r>
          <w:r>
            <w:rPr>
              <w:rFonts w:ascii="黑体" w:hAnsi="黑体" w:eastAsia="黑体"/>
              <w:b/>
            </w:rPr>
            <w:t>202</w:t>
          </w:r>
          <w:r>
            <w:rPr>
              <w:rFonts w:hint="eastAsia" w:ascii="黑体" w:hAnsi="黑体" w:eastAsia="黑体"/>
              <w:b/>
            </w:rPr>
            <w:t>1年度部门决算情况说明</w:t>
          </w:r>
          <w:r>
            <w:rPr>
              <w:b/>
            </w:rPr>
            <w:tab/>
          </w:r>
          <w:r>
            <w:rPr>
              <w:b/>
            </w:rPr>
            <w:fldChar w:fldCharType="begin"/>
          </w:r>
          <w:r>
            <w:rPr>
              <w:b/>
            </w:rPr>
            <w:instrText xml:space="preserve"> PAGEREF _Toc22754 \h </w:instrText>
          </w:r>
          <w:r>
            <w:rPr>
              <w:b/>
            </w:rPr>
            <w:fldChar w:fldCharType="separate"/>
          </w:r>
          <w:r>
            <w:rPr>
              <w:b/>
            </w:rPr>
            <w:t>12</w:t>
          </w:r>
          <w:r>
            <w:rPr>
              <w:b/>
            </w:rPr>
            <w:fldChar w:fldCharType="end"/>
          </w:r>
          <w:r>
            <w:rPr>
              <w:b/>
            </w:rPr>
            <w:fldChar w:fldCharType="end"/>
          </w:r>
        </w:p>
        <w:p w14:paraId="3734BD41">
          <w:pPr>
            <w:pStyle w:val="42"/>
            <w:tabs>
              <w:tab w:val="right" w:leader="dot" w:pos="8306"/>
            </w:tabs>
            <w:ind w:left="420"/>
          </w:pPr>
          <w:r>
            <w:fldChar w:fldCharType="begin"/>
          </w:r>
          <w:r>
            <w:instrText xml:space="preserve"> HYPERLINK \l "_Toc22146" </w:instrText>
          </w:r>
          <w:r>
            <w:fldChar w:fldCharType="separate"/>
          </w:r>
          <w:r>
            <w:rPr>
              <w:rFonts w:ascii="黑体" w:hAnsi="黑体" w:eastAsia="黑体"/>
            </w:rPr>
            <w:t>一、</w:t>
          </w:r>
          <w:r>
            <w:rPr>
              <w:rFonts w:hint="eastAsia" w:ascii="黑体" w:hAnsi="黑体" w:eastAsia="黑体"/>
              <w:szCs w:val="32"/>
            </w:rPr>
            <w:t>收</w:t>
          </w:r>
          <w:r>
            <w:rPr>
              <w:rFonts w:hint="eastAsia" w:ascii="黑体" w:hAnsi="黑体" w:eastAsia="黑体"/>
            </w:rPr>
            <w:t>入支出决算总体情况说明</w:t>
          </w:r>
          <w:r>
            <w:tab/>
          </w:r>
          <w:r>
            <w:fldChar w:fldCharType="begin"/>
          </w:r>
          <w:r>
            <w:instrText xml:space="preserve"> PAGEREF _Toc22146 \h </w:instrText>
          </w:r>
          <w:r>
            <w:fldChar w:fldCharType="separate"/>
          </w:r>
          <w:r>
            <w:t>12</w:t>
          </w:r>
          <w:r>
            <w:fldChar w:fldCharType="end"/>
          </w:r>
          <w:r>
            <w:fldChar w:fldCharType="end"/>
          </w:r>
        </w:p>
        <w:p w14:paraId="641C0C46">
          <w:pPr>
            <w:pStyle w:val="42"/>
            <w:tabs>
              <w:tab w:val="right" w:leader="dot" w:pos="8306"/>
            </w:tabs>
            <w:ind w:left="420"/>
          </w:pPr>
          <w:r>
            <w:fldChar w:fldCharType="begin"/>
          </w:r>
          <w:r>
            <w:instrText xml:space="preserve"> HYPERLINK \l "_Toc18104" </w:instrText>
          </w:r>
          <w:r>
            <w:fldChar w:fldCharType="separate"/>
          </w:r>
          <w:r>
            <w:rPr>
              <w:rFonts w:ascii="黑体" w:hAnsi="黑体" w:eastAsia="黑体"/>
            </w:rPr>
            <w:t>二、</w:t>
          </w:r>
          <w:r>
            <w:rPr>
              <w:rFonts w:hint="eastAsia" w:ascii="黑体" w:hAnsi="黑体" w:eastAsia="黑体"/>
              <w:szCs w:val="32"/>
            </w:rPr>
            <w:t>收</w:t>
          </w:r>
          <w:r>
            <w:rPr>
              <w:rFonts w:hint="eastAsia" w:ascii="黑体" w:hAnsi="黑体" w:eastAsia="黑体"/>
            </w:rPr>
            <w:t>入决算情况说明</w:t>
          </w:r>
          <w:r>
            <w:tab/>
          </w:r>
          <w:r>
            <w:fldChar w:fldCharType="begin"/>
          </w:r>
          <w:r>
            <w:instrText xml:space="preserve"> PAGEREF _Toc18104 \h </w:instrText>
          </w:r>
          <w:r>
            <w:fldChar w:fldCharType="separate"/>
          </w:r>
          <w:r>
            <w:t>12</w:t>
          </w:r>
          <w:r>
            <w:fldChar w:fldCharType="end"/>
          </w:r>
          <w:r>
            <w:fldChar w:fldCharType="end"/>
          </w:r>
        </w:p>
        <w:p w14:paraId="424F0208">
          <w:pPr>
            <w:pStyle w:val="42"/>
            <w:tabs>
              <w:tab w:val="right" w:leader="dot" w:pos="8306"/>
            </w:tabs>
            <w:ind w:left="420"/>
          </w:pPr>
          <w:r>
            <w:fldChar w:fldCharType="begin"/>
          </w:r>
          <w:r>
            <w:instrText xml:space="preserve"> HYPERLINK \l "_Toc10822" </w:instrText>
          </w:r>
          <w:r>
            <w:fldChar w:fldCharType="separate"/>
          </w:r>
          <w:r>
            <w:rPr>
              <w:rFonts w:ascii="黑体" w:hAnsi="黑体" w:eastAsia="黑体"/>
            </w:rPr>
            <w:t>三、</w:t>
          </w:r>
          <w:r>
            <w:rPr>
              <w:rFonts w:hint="eastAsia" w:ascii="黑体" w:hAnsi="黑体" w:eastAsia="黑体"/>
              <w:szCs w:val="32"/>
            </w:rPr>
            <w:t>支</w:t>
          </w:r>
          <w:r>
            <w:rPr>
              <w:rFonts w:hint="eastAsia" w:ascii="黑体" w:hAnsi="黑体" w:eastAsia="黑体"/>
            </w:rPr>
            <w:t>出决算情况说明</w:t>
          </w:r>
          <w:r>
            <w:tab/>
          </w:r>
          <w:r>
            <w:fldChar w:fldCharType="begin"/>
          </w:r>
          <w:r>
            <w:instrText xml:space="preserve"> PAGEREF _Toc10822 \h </w:instrText>
          </w:r>
          <w:r>
            <w:fldChar w:fldCharType="separate"/>
          </w:r>
          <w:r>
            <w:t>13</w:t>
          </w:r>
          <w:r>
            <w:fldChar w:fldCharType="end"/>
          </w:r>
          <w:r>
            <w:fldChar w:fldCharType="end"/>
          </w:r>
        </w:p>
        <w:p w14:paraId="142A4484">
          <w:pPr>
            <w:pStyle w:val="42"/>
            <w:tabs>
              <w:tab w:val="right" w:leader="dot" w:pos="8306"/>
            </w:tabs>
            <w:ind w:left="420"/>
          </w:pPr>
          <w:r>
            <w:fldChar w:fldCharType="begin"/>
          </w:r>
          <w:r>
            <w:instrText xml:space="preserve"> HYPERLINK \l "_Toc21689" </w:instrText>
          </w:r>
          <w:r>
            <w:fldChar w:fldCharType="separate"/>
          </w:r>
          <w:r>
            <w:rPr>
              <w:rFonts w:hint="eastAsia" w:ascii="黑体" w:hAnsi="黑体" w:eastAsia="黑体"/>
              <w:szCs w:val="32"/>
            </w:rPr>
            <w:t>四、财</w:t>
          </w:r>
          <w:r>
            <w:rPr>
              <w:rFonts w:hint="eastAsia" w:ascii="黑体" w:hAnsi="黑体" w:eastAsia="黑体"/>
            </w:rPr>
            <w:t>政拨款收入支出决算总体情况说明</w:t>
          </w:r>
          <w:r>
            <w:tab/>
          </w:r>
          <w:r>
            <w:fldChar w:fldCharType="begin"/>
          </w:r>
          <w:r>
            <w:instrText xml:space="preserve"> PAGEREF _Toc21689 \h </w:instrText>
          </w:r>
          <w:r>
            <w:fldChar w:fldCharType="separate"/>
          </w:r>
          <w:r>
            <w:t>14</w:t>
          </w:r>
          <w:r>
            <w:fldChar w:fldCharType="end"/>
          </w:r>
          <w:r>
            <w:fldChar w:fldCharType="end"/>
          </w:r>
        </w:p>
        <w:p w14:paraId="03DE1CC4">
          <w:pPr>
            <w:pStyle w:val="42"/>
            <w:tabs>
              <w:tab w:val="right" w:leader="dot" w:pos="8306"/>
            </w:tabs>
            <w:ind w:left="420"/>
          </w:pPr>
          <w:r>
            <w:fldChar w:fldCharType="begin"/>
          </w:r>
          <w:r>
            <w:instrText xml:space="preserve"> HYPERLINK \l "_Toc16630" </w:instrText>
          </w:r>
          <w:r>
            <w:fldChar w:fldCharType="separate"/>
          </w:r>
          <w:r>
            <w:rPr>
              <w:rFonts w:hint="eastAsia" w:ascii="黑体" w:hAnsi="黑体" w:eastAsia="黑体"/>
              <w:szCs w:val="32"/>
            </w:rPr>
            <w:t>五、一</w:t>
          </w:r>
          <w:r>
            <w:rPr>
              <w:rFonts w:hint="eastAsia" w:ascii="黑体" w:hAnsi="黑体" w:eastAsia="黑体"/>
            </w:rPr>
            <w:t>般公共预算财政拨款支出决算情况说明</w:t>
          </w:r>
          <w:r>
            <w:tab/>
          </w:r>
          <w:r>
            <w:fldChar w:fldCharType="begin"/>
          </w:r>
          <w:r>
            <w:instrText xml:space="preserve"> PAGEREF _Toc16630 \h </w:instrText>
          </w:r>
          <w:r>
            <w:fldChar w:fldCharType="separate"/>
          </w:r>
          <w:r>
            <w:t>14</w:t>
          </w:r>
          <w:r>
            <w:fldChar w:fldCharType="end"/>
          </w:r>
          <w:r>
            <w:fldChar w:fldCharType="end"/>
          </w:r>
        </w:p>
        <w:p w14:paraId="2B53644D">
          <w:pPr>
            <w:pStyle w:val="42"/>
            <w:tabs>
              <w:tab w:val="right" w:leader="dot" w:pos="8306"/>
            </w:tabs>
            <w:ind w:left="420"/>
          </w:pPr>
          <w:r>
            <w:fldChar w:fldCharType="begin"/>
          </w:r>
          <w:r>
            <w:instrText xml:space="preserve"> HYPERLINK \l "_Toc14509" </w:instrText>
          </w:r>
          <w:r>
            <w:fldChar w:fldCharType="separate"/>
          </w:r>
          <w:r>
            <w:rPr>
              <w:rFonts w:hint="eastAsia" w:ascii="黑体" w:eastAsia="黑体"/>
              <w:szCs w:val="32"/>
            </w:rPr>
            <w:t>六、</w:t>
          </w:r>
          <w:r>
            <w:rPr>
              <w:rFonts w:hint="eastAsia" w:ascii="黑体" w:hAnsi="黑体" w:eastAsia="黑体"/>
              <w:szCs w:val="32"/>
            </w:rPr>
            <w:t>一</w:t>
          </w:r>
          <w:r>
            <w:rPr>
              <w:rFonts w:hint="eastAsia" w:ascii="黑体" w:hAnsi="黑体" w:eastAsia="黑体"/>
            </w:rPr>
            <w:t>般公共预算财政拨款基本支出决算情况说明</w:t>
          </w:r>
          <w:r>
            <w:tab/>
          </w:r>
          <w:r>
            <w:fldChar w:fldCharType="begin"/>
          </w:r>
          <w:r>
            <w:instrText xml:space="preserve"> PAGEREF _Toc14509 \h </w:instrText>
          </w:r>
          <w:r>
            <w:fldChar w:fldCharType="separate"/>
          </w:r>
          <w:r>
            <w:t>16</w:t>
          </w:r>
          <w:r>
            <w:fldChar w:fldCharType="end"/>
          </w:r>
          <w:r>
            <w:fldChar w:fldCharType="end"/>
          </w:r>
        </w:p>
        <w:p w14:paraId="55BD2D73">
          <w:pPr>
            <w:pStyle w:val="42"/>
            <w:tabs>
              <w:tab w:val="right" w:leader="dot" w:pos="8306"/>
            </w:tabs>
            <w:ind w:left="420"/>
          </w:pPr>
          <w:r>
            <w:fldChar w:fldCharType="begin"/>
          </w:r>
          <w:r>
            <w:instrText xml:space="preserve"> HYPERLINK \l "_Toc15843" </w:instrText>
          </w:r>
          <w:r>
            <w:fldChar w:fldCharType="separate"/>
          </w:r>
          <w:r>
            <w:rPr>
              <w:rFonts w:hint="eastAsia" w:ascii="黑体" w:eastAsia="黑体"/>
              <w:szCs w:val="32"/>
            </w:rPr>
            <w:t>七、</w:t>
          </w:r>
          <w:r>
            <w:rPr>
              <w:rFonts w:hint="eastAsia" w:ascii="黑体" w:hAnsi="黑体" w:eastAsia="黑体"/>
            </w:rPr>
            <w:t>“三公”经费财政拨款支出决算情况说明</w:t>
          </w:r>
          <w:r>
            <w:tab/>
          </w:r>
          <w:r>
            <w:fldChar w:fldCharType="begin"/>
          </w:r>
          <w:r>
            <w:instrText xml:space="preserve"> PAGEREF _Toc15843 \h </w:instrText>
          </w:r>
          <w:r>
            <w:fldChar w:fldCharType="separate"/>
          </w:r>
          <w:r>
            <w:t>17</w:t>
          </w:r>
          <w:r>
            <w:fldChar w:fldCharType="end"/>
          </w:r>
          <w:r>
            <w:fldChar w:fldCharType="end"/>
          </w:r>
        </w:p>
        <w:p w14:paraId="6FEC0C6D">
          <w:pPr>
            <w:pStyle w:val="42"/>
            <w:tabs>
              <w:tab w:val="right" w:leader="dot" w:pos="8306"/>
            </w:tabs>
            <w:ind w:left="420"/>
          </w:pPr>
          <w:r>
            <w:fldChar w:fldCharType="begin"/>
          </w:r>
          <w:r>
            <w:instrText xml:space="preserve"> HYPERLINK \l "_Toc644" </w:instrText>
          </w:r>
          <w:r>
            <w:fldChar w:fldCharType="separate"/>
          </w:r>
          <w:r>
            <w:rPr>
              <w:rFonts w:hint="eastAsia" w:ascii="黑体" w:hAnsi="黑体" w:eastAsia="黑体"/>
              <w:szCs w:val="32"/>
            </w:rPr>
            <w:t>八、政府性基金预算财政拨款支出决算情况</w:t>
          </w:r>
          <w:r>
            <w:tab/>
          </w:r>
          <w:r>
            <w:fldChar w:fldCharType="begin"/>
          </w:r>
          <w:r>
            <w:instrText xml:space="preserve"> PAGEREF _Toc644 \h </w:instrText>
          </w:r>
          <w:r>
            <w:fldChar w:fldCharType="separate"/>
          </w:r>
          <w:r>
            <w:t>18</w:t>
          </w:r>
          <w:r>
            <w:fldChar w:fldCharType="end"/>
          </w:r>
          <w:r>
            <w:fldChar w:fldCharType="end"/>
          </w:r>
        </w:p>
        <w:p w14:paraId="4A1C25C3">
          <w:pPr>
            <w:pStyle w:val="42"/>
            <w:tabs>
              <w:tab w:val="right" w:leader="dot" w:pos="8306"/>
            </w:tabs>
            <w:ind w:left="420"/>
          </w:pPr>
          <w:r>
            <w:fldChar w:fldCharType="begin"/>
          </w:r>
          <w:r>
            <w:instrText xml:space="preserve"> HYPERLINK \l "_Toc19491" </w:instrText>
          </w:r>
          <w:r>
            <w:fldChar w:fldCharType="separate"/>
          </w:r>
          <w:r>
            <w:rPr>
              <w:rFonts w:hint="eastAsia" w:ascii="黑体" w:hAnsi="黑体" w:eastAsia="黑体"/>
              <w:szCs w:val="32"/>
            </w:rPr>
            <w:t>九、</w:t>
          </w:r>
          <w:r>
            <w:rPr>
              <w:rFonts w:hint="eastAsia" w:ascii="黑体" w:hAnsi="黑体" w:eastAsia="黑体"/>
            </w:rPr>
            <w:t>国有资本经营预算支出决算情况说明</w:t>
          </w:r>
          <w:r>
            <w:tab/>
          </w:r>
          <w:r>
            <w:fldChar w:fldCharType="begin"/>
          </w:r>
          <w:r>
            <w:instrText xml:space="preserve"> PAGEREF _Toc19491 \h </w:instrText>
          </w:r>
          <w:r>
            <w:fldChar w:fldCharType="separate"/>
          </w:r>
          <w:r>
            <w:t>18</w:t>
          </w:r>
          <w:r>
            <w:fldChar w:fldCharType="end"/>
          </w:r>
          <w:r>
            <w:fldChar w:fldCharType="end"/>
          </w:r>
        </w:p>
        <w:p w14:paraId="40DA8FBB">
          <w:pPr>
            <w:pStyle w:val="42"/>
            <w:tabs>
              <w:tab w:val="right" w:leader="dot" w:pos="8306"/>
            </w:tabs>
            <w:ind w:left="420"/>
          </w:pPr>
          <w:r>
            <w:fldChar w:fldCharType="begin"/>
          </w:r>
          <w:r>
            <w:instrText xml:space="preserve"> HYPERLINK \l "_Toc11824" </w:instrText>
          </w:r>
          <w:r>
            <w:fldChar w:fldCharType="separate"/>
          </w:r>
          <w:r>
            <w:rPr>
              <w:rFonts w:hint="eastAsia" w:ascii="黑体" w:hAnsi="黑体" w:eastAsia="黑体"/>
              <w:szCs w:val="32"/>
            </w:rPr>
            <w:t>十、其他重要事项的情况说明</w:t>
          </w:r>
          <w:r>
            <w:tab/>
          </w:r>
          <w:r>
            <w:fldChar w:fldCharType="begin"/>
          </w:r>
          <w:r>
            <w:instrText xml:space="preserve"> PAGEREF _Toc11824 \h </w:instrText>
          </w:r>
          <w:r>
            <w:fldChar w:fldCharType="separate"/>
          </w:r>
          <w:r>
            <w:t>18</w:t>
          </w:r>
          <w:r>
            <w:fldChar w:fldCharType="end"/>
          </w:r>
          <w:r>
            <w:fldChar w:fldCharType="end"/>
          </w:r>
        </w:p>
        <w:p w14:paraId="0738697F">
          <w:pPr>
            <w:pStyle w:val="41"/>
            <w:tabs>
              <w:tab w:val="right" w:leader="dot" w:pos="8306"/>
            </w:tabs>
            <w:rPr>
              <w:b/>
            </w:rPr>
          </w:pPr>
          <w:r>
            <w:fldChar w:fldCharType="begin"/>
          </w:r>
          <w:r>
            <w:instrText xml:space="preserve"> HYPERLINK \l "_Toc31488" </w:instrText>
          </w:r>
          <w:r>
            <w:fldChar w:fldCharType="separate"/>
          </w:r>
          <w:r>
            <w:rPr>
              <w:rFonts w:hint="eastAsia" w:ascii="黑体" w:hAnsi="黑体" w:eastAsia="黑体"/>
              <w:b/>
            </w:rPr>
            <w:t>第三部分</w:t>
          </w:r>
          <w:r>
            <w:rPr>
              <w:rFonts w:hint="eastAsia" w:ascii="黑体" w:hAnsi="黑体" w:eastAsia="黑体"/>
              <w:b/>
              <w:szCs w:val="44"/>
            </w:rPr>
            <w:t>名</w:t>
          </w:r>
          <w:r>
            <w:rPr>
              <w:rFonts w:hint="eastAsia" w:ascii="黑体" w:hAnsi="黑体" w:eastAsia="黑体"/>
              <w:b/>
            </w:rPr>
            <w:t>词解释</w:t>
          </w:r>
          <w:r>
            <w:rPr>
              <w:b/>
            </w:rPr>
            <w:tab/>
          </w:r>
          <w:r>
            <w:rPr>
              <w:b/>
            </w:rPr>
            <w:fldChar w:fldCharType="begin"/>
          </w:r>
          <w:r>
            <w:rPr>
              <w:b/>
            </w:rPr>
            <w:instrText xml:space="preserve"> PAGEREF _Toc31488 \h </w:instrText>
          </w:r>
          <w:r>
            <w:rPr>
              <w:b/>
            </w:rPr>
            <w:fldChar w:fldCharType="separate"/>
          </w:r>
          <w:r>
            <w:rPr>
              <w:b/>
            </w:rPr>
            <w:t>20</w:t>
          </w:r>
          <w:r>
            <w:rPr>
              <w:b/>
            </w:rPr>
            <w:fldChar w:fldCharType="end"/>
          </w:r>
          <w:r>
            <w:rPr>
              <w:b/>
            </w:rPr>
            <w:fldChar w:fldCharType="end"/>
          </w:r>
        </w:p>
        <w:p w14:paraId="2FD6CB55">
          <w:pPr>
            <w:pStyle w:val="41"/>
            <w:tabs>
              <w:tab w:val="right" w:leader="dot" w:pos="8306"/>
            </w:tabs>
            <w:rPr>
              <w:b/>
            </w:rPr>
          </w:pPr>
          <w:r>
            <w:fldChar w:fldCharType="begin"/>
          </w:r>
          <w:r>
            <w:instrText xml:space="preserve"> HYPERLINK \l "_Toc15587" </w:instrText>
          </w:r>
          <w:r>
            <w:fldChar w:fldCharType="separate"/>
          </w:r>
          <w:r>
            <w:rPr>
              <w:rFonts w:hint="eastAsia" w:ascii="黑体" w:hAnsi="黑体" w:eastAsia="黑体"/>
              <w:b/>
              <w:szCs w:val="44"/>
            </w:rPr>
            <w:t>第</w:t>
          </w:r>
          <w:r>
            <w:rPr>
              <w:rFonts w:hint="eastAsia" w:ascii="黑体" w:hAnsi="黑体" w:eastAsia="黑体"/>
              <w:b/>
            </w:rPr>
            <w:t>四部分附件</w:t>
          </w:r>
          <w:r>
            <w:rPr>
              <w:b/>
            </w:rPr>
            <w:tab/>
          </w:r>
          <w:r>
            <w:rPr>
              <w:b/>
            </w:rPr>
            <w:fldChar w:fldCharType="begin"/>
          </w:r>
          <w:r>
            <w:rPr>
              <w:b/>
            </w:rPr>
            <w:instrText xml:space="preserve"> PAGEREF _Toc15587 \h </w:instrText>
          </w:r>
          <w:r>
            <w:rPr>
              <w:b/>
            </w:rPr>
            <w:fldChar w:fldCharType="separate"/>
          </w:r>
          <w:r>
            <w:rPr>
              <w:b/>
            </w:rPr>
            <w:t>23</w:t>
          </w:r>
          <w:r>
            <w:rPr>
              <w:b/>
            </w:rPr>
            <w:fldChar w:fldCharType="end"/>
          </w:r>
          <w:r>
            <w:rPr>
              <w:b/>
            </w:rPr>
            <w:fldChar w:fldCharType="end"/>
          </w:r>
        </w:p>
        <w:p w14:paraId="5FEA0057">
          <w:pPr>
            <w:pStyle w:val="42"/>
            <w:tabs>
              <w:tab w:val="right" w:leader="dot" w:pos="8306"/>
            </w:tabs>
            <w:ind w:left="420"/>
          </w:pPr>
          <w:r>
            <w:fldChar w:fldCharType="begin"/>
          </w:r>
          <w:r>
            <w:instrText xml:space="preserve"> HYPERLINK \l "_Toc5432" </w:instrText>
          </w:r>
          <w:r>
            <w:fldChar w:fldCharType="separate"/>
          </w:r>
          <w:r>
            <w:rPr>
              <w:rFonts w:hint="eastAsia" w:ascii="黑体" w:hAnsi="黑体" w:eastAsia="黑体" w:cs="黑体"/>
              <w:szCs w:val="32"/>
            </w:rPr>
            <w:t>附件</w:t>
          </w:r>
          <w:r>
            <w:rPr>
              <w:rFonts w:ascii="黑体" w:hAnsi="黑体" w:eastAsia="黑体" w:cs="黑体"/>
              <w:szCs w:val="32"/>
            </w:rPr>
            <w:t>1</w:t>
          </w:r>
          <w:r>
            <w:tab/>
          </w:r>
          <w:r>
            <w:fldChar w:fldCharType="begin"/>
          </w:r>
          <w:r>
            <w:instrText xml:space="preserve"> PAGEREF _Toc5432 \h </w:instrText>
          </w:r>
          <w:r>
            <w:fldChar w:fldCharType="separate"/>
          </w:r>
          <w:r>
            <w:t>23</w:t>
          </w:r>
          <w:r>
            <w:fldChar w:fldCharType="end"/>
          </w:r>
          <w:r>
            <w:fldChar w:fldCharType="end"/>
          </w:r>
        </w:p>
        <w:p w14:paraId="143EABF0">
          <w:pPr>
            <w:pStyle w:val="42"/>
            <w:tabs>
              <w:tab w:val="right" w:leader="dot" w:pos="8306"/>
            </w:tabs>
            <w:ind w:left="420"/>
          </w:pPr>
          <w:r>
            <w:fldChar w:fldCharType="begin"/>
          </w:r>
          <w:r>
            <w:instrText xml:space="preserve"> HYPERLINK \l "_Toc18248" </w:instrText>
          </w:r>
          <w:r>
            <w:fldChar w:fldCharType="separate"/>
          </w:r>
          <w:r>
            <w:rPr>
              <w:rFonts w:hint="eastAsia" w:ascii="黑体" w:hAnsi="黑体" w:eastAsia="黑体" w:cs="黑体"/>
              <w:bCs/>
              <w:szCs w:val="32"/>
            </w:rPr>
            <w:t>一、</w:t>
          </w:r>
          <w:r>
            <w:rPr>
              <w:rFonts w:hint="eastAsia" w:ascii="黑体" w:hAnsi="黑体" w:eastAsia="黑体" w:cs="黑体"/>
              <w:bCs/>
              <w:szCs w:val="32"/>
              <w:lang w:val="zh-CN"/>
            </w:rPr>
            <w:t>部门（单位）概况</w:t>
          </w:r>
          <w:r>
            <w:tab/>
          </w:r>
          <w:r>
            <w:fldChar w:fldCharType="begin"/>
          </w:r>
          <w:r>
            <w:instrText xml:space="preserve"> PAGEREF _Toc18248 \h </w:instrText>
          </w:r>
          <w:r>
            <w:fldChar w:fldCharType="separate"/>
          </w:r>
          <w:r>
            <w:t>23</w:t>
          </w:r>
          <w:r>
            <w:fldChar w:fldCharType="end"/>
          </w:r>
          <w:r>
            <w:fldChar w:fldCharType="end"/>
          </w:r>
        </w:p>
        <w:p w14:paraId="548DBA4B">
          <w:pPr>
            <w:pStyle w:val="42"/>
            <w:tabs>
              <w:tab w:val="right" w:leader="dot" w:pos="8306"/>
            </w:tabs>
            <w:ind w:left="420"/>
          </w:pPr>
          <w:r>
            <w:fldChar w:fldCharType="begin"/>
          </w:r>
          <w:r>
            <w:instrText xml:space="preserve"> HYPERLINK \l "_Toc31708" </w:instrText>
          </w:r>
          <w:r>
            <w:fldChar w:fldCharType="separate"/>
          </w:r>
          <w:r>
            <w:rPr>
              <w:rFonts w:hint="eastAsia" w:ascii="黑体" w:hAnsi="宋体" w:eastAsia="黑体" w:cs="宋体"/>
            </w:rPr>
            <w:t>二、部门财政资金收支情况</w:t>
          </w:r>
          <w:r>
            <w:tab/>
          </w:r>
          <w:r>
            <w:fldChar w:fldCharType="begin"/>
          </w:r>
          <w:r>
            <w:instrText xml:space="preserve"> PAGEREF _Toc31708 \h </w:instrText>
          </w:r>
          <w:r>
            <w:fldChar w:fldCharType="separate"/>
          </w:r>
          <w:r>
            <w:t>28</w:t>
          </w:r>
          <w:r>
            <w:fldChar w:fldCharType="end"/>
          </w:r>
          <w:r>
            <w:fldChar w:fldCharType="end"/>
          </w:r>
        </w:p>
        <w:p w14:paraId="566B5F08">
          <w:pPr>
            <w:pStyle w:val="42"/>
            <w:tabs>
              <w:tab w:val="right" w:leader="dot" w:pos="8306"/>
            </w:tabs>
            <w:ind w:left="420"/>
          </w:pPr>
          <w:r>
            <w:fldChar w:fldCharType="begin"/>
          </w:r>
          <w:r>
            <w:instrText xml:space="preserve"> HYPERLINK \l "_Toc18945" </w:instrText>
          </w:r>
          <w:r>
            <w:fldChar w:fldCharType="separate"/>
          </w:r>
          <w:r>
            <w:rPr>
              <w:rFonts w:hint="eastAsia" w:ascii="仿宋_GB2312" w:hAnsi="仿宋" w:eastAsia="仿宋_GB2312" w:cs="仿宋"/>
              <w:szCs w:val="32"/>
            </w:rPr>
            <w:t>三、部门财政支出管理情况</w:t>
          </w:r>
          <w:r>
            <w:tab/>
          </w:r>
          <w:r>
            <w:fldChar w:fldCharType="begin"/>
          </w:r>
          <w:r>
            <w:instrText xml:space="preserve"> PAGEREF _Toc18945 \h </w:instrText>
          </w:r>
          <w:r>
            <w:fldChar w:fldCharType="separate"/>
          </w:r>
          <w:r>
            <w:t>30</w:t>
          </w:r>
          <w:r>
            <w:fldChar w:fldCharType="end"/>
          </w:r>
          <w:r>
            <w:fldChar w:fldCharType="end"/>
          </w:r>
        </w:p>
        <w:p w14:paraId="347555B9">
          <w:pPr>
            <w:pStyle w:val="42"/>
            <w:tabs>
              <w:tab w:val="right" w:leader="dot" w:pos="8306"/>
            </w:tabs>
            <w:ind w:left="420"/>
          </w:pPr>
          <w:r>
            <w:fldChar w:fldCharType="begin"/>
          </w:r>
          <w:r>
            <w:instrText xml:space="preserve"> HYPERLINK \l "_Toc30563" </w:instrText>
          </w:r>
          <w:r>
            <w:fldChar w:fldCharType="separate"/>
          </w:r>
          <w:r>
            <w:rPr>
              <w:rFonts w:hint="eastAsia" w:ascii="仿宋_GB2312" w:hAnsi="仿宋" w:eastAsia="仿宋_GB2312" w:cs="仿宋"/>
              <w:szCs w:val="32"/>
            </w:rPr>
            <w:t>四、评价结论及建议</w:t>
          </w:r>
          <w:r>
            <w:tab/>
          </w:r>
          <w:r>
            <w:fldChar w:fldCharType="begin"/>
          </w:r>
          <w:r>
            <w:instrText xml:space="preserve"> PAGEREF _Toc30563 \h </w:instrText>
          </w:r>
          <w:r>
            <w:fldChar w:fldCharType="separate"/>
          </w:r>
          <w:r>
            <w:t>31</w:t>
          </w:r>
          <w:r>
            <w:fldChar w:fldCharType="end"/>
          </w:r>
          <w:r>
            <w:fldChar w:fldCharType="end"/>
          </w:r>
        </w:p>
        <w:p w14:paraId="2C9DB7B3">
          <w:pPr>
            <w:pStyle w:val="41"/>
            <w:tabs>
              <w:tab w:val="right" w:leader="dot" w:pos="8306"/>
            </w:tabs>
            <w:rPr>
              <w:b/>
            </w:rPr>
          </w:pPr>
          <w:r>
            <w:fldChar w:fldCharType="begin"/>
          </w:r>
          <w:r>
            <w:instrText xml:space="preserve"> HYPERLINK \l "_Toc21885" </w:instrText>
          </w:r>
          <w:r>
            <w:fldChar w:fldCharType="separate"/>
          </w:r>
          <w:r>
            <w:rPr>
              <w:rFonts w:hint="eastAsia" w:ascii="黑体" w:hAnsi="黑体" w:eastAsia="黑体"/>
              <w:b/>
              <w:szCs w:val="44"/>
            </w:rPr>
            <w:t>第</w:t>
          </w:r>
          <w:r>
            <w:rPr>
              <w:rFonts w:hint="eastAsia" w:ascii="黑体" w:hAnsi="黑体" w:eastAsia="黑体"/>
              <w:b/>
            </w:rPr>
            <w:t>五部分附表</w:t>
          </w:r>
          <w:r>
            <w:rPr>
              <w:b/>
            </w:rPr>
            <w:tab/>
          </w:r>
          <w:r>
            <w:rPr>
              <w:b/>
            </w:rPr>
            <w:fldChar w:fldCharType="begin"/>
          </w:r>
          <w:r>
            <w:rPr>
              <w:b/>
            </w:rPr>
            <w:instrText xml:space="preserve"> PAGEREF _Toc21885 \h </w:instrText>
          </w:r>
          <w:r>
            <w:rPr>
              <w:b/>
            </w:rPr>
            <w:fldChar w:fldCharType="separate"/>
          </w:r>
          <w:r>
            <w:rPr>
              <w:b/>
            </w:rPr>
            <w:t>33</w:t>
          </w:r>
          <w:r>
            <w:rPr>
              <w:b/>
            </w:rPr>
            <w:fldChar w:fldCharType="end"/>
          </w:r>
          <w:r>
            <w:rPr>
              <w:b/>
            </w:rPr>
            <w:fldChar w:fldCharType="end"/>
          </w:r>
        </w:p>
        <w:p w14:paraId="444A10D8">
          <w:pPr>
            <w:pStyle w:val="42"/>
            <w:tabs>
              <w:tab w:val="right" w:leader="dot" w:pos="8306"/>
            </w:tabs>
            <w:ind w:left="420"/>
          </w:pPr>
          <w:r>
            <w:fldChar w:fldCharType="begin"/>
          </w:r>
          <w:r>
            <w:instrText xml:space="preserve"> HYPERLINK \l "_Toc16220" </w:instrText>
          </w:r>
          <w:r>
            <w:fldChar w:fldCharType="separate"/>
          </w:r>
          <w:r>
            <w:rPr>
              <w:rFonts w:hint="eastAsia" w:ascii="仿宋" w:hAnsi="仿宋" w:eastAsia="仿宋"/>
            </w:rPr>
            <w:t>一、收入支出决算总表</w:t>
          </w:r>
          <w:r>
            <w:tab/>
          </w:r>
          <w:r>
            <w:fldChar w:fldCharType="begin"/>
          </w:r>
          <w:r>
            <w:instrText xml:space="preserve"> PAGEREF _Toc16220 \h </w:instrText>
          </w:r>
          <w:r>
            <w:fldChar w:fldCharType="separate"/>
          </w:r>
          <w:r>
            <w:t>33</w:t>
          </w:r>
          <w:r>
            <w:fldChar w:fldCharType="end"/>
          </w:r>
          <w:r>
            <w:fldChar w:fldCharType="end"/>
          </w:r>
        </w:p>
        <w:p w14:paraId="697493DE">
          <w:pPr>
            <w:pStyle w:val="42"/>
            <w:tabs>
              <w:tab w:val="right" w:leader="dot" w:pos="8306"/>
            </w:tabs>
            <w:ind w:left="420"/>
          </w:pPr>
          <w:r>
            <w:fldChar w:fldCharType="begin"/>
          </w:r>
          <w:r>
            <w:instrText xml:space="preserve"> HYPERLINK \l "_Toc4201" </w:instrText>
          </w:r>
          <w:r>
            <w:fldChar w:fldCharType="separate"/>
          </w:r>
          <w:r>
            <w:rPr>
              <w:rFonts w:hint="eastAsia" w:ascii="仿宋" w:hAnsi="仿宋" w:eastAsia="仿宋"/>
            </w:rPr>
            <w:t>二、收入决算表</w:t>
          </w:r>
          <w:r>
            <w:tab/>
          </w:r>
          <w:r>
            <w:fldChar w:fldCharType="begin"/>
          </w:r>
          <w:r>
            <w:instrText xml:space="preserve"> PAGEREF _Toc4201 \h </w:instrText>
          </w:r>
          <w:r>
            <w:fldChar w:fldCharType="separate"/>
          </w:r>
          <w:r>
            <w:t>33</w:t>
          </w:r>
          <w:r>
            <w:fldChar w:fldCharType="end"/>
          </w:r>
          <w:r>
            <w:fldChar w:fldCharType="end"/>
          </w:r>
        </w:p>
        <w:p w14:paraId="6524BA7E">
          <w:pPr>
            <w:pStyle w:val="42"/>
            <w:tabs>
              <w:tab w:val="right" w:leader="dot" w:pos="8306"/>
            </w:tabs>
            <w:ind w:left="420"/>
          </w:pPr>
          <w:r>
            <w:fldChar w:fldCharType="begin"/>
          </w:r>
          <w:r>
            <w:instrText xml:space="preserve"> HYPERLINK \l "_Toc24502" </w:instrText>
          </w:r>
          <w:r>
            <w:fldChar w:fldCharType="separate"/>
          </w:r>
          <w:r>
            <w:rPr>
              <w:rFonts w:hint="eastAsia" w:ascii="仿宋" w:hAnsi="仿宋" w:eastAsia="仿宋"/>
            </w:rPr>
            <w:t>三、支出决算表</w:t>
          </w:r>
          <w:r>
            <w:tab/>
          </w:r>
          <w:r>
            <w:fldChar w:fldCharType="begin"/>
          </w:r>
          <w:r>
            <w:instrText xml:space="preserve"> PAGEREF _Toc24502 \h </w:instrText>
          </w:r>
          <w:r>
            <w:fldChar w:fldCharType="separate"/>
          </w:r>
          <w:r>
            <w:t>33</w:t>
          </w:r>
          <w:r>
            <w:fldChar w:fldCharType="end"/>
          </w:r>
          <w:r>
            <w:fldChar w:fldCharType="end"/>
          </w:r>
        </w:p>
        <w:p w14:paraId="7C54717A">
          <w:pPr>
            <w:pStyle w:val="42"/>
            <w:tabs>
              <w:tab w:val="right" w:leader="dot" w:pos="8306"/>
            </w:tabs>
            <w:ind w:left="420"/>
          </w:pPr>
          <w:r>
            <w:fldChar w:fldCharType="begin"/>
          </w:r>
          <w:r>
            <w:instrText xml:space="preserve"> HYPERLINK \l "_Toc7966" </w:instrText>
          </w:r>
          <w:r>
            <w:fldChar w:fldCharType="separate"/>
          </w:r>
          <w:r>
            <w:rPr>
              <w:rFonts w:hint="eastAsia" w:ascii="仿宋" w:hAnsi="仿宋" w:eastAsia="仿宋"/>
            </w:rPr>
            <w:t>四、财政拨款收入支出决算总表</w:t>
          </w:r>
          <w:r>
            <w:tab/>
          </w:r>
          <w:r>
            <w:fldChar w:fldCharType="begin"/>
          </w:r>
          <w:r>
            <w:instrText xml:space="preserve"> PAGEREF _Toc7966 \h </w:instrText>
          </w:r>
          <w:r>
            <w:fldChar w:fldCharType="separate"/>
          </w:r>
          <w:r>
            <w:t>33</w:t>
          </w:r>
          <w:r>
            <w:fldChar w:fldCharType="end"/>
          </w:r>
          <w:r>
            <w:fldChar w:fldCharType="end"/>
          </w:r>
        </w:p>
        <w:p w14:paraId="30A8E7AA">
          <w:pPr>
            <w:pStyle w:val="42"/>
            <w:tabs>
              <w:tab w:val="right" w:leader="dot" w:pos="8306"/>
            </w:tabs>
            <w:ind w:left="420"/>
          </w:pPr>
          <w:r>
            <w:fldChar w:fldCharType="begin"/>
          </w:r>
          <w:r>
            <w:instrText xml:space="preserve"> HYPERLINK \l "_Toc15079" </w:instrText>
          </w:r>
          <w:r>
            <w:fldChar w:fldCharType="separate"/>
          </w:r>
          <w:r>
            <w:rPr>
              <w:rFonts w:hint="eastAsia" w:ascii="仿宋" w:hAnsi="仿宋" w:eastAsia="仿宋"/>
            </w:rPr>
            <w:t>五、财政拨款支出决算明细表</w:t>
          </w:r>
          <w:r>
            <w:tab/>
          </w:r>
          <w:r>
            <w:fldChar w:fldCharType="begin"/>
          </w:r>
          <w:r>
            <w:instrText xml:space="preserve"> PAGEREF _Toc15079 \h </w:instrText>
          </w:r>
          <w:r>
            <w:fldChar w:fldCharType="separate"/>
          </w:r>
          <w:r>
            <w:t>33</w:t>
          </w:r>
          <w:r>
            <w:fldChar w:fldCharType="end"/>
          </w:r>
          <w:r>
            <w:fldChar w:fldCharType="end"/>
          </w:r>
        </w:p>
        <w:p w14:paraId="08689F8B">
          <w:pPr>
            <w:pStyle w:val="42"/>
            <w:tabs>
              <w:tab w:val="right" w:leader="dot" w:pos="8306"/>
            </w:tabs>
            <w:ind w:left="420"/>
          </w:pPr>
          <w:r>
            <w:fldChar w:fldCharType="begin"/>
          </w:r>
          <w:r>
            <w:instrText xml:space="preserve"> HYPERLINK \l "_Toc29627" </w:instrText>
          </w:r>
          <w:r>
            <w:fldChar w:fldCharType="separate"/>
          </w:r>
          <w:r>
            <w:rPr>
              <w:rFonts w:hint="eastAsia" w:ascii="仿宋" w:hAnsi="仿宋" w:eastAsia="仿宋"/>
            </w:rPr>
            <w:t>六、一般公共预算财政拨款支出决算表</w:t>
          </w:r>
          <w:r>
            <w:tab/>
          </w:r>
          <w:r>
            <w:fldChar w:fldCharType="begin"/>
          </w:r>
          <w:r>
            <w:instrText xml:space="preserve"> PAGEREF _Toc29627 \h </w:instrText>
          </w:r>
          <w:r>
            <w:fldChar w:fldCharType="separate"/>
          </w:r>
          <w:r>
            <w:t>33</w:t>
          </w:r>
          <w:r>
            <w:fldChar w:fldCharType="end"/>
          </w:r>
          <w:r>
            <w:fldChar w:fldCharType="end"/>
          </w:r>
        </w:p>
        <w:p w14:paraId="624FDDFB">
          <w:pPr>
            <w:pStyle w:val="42"/>
            <w:tabs>
              <w:tab w:val="right" w:leader="dot" w:pos="8306"/>
            </w:tabs>
            <w:ind w:left="420"/>
          </w:pPr>
          <w:r>
            <w:fldChar w:fldCharType="begin"/>
          </w:r>
          <w:r>
            <w:instrText xml:space="preserve"> HYPERLINK \l "_Toc5671" </w:instrText>
          </w:r>
          <w:r>
            <w:fldChar w:fldCharType="separate"/>
          </w:r>
          <w:r>
            <w:rPr>
              <w:rFonts w:hint="eastAsia" w:ascii="仿宋" w:hAnsi="仿宋" w:eastAsia="仿宋"/>
            </w:rPr>
            <w:t>七、一般公共预算财政拨款支出决算明细表</w:t>
          </w:r>
          <w:r>
            <w:tab/>
          </w:r>
          <w:r>
            <w:fldChar w:fldCharType="begin"/>
          </w:r>
          <w:r>
            <w:instrText xml:space="preserve"> PAGEREF _Toc5671 \h </w:instrText>
          </w:r>
          <w:r>
            <w:fldChar w:fldCharType="separate"/>
          </w:r>
          <w:r>
            <w:t>33</w:t>
          </w:r>
          <w:r>
            <w:fldChar w:fldCharType="end"/>
          </w:r>
          <w:r>
            <w:fldChar w:fldCharType="end"/>
          </w:r>
        </w:p>
        <w:p w14:paraId="4664CA03">
          <w:pPr>
            <w:pStyle w:val="42"/>
            <w:tabs>
              <w:tab w:val="right" w:leader="dot" w:pos="8306"/>
            </w:tabs>
            <w:ind w:left="420"/>
          </w:pPr>
          <w:r>
            <w:fldChar w:fldCharType="begin"/>
          </w:r>
          <w:r>
            <w:instrText xml:space="preserve"> HYPERLINK \l "_Toc13278" </w:instrText>
          </w:r>
          <w:r>
            <w:fldChar w:fldCharType="separate"/>
          </w:r>
          <w:r>
            <w:rPr>
              <w:rFonts w:hint="eastAsia" w:ascii="仿宋" w:hAnsi="仿宋" w:eastAsia="仿宋"/>
            </w:rPr>
            <w:t>八、一般公共预算财政拨款基本支出决算表</w:t>
          </w:r>
          <w:r>
            <w:tab/>
          </w:r>
          <w:r>
            <w:fldChar w:fldCharType="begin"/>
          </w:r>
          <w:r>
            <w:instrText xml:space="preserve"> PAGEREF _Toc13278 \h </w:instrText>
          </w:r>
          <w:r>
            <w:fldChar w:fldCharType="separate"/>
          </w:r>
          <w:r>
            <w:t>33</w:t>
          </w:r>
          <w:r>
            <w:fldChar w:fldCharType="end"/>
          </w:r>
          <w:r>
            <w:fldChar w:fldCharType="end"/>
          </w:r>
        </w:p>
        <w:p w14:paraId="2DB30119">
          <w:pPr>
            <w:pStyle w:val="42"/>
            <w:tabs>
              <w:tab w:val="right" w:leader="dot" w:pos="8306"/>
            </w:tabs>
            <w:ind w:left="420"/>
          </w:pPr>
          <w:r>
            <w:fldChar w:fldCharType="begin"/>
          </w:r>
          <w:r>
            <w:instrText xml:space="preserve"> HYPERLINK \l "_Toc18616" </w:instrText>
          </w:r>
          <w:r>
            <w:fldChar w:fldCharType="separate"/>
          </w:r>
          <w:r>
            <w:rPr>
              <w:rFonts w:hint="eastAsia" w:ascii="仿宋" w:hAnsi="仿宋" w:eastAsia="仿宋"/>
            </w:rPr>
            <w:t>九、一般公共预算财政拨款项目支出决算表</w:t>
          </w:r>
          <w:r>
            <w:tab/>
          </w:r>
          <w:r>
            <w:fldChar w:fldCharType="begin"/>
          </w:r>
          <w:r>
            <w:instrText xml:space="preserve"> PAGEREF _Toc18616 \h </w:instrText>
          </w:r>
          <w:r>
            <w:fldChar w:fldCharType="separate"/>
          </w:r>
          <w:r>
            <w:t>33</w:t>
          </w:r>
          <w:r>
            <w:fldChar w:fldCharType="end"/>
          </w:r>
          <w:r>
            <w:fldChar w:fldCharType="end"/>
          </w:r>
        </w:p>
        <w:p w14:paraId="0343D5E0">
          <w:pPr>
            <w:pStyle w:val="42"/>
            <w:tabs>
              <w:tab w:val="right" w:leader="dot" w:pos="8306"/>
            </w:tabs>
            <w:ind w:left="420"/>
          </w:pPr>
          <w:r>
            <w:fldChar w:fldCharType="begin"/>
          </w:r>
          <w:r>
            <w:instrText xml:space="preserve"> HYPERLINK \l "_Toc2393" </w:instrText>
          </w:r>
          <w:r>
            <w:fldChar w:fldCharType="separate"/>
          </w:r>
          <w:r>
            <w:rPr>
              <w:rFonts w:hint="eastAsia" w:ascii="仿宋" w:hAnsi="仿宋" w:eastAsia="仿宋"/>
            </w:rPr>
            <w:t>十、一般公共预算财政拨款“三公”经费支出决算表</w:t>
          </w:r>
          <w:r>
            <w:tab/>
          </w:r>
          <w:r>
            <w:fldChar w:fldCharType="begin"/>
          </w:r>
          <w:r>
            <w:instrText xml:space="preserve"> PAGEREF _Toc2393 \h </w:instrText>
          </w:r>
          <w:r>
            <w:fldChar w:fldCharType="separate"/>
          </w:r>
          <w:r>
            <w:t>33</w:t>
          </w:r>
          <w:r>
            <w:fldChar w:fldCharType="end"/>
          </w:r>
          <w:r>
            <w:fldChar w:fldCharType="end"/>
          </w:r>
        </w:p>
        <w:p w14:paraId="3E96651B">
          <w:pPr>
            <w:pStyle w:val="42"/>
            <w:tabs>
              <w:tab w:val="right" w:leader="dot" w:pos="8306"/>
            </w:tabs>
            <w:ind w:left="420"/>
          </w:pPr>
          <w:r>
            <w:fldChar w:fldCharType="begin"/>
          </w:r>
          <w:r>
            <w:instrText xml:space="preserve"> HYPERLINK \l "_Toc11867" </w:instrText>
          </w:r>
          <w:r>
            <w:fldChar w:fldCharType="separate"/>
          </w:r>
          <w:r>
            <w:rPr>
              <w:rFonts w:hint="eastAsia" w:ascii="仿宋" w:hAnsi="仿宋" w:eastAsia="仿宋"/>
            </w:rPr>
            <w:t>十一、政府性基金预算财政拨款收入支出决算表</w:t>
          </w:r>
          <w:r>
            <w:tab/>
          </w:r>
          <w:r>
            <w:fldChar w:fldCharType="begin"/>
          </w:r>
          <w:r>
            <w:instrText xml:space="preserve"> PAGEREF _Toc11867 \h </w:instrText>
          </w:r>
          <w:r>
            <w:fldChar w:fldCharType="separate"/>
          </w:r>
          <w:r>
            <w:t>33</w:t>
          </w:r>
          <w:r>
            <w:fldChar w:fldCharType="end"/>
          </w:r>
          <w:r>
            <w:fldChar w:fldCharType="end"/>
          </w:r>
        </w:p>
        <w:p w14:paraId="5325DE7D">
          <w:pPr>
            <w:pStyle w:val="42"/>
            <w:tabs>
              <w:tab w:val="right" w:leader="dot" w:pos="8306"/>
            </w:tabs>
            <w:ind w:left="420"/>
          </w:pPr>
          <w:r>
            <w:fldChar w:fldCharType="begin"/>
          </w:r>
          <w:r>
            <w:instrText xml:space="preserve"> HYPERLINK \l "_Toc7509" </w:instrText>
          </w:r>
          <w:r>
            <w:fldChar w:fldCharType="separate"/>
          </w:r>
          <w:r>
            <w:rPr>
              <w:rFonts w:hint="eastAsia" w:ascii="仿宋" w:hAnsi="仿宋" w:eastAsia="仿宋"/>
            </w:rPr>
            <w:t>十二、政府性基金预算财政拨款“三公”经费支出决算表</w:t>
          </w:r>
          <w:r>
            <w:tab/>
          </w:r>
          <w:r>
            <w:fldChar w:fldCharType="begin"/>
          </w:r>
          <w:r>
            <w:instrText xml:space="preserve"> PAGEREF _Toc7509 \h </w:instrText>
          </w:r>
          <w:r>
            <w:fldChar w:fldCharType="separate"/>
          </w:r>
          <w:r>
            <w:t>33</w:t>
          </w:r>
          <w:r>
            <w:fldChar w:fldCharType="end"/>
          </w:r>
          <w:r>
            <w:fldChar w:fldCharType="end"/>
          </w:r>
        </w:p>
        <w:p w14:paraId="77C08FA3">
          <w:pPr>
            <w:pStyle w:val="42"/>
            <w:tabs>
              <w:tab w:val="right" w:leader="dot" w:pos="8306"/>
            </w:tabs>
            <w:ind w:left="420"/>
          </w:pPr>
          <w:r>
            <w:fldChar w:fldCharType="begin"/>
          </w:r>
          <w:r>
            <w:instrText xml:space="preserve"> HYPERLINK \l "_Toc15958" </w:instrText>
          </w:r>
          <w:r>
            <w:fldChar w:fldCharType="separate"/>
          </w:r>
          <w:r>
            <w:rPr>
              <w:rFonts w:hint="eastAsia" w:ascii="仿宋" w:hAnsi="仿宋" w:eastAsia="仿宋"/>
            </w:rPr>
            <w:t>十三、国有资本经营预算财政拨款</w:t>
          </w:r>
          <w:r>
            <w:rPr>
              <w:rFonts w:hint="eastAsia" w:ascii="仿宋" w:hAnsi="仿宋" w:eastAsia="仿宋"/>
              <w:lang w:eastAsia="zh-CN"/>
            </w:rPr>
            <w:t>收入</w:t>
          </w:r>
          <w:r>
            <w:rPr>
              <w:rFonts w:hint="eastAsia" w:ascii="仿宋" w:hAnsi="仿宋" w:eastAsia="仿宋"/>
            </w:rPr>
            <w:t>支出决算表</w:t>
          </w:r>
          <w:r>
            <w:tab/>
          </w:r>
          <w:r>
            <w:fldChar w:fldCharType="begin"/>
          </w:r>
          <w:r>
            <w:instrText xml:space="preserve"> PAGEREF _Toc15958 \h </w:instrText>
          </w:r>
          <w:r>
            <w:fldChar w:fldCharType="separate"/>
          </w:r>
          <w:r>
            <w:t>33</w:t>
          </w:r>
          <w:r>
            <w:fldChar w:fldCharType="end"/>
          </w:r>
          <w:r>
            <w:fldChar w:fldCharType="end"/>
          </w:r>
        </w:p>
        <w:p w14:paraId="4D8C908B">
          <w:pPr>
            <w:pStyle w:val="42"/>
            <w:tabs>
              <w:tab w:val="right" w:leader="dot" w:pos="8306"/>
            </w:tabs>
            <w:ind w:left="420"/>
          </w:pPr>
          <w:r>
            <w:fldChar w:fldCharType="begin"/>
          </w:r>
          <w:r>
            <w:instrText xml:space="preserve"> HYPERLINK \l "_Toc14782" </w:instrText>
          </w:r>
          <w:r>
            <w:fldChar w:fldCharType="separate"/>
          </w:r>
          <w:r>
            <w:rPr>
              <w:rFonts w:hint="eastAsia" w:ascii="仿宋" w:hAnsi="仿宋" w:eastAsia="仿宋"/>
            </w:rPr>
            <w:t>十四、国有资本经营预算财政拨款支出决算表</w:t>
          </w:r>
          <w:r>
            <w:tab/>
          </w:r>
          <w:r>
            <w:fldChar w:fldCharType="begin"/>
          </w:r>
          <w:r>
            <w:instrText xml:space="preserve"> PAGEREF _Toc14782 \h </w:instrText>
          </w:r>
          <w:r>
            <w:fldChar w:fldCharType="separate"/>
          </w:r>
          <w:r>
            <w:t>33</w:t>
          </w:r>
          <w:r>
            <w:fldChar w:fldCharType="end"/>
          </w:r>
          <w:r>
            <w:fldChar w:fldCharType="end"/>
          </w:r>
        </w:p>
        <w:p w14:paraId="199C39C2">
          <w:r>
            <w:rPr>
              <w:b/>
            </w:rPr>
            <w:fldChar w:fldCharType="end"/>
          </w:r>
        </w:p>
      </w:sdtContent>
    </w:sdt>
    <w:p w14:paraId="1D5AB3AA">
      <w:r>
        <w:rPr>
          <w:rFonts w:asciiTheme="minorHAnsi" w:eastAsiaTheme="minorHAnsi"/>
          <w:b/>
          <w:bCs/>
          <w:caps/>
          <w:sz w:val="20"/>
          <w:szCs w:val="20"/>
        </w:rPr>
        <w:fldChar w:fldCharType="end"/>
      </w:r>
    </w:p>
    <w:p w14:paraId="62BE4092">
      <w:pPr>
        <w:widowControl/>
        <w:spacing w:line="440" w:lineRule="exact"/>
        <w:jc w:val="left"/>
        <w:rPr>
          <w:rFonts w:ascii="仿宋" w:hAnsi="仿宋" w:eastAsia="仿宋"/>
          <w:bCs/>
          <w:kern w:val="44"/>
          <w:sz w:val="24"/>
        </w:rPr>
      </w:pPr>
      <w:bookmarkStart w:id="13" w:name="_Toc15396599"/>
      <w:bookmarkStart w:id="14" w:name="_Toc15377196"/>
      <w:r>
        <w:rPr>
          <w:rFonts w:ascii="仿宋" w:hAnsi="仿宋" w:eastAsia="仿宋"/>
          <w:b/>
          <w:sz w:val="24"/>
        </w:rPr>
        <w:br w:type="page"/>
      </w:r>
    </w:p>
    <w:p w14:paraId="757E4AE2">
      <w:pPr>
        <w:pStyle w:val="4"/>
        <w:jc w:val="center"/>
        <w:rPr>
          <w:rStyle w:val="25"/>
          <w:rFonts w:ascii="黑体" w:hAnsi="黑体" w:eastAsia="黑体"/>
          <w:b/>
          <w:bCs w:val="0"/>
        </w:rPr>
      </w:pPr>
      <w:bookmarkStart w:id="15" w:name="_Toc79163851"/>
      <w:bookmarkStart w:id="16" w:name="_Toc11679"/>
      <w:bookmarkStart w:id="17" w:name="_Toc79163601"/>
      <w:r>
        <w:rPr>
          <w:rFonts w:hint="eastAsia" w:ascii="黑体" w:hAnsi="黑体" w:eastAsia="黑体"/>
          <w:b w:val="0"/>
        </w:rPr>
        <w:t>第一部分</w:t>
      </w:r>
      <w:r>
        <w:rPr>
          <w:rStyle w:val="25"/>
          <w:rFonts w:hint="eastAsia" w:ascii="黑体" w:hAnsi="黑体" w:eastAsia="黑体"/>
          <w:b w:val="0"/>
          <w:bCs w:val="0"/>
        </w:rPr>
        <w:t>部门概况</w:t>
      </w:r>
      <w:bookmarkEnd w:id="13"/>
      <w:bookmarkEnd w:id="14"/>
      <w:bookmarkEnd w:id="15"/>
      <w:bookmarkEnd w:id="16"/>
      <w:bookmarkEnd w:id="17"/>
    </w:p>
    <w:p w14:paraId="1F7E2047">
      <w:pPr>
        <w:widowControl/>
        <w:jc w:val="left"/>
        <w:rPr>
          <w:rFonts w:ascii="黑体" w:eastAsia="黑体"/>
          <w:color w:val="000000"/>
          <w:sz w:val="32"/>
          <w:szCs w:val="32"/>
        </w:rPr>
      </w:pPr>
    </w:p>
    <w:p w14:paraId="32799945">
      <w:pPr>
        <w:pStyle w:val="5"/>
        <w:numPr>
          <w:ilvl w:val="0"/>
          <w:numId w:val="1"/>
        </w:numPr>
        <w:rPr>
          <w:rStyle w:val="26"/>
          <w:rFonts w:ascii="黑体" w:hAnsi="黑体" w:eastAsia="黑体"/>
          <w:b w:val="0"/>
          <w:bCs w:val="0"/>
        </w:rPr>
      </w:pPr>
      <w:bookmarkStart w:id="18" w:name="_Toc79163602"/>
      <w:bookmarkStart w:id="19" w:name="_Toc15396600"/>
      <w:bookmarkStart w:id="20" w:name="_Toc27923"/>
      <w:bookmarkStart w:id="21" w:name="_Toc79163852"/>
      <w:bookmarkStart w:id="22" w:name="_Toc15377197"/>
      <w:r>
        <w:rPr>
          <w:rFonts w:hint="eastAsia" w:ascii="黑体" w:hAnsi="黑体" w:eastAsia="黑体"/>
          <w:b w:val="0"/>
          <w:color w:val="000000"/>
        </w:rPr>
        <w:t>基</w:t>
      </w:r>
      <w:r>
        <w:rPr>
          <w:rStyle w:val="26"/>
          <w:rFonts w:hint="eastAsia" w:ascii="黑体" w:hAnsi="黑体" w:eastAsia="黑体"/>
          <w:b w:val="0"/>
          <w:bCs w:val="0"/>
        </w:rPr>
        <w:t>本职能及主要工作</w:t>
      </w:r>
      <w:bookmarkEnd w:id="18"/>
      <w:bookmarkEnd w:id="19"/>
      <w:bookmarkEnd w:id="20"/>
      <w:bookmarkEnd w:id="21"/>
      <w:bookmarkEnd w:id="22"/>
      <w:bookmarkStart w:id="23" w:name="_Toc15378445"/>
      <w:bookmarkStart w:id="24" w:name="_Toc15377198"/>
      <w:bookmarkStart w:id="25" w:name="_Toc79163853"/>
      <w:bookmarkStart w:id="26" w:name="_Toc79163603"/>
    </w:p>
    <w:p w14:paraId="49E5F070">
      <w:pPr>
        <w:pStyle w:val="5"/>
        <w:numPr>
          <w:ilvl w:val="0"/>
          <w:numId w:val="2"/>
        </w:numPr>
        <w:rPr>
          <w:rFonts w:ascii="仿宋" w:hAnsi="仿宋" w:eastAsia="仿宋"/>
          <w:color w:val="000000"/>
        </w:rPr>
      </w:pPr>
      <w:bookmarkStart w:id="27" w:name="_Toc15727"/>
      <w:r>
        <w:rPr>
          <w:rFonts w:hint="eastAsia" w:ascii="仿宋" w:hAnsi="仿宋" w:eastAsia="仿宋"/>
          <w:color w:val="000000"/>
        </w:rPr>
        <w:t>主要职能。</w:t>
      </w:r>
      <w:bookmarkEnd w:id="23"/>
      <w:bookmarkEnd w:id="24"/>
      <w:bookmarkEnd w:id="25"/>
      <w:bookmarkEnd w:id="26"/>
      <w:bookmarkEnd w:id="27"/>
      <w:bookmarkStart w:id="28" w:name="_Toc15377199"/>
      <w:bookmarkStart w:id="29" w:name="_Toc79163854"/>
      <w:bookmarkStart w:id="30" w:name="_Toc79163604"/>
      <w:bookmarkStart w:id="31" w:name="_Toc15378446"/>
    </w:p>
    <w:p w14:paraId="0CC82E08">
      <w:pPr>
        <w:spacing w:line="56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1、中央、省委、州委、县委决策部署贯彻落实的协调、督促、检查，中央、省委、州委、县委领导同志批示的传达和督办。</w:t>
      </w:r>
    </w:p>
    <w:p w14:paraId="0AAC6FD1">
      <w:pPr>
        <w:spacing w:line="56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2、负责县委会议、重大活动的准备和实施，县委领导活动的协调安排，县委各类文稿的撰写、修改和印制。</w:t>
      </w:r>
    </w:p>
    <w:p w14:paraId="3A5C0B4D">
      <w:pPr>
        <w:spacing w:line="56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3、围绕州委和县委总体工作部署，收集信息，反映情况，调查研究，综合协调，为县委决策提供依据和服务。</w:t>
      </w:r>
    </w:p>
    <w:p w14:paraId="6EA03810">
      <w:pPr>
        <w:spacing w:line="56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4、负责上级公文的承办和县委文件的草拟、印制、分发管理等工作。</w:t>
      </w:r>
    </w:p>
    <w:p w14:paraId="62B00951">
      <w:pPr>
        <w:spacing w:line="56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5、负责督促指导全县党内规范性文件的制定、审查、备案等工作。</w:t>
      </w:r>
    </w:p>
    <w:p w14:paraId="16E1BFAB">
      <w:pPr>
        <w:spacing w:line="56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6、承担县委值班工作，负责全县党委办公室系统值班检查指导，对突发事件紧急情况跟踪了解、协调和处理。</w:t>
      </w:r>
    </w:p>
    <w:p w14:paraId="3BE71849">
      <w:pPr>
        <w:spacing w:line="56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7、负责做好与州委藏区办工作的对接和办理。</w:t>
      </w:r>
    </w:p>
    <w:p w14:paraId="25786FBC">
      <w:pPr>
        <w:spacing w:line="56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8、负责贯彻执行《中华人民共和国档案法》等相关法律法规。负责制定全县档案事业发展规划和年度计划并组织实施。负责全县档案工作的统筹规划和管理，依法对全县档案工作进行监督检查并查处违法行为。</w:t>
      </w:r>
    </w:p>
    <w:p w14:paraId="19735ED5">
      <w:pPr>
        <w:spacing w:line="56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9、负责全县机要密码和保密工作。</w:t>
      </w:r>
    </w:p>
    <w:p w14:paraId="26E3B12A">
      <w:pPr>
        <w:spacing w:line="560" w:lineRule="exact"/>
        <w:ind w:left="210" w:leftChars="100"/>
        <w:rPr>
          <w:rFonts w:ascii="仿宋" w:hAnsi="仿宋" w:eastAsia="仿宋"/>
          <w:color w:val="000000"/>
          <w:sz w:val="32"/>
          <w:szCs w:val="32"/>
        </w:rPr>
      </w:pPr>
      <w:r>
        <w:rPr>
          <w:rFonts w:hint="eastAsia" w:ascii="仿宋" w:hAnsi="仿宋" w:eastAsia="仿宋"/>
          <w:color w:val="000000"/>
          <w:sz w:val="32"/>
          <w:szCs w:val="32"/>
        </w:rPr>
        <w:t>10、代管县公务服务中心、县档案馆。</w:t>
      </w:r>
    </w:p>
    <w:p w14:paraId="6943C8CC">
      <w:pPr>
        <w:spacing w:line="560" w:lineRule="exact"/>
        <w:ind w:left="210" w:leftChars="100"/>
        <w:rPr>
          <w:rFonts w:ascii="仿宋" w:hAnsi="仿宋" w:eastAsia="仿宋"/>
          <w:color w:val="000000"/>
          <w:sz w:val="32"/>
          <w:szCs w:val="32"/>
        </w:rPr>
      </w:pPr>
      <w:r>
        <w:rPr>
          <w:rFonts w:hint="eastAsia" w:ascii="仿宋" w:hAnsi="仿宋" w:eastAsia="仿宋"/>
          <w:color w:val="000000"/>
          <w:sz w:val="32"/>
          <w:szCs w:val="32"/>
        </w:rPr>
        <w:t>11、完成县委交办的其他任务。</w:t>
      </w:r>
    </w:p>
    <w:p w14:paraId="2256981F">
      <w:pPr>
        <w:pStyle w:val="8"/>
        <w:adjustRightInd w:val="0"/>
        <w:snapToGrid w:val="0"/>
        <w:spacing w:before="93" w:line="600" w:lineRule="exact"/>
        <w:outlineLvl w:val="2"/>
        <w:rPr>
          <w:rFonts w:ascii="仿宋" w:hAnsi="仿宋" w:eastAsia="仿宋"/>
          <w:bCs/>
          <w:color w:val="000000"/>
          <w:sz w:val="32"/>
          <w:szCs w:val="32"/>
        </w:rPr>
      </w:pPr>
      <w:r>
        <w:rPr>
          <w:rFonts w:hint="eastAsia" w:ascii="仿宋" w:hAnsi="仿宋" w:eastAsia="仿宋"/>
          <w:bCs/>
          <w:color w:val="000000"/>
          <w:sz w:val="32"/>
          <w:szCs w:val="32"/>
        </w:rPr>
        <w:t>（二）</w:t>
      </w:r>
      <w:r>
        <w:rPr>
          <w:rFonts w:ascii="仿宋" w:hAnsi="仿宋" w:eastAsia="仿宋"/>
          <w:bCs/>
          <w:color w:val="000000"/>
          <w:sz w:val="32"/>
          <w:szCs w:val="32"/>
        </w:rPr>
        <w:t>202</w:t>
      </w:r>
      <w:r>
        <w:rPr>
          <w:rFonts w:hint="eastAsia" w:ascii="仿宋" w:hAnsi="仿宋" w:eastAsia="仿宋"/>
          <w:bCs/>
          <w:color w:val="000000"/>
          <w:sz w:val="32"/>
          <w:szCs w:val="32"/>
        </w:rPr>
        <w:t>1年重点工作完成情况。</w:t>
      </w:r>
      <w:bookmarkEnd w:id="28"/>
      <w:bookmarkEnd w:id="29"/>
      <w:bookmarkEnd w:id="30"/>
      <w:bookmarkEnd w:id="31"/>
    </w:p>
    <w:p w14:paraId="4306DF08">
      <w:pPr>
        <w:spacing w:line="578" w:lineRule="exact"/>
        <w:ind w:firstLine="640" w:firstLineChars="200"/>
        <w:rPr>
          <w:rFonts w:eastAsia="仿宋_GB2312"/>
          <w:sz w:val="32"/>
          <w:szCs w:val="32"/>
        </w:rPr>
      </w:pPr>
      <w:r>
        <w:rPr>
          <w:rFonts w:eastAsia="仿宋_GB2312"/>
          <w:sz w:val="32"/>
          <w:szCs w:val="32"/>
        </w:rPr>
        <w:t>202</w:t>
      </w:r>
      <w:r>
        <w:rPr>
          <w:rFonts w:hint="eastAsia" w:eastAsia="仿宋_GB2312"/>
          <w:sz w:val="32"/>
          <w:szCs w:val="32"/>
        </w:rPr>
        <w:t>1</w:t>
      </w:r>
      <w:r>
        <w:rPr>
          <w:rFonts w:eastAsia="仿宋_GB2312"/>
          <w:sz w:val="32"/>
          <w:szCs w:val="32"/>
        </w:rPr>
        <w:t>年以来，县委办公室在县委的坚强领导下，坚持以习近平新时代中国特色社会主义思想为指导，深入贯彻习近平总书记关于“坚持绝对忠诚的政治品格、坚持高度自觉的大局意识、坚持极端负责的工作作风、坚持无怨无悔的奉献精神、坚持廉洁自律的道德操守”“五个坚持”要求，紧紧围绕县委工作全局，抓实参谋助手、综合协调、督办督查、服务保障“四大职能”和服务领导、服务机关、服务群众“三个服务”以及办文、办会、办事“三项工作”，认真落实全县新冠肺炎疫情防控部署，机关党建、党委信息、深化改革、保密等工作有力推进。</w:t>
      </w:r>
    </w:p>
    <w:p w14:paraId="287EFFB2">
      <w:pPr>
        <w:spacing w:line="578" w:lineRule="exact"/>
        <w:ind w:firstLine="640" w:firstLineChars="200"/>
        <w:rPr>
          <w:rFonts w:eastAsia="仿宋_GB2312"/>
          <w:sz w:val="32"/>
          <w:szCs w:val="32"/>
        </w:rPr>
      </w:pPr>
      <w:r>
        <w:rPr>
          <w:rFonts w:eastAsia="黑体"/>
          <w:sz w:val="32"/>
          <w:szCs w:val="32"/>
        </w:rPr>
        <w:t>一、在绝对忠诚上争当先进。</w:t>
      </w:r>
      <w:r>
        <w:rPr>
          <w:rFonts w:eastAsia="仿宋_GB2312"/>
          <w:b/>
          <w:bCs/>
          <w:sz w:val="32"/>
          <w:szCs w:val="32"/>
        </w:rPr>
        <w:t>一是深入学习教育。</w:t>
      </w:r>
      <w:r>
        <w:rPr>
          <w:rFonts w:eastAsia="仿宋_GB2312"/>
          <w:sz w:val="32"/>
          <w:szCs w:val="32"/>
        </w:rPr>
        <w:t>突出领导干部带头，组织开展集体学习11次、专题研讨4次</w:t>
      </w:r>
      <w:r>
        <w:rPr>
          <w:rFonts w:hint="eastAsia" w:eastAsia="仿宋_GB2312"/>
          <w:sz w:val="32"/>
          <w:szCs w:val="32"/>
          <w:lang w:eastAsia="zh-CN"/>
        </w:rPr>
        <w:t>，</w:t>
      </w:r>
      <w:r>
        <w:rPr>
          <w:rFonts w:hint="eastAsia" w:eastAsia="仿宋_GB2312"/>
          <w:sz w:val="32"/>
          <w:szCs w:val="32"/>
        </w:rPr>
        <w:t>深入学习了习近平总书记</w:t>
      </w:r>
      <w:r>
        <w:rPr>
          <w:rFonts w:hint="eastAsia" w:eastAsia="仿宋_GB2312"/>
          <w:sz w:val="32"/>
          <w:szCs w:val="32"/>
          <w:lang w:eastAsia="zh-CN"/>
        </w:rPr>
        <w:t>“七一”重要讲话</w:t>
      </w:r>
      <w:r>
        <w:rPr>
          <w:rFonts w:hint="eastAsia" w:eastAsia="仿宋_GB2312"/>
          <w:sz w:val="32"/>
          <w:szCs w:val="32"/>
        </w:rPr>
        <w:t>精神和</w:t>
      </w:r>
      <w:r>
        <w:rPr>
          <w:rFonts w:hint="eastAsia" w:eastAsia="仿宋_GB2312"/>
          <w:sz w:val="32"/>
          <w:szCs w:val="32"/>
          <w:lang w:eastAsia="zh-CN"/>
        </w:rPr>
        <w:t>党的十九届六中全会精神</w:t>
      </w:r>
      <w:r>
        <w:rPr>
          <w:rFonts w:eastAsia="仿宋_GB2312"/>
          <w:sz w:val="32"/>
          <w:szCs w:val="32"/>
        </w:rPr>
        <w:t>；召开党员大会4次，及时传达学习贯彻中央、省委、州委和县委有关文件和重要会议精神；</w:t>
      </w:r>
      <w:r>
        <w:rPr>
          <w:rFonts w:hint="eastAsia" w:eastAsia="仿宋_GB2312"/>
          <w:sz w:val="32"/>
          <w:szCs w:val="32"/>
        </w:rPr>
        <w:t>7</w:t>
      </w:r>
      <w:r>
        <w:rPr>
          <w:rFonts w:eastAsia="仿宋_GB2312"/>
          <w:sz w:val="32"/>
          <w:szCs w:val="32"/>
        </w:rPr>
        <w:t>月</w:t>
      </w:r>
      <w:r>
        <w:rPr>
          <w:rFonts w:hint="eastAsia" w:eastAsia="仿宋_GB2312"/>
          <w:sz w:val="32"/>
          <w:szCs w:val="32"/>
        </w:rPr>
        <w:t>1</w:t>
      </w:r>
      <w:r>
        <w:rPr>
          <w:rFonts w:eastAsia="仿宋_GB2312"/>
          <w:sz w:val="32"/>
          <w:szCs w:val="32"/>
        </w:rPr>
        <w:t>日，组织党员、入党积极分子到</w:t>
      </w:r>
      <w:r>
        <w:rPr>
          <w:rFonts w:hint="eastAsia" w:eastAsia="仿宋_GB2312"/>
          <w:sz w:val="32"/>
          <w:szCs w:val="32"/>
        </w:rPr>
        <w:t>红军长征纪念碑碑园</w:t>
      </w:r>
      <w:r>
        <w:rPr>
          <w:rFonts w:eastAsia="仿宋_GB2312"/>
          <w:sz w:val="32"/>
          <w:szCs w:val="32"/>
        </w:rPr>
        <w:t>开展</w:t>
      </w:r>
      <w:r>
        <w:rPr>
          <w:rFonts w:hint="eastAsia" w:eastAsia="仿宋_GB2312"/>
          <w:sz w:val="32"/>
          <w:szCs w:val="32"/>
        </w:rPr>
        <w:t>“传承红色基因谱写奋进篇章”</w:t>
      </w:r>
      <w:r>
        <w:rPr>
          <w:rFonts w:eastAsia="仿宋_GB2312"/>
          <w:sz w:val="32"/>
          <w:szCs w:val="32"/>
        </w:rPr>
        <w:t>主题党日活动</w:t>
      </w:r>
      <w:r>
        <w:rPr>
          <w:rFonts w:hint="eastAsia" w:eastAsia="仿宋_GB2312"/>
          <w:sz w:val="32"/>
          <w:szCs w:val="32"/>
        </w:rPr>
        <w:t>，</w:t>
      </w:r>
      <w:r>
        <w:rPr>
          <w:rFonts w:eastAsia="仿宋_GB2312"/>
          <w:sz w:val="32"/>
          <w:szCs w:val="32"/>
        </w:rPr>
        <w:t>引导党员干部思想得到洗礼，灵魂得到触动。</w:t>
      </w:r>
      <w:r>
        <w:rPr>
          <w:rFonts w:eastAsia="仿宋_GB2312"/>
          <w:b/>
          <w:bCs/>
          <w:sz w:val="32"/>
          <w:szCs w:val="32"/>
        </w:rPr>
        <w:t>二是</w:t>
      </w:r>
      <w:r>
        <w:rPr>
          <w:rFonts w:hint="eastAsia" w:eastAsia="仿宋_GB2312"/>
          <w:b/>
          <w:bCs/>
          <w:sz w:val="32"/>
          <w:szCs w:val="32"/>
          <w:lang w:eastAsia="zh-CN"/>
        </w:rPr>
        <w:t>深入调查研究</w:t>
      </w:r>
      <w:r>
        <w:rPr>
          <w:rFonts w:eastAsia="仿宋_GB2312"/>
          <w:b/>
          <w:bCs/>
          <w:sz w:val="32"/>
          <w:szCs w:val="32"/>
        </w:rPr>
        <w:t>。</w:t>
      </w:r>
      <w:r>
        <w:rPr>
          <w:rFonts w:eastAsia="仿宋_GB2312"/>
          <w:sz w:val="32"/>
          <w:szCs w:val="32"/>
        </w:rPr>
        <w:t>聚焦县委中心工作、突出基层社会治理，依托“两联一进”群众工作全覆盖和“户户访·人人忙”专题实践活动，深入基层一线、问题一线、矛盾一线，扎扎实实勤调研、摸实情。</w:t>
      </w:r>
    </w:p>
    <w:p w14:paraId="1584FC49">
      <w:pPr>
        <w:spacing w:line="578" w:lineRule="exact"/>
        <w:ind w:firstLine="640" w:firstLineChars="200"/>
        <w:rPr>
          <w:rFonts w:eastAsia="仿宋_GB2312"/>
          <w:sz w:val="32"/>
          <w:szCs w:val="32"/>
        </w:rPr>
      </w:pPr>
      <w:r>
        <w:rPr>
          <w:rFonts w:eastAsia="黑体"/>
          <w:sz w:val="32"/>
          <w:szCs w:val="32"/>
        </w:rPr>
        <w:t>二、在参谋助手上争当先进。</w:t>
      </w:r>
      <w:r>
        <w:rPr>
          <w:rFonts w:eastAsia="仿宋_GB2312"/>
          <w:b/>
          <w:bCs/>
          <w:sz w:val="32"/>
          <w:szCs w:val="32"/>
        </w:rPr>
        <w:t>一是切实以文辅政。</w:t>
      </w:r>
      <w:r>
        <w:rPr>
          <w:rFonts w:eastAsia="仿宋_GB2312"/>
          <w:sz w:val="32"/>
          <w:szCs w:val="32"/>
        </w:rPr>
        <w:t>起草向省委、州委领导汇报材料</w:t>
      </w:r>
      <w:r>
        <w:rPr>
          <w:rFonts w:hint="eastAsia" w:eastAsia="仿宋_GB2312"/>
          <w:sz w:val="32"/>
          <w:szCs w:val="32"/>
        </w:rPr>
        <w:t>50</w:t>
      </w:r>
      <w:r>
        <w:rPr>
          <w:rFonts w:eastAsia="仿宋_GB2312"/>
          <w:sz w:val="32"/>
          <w:szCs w:val="32"/>
        </w:rPr>
        <w:t>余篇，起草新冠肺炎疫情防控工作、</w:t>
      </w:r>
      <w:r>
        <w:rPr>
          <w:rFonts w:hint="eastAsia" w:eastAsia="仿宋_GB2312"/>
          <w:sz w:val="32"/>
          <w:szCs w:val="32"/>
          <w:lang w:eastAsia="zh-CN"/>
        </w:rPr>
        <w:t>巩固拓展脱贫攻坚成果</w:t>
      </w:r>
      <w:r>
        <w:rPr>
          <w:rFonts w:eastAsia="仿宋_GB2312"/>
          <w:sz w:val="32"/>
          <w:szCs w:val="32"/>
        </w:rPr>
        <w:t>工作、森林草原防灭火工作、</w:t>
      </w:r>
      <w:r>
        <w:rPr>
          <w:rFonts w:hint="eastAsia" w:eastAsia="仿宋_GB2312"/>
          <w:sz w:val="32"/>
          <w:szCs w:val="32"/>
        </w:rPr>
        <w:t>“两项”改革工作</w:t>
      </w:r>
      <w:r>
        <w:rPr>
          <w:rFonts w:eastAsia="仿宋_GB2312"/>
          <w:sz w:val="32"/>
          <w:szCs w:val="32"/>
        </w:rPr>
        <w:t>、防汛减灾暨地灾防治工作、县委十三届十</w:t>
      </w:r>
      <w:r>
        <w:rPr>
          <w:rFonts w:hint="eastAsia" w:eastAsia="仿宋_GB2312"/>
          <w:sz w:val="32"/>
          <w:szCs w:val="32"/>
        </w:rPr>
        <w:t>三</w:t>
      </w:r>
      <w:r>
        <w:rPr>
          <w:rFonts w:eastAsia="仿宋_GB2312"/>
          <w:sz w:val="32"/>
          <w:szCs w:val="32"/>
        </w:rPr>
        <w:t>次</w:t>
      </w:r>
      <w:r>
        <w:rPr>
          <w:rFonts w:hint="eastAsia" w:eastAsia="仿宋_GB2312"/>
          <w:sz w:val="32"/>
          <w:szCs w:val="32"/>
        </w:rPr>
        <w:t>全会</w:t>
      </w:r>
      <w:r>
        <w:rPr>
          <w:rFonts w:eastAsia="仿宋_GB2312"/>
          <w:sz w:val="32"/>
          <w:szCs w:val="32"/>
        </w:rPr>
        <w:t>、县第十四次党代会等各类讲话稿100余篇，编制各类方案60余篇，形成县委常委会纪要</w:t>
      </w:r>
      <w:r>
        <w:rPr>
          <w:rFonts w:hint="eastAsia" w:eastAsia="仿宋_GB2312"/>
          <w:sz w:val="32"/>
          <w:szCs w:val="32"/>
        </w:rPr>
        <w:t>30</w:t>
      </w:r>
      <w:r>
        <w:rPr>
          <w:rFonts w:eastAsia="仿宋_GB2312"/>
          <w:sz w:val="32"/>
          <w:szCs w:val="32"/>
        </w:rPr>
        <w:t>期，有效提升文稿质量。</w:t>
      </w:r>
      <w:r>
        <w:rPr>
          <w:rFonts w:eastAsia="仿宋_GB2312"/>
          <w:b/>
          <w:bCs/>
          <w:sz w:val="32"/>
          <w:szCs w:val="32"/>
        </w:rPr>
        <w:t>二是当好参谋助手。</w:t>
      </w:r>
      <w:r>
        <w:rPr>
          <w:rFonts w:eastAsia="仿宋_GB2312"/>
          <w:sz w:val="32"/>
          <w:szCs w:val="32"/>
        </w:rPr>
        <w:t>高质量形成《中共松潘县委关于提高政治判断力、政治领悟力、政治执行力全力推动“一城两心三地”发展战略落地落实的决定》、中国共产党松潘县第十三届委员会报告，为县委领导科学决策提供参考。</w:t>
      </w:r>
      <w:r>
        <w:rPr>
          <w:rFonts w:eastAsia="仿宋_GB2312"/>
          <w:b/>
          <w:bCs/>
          <w:sz w:val="32"/>
          <w:szCs w:val="32"/>
        </w:rPr>
        <w:t>三是优化信息服务。</w:t>
      </w:r>
      <w:r>
        <w:rPr>
          <w:rFonts w:eastAsia="仿宋_GB2312"/>
          <w:sz w:val="32"/>
          <w:szCs w:val="32"/>
        </w:rPr>
        <w:t>及时向省委办公厅报送党委信息42期，向州委办报送约稿信息、常规信息、应急信息等100余期。</w:t>
      </w:r>
    </w:p>
    <w:p w14:paraId="74535934">
      <w:pPr>
        <w:spacing w:line="578" w:lineRule="exact"/>
        <w:ind w:firstLine="640" w:firstLineChars="200"/>
        <w:rPr>
          <w:rFonts w:eastAsia="仿宋_GB2312"/>
          <w:sz w:val="32"/>
          <w:szCs w:val="32"/>
        </w:rPr>
      </w:pPr>
      <w:r>
        <w:rPr>
          <w:rFonts w:eastAsia="黑体"/>
          <w:sz w:val="32"/>
          <w:szCs w:val="32"/>
        </w:rPr>
        <w:t>三、在勇于担当上争当先进。</w:t>
      </w:r>
      <w:r>
        <w:rPr>
          <w:rFonts w:eastAsia="仿宋_GB2312"/>
          <w:b/>
          <w:bCs/>
          <w:sz w:val="32"/>
          <w:szCs w:val="32"/>
        </w:rPr>
        <w:t>一是稳步推进国安办工作。</w:t>
      </w:r>
      <w:r>
        <w:rPr>
          <w:rFonts w:eastAsia="仿宋_GB2312"/>
          <w:sz w:val="32"/>
          <w:szCs w:val="32"/>
        </w:rPr>
        <w:t>建立国安情报信息日、周、月、季专报制，向州委国安办报送国安信息1</w:t>
      </w:r>
      <w:r>
        <w:rPr>
          <w:rFonts w:hint="eastAsia" w:eastAsia="仿宋_GB2312"/>
          <w:sz w:val="32"/>
          <w:szCs w:val="32"/>
        </w:rPr>
        <w:t>50</w:t>
      </w:r>
      <w:r>
        <w:rPr>
          <w:rFonts w:eastAsia="仿宋_GB2312"/>
          <w:sz w:val="32"/>
          <w:szCs w:val="32"/>
        </w:rPr>
        <w:t>余期；</w:t>
      </w:r>
      <w:r>
        <w:rPr>
          <w:rFonts w:hint="eastAsia" w:eastAsia="仿宋_GB2312"/>
          <w:sz w:val="32"/>
          <w:szCs w:val="32"/>
        </w:rPr>
        <w:t>结合党史</w:t>
      </w:r>
      <w:r>
        <w:rPr>
          <w:rFonts w:hint="eastAsia" w:eastAsia="仿宋_GB2312"/>
          <w:sz w:val="32"/>
          <w:szCs w:val="32"/>
          <w:lang w:eastAsia="zh-CN"/>
        </w:rPr>
        <w:t>学习</w:t>
      </w:r>
      <w:r>
        <w:rPr>
          <w:rFonts w:hint="eastAsia" w:eastAsia="仿宋_GB2312"/>
          <w:sz w:val="32"/>
          <w:szCs w:val="32"/>
        </w:rPr>
        <w:t>教育，累计开展</w:t>
      </w:r>
      <w:r>
        <w:rPr>
          <w:rFonts w:eastAsia="仿宋_GB2312"/>
          <w:sz w:val="32"/>
          <w:szCs w:val="32"/>
        </w:rPr>
        <w:t>国家安全教育日普法宣传活动</w:t>
      </w:r>
      <w:r>
        <w:rPr>
          <w:rFonts w:hint="eastAsia" w:eastAsia="仿宋_GB2312"/>
          <w:sz w:val="32"/>
          <w:szCs w:val="32"/>
        </w:rPr>
        <w:t>30余场次，发放普法物品145000余份，</w:t>
      </w:r>
      <w:r>
        <w:rPr>
          <w:rFonts w:eastAsia="仿宋_GB2312"/>
          <w:sz w:val="32"/>
          <w:szCs w:val="32"/>
        </w:rPr>
        <w:t>有效提升全县广大干群国家安全意识。</w:t>
      </w:r>
      <w:r>
        <w:rPr>
          <w:rFonts w:hint="eastAsia" w:eastAsia="仿宋_GB2312"/>
          <w:sz w:val="32"/>
          <w:szCs w:val="32"/>
        </w:rPr>
        <w:t>上报参评的“4·15”国家安全</w:t>
      </w:r>
      <w:r>
        <w:rPr>
          <w:rFonts w:hint="eastAsia" w:eastAsia="仿宋_GB2312"/>
          <w:sz w:val="32"/>
          <w:szCs w:val="32"/>
          <w:lang w:eastAsia="zh-CN"/>
        </w:rPr>
        <w:t>标识</w:t>
      </w:r>
      <w:r>
        <w:rPr>
          <w:rFonts w:hint="eastAsia" w:eastAsia="仿宋_GB2312"/>
          <w:sz w:val="32"/>
          <w:szCs w:val="32"/>
        </w:rPr>
        <w:t>被评为省三等奖。</w:t>
      </w:r>
      <w:r>
        <w:rPr>
          <w:rFonts w:hint="eastAsia" w:eastAsia="仿宋_GB2312"/>
          <w:b/>
          <w:bCs/>
          <w:sz w:val="32"/>
          <w:szCs w:val="32"/>
        </w:rPr>
        <w:t>二</w:t>
      </w:r>
      <w:r>
        <w:rPr>
          <w:rFonts w:eastAsia="仿宋_GB2312"/>
          <w:b/>
          <w:bCs/>
          <w:sz w:val="32"/>
          <w:szCs w:val="32"/>
        </w:rPr>
        <w:t>是扎实推进深改办工作。</w:t>
      </w:r>
      <w:r>
        <w:rPr>
          <w:rFonts w:eastAsia="仿宋_GB2312"/>
          <w:sz w:val="32"/>
          <w:szCs w:val="32"/>
        </w:rPr>
        <w:t>筹备召开县委深</w:t>
      </w:r>
      <w:r>
        <w:rPr>
          <w:rFonts w:hint="eastAsia" w:eastAsia="仿宋_GB2312"/>
          <w:sz w:val="32"/>
          <w:szCs w:val="32"/>
        </w:rPr>
        <w:t>化改革</w:t>
      </w:r>
      <w:r>
        <w:rPr>
          <w:rFonts w:eastAsia="仿宋_GB2312"/>
          <w:sz w:val="32"/>
          <w:szCs w:val="32"/>
        </w:rPr>
        <w:t>工作专题会议，拟定202</w:t>
      </w:r>
      <w:r>
        <w:rPr>
          <w:rFonts w:hint="eastAsia" w:eastAsia="仿宋_GB2312"/>
          <w:sz w:val="32"/>
          <w:szCs w:val="32"/>
        </w:rPr>
        <w:t>1</w:t>
      </w:r>
      <w:r>
        <w:rPr>
          <w:rFonts w:eastAsia="仿宋_GB2312"/>
          <w:sz w:val="32"/>
          <w:szCs w:val="32"/>
        </w:rPr>
        <w:t>年全面深化改革《工作要点》和《工作台账》，向州委深改办报送专报信息</w:t>
      </w:r>
      <w:r>
        <w:rPr>
          <w:rFonts w:hint="eastAsia" w:eastAsia="仿宋_GB2312"/>
          <w:sz w:val="32"/>
          <w:szCs w:val="32"/>
        </w:rPr>
        <w:t>32</w:t>
      </w:r>
      <w:r>
        <w:rPr>
          <w:rFonts w:eastAsia="仿宋_GB2312"/>
          <w:sz w:val="32"/>
          <w:szCs w:val="32"/>
        </w:rPr>
        <w:t>条。</w:t>
      </w:r>
      <w:r>
        <w:rPr>
          <w:rFonts w:hint="eastAsia" w:eastAsia="仿宋_GB2312"/>
          <w:b/>
          <w:bCs/>
          <w:sz w:val="32"/>
          <w:szCs w:val="32"/>
        </w:rPr>
        <w:t>三</w:t>
      </w:r>
      <w:r>
        <w:rPr>
          <w:rFonts w:eastAsia="仿宋_GB2312"/>
          <w:b/>
          <w:bCs/>
          <w:sz w:val="32"/>
          <w:szCs w:val="32"/>
        </w:rPr>
        <w:t>是着力推进督查室工作。</w:t>
      </w:r>
      <w:r>
        <w:rPr>
          <w:rFonts w:eastAsia="仿宋_GB2312"/>
          <w:sz w:val="32"/>
          <w:szCs w:val="32"/>
        </w:rPr>
        <w:t>按照“督查倒逼落实”的要求，针对县委常委会、书记专题会等会议议定事项，分解任务、建立台账，开展常规督查</w:t>
      </w:r>
      <w:r>
        <w:rPr>
          <w:rFonts w:hint="eastAsia" w:eastAsia="仿宋_GB2312"/>
          <w:sz w:val="32"/>
          <w:szCs w:val="32"/>
        </w:rPr>
        <w:t>45</w:t>
      </w:r>
      <w:r>
        <w:rPr>
          <w:rFonts w:eastAsia="仿宋_GB2312"/>
          <w:sz w:val="32"/>
          <w:szCs w:val="32"/>
        </w:rPr>
        <w:t>次，暗访督查</w:t>
      </w:r>
      <w:r>
        <w:rPr>
          <w:rFonts w:hint="eastAsia" w:eastAsia="仿宋_GB2312"/>
          <w:sz w:val="32"/>
          <w:szCs w:val="32"/>
        </w:rPr>
        <w:t>30</w:t>
      </w:r>
      <w:r>
        <w:rPr>
          <w:rFonts w:eastAsia="仿宋_GB2312"/>
          <w:sz w:val="32"/>
          <w:szCs w:val="32"/>
        </w:rPr>
        <w:t>次，民生、项目、</w:t>
      </w:r>
      <w:r>
        <w:rPr>
          <w:rFonts w:hint="eastAsia" w:eastAsia="仿宋_GB2312"/>
          <w:sz w:val="32"/>
          <w:szCs w:val="32"/>
        </w:rPr>
        <w:t>乡村振兴</w:t>
      </w:r>
      <w:r>
        <w:rPr>
          <w:rFonts w:eastAsia="仿宋_GB2312"/>
          <w:sz w:val="32"/>
          <w:szCs w:val="32"/>
        </w:rPr>
        <w:t>、防汛减灾等专项督查13次，形成督查专报</w:t>
      </w:r>
      <w:r>
        <w:rPr>
          <w:rFonts w:hint="eastAsia" w:eastAsia="仿宋_GB2312"/>
          <w:sz w:val="32"/>
          <w:szCs w:val="32"/>
        </w:rPr>
        <w:t>16</w:t>
      </w:r>
      <w:r>
        <w:rPr>
          <w:rFonts w:eastAsia="仿宋_GB2312"/>
          <w:sz w:val="32"/>
          <w:szCs w:val="32"/>
        </w:rPr>
        <w:t>期，切实做到“决策</w:t>
      </w:r>
      <w:r>
        <w:rPr>
          <w:rFonts w:hint="eastAsia" w:eastAsia="仿宋_GB2312"/>
          <w:sz w:val="32"/>
          <w:szCs w:val="32"/>
        </w:rPr>
        <w:t>作出</w:t>
      </w:r>
      <w:r>
        <w:rPr>
          <w:rFonts w:eastAsia="仿宋_GB2312"/>
          <w:sz w:val="32"/>
          <w:szCs w:val="32"/>
        </w:rPr>
        <w:t>之时即为督查启动之时”。</w:t>
      </w:r>
      <w:r>
        <w:rPr>
          <w:rFonts w:hint="eastAsia" w:eastAsia="仿宋_GB2312"/>
          <w:b/>
          <w:bCs/>
          <w:sz w:val="32"/>
          <w:szCs w:val="32"/>
        </w:rPr>
        <w:t>四</w:t>
      </w:r>
      <w:r>
        <w:rPr>
          <w:rFonts w:eastAsia="仿宋_GB2312"/>
          <w:b/>
          <w:bCs/>
          <w:sz w:val="32"/>
          <w:szCs w:val="32"/>
        </w:rPr>
        <w:t>是务实推进联系点工作。</w:t>
      </w:r>
      <w:r>
        <w:rPr>
          <w:rFonts w:eastAsia="仿宋_GB2312"/>
          <w:sz w:val="32"/>
          <w:szCs w:val="32"/>
        </w:rPr>
        <w:t>深入安宏乡扎实开展“两联一进”群众工作全覆盖、“户户访·人人忙”专题实践活动等工作，帮扶人员到村开展帮扶工作100余人次，带头转作风密切联系群众。</w:t>
      </w:r>
      <w:r>
        <w:rPr>
          <w:rFonts w:hint="eastAsia" w:eastAsia="仿宋_GB2312"/>
          <w:b/>
          <w:bCs/>
          <w:sz w:val="32"/>
          <w:szCs w:val="32"/>
        </w:rPr>
        <w:t>五</w:t>
      </w:r>
      <w:r>
        <w:rPr>
          <w:rFonts w:eastAsia="仿宋_GB2312"/>
          <w:b/>
          <w:bCs/>
          <w:sz w:val="32"/>
          <w:szCs w:val="32"/>
        </w:rPr>
        <w:t>是有效推进后勤服务。</w:t>
      </w:r>
      <w:r>
        <w:rPr>
          <w:rFonts w:eastAsia="仿宋_GB2312"/>
          <w:sz w:val="32"/>
          <w:szCs w:val="32"/>
        </w:rPr>
        <w:t>严明会计制度和财经纪律，完成政府采购项目2项，处理财务账目</w:t>
      </w:r>
      <w:r>
        <w:rPr>
          <w:rFonts w:hint="eastAsia" w:eastAsia="仿宋_GB2312"/>
          <w:sz w:val="32"/>
          <w:szCs w:val="32"/>
        </w:rPr>
        <w:t>2</w:t>
      </w:r>
      <w:r>
        <w:rPr>
          <w:rFonts w:eastAsia="仿宋_GB2312"/>
          <w:sz w:val="32"/>
          <w:szCs w:val="32"/>
        </w:rPr>
        <w:t>份，编制财务报表、账目凭证96册，完善固定资产基础数据台账153条。做好县委重要会议后勤保障，累计办会1</w:t>
      </w:r>
      <w:r>
        <w:rPr>
          <w:rFonts w:hint="eastAsia" w:eastAsia="仿宋_GB2312"/>
          <w:sz w:val="32"/>
          <w:szCs w:val="32"/>
        </w:rPr>
        <w:t>7</w:t>
      </w:r>
      <w:r>
        <w:rPr>
          <w:rFonts w:eastAsia="仿宋_GB2312"/>
          <w:sz w:val="32"/>
          <w:szCs w:val="32"/>
        </w:rPr>
        <w:t>0余场次。</w:t>
      </w:r>
    </w:p>
    <w:p w14:paraId="4C6B0F02">
      <w:pPr>
        <w:spacing w:line="578" w:lineRule="exact"/>
        <w:ind w:firstLine="640" w:firstLineChars="200"/>
        <w:rPr>
          <w:rFonts w:eastAsia="仿宋_GB2312"/>
          <w:sz w:val="32"/>
          <w:szCs w:val="32"/>
        </w:rPr>
      </w:pPr>
      <w:r>
        <w:rPr>
          <w:rFonts w:eastAsia="黑体"/>
          <w:sz w:val="32"/>
          <w:szCs w:val="32"/>
        </w:rPr>
        <w:t>四、在增强效率上争当先进。</w:t>
      </w:r>
      <w:r>
        <w:rPr>
          <w:rFonts w:eastAsia="仿宋_GB2312"/>
          <w:b/>
          <w:bCs/>
          <w:sz w:val="32"/>
          <w:szCs w:val="32"/>
        </w:rPr>
        <w:t>一是明确职责任务。</w:t>
      </w:r>
      <w:r>
        <w:rPr>
          <w:rFonts w:eastAsia="仿宋_GB2312"/>
          <w:sz w:val="32"/>
          <w:szCs w:val="32"/>
        </w:rPr>
        <w:t>按照县委机构改革要求，根据县委办公室新“三定”方案，及时调整班子配备，完成科室职能职责调整细化和人员配备，及时补位不缺位。</w:t>
      </w:r>
      <w:r>
        <w:rPr>
          <w:rFonts w:eastAsia="仿宋_GB2312"/>
          <w:b/>
          <w:bCs/>
          <w:sz w:val="32"/>
          <w:szCs w:val="32"/>
        </w:rPr>
        <w:t>二是统筹重大活动</w:t>
      </w:r>
      <w:r>
        <w:rPr>
          <w:rFonts w:eastAsia="仿宋_GB2312"/>
          <w:sz w:val="32"/>
          <w:szCs w:val="32"/>
        </w:rPr>
        <w:t>。完成接待任务</w:t>
      </w:r>
      <w:r>
        <w:rPr>
          <w:rFonts w:hint="eastAsia" w:eastAsia="仿宋_GB2312"/>
          <w:sz w:val="32"/>
          <w:szCs w:val="32"/>
        </w:rPr>
        <w:t>274</w:t>
      </w:r>
      <w:r>
        <w:rPr>
          <w:rFonts w:eastAsia="仿宋_GB2312"/>
          <w:sz w:val="32"/>
          <w:szCs w:val="32"/>
        </w:rPr>
        <w:t>批次（其中国级</w:t>
      </w:r>
      <w:r>
        <w:rPr>
          <w:rFonts w:hint="eastAsia" w:eastAsia="仿宋_GB2312"/>
          <w:sz w:val="32"/>
          <w:szCs w:val="32"/>
        </w:rPr>
        <w:t>4</w:t>
      </w:r>
      <w:r>
        <w:rPr>
          <w:rFonts w:eastAsia="仿宋_GB2312"/>
          <w:sz w:val="32"/>
          <w:szCs w:val="32"/>
        </w:rPr>
        <w:t>批次、部级</w:t>
      </w:r>
      <w:r>
        <w:rPr>
          <w:rFonts w:hint="eastAsia" w:eastAsia="仿宋_GB2312"/>
          <w:sz w:val="32"/>
          <w:szCs w:val="32"/>
        </w:rPr>
        <w:t>5</w:t>
      </w:r>
      <w:r>
        <w:rPr>
          <w:rFonts w:eastAsia="仿宋_GB2312"/>
          <w:sz w:val="32"/>
          <w:szCs w:val="32"/>
        </w:rPr>
        <w:t>批次、厅级</w:t>
      </w:r>
      <w:r>
        <w:rPr>
          <w:rFonts w:hint="eastAsia" w:eastAsia="仿宋_GB2312"/>
          <w:sz w:val="32"/>
          <w:szCs w:val="32"/>
        </w:rPr>
        <w:t>114</w:t>
      </w:r>
      <w:r>
        <w:rPr>
          <w:rFonts w:eastAsia="仿宋_GB2312"/>
          <w:sz w:val="32"/>
          <w:szCs w:val="32"/>
        </w:rPr>
        <w:t>批次、商务3批次、其他</w:t>
      </w:r>
      <w:r>
        <w:rPr>
          <w:rFonts w:hint="eastAsia" w:eastAsia="仿宋_GB2312"/>
          <w:sz w:val="32"/>
          <w:szCs w:val="32"/>
        </w:rPr>
        <w:t>148</w:t>
      </w:r>
      <w:r>
        <w:rPr>
          <w:rFonts w:eastAsia="仿宋_GB2312"/>
          <w:sz w:val="32"/>
          <w:szCs w:val="32"/>
        </w:rPr>
        <w:t>批次），实际接待人数</w:t>
      </w:r>
      <w:r>
        <w:rPr>
          <w:rFonts w:hint="eastAsia" w:eastAsia="仿宋_GB2312"/>
          <w:sz w:val="32"/>
          <w:szCs w:val="32"/>
        </w:rPr>
        <w:t>8869</w:t>
      </w:r>
      <w:r>
        <w:rPr>
          <w:rFonts w:eastAsia="仿宋_GB2312"/>
          <w:sz w:val="32"/>
          <w:szCs w:val="32"/>
        </w:rPr>
        <w:t>人（来宾人数</w:t>
      </w:r>
      <w:r>
        <w:rPr>
          <w:rFonts w:hint="eastAsia" w:eastAsia="仿宋_GB2312"/>
          <w:sz w:val="32"/>
          <w:szCs w:val="32"/>
        </w:rPr>
        <w:t>5651</w:t>
      </w:r>
      <w:r>
        <w:rPr>
          <w:rFonts w:eastAsia="仿宋_GB2312"/>
          <w:sz w:val="32"/>
          <w:szCs w:val="32"/>
        </w:rPr>
        <w:t>、陪同领导</w:t>
      </w:r>
      <w:r>
        <w:rPr>
          <w:rFonts w:hint="eastAsia" w:eastAsia="仿宋_GB2312"/>
          <w:sz w:val="32"/>
          <w:szCs w:val="32"/>
        </w:rPr>
        <w:t>1089</w:t>
      </w:r>
      <w:r>
        <w:rPr>
          <w:rFonts w:eastAsia="仿宋_GB2312"/>
          <w:sz w:val="32"/>
          <w:szCs w:val="32"/>
        </w:rPr>
        <w:t>、工作人员</w:t>
      </w:r>
      <w:r>
        <w:rPr>
          <w:rFonts w:hint="eastAsia" w:eastAsia="仿宋_GB2312"/>
          <w:sz w:val="32"/>
          <w:szCs w:val="32"/>
        </w:rPr>
        <w:t>2129</w:t>
      </w:r>
      <w:r>
        <w:rPr>
          <w:rFonts w:eastAsia="仿宋_GB2312"/>
          <w:sz w:val="32"/>
          <w:szCs w:val="32"/>
        </w:rPr>
        <w:t>）。圆满完成“第五届古城花灯会”、四川文旅大会等接待任务。</w:t>
      </w:r>
      <w:r>
        <w:rPr>
          <w:rFonts w:eastAsia="仿宋_GB2312"/>
          <w:b/>
          <w:bCs/>
          <w:sz w:val="32"/>
          <w:szCs w:val="32"/>
        </w:rPr>
        <w:t>三是大力减负增效。</w:t>
      </w:r>
      <w:r>
        <w:rPr>
          <w:rFonts w:eastAsia="仿宋_GB2312"/>
          <w:sz w:val="32"/>
          <w:szCs w:val="32"/>
        </w:rPr>
        <w:t>坚持从破除“文山会海”“繁文缛节”“过度留痕”等入手，加大形式主义、官僚主义整治力度，制发文件</w:t>
      </w:r>
      <w:r>
        <w:rPr>
          <w:rFonts w:hint="eastAsia" w:eastAsia="仿宋_GB2312"/>
          <w:sz w:val="32"/>
          <w:szCs w:val="32"/>
        </w:rPr>
        <w:t>169</w:t>
      </w:r>
      <w:r>
        <w:rPr>
          <w:rFonts w:eastAsia="仿宋_GB2312"/>
          <w:sz w:val="32"/>
          <w:szCs w:val="32"/>
        </w:rPr>
        <w:t>份，同比减少</w:t>
      </w:r>
      <w:r>
        <w:rPr>
          <w:rFonts w:hint="eastAsia" w:eastAsia="仿宋_GB2312"/>
          <w:sz w:val="32"/>
          <w:szCs w:val="32"/>
        </w:rPr>
        <w:t>14</w:t>
      </w:r>
      <w:r>
        <w:rPr>
          <w:rFonts w:eastAsia="仿宋_GB2312"/>
          <w:sz w:val="32"/>
          <w:szCs w:val="32"/>
        </w:rPr>
        <w:t>%，承办县委常委会3</w:t>
      </w:r>
      <w:r>
        <w:rPr>
          <w:rFonts w:hint="eastAsia" w:eastAsia="仿宋_GB2312"/>
          <w:sz w:val="32"/>
          <w:szCs w:val="32"/>
        </w:rPr>
        <w:t>8</w:t>
      </w:r>
      <w:r>
        <w:rPr>
          <w:rFonts w:eastAsia="仿宋_GB2312"/>
          <w:sz w:val="32"/>
          <w:szCs w:val="32"/>
        </w:rPr>
        <w:t>次、县本级会议</w:t>
      </w:r>
      <w:r>
        <w:rPr>
          <w:rFonts w:hint="eastAsia" w:eastAsia="仿宋_GB2312"/>
          <w:sz w:val="32"/>
          <w:szCs w:val="32"/>
        </w:rPr>
        <w:t>72</w:t>
      </w:r>
      <w:r>
        <w:rPr>
          <w:rFonts w:eastAsia="仿宋_GB2312"/>
          <w:sz w:val="32"/>
          <w:szCs w:val="32"/>
        </w:rPr>
        <w:t>次、专题会议10次、参加上级视频会议</w:t>
      </w:r>
      <w:r>
        <w:rPr>
          <w:rFonts w:hint="eastAsia" w:eastAsia="仿宋_GB2312"/>
          <w:sz w:val="32"/>
          <w:szCs w:val="32"/>
        </w:rPr>
        <w:t>4</w:t>
      </w:r>
      <w:r>
        <w:rPr>
          <w:rFonts w:eastAsia="仿宋_GB2312"/>
          <w:sz w:val="32"/>
          <w:szCs w:val="32"/>
        </w:rPr>
        <w:t>0余次，较2019年均有所下降，着力为基层减负。四是积极回应诉求。全年收到群众来信共计</w:t>
      </w:r>
      <w:r>
        <w:rPr>
          <w:rFonts w:hint="eastAsia" w:eastAsia="仿宋_GB2312"/>
          <w:sz w:val="32"/>
          <w:szCs w:val="32"/>
        </w:rPr>
        <w:t>47</w:t>
      </w:r>
      <w:r>
        <w:rPr>
          <w:rFonts w:eastAsia="仿宋_GB2312"/>
          <w:sz w:val="32"/>
          <w:szCs w:val="32"/>
        </w:rPr>
        <w:t>件，接待来访群众</w:t>
      </w:r>
      <w:r>
        <w:rPr>
          <w:rFonts w:hint="eastAsia" w:eastAsia="仿宋_GB2312"/>
          <w:sz w:val="32"/>
          <w:szCs w:val="32"/>
        </w:rPr>
        <w:t>10</w:t>
      </w:r>
      <w:r>
        <w:rPr>
          <w:rFonts w:eastAsia="仿宋_GB2312"/>
          <w:sz w:val="32"/>
          <w:szCs w:val="32"/>
        </w:rPr>
        <w:t>余批次。面对上访群众，始终保持热情、耐心、细致的接访态度，对群众反映的问题及时登记、归口转办处理，使每次反映的问题都能得到圆满答复，获得全县各界一致好评。</w:t>
      </w:r>
    </w:p>
    <w:p w14:paraId="3F587203">
      <w:pPr>
        <w:spacing w:line="578" w:lineRule="exact"/>
        <w:ind w:firstLine="640" w:firstLineChars="200"/>
        <w:rPr>
          <w:rFonts w:ascii="仿宋" w:hAnsi="仿宋" w:eastAsia="仿宋"/>
          <w:bCs/>
          <w:color w:val="000000"/>
          <w:sz w:val="32"/>
          <w:szCs w:val="32"/>
        </w:rPr>
      </w:pPr>
      <w:r>
        <w:rPr>
          <w:rFonts w:eastAsia="黑体"/>
          <w:sz w:val="32"/>
          <w:szCs w:val="32"/>
        </w:rPr>
        <w:t>五、在遵规守纪上争当先进。</w:t>
      </w:r>
      <w:r>
        <w:rPr>
          <w:rFonts w:eastAsia="仿宋_GB2312"/>
          <w:b/>
          <w:bCs/>
          <w:sz w:val="32"/>
          <w:szCs w:val="32"/>
        </w:rPr>
        <w:t>一是严格抓廉政建设。</w:t>
      </w:r>
      <w:r>
        <w:rPr>
          <w:rFonts w:eastAsia="仿宋_GB2312"/>
          <w:sz w:val="32"/>
          <w:szCs w:val="32"/>
        </w:rPr>
        <w:t>认真履行主体责任，全面落实“一岗双责”，签订《党风廉政建设主体责任书》《不利用地方名贵特产谋取私利承诺书》《党员干部、国家公职人员不参与赌博承诺书》50余份，切实压紧压实廉政责任。</w:t>
      </w:r>
      <w:r>
        <w:rPr>
          <w:rFonts w:eastAsia="仿宋_GB2312"/>
          <w:b/>
          <w:bCs/>
          <w:sz w:val="32"/>
          <w:szCs w:val="32"/>
        </w:rPr>
        <w:t>二是安全抓保密机要。</w:t>
      </w:r>
      <w:r>
        <w:rPr>
          <w:rFonts w:eastAsia="仿宋_GB2312"/>
          <w:sz w:val="32"/>
          <w:szCs w:val="32"/>
        </w:rPr>
        <w:t>扎实开展安可试点工作，保障党政高清视频会议80余场次。严格按照党政网省级业务应用迁移工作推进时间节点和工作任务，基本党政网迁移工作。牵头承办应急密码保障演练现场会。组织力量对各乡镇、各部门开展保密自查自评督查，举办保密法律法规宣传教育会议2期，与全县28家文印店签订保密责任书，协助纪委查处泄密案件1起。</w:t>
      </w:r>
      <w:r>
        <w:rPr>
          <w:rFonts w:eastAsia="仿宋_GB2312"/>
          <w:b/>
          <w:bCs/>
          <w:sz w:val="32"/>
          <w:szCs w:val="32"/>
        </w:rPr>
        <w:t>三是规范抓应急值守。</w:t>
      </w:r>
      <w:r>
        <w:rPr>
          <w:rFonts w:eastAsia="仿宋_GB2312"/>
          <w:sz w:val="32"/>
          <w:szCs w:val="32"/>
        </w:rPr>
        <w:t>严格值班值守制度，向州委办报送《值班报告》30期。全力保障3月、7月、10月及春节、两会期间等敏感节点值守任务，在防汛期间昼夜值班值守，全力支持抢险救灾等工作。</w:t>
      </w:r>
      <w:r>
        <w:rPr>
          <w:rFonts w:eastAsia="仿宋_GB2312"/>
          <w:b/>
          <w:bCs/>
          <w:sz w:val="32"/>
          <w:szCs w:val="32"/>
        </w:rPr>
        <w:t>四是贴心抓人文关爱。</w:t>
      </w:r>
      <w:r>
        <w:rPr>
          <w:rFonts w:eastAsia="仿宋_GB2312"/>
          <w:sz w:val="32"/>
          <w:szCs w:val="32"/>
        </w:rPr>
        <w:t>办公室领导先后与30余名干部职工谈心谈话、交流思想；切实保障职工年休假、产假、病假等权益；有序开展机关党支部、工会等活动，真正体现家的亲情温暖。</w:t>
      </w:r>
    </w:p>
    <w:p w14:paraId="2BCAE2A7">
      <w:pPr>
        <w:pStyle w:val="5"/>
        <w:rPr>
          <w:rStyle w:val="26"/>
          <w:b w:val="0"/>
          <w:bCs w:val="0"/>
        </w:rPr>
      </w:pPr>
      <w:bookmarkStart w:id="32" w:name="_Toc15396601"/>
      <w:bookmarkStart w:id="33" w:name="_Toc79163605"/>
      <w:bookmarkStart w:id="34" w:name="_Toc11427"/>
      <w:bookmarkStart w:id="35" w:name="_Toc79163855"/>
      <w:bookmarkStart w:id="36" w:name="_Toc15377200"/>
      <w:r>
        <w:rPr>
          <w:rFonts w:hint="eastAsia" w:ascii="黑体" w:eastAsia="黑体"/>
          <w:b w:val="0"/>
          <w:color w:val="000000"/>
        </w:rPr>
        <w:t>二、</w:t>
      </w:r>
      <w:r>
        <w:rPr>
          <w:rFonts w:hint="eastAsia" w:ascii="黑体" w:hAnsi="黑体" w:eastAsia="黑体"/>
          <w:b w:val="0"/>
          <w:color w:val="000000"/>
        </w:rPr>
        <w:t>机</w:t>
      </w:r>
      <w:r>
        <w:rPr>
          <w:rStyle w:val="26"/>
          <w:rFonts w:hint="eastAsia" w:ascii="黑体" w:hAnsi="黑体" w:eastAsia="黑体"/>
          <w:b w:val="0"/>
          <w:bCs w:val="0"/>
        </w:rPr>
        <w:t>构设置</w:t>
      </w:r>
      <w:bookmarkEnd w:id="32"/>
      <w:bookmarkEnd w:id="33"/>
      <w:bookmarkEnd w:id="34"/>
      <w:bookmarkEnd w:id="35"/>
      <w:bookmarkEnd w:id="36"/>
    </w:p>
    <w:p w14:paraId="07F09B29">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根据上述职责，县委办下设7个股（室），县委办公室行政编制18名，领导职数4名，其中：办公室主任1名，副主任2名，机关党委书记1名；股级领导职数6名。机关后勤服务人员事业编制8名。</w:t>
      </w:r>
    </w:p>
    <w:p w14:paraId="146DA02E">
      <w:pPr>
        <w:spacing w:line="560" w:lineRule="exact"/>
        <w:ind w:firstLine="320" w:firstLineChars="100"/>
        <w:rPr>
          <w:rFonts w:ascii="楷体" w:hAnsi="楷体" w:eastAsia="楷体"/>
          <w:color w:val="000000"/>
          <w:sz w:val="32"/>
          <w:szCs w:val="32"/>
        </w:rPr>
      </w:pPr>
      <w:r>
        <w:rPr>
          <w:rFonts w:hint="eastAsia" w:ascii="楷体" w:hAnsi="楷体" w:eastAsia="楷体"/>
          <w:color w:val="000000"/>
          <w:sz w:val="32"/>
          <w:szCs w:val="32"/>
        </w:rPr>
        <w:t>（一）内设机构</w:t>
      </w:r>
    </w:p>
    <w:p w14:paraId="7FA23C0B">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1.综合股。负责主送县委、县委办公室各类文件、资料的收文及统一办理。负责上级党委及部门下发文件的签收、办理、邮寄、清收清退、销毁等工作。负责县委常委会、办公会议、专题会议议题收集、通知及有关会务工作。负责承办全县性重要会议、检查指导、协办县委主要领导出席的其他有关会议。负责县委主要领导批示要求落实的统筹协调服务。承担县委领导日常信访处理。负责干部职工请销假报备。负责县委、县委办公室会议室管理使用和环境卫生工作。</w:t>
      </w:r>
    </w:p>
    <w:p w14:paraId="1533096E">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2.秘书股。负责县委重大综合文稿的起草、审核、报送工作。负责根据县委要求及文稿工作需要开展调查研究，为县委决策建议。负责县委主要领导新闻稿件、</w:t>
      </w:r>
      <w:r>
        <w:rPr>
          <w:rFonts w:hint="eastAsia" w:ascii="仿宋" w:hAnsi="仿宋" w:eastAsia="仿宋"/>
          <w:color w:val="000000"/>
          <w:sz w:val="32"/>
          <w:szCs w:val="32"/>
          <w:lang w:eastAsia="zh-CN"/>
        </w:rPr>
        <w:t>署名文章</w:t>
      </w:r>
      <w:r>
        <w:rPr>
          <w:rFonts w:hint="eastAsia" w:ascii="仿宋" w:hAnsi="仿宋" w:eastAsia="仿宋"/>
          <w:color w:val="000000"/>
          <w:sz w:val="32"/>
          <w:szCs w:val="32"/>
        </w:rPr>
        <w:t>发表前的审核工作。负责县委主要领导文稿起草、整理、校核等工作。负责县委重大战略部署和重点工作调研和服务。负责中央、省委、州委领导来我县调研活动的衔接联络、方案拟制。负责县委领导重要公务活动的统筹安排和组织协调。负责县委全会、县委常委会及有关</w:t>
      </w:r>
      <w:r>
        <w:rPr>
          <w:rFonts w:hint="eastAsia" w:ascii="仿宋" w:hAnsi="仿宋" w:eastAsia="仿宋"/>
          <w:color w:val="000000"/>
          <w:sz w:val="32"/>
          <w:szCs w:val="32"/>
          <w:lang w:eastAsia="zh-CN"/>
        </w:rPr>
        <w:t>会议记录</w:t>
      </w:r>
      <w:r>
        <w:rPr>
          <w:rFonts w:hint="eastAsia" w:ascii="仿宋" w:hAnsi="仿宋" w:eastAsia="仿宋"/>
          <w:color w:val="000000"/>
          <w:sz w:val="32"/>
          <w:szCs w:val="32"/>
        </w:rPr>
        <w:t>、会议纪要撰写。负责县委、县委办公室文件的初核、送审、校对、印制、分发、归档等工作。</w:t>
      </w:r>
    </w:p>
    <w:p w14:paraId="1F8BF870">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3.信息股。负责全县信息收集、整理、编辑、上报工作。承办省委办公厅、州委办公室和县委</w:t>
      </w:r>
      <w:r>
        <w:rPr>
          <w:rFonts w:hint="eastAsia" w:ascii="仿宋" w:hAnsi="仿宋" w:eastAsia="仿宋"/>
          <w:color w:val="000000"/>
          <w:sz w:val="32"/>
          <w:szCs w:val="32"/>
          <w:lang w:eastAsia="zh-CN"/>
        </w:rPr>
        <w:t>交办的有关</w:t>
      </w:r>
      <w:r>
        <w:rPr>
          <w:rFonts w:hint="eastAsia" w:ascii="仿宋" w:hAnsi="仿宋" w:eastAsia="仿宋"/>
          <w:color w:val="000000"/>
          <w:sz w:val="32"/>
          <w:szCs w:val="32"/>
        </w:rPr>
        <w:t>信息工作。</w:t>
      </w:r>
    </w:p>
    <w:p w14:paraId="027F2F16">
      <w:pPr>
        <w:spacing w:line="560" w:lineRule="exact"/>
        <w:rPr>
          <w:rFonts w:ascii="仿宋" w:hAnsi="仿宋" w:eastAsia="仿宋"/>
          <w:color w:val="000000"/>
          <w:sz w:val="32"/>
          <w:szCs w:val="32"/>
        </w:rPr>
      </w:pPr>
      <w:r>
        <w:rPr>
          <w:rFonts w:hint="eastAsia" w:ascii="仿宋" w:hAnsi="仿宋" w:eastAsia="仿宋"/>
          <w:color w:val="000000"/>
          <w:sz w:val="32"/>
          <w:szCs w:val="32"/>
        </w:rPr>
        <w:t>负责向州委办公室和县委及时报送紧急突发事件信息和影响稳定的预警性、行动性信息，完成约稿信息报送工作。负责对全县各乡镇、各部门党委信息工作进行业务指导和督促检查。完成县委和县委办公室领导交办的其他工作。</w:t>
      </w:r>
    </w:p>
    <w:p w14:paraId="481E74D8">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4.机要保密股。贯彻执行党和国家有关保密和机要密码工作的方针、政策、</w:t>
      </w:r>
      <w:r>
        <w:rPr>
          <w:rFonts w:hint="eastAsia" w:ascii="仿宋" w:hAnsi="仿宋" w:eastAsia="仿宋"/>
          <w:color w:val="000000"/>
          <w:sz w:val="32"/>
          <w:szCs w:val="32"/>
          <w:lang w:eastAsia="zh-CN"/>
        </w:rPr>
        <w:t>法律法规</w:t>
      </w:r>
      <w:r>
        <w:rPr>
          <w:rFonts w:hint="eastAsia" w:ascii="仿宋" w:hAnsi="仿宋" w:eastAsia="仿宋"/>
          <w:color w:val="000000"/>
          <w:sz w:val="32"/>
          <w:szCs w:val="32"/>
        </w:rPr>
        <w:t>，落实上级关于保密及机要密码工作的指示、决定和部署，承担县委保密委员会、县委密码工作领导小组日常事务。制定全县保密和机要密码工作计划并组织实施。建立健全各项保密和机要密码规章制度，依法履行保密和机要密码管理职能。组织对党政要害部门与重点部位环境和办公设施开展保密检查，指导保密和机要密码工作宣传教育、政策调研、理论探讨、干部及涉密人员培训工作。组织、指导、督促、参与泄密事件的查处工作，协调有关部门对泄密事件采取补救措施。负责全县密码装备的使用和管理。</w:t>
      </w:r>
    </w:p>
    <w:p w14:paraId="12B45D53">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5.县委督查室。统筹协调全县性年度督查检查活动计划安排。负责中央、省委、州委、县委重大决策和重要工作部署贯彻落实情况的督促检查。负责中央、省委、州委领导有关批示和县委领导同志批示及交办事项的归口办理和督办落实。负责县委领导同志考察调研时有关指示精神的督办落实。负责中央、省委、州委巡视反馈意见整改落实的协调督查。完成县委和县委办公室领导交办的其他工作。</w:t>
      </w:r>
    </w:p>
    <w:p w14:paraId="50F78509">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6.人事行政股。负责县委办公室财务、固定资产、公务用车管理、公务接待、设备购置、物资采购、基本建设以及其他行政后勤保障工作。负责县委办公室机构设置和人员编制。负责干部职工的考核工资、教育培训、社会保险、住房公积金申报稽核缴费报销、体检工作。负责人事、工资档案的管理和职工技术职称的评定工作。负责离退休人员的管理服务、后勤事务管理工作。负责行政经费预算决算、财务收支审核报批、财务结算、财务会计工作年检工作。完成县委办公室领导交办的其他工作。</w:t>
      </w:r>
    </w:p>
    <w:p w14:paraId="0CBF8540">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7.机关党委。负责机关和所属事业单位的党的建设、群团工作和意识形态工作，机关党委办事机构按照县委规定设置。</w:t>
      </w:r>
    </w:p>
    <w:p w14:paraId="0087C511">
      <w:pPr>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（二）下属机构</w:t>
      </w:r>
    </w:p>
    <w:p w14:paraId="7A072146">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成立松潘县党政网络管理中心，为县委办公室直属事业单位，核事业编制14名，配领导职数3名。</w:t>
      </w:r>
    </w:p>
    <w:p w14:paraId="66BB3E7C">
      <w:pPr>
        <w:pStyle w:val="8"/>
        <w:adjustRightInd w:val="0"/>
        <w:snapToGrid w:val="0"/>
        <w:spacing w:before="93" w:line="600" w:lineRule="exact"/>
        <w:rPr>
          <w:rFonts w:ascii="仿宋" w:hAnsi="仿宋" w:eastAsia="仿宋"/>
          <w:color w:val="000000"/>
          <w:sz w:val="32"/>
          <w:szCs w:val="32"/>
        </w:rPr>
      </w:pPr>
    </w:p>
    <w:p w14:paraId="21C5AFE9">
      <w:pPr>
        <w:widowControl/>
        <w:jc w:val="left"/>
        <w:rPr>
          <w:rFonts w:ascii="仿宋" w:hAnsi="仿宋" w:eastAsia="仿宋"/>
          <w:color w:val="000000"/>
          <w:kern w:val="0"/>
          <w:sz w:val="32"/>
          <w:szCs w:val="32"/>
        </w:rPr>
      </w:pPr>
      <w:r>
        <w:rPr>
          <w:rFonts w:ascii="仿宋" w:hAnsi="仿宋" w:eastAsia="仿宋"/>
          <w:color w:val="000000"/>
          <w:sz w:val="32"/>
          <w:szCs w:val="32"/>
        </w:rPr>
        <w:br w:type="page"/>
      </w:r>
    </w:p>
    <w:p w14:paraId="54CF8A4B">
      <w:pPr>
        <w:pStyle w:val="4"/>
        <w:ind w:right="440"/>
        <w:jc w:val="right"/>
      </w:pPr>
      <w:bookmarkStart w:id="37" w:name="_Toc15396602"/>
      <w:bookmarkStart w:id="38" w:name="_Toc79163859"/>
      <w:bookmarkStart w:id="39" w:name="_Toc15377204"/>
      <w:bookmarkStart w:id="40" w:name="_Toc22754"/>
      <w:bookmarkStart w:id="41" w:name="_Toc79163609"/>
      <w:r>
        <w:rPr>
          <w:rFonts w:hint="eastAsia" w:ascii="黑体" w:hAnsi="黑体" w:eastAsia="黑体"/>
          <w:b w:val="0"/>
          <w:color w:val="000000"/>
        </w:rPr>
        <w:t>第二部分</w:t>
      </w:r>
      <w:r>
        <w:rPr>
          <w:rStyle w:val="25"/>
          <w:rFonts w:ascii="黑体" w:hAnsi="黑体" w:eastAsia="黑体"/>
          <w:b w:val="0"/>
          <w:bCs w:val="0"/>
        </w:rPr>
        <w:t>202</w:t>
      </w:r>
      <w:r>
        <w:rPr>
          <w:rStyle w:val="25"/>
          <w:rFonts w:hint="eastAsia" w:ascii="黑体" w:hAnsi="黑体" w:eastAsia="黑体"/>
          <w:b w:val="0"/>
          <w:bCs w:val="0"/>
        </w:rPr>
        <w:t>1年度部门决算情况说明</w:t>
      </w:r>
      <w:bookmarkEnd w:id="37"/>
      <w:bookmarkEnd w:id="38"/>
      <w:bookmarkEnd w:id="39"/>
      <w:bookmarkEnd w:id="40"/>
      <w:bookmarkEnd w:id="41"/>
    </w:p>
    <w:p w14:paraId="1C801357">
      <w:pPr>
        <w:pStyle w:val="36"/>
        <w:numPr>
          <w:ilvl w:val="0"/>
          <w:numId w:val="3"/>
        </w:numPr>
        <w:spacing w:line="600" w:lineRule="exact"/>
        <w:ind w:firstLineChars="0"/>
        <w:outlineLvl w:val="1"/>
        <w:rPr>
          <w:rStyle w:val="26"/>
          <w:rFonts w:ascii="黑体" w:hAnsi="黑体" w:eastAsia="黑体"/>
          <w:b w:val="0"/>
        </w:rPr>
      </w:pPr>
      <w:bookmarkStart w:id="42" w:name="_Toc79163860"/>
      <w:bookmarkStart w:id="43" w:name="_Toc15396603"/>
      <w:bookmarkStart w:id="44" w:name="_Toc15377205"/>
      <w:bookmarkStart w:id="45" w:name="_Toc22146"/>
      <w:bookmarkStart w:id="46" w:name="_Toc79163610"/>
      <w:r>
        <w:rPr>
          <w:rFonts w:hint="eastAsia" w:ascii="黑体" w:hAnsi="黑体" w:eastAsia="黑体"/>
          <w:color w:val="000000"/>
          <w:sz w:val="32"/>
          <w:szCs w:val="32"/>
        </w:rPr>
        <w:t>收</w:t>
      </w:r>
      <w:r>
        <w:rPr>
          <w:rStyle w:val="26"/>
          <w:rFonts w:hint="eastAsia" w:ascii="黑体" w:hAnsi="黑体" w:eastAsia="黑体"/>
          <w:b w:val="0"/>
        </w:rPr>
        <w:t>入支出决算总体情况说明</w:t>
      </w:r>
      <w:bookmarkEnd w:id="42"/>
      <w:bookmarkEnd w:id="43"/>
      <w:bookmarkEnd w:id="44"/>
      <w:bookmarkEnd w:id="45"/>
      <w:bookmarkEnd w:id="46"/>
    </w:p>
    <w:p w14:paraId="5CB7C40D">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2021年度中共松潘县委办公室本年收入、支出各合计1773.08万元，与2020年总收入1460.32万元相比，增加312.76万元，增长21.41%。总支出1415.23万元相比，增加357.85万元，增长25.28%。主要原因是县级换届工作，人员经费增加，购置公务用车，2021年度安全可靠替代工程建设，保障国家安全工作，党代会务工作，购置涉M会议室设备，</w:t>
      </w:r>
      <w:r>
        <w:rPr>
          <w:rFonts w:ascii="仿宋" w:hAnsi="仿宋" w:eastAsia="仿宋"/>
          <w:color w:val="000000"/>
          <w:sz w:val="32"/>
          <w:szCs w:val="32"/>
        </w:rPr>
        <w:t>主办第</w:t>
      </w:r>
      <w:r>
        <w:rPr>
          <w:rFonts w:hint="eastAsia" w:ascii="仿宋" w:hAnsi="仿宋" w:eastAsia="仿宋"/>
          <w:color w:val="000000"/>
          <w:sz w:val="32"/>
          <w:szCs w:val="32"/>
        </w:rPr>
        <w:t>四</w:t>
      </w:r>
      <w:r>
        <w:rPr>
          <w:rFonts w:ascii="仿宋" w:hAnsi="仿宋" w:eastAsia="仿宋"/>
          <w:color w:val="000000"/>
          <w:sz w:val="32"/>
          <w:szCs w:val="32"/>
        </w:rPr>
        <w:t>届古城花灯会</w:t>
      </w:r>
      <w:r>
        <w:rPr>
          <w:rFonts w:hint="eastAsia" w:ascii="仿宋" w:hAnsi="仿宋" w:eastAsia="仿宋"/>
          <w:color w:val="000000"/>
          <w:sz w:val="32"/>
          <w:szCs w:val="32"/>
        </w:rPr>
        <w:t>、政策宣讲等工作等。</w:t>
      </w:r>
    </w:p>
    <w:p w14:paraId="2A42756B">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1</w:t>
      </w:r>
      <w:r>
        <w:rPr>
          <w:rFonts w:hint="eastAsia" w:ascii="仿宋" w:hAnsi="仿宋" w:eastAsia="仿宋"/>
          <w:color w:val="000000"/>
          <w:sz w:val="32"/>
          <w:szCs w:val="32"/>
        </w:rPr>
        <w:t>：收、支决算总计变动情况图）（柱状图）</w:t>
      </w:r>
    </w:p>
    <w:p w14:paraId="024CDF47">
      <w:pPr>
        <w:spacing w:line="600" w:lineRule="exact"/>
        <w:ind w:firstLine="640" w:firstLineChars="200"/>
        <w:jc w:val="left"/>
        <w:rPr>
          <w:rFonts w:ascii="仿宋_GB2312" w:eastAsia="仿宋_GB2312"/>
          <w:color w:val="000000"/>
          <w:sz w:val="32"/>
          <w:szCs w:val="32"/>
        </w:rPr>
      </w:pPr>
      <w:r>
        <w:rPr>
          <w:rFonts w:hint="eastAsia" w:ascii="仿宋" w:hAnsi="仿宋" w:eastAsia="仿宋"/>
          <w:color w:val="000000"/>
          <w:sz w:val="32"/>
          <w:szCs w:val="32"/>
        </w:rPr>
        <w:drawing>
          <wp:anchor distT="0" distB="0" distL="114300" distR="114300" simplePos="0" relativeHeight="251659264" behindDoc="0" locked="0" layoutInCell="1" allowOverlap="1">
            <wp:simplePos x="0" y="0"/>
            <wp:positionH relativeFrom="column">
              <wp:posOffset>785495</wp:posOffset>
            </wp:positionH>
            <wp:positionV relativeFrom="paragraph">
              <wp:posOffset>79375</wp:posOffset>
            </wp:positionV>
            <wp:extent cx="3580765" cy="2316480"/>
            <wp:effectExtent l="4445" t="4445" r="15240" b="22225"/>
            <wp:wrapSquare wrapText="bothSides"/>
            <wp:docPr id="1" name="图表 1" descr="7b0a202020202263686172745265734964223a202231373432343030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7BDB9F9C">
      <w:pPr>
        <w:pStyle w:val="36"/>
        <w:numPr>
          <w:ilvl w:val="0"/>
          <w:numId w:val="3"/>
        </w:numPr>
        <w:spacing w:line="600" w:lineRule="exact"/>
        <w:ind w:firstLineChars="0"/>
        <w:outlineLvl w:val="1"/>
        <w:rPr>
          <w:rStyle w:val="26"/>
          <w:rFonts w:ascii="黑体" w:hAnsi="黑体" w:eastAsia="黑体"/>
          <w:b w:val="0"/>
        </w:rPr>
      </w:pPr>
      <w:bookmarkStart w:id="47" w:name="_Toc15377206"/>
      <w:bookmarkStart w:id="48" w:name="_Toc79163861"/>
      <w:bookmarkStart w:id="49" w:name="_Toc79163611"/>
      <w:bookmarkStart w:id="50" w:name="_Toc15396604"/>
      <w:bookmarkStart w:id="51" w:name="_Toc18104"/>
      <w:r>
        <w:rPr>
          <w:rFonts w:hint="eastAsia" w:ascii="黑体" w:hAnsi="黑体" w:eastAsia="黑体"/>
          <w:color w:val="000000"/>
          <w:sz w:val="32"/>
          <w:szCs w:val="32"/>
        </w:rPr>
        <w:t>收</w:t>
      </w:r>
      <w:r>
        <w:rPr>
          <w:rStyle w:val="26"/>
          <w:rFonts w:hint="eastAsia" w:ascii="黑体" w:hAnsi="黑体" w:eastAsia="黑体"/>
          <w:b w:val="0"/>
        </w:rPr>
        <w:t>入决算情况说明</w:t>
      </w:r>
      <w:bookmarkEnd w:id="47"/>
      <w:bookmarkEnd w:id="48"/>
      <w:bookmarkEnd w:id="49"/>
      <w:bookmarkEnd w:id="50"/>
      <w:bookmarkEnd w:id="51"/>
    </w:p>
    <w:p w14:paraId="6A2DB7E3">
      <w:pPr>
        <w:spacing w:line="600" w:lineRule="exact"/>
        <w:ind w:firstLine="640" w:firstLineChars="200"/>
        <w:rPr>
          <w:rFonts w:ascii="仿宋_GB2312" w:eastAsia="仿宋_GB2312"/>
          <w:color w:val="FF0000"/>
          <w:sz w:val="32"/>
          <w:szCs w:val="32"/>
        </w:rPr>
      </w:pPr>
      <w:r>
        <w:rPr>
          <w:rFonts w:ascii="仿宋" w:hAnsi="仿宋" w:eastAsia="仿宋"/>
          <w:color w:val="000000"/>
          <w:sz w:val="32"/>
          <w:szCs w:val="32"/>
        </w:rPr>
        <w:t>202</w:t>
      </w:r>
      <w:r>
        <w:rPr>
          <w:rFonts w:hint="eastAsia" w:ascii="仿宋" w:hAnsi="仿宋" w:eastAsia="仿宋"/>
          <w:color w:val="000000"/>
          <w:sz w:val="32"/>
          <w:szCs w:val="32"/>
        </w:rPr>
        <w:t>1年本年收入合计1773.08万元，其中：一般公共预算财政拨款收入1738.5</w:t>
      </w:r>
      <w:r>
        <w:rPr>
          <w:rFonts w:ascii="仿宋" w:hAnsi="仿宋" w:eastAsia="仿宋"/>
          <w:color w:val="000000"/>
          <w:sz w:val="32"/>
          <w:szCs w:val="32"/>
        </w:rPr>
        <w:t>1</w:t>
      </w:r>
      <w:r>
        <w:rPr>
          <w:rFonts w:hint="eastAsia" w:ascii="仿宋" w:hAnsi="仿宋" w:eastAsia="仿宋"/>
          <w:color w:val="000000"/>
          <w:sz w:val="32"/>
          <w:szCs w:val="32"/>
        </w:rPr>
        <w:t>万元，占98.04</w:t>
      </w:r>
      <w:r>
        <w:rPr>
          <w:rFonts w:ascii="仿宋" w:hAnsi="仿宋" w:eastAsia="仿宋"/>
          <w:color w:val="000000"/>
          <w:sz w:val="32"/>
          <w:szCs w:val="32"/>
        </w:rPr>
        <w:t>%</w:t>
      </w:r>
      <w:r>
        <w:rPr>
          <w:rFonts w:hint="eastAsia" w:ascii="仿宋" w:hAnsi="仿宋" w:eastAsia="仿宋"/>
          <w:color w:val="000000"/>
          <w:sz w:val="32"/>
          <w:szCs w:val="32"/>
        </w:rPr>
        <w:t>；政府性基金预算财政拨款收入0万元，占0</w:t>
      </w:r>
      <w:r>
        <w:rPr>
          <w:rFonts w:ascii="仿宋" w:hAnsi="仿宋" w:eastAsia="仿宋"/>
          <w:color w:val="000000"/>
          <w:sz w:val="32"/>
          <w:szCs w:val="32"/>
        </w:rPr>
        <w:t>%</w:t>
      </w:r>
      <w:r>
        <w:rPr>
          <w:rFonts w:hint="eastAsia" w:ascii="仿宋" w:hAnsi="仿宋" w:eastAsia="仿宋"/>
          <w:color w:val="000000"/>
          <w:sz w:val="32"/>
          <w:szCs w:val="32"/>
        </w:rPr>
        <w:t>；上级补助收入0万元，占0</w:t>
      </w:r>
      <w:r>
        <w:rPr>
          <w:rFonts w:ascii="仿宋" w:hAnsi="仿宋" w:eastAsia="仿宋"/>
          <w:color w:val="000000"/>
          <w:sz w:val="32"/>
          <w:szCs w:val="32"/>
        </w:rPr>
        <w:t>%</w:t>
      </w:r>
      <w:r>
        <w:rPr>
          <w:rFonts w:hint="eastAsia" w:ascii="仿宋" w:hAnsi="仿宋" w:eastAsia="仿宋"/>
          <w:color w:val="000000"/>
          <w:sz w:val="32"/>
          <w:szCs w:val="32"/>
        </w:rPr>
        <w:t>；事业收入0万元，占0</w:t>
      </w:r>
      <w:r>
        <w:rPr>
          <w:rFonts w:ascii="仿宋" w:hAnsi="仿宋" w:eastAsia="仿宋"/>
          <w:color w:val="000000"/>
          <w:sz w:val="32"/>
          <w:szCs w:val="32"/>
        </w:rPr>
        <w:t>%</w:t>
      </w:r>
      <w:r>
        <w:rPr>
          <w:rFonts w:hint="eastAsia" w:ascii="仿宋" w:hAnsi="仿宋" w:eastAsia="仿宋"/>
          <w:color w:val="000000"/>
          <w:sz w:val="32"/>
          <w:szCs w:val="32"/>
        </w:rPr>
        <w:t>；经营收入0万元，占0</w:t>
      </w:r>
      <w:r>
        <w:rPr>
          <w:rFonts w:ascii="仿宋" w:hAnsi="仿宋" w:eastAsia="仿宋"/>
          <w:color w:val="000000"/>
          <w:sz w:val="32"/>
          <w:szCs w:val="32"/>
        </w:rPr>
        <w:t>%</w:t>
      </w:r>
      <w:r>
        <w:rPr>
          <w:rFonts w:hint="eastAsia" w:ascii="仿宋" w:hAnsi="仿宋" w:eastAsia="仿宋"/>
          <w:color w:val="000000"/>
          <w:sz w:val="32"/>
          <w:szCs w:val="32"/>
        </w:rPr>
        <w:t>；附属单位上缴收入0万元，占0</w:t>
      </w:r>
      <w:r>
        <w:rPr>
          <w:rFonts w:ascii="仿宋" w:hAnsi="仿宋" w:eastAsia="仿宋"/>
          <w:color w:val="000000"/>
          <w:sz w:val="32"/>
          <w:szCs w:val="32"/>
        </w:rPr>
        <w:t>%</w:t>
      </w:r>
      <w:r>
        <w:rPr>
          <w:rFonts w:hint="eastAsia" w:ascii="仿宋" w:hAnsi="仿宋" w:eastAsia="仿宋"/>
          <w:color w:val="000000"/>
          <w:sz w:val="32"/>
          <w:szCs w:val="32"/>
        </w:rPr>
        <w:t>；其他收入0万元，占0</w:t>
      </w:r>
      <w:r>
        <w:rPr>
          <w:rFonts w:ascii="仿宋" w:hAnsi="仿宋" w:eastAsia="仿宋"/>
          <w:color w:val="000000"/>
          <w:sz w:val="32"/>
          <w:szCs w:val="32"/>
        </w:rPr>
        <w:t>%</w:t>
      </w:r>
      <w:r>
        <w:rPr>
          <w:rFonts w:hint="eastAsia" w:ascii="仿宋" w:hAnsi="仿宋" w:eastAsia="仿宋"/>
          <w:color w:val="000000"/>
          <w:sz w:val="32"/>
          <w:szCs w:val="32"/>
        </w:rPr>
        <w:t>，2020年度中共松潘县办公室财政拨款结余</w:t>
      </w:r>
      <w:r>
        <w:rPr>
          <w:rFonts w:ascii="仿宋" w:hAnsi="仿宋" w:eastAsia="仿宋"/>
          <w:color w:val="000000"/>
          <w:sz w:val="32"/>
          <w:szCs w:val="32"/>
        </w:rPr>
        <w:t>34.57</w:t>
      </w:r>
      <w:r>
        <w:rPr>
          <w:rFonts w:hint="eastAsia" w:ascii="仿宋" w:hAnsi="仿宋" w:eastAsia="仿宋"/>
          <w:color w:val="000000"/>
          <w:sz w:val="32"/>
          <w:szCs w:val="32"/>
        </w:rPr>
        <w:t>万元，占</w:t>
      </w:r>
      <w:r>
        <w:rPr>
          <w:rFonts w:ascii="仿宋" w:hAnsi="仿宋" w:eastAsia="仿宋"/>
          <w:color w:val="000000"/>
          <w:sz w:val="32"/>
          <w:szCs w:val="32"/>
        </w:rPr>
        <w:t>1.96</w:t>
      </w:r>
      <w:r>
        <w:rPr>
          <w:rFonts w:hint="eastAsia" w:ascii="仿宋" w:hAnsi="仿宋" w:eastAsia="仿宋"/>
          <w:color w:val="000000"/>
          <w:sz w:val="32"/>
          <w:szCs w:val="32"/>
        </w:rPr>
        <w:t>%。</w:t>
      </w:r>
    </w:p>
    <w:p w14:paraId="49C65308">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2</w:t>
      </w:r>
      <w:r>
        <w:rPr>
          <w:rFonts w:hint="eastAsia" w:ascii="仿宋" w:hAnsi="仿宋" w:eastAsia="仿宋"/>
          <w:color w:val="000000"/>
          <w:sz w:val="32"/>
          <w:szCs w:val="32"/>
        </w:rPr>
        <w:t>：收入决算结构图）（饼状图）</w:t>
      </w:r>
    </w:p>
    <w:p w14:paraId="0DB2DB2C">
      <w:pPr>
        <w:spacing w:line="600" w:lineRule="exact"/>
        <w:ind w:firstLine="640" w:firstLineChars="200"/>
        <w:rPr>
          <w:rFonts w:ascii="仿宋_GB2312" w:eastAsia="仿宋_GB2312"/>
          <w:color w:val="FF0000"/>
          <w:sz w:val="32"/>
          <w:szCs w:val="32"/>
        </w:rPr>
      </w:pPr>
      <w:r>
        <w:rPr>
          <w:rFonts w:hint="eastAsia" w:ascii="仿宋_GB2312" w:eastAsia="仿宋_GB2312"/>
          <w:color w:val="FF0000"/>
          <w:sz w:val="32"/>
          <w:szCs w:val="32"/>
        </w:rPr>
        <w:drawing>
          <wp:anchor distT="0" distB="0" distL="114300" distR="114300" simplePos="0" relativeHeight="251660288" behindDoc="0" locked="0" layoutInCell="1" allowOverlap="1">
            <wp:simplePos x="0" y="0"/>
            <wp:positionH relativeFrom="column">
              <wp:posOffset>392430</wp:posOffset>
            </wp:positionH>
            <wp:positionV relativeFrom="paragraph">
              <wp:posOffset>149860</wp:posOffset>
            </wp:positionV>
            <wp:extent cx="4267835" cy="2477135"/>
            <wp:effectExtent l="0" t="0" r="18415" b="18415"/>
            <wp:wrapSquare wrapText="bothSides"/>
            <wp:docPr id="3" name="图表 3" descr="7b0a202020202263686172745265734964223a202232303437333031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6F95440A">
      <w:pPr>
        <w:pStyle w:val="36"/>
        <w:numPr>
          <w:ilvl w:val="0"/>
          <w:numId w:val="3"/>
        </w:numPr>
        <w:spacing w:line="600" w:lineRule="exact"/>
        <w:ind w:firstLineChars="0"/>
        <w:outlineLvl w:val="1"/>
        <w:rPr>
          <w:rStyle w:val="26"/>
          <w:rFonts w:ascii="黑体" w:hAnsi="黑体" w:eastAsia="黑体"/>
          <w:b w:val="0"/>
        </w:rPr>
      </w:pPr>
      <w:bookmarkStart w:id="52" w:name="_Toc15396605"/>
      <w:bookmarkStart w:id="53" w:name="_Toc10822"/>
      <w:bookmarkStart w:id="54" w:name="_Toc15377207"/>
      <w:bookmarkStart w:id="55" w:name="_Toc79163862"/>
      <w:bookmarkStart w:id="56" w:name="_Toc79163612"/>
      <w:r>
        <w:rPr>
          <w:rFonts w:hint="eastAsia" w:ascii="黑体" w:hAnsi="黑体" w:eastAsia="黑体"/>
          <w:color w:val="000000"/>
          <w:sz w:val="32"/>
          <w:szCs w:val="32"/>
        </w:rPr>
        <w:t>支</w:t>
      </w:r>
      <w:r>
        <w:rPr>
          <w:rStyle w:val="26"/>
          <w:rFonts w:hint="eastAsia" w:ascii="黑体" w:hAnsi="黑体" w:eastAsia="黑体"/>
          <w:b w:val="0"/>
        </w:rPr>
        <w:t>出决算情况说明</w:t>
      </w:r>
      <w:bookmarkEnd w:id="52"/>
      <w:bookmarkEnd w:id="53"/>
      <w:bookmarkEnd w:id="54"/>
      <w:bookmarkEnd w:id="55"/>
      <w:bookmarkEnd w:id="56"/>
    </w:p>
    <w:p w14:paraId="63F60599">
      <w:pPr>
        <w:spacing w:line="560" w:lineRule="exact"/>
        <w:ind w:firstLine="640" w:firstLineChars="200"/>
        <w:rPr>
          <w:rFonts w:ascii="仿宋_GB2312" w:eastAsia="仿宋_GB2312"/>
          <w:sz w:val="32"/>
          <w:szCs w:val="32"/>
        </w:rPr>
      </w:pPr>
      <w:r>
        <w:rPr>
          <w:rFonts w:ascii="仿宋_GB2312" w:eastAsia="仿宋_GB2312"/>
          <w:sz w:val="32"/>
          <w:szCs w:val="32"/>
        </w:rPr>
        <w:t>202</w:t>
      </w:r>
      <w:r>
        <w:rPr>
          <w:rFonts w:hint="eastAsia" w:ascii="仿宋_GB2312" w:eastAsia="仿宋_GB2312"/>
          <w:sz w:val="32"/>
          <w:szCs w:val="32"/>
        </w:rPr>
        <w:t>1年本年支出合计1773.08万元，</w:t>
      </w:r>
      <w:r>
        <w:rPr>
          <w:rFonts w:hint="eastAsia" w:ascii="仿宋_GB2312" w:eastAsia="仿宋_GB2312"/>
          <w:sz w:val="32"/>
          <w:szCs w:val="32"/>
          <w:lang w:eastAsia="zh-CN"/>
        </w:rPr>
        <w:t>其</w:t>
      </w:r>
      <w:r>
        <w:rPr>
          <w:rFonts w:hint="eastAsia" w:ascii="仿宋" w:hAnsi="仿宋" w:eastAsia="仿宋"/>
          <w:color w:val="000000"/>
          <w:sz w:val="32"/>
          <w:szCs w:val="32"/>
        </w:rPr>
        <w:t>中：本年财政拨款支出1738.5万元，基本支出1406.72万元，占80.9%；项目支出331.78万元，占17.14%。财政拨款结转结余支出34.57万元，占1.96%，</w:t>
      </w:r>
      <w:r>
        <w:rPr>
          <w:rFonts w:hint="eastAsia" w:ascii="仿宋_GB2312" w:eastAsia="仿宋_GB2312"/>
          <w:sz w:val="32"/>
          <w:szCs w:val="32"/>
        </w:rPr>
        <w:t>上缴上级支出0万元，占0</w:t>
      </w:r>
      <w:r>
        <w:rPr>
          <w:rFonts w:ascii="仿宋_GB2312" w:eastAsia="仿宋_GB2312"/>
          <w:sz w:val="32"/>
          <w:szCs w:val="32"/>
        </w:rPr>
        <w:t>%</w:t>
      </w:r>
      <w:r>
        <w:rPr>
          <w:rFonts w:hint="eastAsia" w:ascii="仿宋_GB2312" w:eastAsia="仿宋_GB2312"/>
          <w:sz w:val="32"/>
          <w:szCs w:val="32"/>
        </w:rPr>
        <w:t>；经营支出0万元，占0</w:t>
      </w:r>
      <w:r>
        <w:rPr>
          <w:rFonts w:ascii="仿宋_GB2312" w:eastAsia="仿宋_GB2312"/>
          <w:sz w:val="32"/>
          <w:szCs w:val="32"/>
        </w:rPr>
        <w:t>%</w:t>
      </w:r>
      <w:r>
        <w:rPr>
          <w:rFonts w:hint="eastAsia" w:ascii="仿宋_GB2312" w:eastAsia="仿宋_GB2312"/>
          <w:sz w:val="32"/>
          <w:szCs w:val="32"/>
        </w:rPr>
        <w:t>；对附属单位补助支出0万元，占0</w:t>
      </w:r>
      <w:r>
        <w:rPr>
          <w:rFonts w:ascii="仿宋_GB2312" w:eastAsia="仿宋_GB2312"/>
          <w:sz w:val="32"/>
          <w:szCs w:val="32"/>
        </w:rPr>
        <w:t>%</w:t>
      </w:r>
      <w:r>
        <w:rPr>
          <w:rFonts w:hint="eastAsia" w:ascii="仿宋_GB2312" w:eastAsia="仿宋_GB2312"/>
          <w:sz w:val="32"/>
          <w:szCs w:val="32"/>
        </w:rPr>
        <w:t>。</w:t>
      </w:r>
    </w:p>
    <w:p w14:paraId="47CDEBA1">
      <w:pPr>
        <w:spacing w:line="600" w:lineRule="exact"/>
        <w:ind w:firstLine="640" w:firstLineChars="200"/>
        <w:rPr>
          <w:rFonts w:ascii="仿宋_GB2312" w:eastAsia="仿宋_GB2312"/>
          <w:color w:val="FF0000"/>
          <w:sz w:val="32"/>
          <w:szCs w:val="32"/>
        </w:rPr>
      </w:pPr>
      <w:r>
        <w:rPr>
          <w:rFonts w:hint="eastAsia" w:ascii="仿宋" w:hAnsi="仿宋" w:eastAsia="仿宋"/>
          <w:color w:val="000000"/>
          <w:sz w:val="32"/>
          <w:szCs w:val="32"/>
        </w:rPr>
        <w:drawing>
          <wp:anchor distT="0" distB="0" distL="114300" distR="114300" simplePos="0" relativeHeight="251661312" behindDoc="0" locked="0" layoutInCell="1" allowOverlap="1">
            <wp:simplePos x="0" y="0"/>
            <wp:positionH relativeFrom="column">
              <wp:posOffset>488950</wp:posOffset>
            </wp:positionH>
            <wp:positionV relativeFrom="paragraph">
              <wp:posOffset>601980</wp:posOffset>
            </wp:positionV>
            <wp:extent cx="4309110" cy="2486025"/>
            <wp:effectExtent l="4445" t="4445" r="10795" b="5080"/>
            <wp:wrapSquare wrapText="bothSides"/>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 w:hAnsi="仿宋" w:eastAsia="仿宋"/>
          <w:color w:val="000000"/>
          <w:sz w:val="32"/>
          <w:szCs w:val="32"/>
        </w:rPr>
        <w:t>（图</w:t>
      </w:r>
      <w:r>
        <w:rPr>
          <w:rFonts w:ascii="仿宋" w:hAnsi="仿宋" w:eastAsia="仿宋"/>
          <w:color w:val="000000"/>
          <w:sz w:val="32"/>
          <w:szCs w:val="32"/>
        </w:rPr>
        <w:t>3</w:t>
      </w:r>
      <w:r>
        <w:rPr>
          <w:rFonts w:hint="eastAsia" w:ascii="仿宋" w:hAnsi="仿宋" w:eastAsia="仿宋"/>
          <w:color w:val="000000"/>
          <w:sz w:val="32"/>
          <w:szCs w:val="32"/>
        </w:rPr>
        <w:t>：支出决算结构图）（饼状图）</w:t>
      </w:r>
    </w:p>
    <w:p w14:paraId="02CBB7A1">
      <w:pPr>
        <w:spacing w:line="600" w:lineRule="exact"/>
        <w:ind w:firstLine="640" w:firstLineChars="200"/>
        <w:outlineLvl w:val="1"/>
        <w:rPr>
          <w:rStyle w:val="26"/>
          <w:rFonts w:ascii="黑体" w:hAnsi="黑体" w:eastAsia="黑体"/>
          <w:b w:val="0"/>
        </w:rPr>
      </w:pPr>
      <w:bookmarkStart w:id="57" w:name="_Toc21689"/>
      <w:bookmarkStart w:id="58" w:name="_Toc79163863"/>
      <w:bookmarkStart w:id="59" w:name="_Toc15396606"/>
      <w:bookmarkStart w:id="60" w:name="_Toc15377208"/>
      <w:bookmarkStart w:id="61" w:name="_Toc79163613"/>
      <w:r>
        <w:rPr>
          <w:rFonts w:hint="eastAsia" w:ascii="黑体" w:hAnsi="黑体" w:eastAsia="黑体"/>
          <w:color w:val="000000"/>
          <w:sz w:val="32"/>
          <w:szCs w:val="32"/>
        </w:rPr>
        <w:t>四、财</w:t>
      </w:r>
      <w:r>
        <w:rPr>
          <w:rStyle w:val="26"/>
          <w:rFonts w:hint="eastAsia" w:ascii="黑体" w:hAnsi="黑体" w:eastAsia="黑体"/>
          <w:b w:val="0"/>
        </w:rPr>
        <w:t>政拨款收入支出决算总体情况说明</w:t>
      </w:r>
      <w:bookmarkEnd w:id="57"/>
      <w:bookmarkEnd w:id="58"/>
      <w:bookmarkEnd w:id="59"/>
      <w:bookmarkEnd w:id="60"/>
      <w:bookmarkEnd w:id="61"/>
    </w:p>
    <w:p w14:paraId="617AA7AF">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202</w:t>
      </w:r>
      <w:r>
        <w:rPr>
          <w:rFonts w:hint="eastAsia" w:ascii="仿宋" w:hAnsi="仿宋" w:eastAsia="仿宋"/>
          <w:color w:val="000000"/>
          <w:sz w:val="32"/>
          <w:szCs w:val="32"/>
        </w:rPr>
        <w:t>1年财政拨款收、支总计</w:t>
      </w:r>
      <w:r>
        <w:rPr>
          <w:rFonts w:hint="eastAsia" w:ascii="仿宋" w:hAnsi="仿宋" w:eastAsia="仿宋"/>
          <w:color w:val="000000"/>
          <w:sz w:val="32"/>
          <w:szCs w:val="32"/>
          <w:lang w:eastAsia="zh-CN"/>
        </w:rPr>
        <w:t>各</w:t>
      </w:r>
      <w:r>
        <w:rPr>
          <w:rFonts w:hint="eastAsia" w:ascii="仿宋" w:hAnsi="仿宋" w:eastAsia="仿宋"/>
          <w:color w:val="000000"/>
          <w:sz w:val="32"/>
          <w:szCs w:val="32"/>
          <w:lang w:val="en-US" w:eastAsia="zh-CN"/>
        </w:rPr>
        <w:t>1773.08</w:t>
      </w:r>
      <w:r>
        <w:rPr>
          <w:rFonts w:hint="eastAsia" w:ascii="仿宋" w:hAnsi="仿宋" w:eastAsia="仿宋"/>
          <w:color w:val="000000"/>
          <w:sz w:val="32"/>
          <w:szCs w:val="32"/>
        </w:rPr>
        <w:t>万元。与2020年总收入1460.32万元相比，增加312.76万元，增长21.41%。总支出1415.23万元相比，增加357.85万元，增长25.28%。主要原因是县级换届工作，人员经费增加，购置公务用车，2021年度安全可靠替代工程建设，保障国家安全工作，党代会务工作，购置涉M会议室设备，</w:t>
      </w:r>
      <w:r>
        <w:rPr>
          <w:rFonts w:ascii="仿宋" w:hAnsi="仿宋" w:eastAsia="仿宋"/>
          <w:color w:val="000000"/>
          <w:sz w:val="32"/>
          <w:szCs w:val="32"/>
        </w:rPr>
        <w:t>主办第</w:t>
      </w:r>
      <w:r>
        <w:rPr>
          <w:rFonts w:hint="eastAsia" w:ascii="仿宋" w:hAnsi="仿宋" w:eastAsia="仿宋"/>
          <w:color w:val="000000"/>
          <w:sz w:val="32"/>
          <w:szCs w:val="32"/>
        </w:rPr>
        <w:t>四</w:t>
      </w:r>
      <w:r>
        <w:rPr>
          <w:rFonts w:ascii="仿宋" w:hAnsi="仿宋" w:eastAsia="仿宋"/>
          <w:color w:val="000000"/>
          <w:sz w:val="32"/>
          <w:szCs w:val="32"/>
        </w:rPr>
        <w:t>届古城花灯会</w:t>
      </w:r>
      <w:r>
        <w:rPr>
          <w:rFonts w:hint="eastAsia" w:ascii="仿宋" w:hAnsi="仿宋" w:eastAsia="仿宋"/>
          <w:color w:val="000000"/>
          <w:sz w:val="32"/>
          <w:szCs w:val="32"/>
        </w:rPr>
        <w:t>、政策宣讲等工作等。</w:t>
      </w:r>
    </w:p>
    <w:p w14:paraId="79ED282B">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4</w:t>
      </w:r>
      <w:r>
        <w:rPr>
          <w:rFonts w:hint="eastAsia" w:ascii="仿宋" w:hAnsi="仿宋" w:eastAsia="仿宋"/>
          <w:color w:val="000000"/>
          <w:sz w:val="32"/>
          <w:szCs w:val="32"/>
        </w:rPr>
        <w:t>：财政拨款收、支决算总计变动情况）（柱状图）</w:t>
      </w:r>
    </w:p>
    <w:p w14:paraId="5ACF7715">
      <w:pPr>
        <w:spacing w:line="600" w:lineRule="exact"/>
        <w:ind w:firstLine="640"/>
        <w:rPr>
          <w:rFonts w:ascii="仿宋" w:hAnsi="仿宋" w:eastAsia="仿宋"/>
          <w:b/>
          <w:color w:val="00B050"/>
          <w:sz w:val="32"/>
          <w:szCs w:val="32"/>
        </w:rPr>
      </w:pPr>
      <w:r>
        <w:rPr>
          <w:rFonts w:hint="eastAsia" w:ascii="仿宋" w:hAnsi="仿宋" w:eastAsia="仿宋"/>
          <w:color w:val="000000"/>
          <w:sz w:val="32"/>
          <w:szCs w:val="32"/>
        </w:rPr>
        <w:drawing>
          <wp:anchor distT="0" distB="0" distL="114300" distR="114300" simplePos="0" relativeHeight="251662336" behindDoc="0" locked="0" layoutInCell="1" allowOverlap="1">
            <wp:simplePos x="0" y="0"/>
            <wp:positionH relativeFrom="column">
              <wp:posOffset>645160</wp:posOffset>
            </wp:positionH>
            <wp:positionV relativeFrom="paragraph">
              <wp:posOffset>215265</wp:posOffset>
            </wp:positionV>
            <wp:extent cx="3580765" cy="2316480"/>
            <wp:effectExtent l="4445" t="4445" r="15240" b="22225"/>
            <wp:wrapSquare wrapText="bothSides"/>
            <wp:docPr id="6" name="图表 6" descr="7b0a202020202263686172745265734964223a202231373432343030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170D0ABC">
      <w:pPr>
        <w:spacing w:line="600" w:lineRule="exact"/>
        <w:ind w:firstLine="640" w:firstLineChars="200"/>
        <w:rPr>
          <w:rFonts w:ascii="黑体" w:hAnsi="黑体" w:eastAsia="黑体"/>
          <w:color w:val="000000"/>
          <w:sz w:val="32"/>
          <w:szCs w:val="32"/>
        </w:rPr>
      </w:pPr>
      <w:bookmarkStart w:id="62" w:name="_Toc15396607"/>
      <w:bookmarkStart w:id="63" w:name="_Toc15377209"/>
      <w:bookmarkStart w:id="64" w:name="_Toc79163864"/>
      <w:bookmarkStart w:id="65" w:name="_Toc79163614"/>
    </w:p>
    <w:p w14:paraId="5AB92804">
      <w:pPr>
        <w:spacing w:line="600" w:lineRule="exact"/>
        <w:ind w:firstLine="640" w:firstLineChars="200"/>
        <w:rPr>
          <w:rFonts w:ascii="黑体" w:hAnsi="黑体" w:eastAsia="黑体"/>
          <w:color w:val="000000"/>
          <w:sz w:val="32"/>
          <w:szCs w:val="32"/>
        </w:rPr>
      </w:pPr>
    </w:p>
    <w:p w14:paraId="6B578F78">
      <w:pPr>
        <w:spacing w:line="600" w:lineRule="exact"/>
        <w:ind w:firstLine="640" w:firstLineChars="200"/>
        <w:rPr>
          <w:rFonts w:ascii="黑体" w:hAnsi="黑体" w:eastAsia="黑体"/>
          <w:color w:val="000000"/>
          <w:sz w:val="32"/>
          <w:szCs w:val="32"/>
        </w:rPr>
      </w:pPr>
    </w:p>
    <w:p w14:paraId="04DAFD70">
      <w:pPr>
        <w:spacing w:line="600" w:lineRule="exact"/>
        <w:ind w:firstLine="640" w:firstLineChars="200"/>
        <w:rPr>
          <w:rFonts w:ascii="黑体" w:hAnsi="黑体" w:eastAsia="黑体"/>
          <w:color w:val="000000"/>
          <w:sz w:val="32"/>
          <w:szCs w:val="32"/>
        </w:rPr>
      </w:pPr>
    </w:p>
    <w:p w14:paraId="4DFDDEA1">
      <w:pPr>
        <w:spacing w:line="600" w:lineRule="exact"/>
        <w:ind w:firstLine="640" w:firstLineChars="200"/>
        <w:rPr>
          <w:rFonts w:ascii="黑体" w:hAnsi="黑体" w:eastAsia="黑体"/>
          <w:color w:val="000000"/>
          <w:sz w:val="32"/>
          <w:szCs w:val="32"/>
        </w:rPr>
      </w:pPr>
    </w:p>
    <w:p w14:paraId="3D924608">
      <w:pPr>
        <w:spacing w:line="600" w:lineRule="exact"/>
        <w:ind w:firstLine="640" w:firstLineChars="200"/>
        <w:rPr>
          <w:rFonts w:ascii="黑体" w:hAnsi="黑体" w:eastAsia="黑体"/>
          <w:color w:val="000000"/>
          <w:sz w:val="32"/>
          <w:szCs w:val="32"/>
        </w:rPr>
      </w:pPr>
    </w:p>
    <w:p w14:paraId="43CD27EE">
      <w:pPr>
        <w:spacing w:line="600" w:lineRule="exact"/>
        <w:ind w:firstLine="640" w:firstLineChars="200"/>
        <w:outlineLvl w:val="1"/>
        <w:rPr>
          <w:rStyle w:val="26"/>
          <w:rFonts w:ascii="黑体" w:hAnsi="黑体" w:eastAsia="黑体"/>
          <w:b w:val="0"/>
        </w:rPr>
      </w:pPr>
      <w:bookmarkStart w:id="66" w:name="_Toc16630"/>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26"/>
          <w:rFonts w:hint="eastAsia" w:ascii="黑体" w:hAnsi="黑体" w:eastAsia="黑体"/>
          <w:b w:val="0"/>
        </w:rPr>
        <w:t>般公共预算财政拨款支出决算情况说明</w:t>
      </w:r>
      <w:bookmarkEnd w:id="62"/>
      <w:bookmarkEnd w:id="63"/>
      <w:bookmarkEnd w:id="64"/>
      <w:bookmarkEnd w:id="65"/>
      <w:bookmarkEnd w:id="66"/>
    </w:p>
    <w:p w14:paraId="4844C4FC">
      <w:pPr>
        <w:spacing w:line="600" w:lineRule="exact"/>
        <w:ind w:firstLine="643" w:firstLineChars="200"/>
        <w:outlineLvl w:val="2"/>
        <w:rPr>
          <w:rFonts w:ascii="仿宋" w:hAnsi="仿宋" w:eastAsia="仿宋"/>
          <w:b/>
          <w:color w:val="000000"/>
          <w:sz w:val="32"/>
          <w:szCs w:val="32"/>
        </w:rPr>
      </w:pPr>
      <w:bookmarkStart w:id="67" w:name="_Toc15377210"/>
      <w:bookmarkStart w:id="68" w:name="_Toc79163865"/>
      <w:bookmarkStart w:id="69" w:name="_Toc79163615"/>
      <w:r>
        <w:rPr>
          <w:rFonts w:hint="eastAsia" w:ascii="仿宋" w:hAnsi="仿宋" w:eastAsia="仿宋"/>
          <w:b/>
          <w:color w:val="000000"/>
          <w:sz w:val="32"/>
          <w:szCs w:val="32"/>
        </w:rPr>
        <w:t>（一）一般公共预算财政拨款支出决算总体情况</w:t>
      </w:r>
      <w:bookmarkEnd w:id="67"/>
      <w:bookmarkEnd w:id="68"/>
      <w:bookmarkEnd w:id="69"/>
    </w:p>
    <w:p w14:paraId="38FE81A3">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202</w:t>
      </w:r>
      <w:r>
        <w:rPr>
          <w:rFonts w:hint="eastAsia" w:ascii="仿宋" w:hAnsi="仿宋" w:eastAsia="仿宋"/>
          <w:color w:val="000000"/>
          <w:sz w:val="32"/>
          <w:szCs w:val="32"/>
        </w:rPr>
        <w:t>1年一般公共预算财政拨款支出</w:t>
      </w:r>
      <w:r>
        <w:rPr>
          <w:rFonts w:hint="eastAsia" w:ascii="仿宋" w:hAnsi="仿宋" w:eastAsia="仿宋"/>
          <w:color w:val="000000"/>
          <w:sz w:val="32"/>
          <w:szCs w:val="32"/>
          <w:lang w:val="en-US" w:eastAsia="zh-CN"/>
        </w:rPr>
        <w:t>1773.08</w:t>
      </w:r>
      <w:r>
        <w:rPr>
          <w:rFonts w:hint="eastAsia" w:ascii="仿宋" w:hAnsi="仿宋" w:eastAsia="仿宋"/>
          <w:color w:val="000000"/>
          <w:sz w:val="32"/>
          <w:szCs w:val="32"/>
        </w:rPr>
        <w:t>万元，占本年支出合计的</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。与</w:t>
      </w:r>
      <w:r>
        <w:rPr>
          <w:rFonts w:ascii="仿宋" w:hAnsi="仿宋" w:eastAsia="仿宋"/>
          <w:color w:val="000000"/>
          <w:sz w:val="32"/>
          <w:szCs w:val="32"/>
        </w:rPr>
        <w:t>20</w:t>
      </w:r>
      <w:r>
        <w:rPr>
          <w:rFonts w:hint="eastAsia" w:ascii="仿宋" w:hAnsi="仿宋" w:eastAsia="仿宋"/>
          <w:color w:val="000000"/>
          <w:sz w:val="32"/>
          <w:szCs w:val="32"/>
        </w:rPr>
        <w:t>20年相比，一般公共预算财政拨款增加373.64万元，增长27.3</w:t>
      </w:r>
      <w:r>
        <w:rPr>
          <w:rFonts w:ascii="仿宋" w:hAnsi="仿宋" w:eastAsia="仿宋"/>
          <w:color w:val="000000"/>
          <w:sz w:val="32"/>
          <w:szCs w:val="32"/>
        </w:rPr>
        <w:t>%</w:t>
      </w:r>
      <w:r>
        <w:rPr>
          <w:rFonts w:hint="eastAsia" w:ascii="仿宋" w:hAnsi="仿宋" w:eastAsia="仿宋"/>
          <w:color w:val="000000"/>
          <w:sz w:val="32"/>
          <w:szCs w:val="32"/>
        </w:rPr>
        <w:t>。主要原因是县级换届工作，人员经费增加，购置公务用车，2021年度安全可靠替代工程建设，保障国家安全工作，党代会务工作，购置涉M会议室设备，</w:t>
      </w:r>
      <w:r>
        <w:rPr>
          <w:rFonts w:ascii="仿宋" w:hAnsi="仿宋" w:eastAsia="仿宋"/>
          <w:color w:val="000000"/>
          <w:sz w:val="32"/>
          <w:szCs w:val="32"/>
        </w:rPr>
        <w:t>主办第</w:t>
      </w:r>
      <w:r>
        <w:rPr>
          <w:rFonts w:hint="eastAsia" w:ascii="仿宋" w:hAnsi="仿宋" w:eastAsia="仿宋"/>
          <w:color w:val="000000"/>
          <w:sz w:val="32"/>
          <w:szCs w:val="32"/>
        </w:rPr>
        <w:t>四</w:t>
      </w:r>
      <w:r>
        <w:rPr>
          <w:rFonts w:ascii="仿宋" w:hAnsi="仿宋" w:eastAsia="仿宋"/>
          <w:color w:val="000000"/>
          <w:sz w:val="32"/>
          <w:szCs w:val="32"/>
        </w:rPr>
        <w:t>届古城花灯会</w:t>
      </w:r>
      <w:r>
        <w:rPr>
          <w:rFonts w:hint="eastAsia" w:ascii="仿宋" w:hAnsi="仿宋" w:eastAsia="仿宋"/>
          <w:color w:val="000000"/>
          <w:sz w:val="32"/>
          <w:szCs w:val="32"/>
        </w:rPr>
        <w:t>、政策宣讲等工作等。</w:t>
      </w:r>
    </w:p>
    <w:p w14:paraId="7427E933">
      <w:pPr>
        <w:spacing w:line="600" w:lineRule="exact"/>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5</w:t>
      </w:r>
      <w:r>
        <w:rPr>
          <w:rFonts w:hint="eastAsia" w:ascii="仿宋" w:hAnsi="仿宋" w:eastAsia="仿宋"/>
          <w:color w:val="000000"/>
          <w:sz w:val="32"/>
          <w:szCs w:val="32"/>
        </w:rPr>
        <w:t>：一般公共预算财政拨款支出决算变动情况）（柱状图）</w:t>
      </w:r>
    </w:p>
    <w:p w14:paraId="1BDE3DCF">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drawing>
          <wp:anchor distT="0" distB="0" distL="114300" distR="114300" simplePos="0" relativeHeight="251663360" behindDoc="0" locked="0" layoutInCell="1" allowOverlap="1">
            <wp:simplePos x="0" y="0"/>
            <wp:positionH relativeFrom="column">
              <wp:posOffset>748665</wp:posOffset>
            </wp:positionH>
            <wp:positionV relativeFrom="paragraph">
              <wp:posOffset>86360</wp:posOffset>
            </wp:positionV>
            <wp:extent cx="3580765" cy="2316480"/>
            <wp:effectExtent l="4445" t="4445" r="15240" b="22225"/>
            <wp:wrapSquare wrapText="bothSides"/>
            <wp:docPr id="7" name="图表 7" descr="7b0a202020202263686172745265734964223a202231373432343030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0CE29149">
      <w:pPr>
        <w:spacing w:line="600" w:lineRule="exact"/>
        <w:ind w:firstLine="643" w:firstLineChars="200"/>
        <w:rPr>
          <w:rFonts w:ascii="仿宋" w:hAnsi="仿宋" w:eastAsia="仿宋"/>
          <w:b/>
          <w:color w:val="000000"/>
          <w:sz w:val="32"/>
          <w:szCs w:val="32"/>
        </w:rPr>
      </w:pPr>
      <w:bookmarkStart w:id="70" w:name="_Toc15377211"/>
      <w:bookmarkStart w:id="71" w:name="_Toc79163616"/>
      <w:bookmarkStart w:id="72" w:name="_Toc79163866"/>
    </w:p>
    <w:p w14:paraId="78329A57">
      <w:pPr>
        <w:spacing w:line="600" w:lineRule="exact"/>
        <w:ind w:firstLine="643" w:firstLineChars="200"/>
        <w:rPr>
          <w:rFonts w:ascii="仿宋" w:hAnsi="仿宋" w:eastAsia="仿宋"/>
          <w:b/>
          <w:color w:val="000000"/>
          <w:sz w:val="32"/>
          <w:szCs w:val="32"/>
        </w:rPr>
      </w:pPr>
    </w:p>
    <w:p w14:paraId="3DC8ED8F">
      <w:pPr>
        <w:spacing w:line="600" w:lineRule="exact"/>
        <w:ind w:firstLine="643" w:firstLineChars="200"/>
        <w:rPr>
          <w:rFonts w:ascii="仿宋" w:hAnsi="仿宋" w:eastAsia="仿宋"/>
          <w:b/>
          <w:color w:val="000000"/>
          <w:sz w:val="32"/>
          <w:szCs w:val="32"/>
        </w:rPr>
      </w:pPr>
    </w:p>
    <w:p w14:paraId="03C6EBD7">
      <w:pPr>
        <w:spacing w:line="600" w:lineRule="exact"/>
        <w:ind w:firstLine="643" w:firstLineChars="200"/>
        <w:rPr>
          <w:rFonts w:ascii="仿宋" w:hAnsi="仿宋" w:eastAsia="仿宋"/>
          <w:b/>
          <w:color w:val="000000"/>
          <w:sz w:val="32"/>
          <w:szCs w:val="32"/>
        </w:rPr>
      </w:pPr>
    </w:p>
    <w:p w14:paraId="0ED14451">
      <w:pPr>
        <w:spacing w:line="600" w:lineRule="exact"/>
        <w:ind w:firstLine="643" w:firstLineChars="200"/>
        <w:rPr>
          <w:rFonts w:ascii="仿宋" w:hAnsi="仿宋" w:eastAsia="仿宋"/>
          <w:b/>
          <w:color w:val="000000"/>
          <w:sz w:val="32"/>
          <w:szCs w:val="32"/>
        </w:rPr>
      </w:pPr>
    </w:p>
    <w:p w14:paraId="049A2E24">
      <w:pPr>
        <w:spacing w:line="600" w:lineRule="exact"/>
        <w:ind w:firstLine="643" w:firstLineChars="200"/>
        <w:rPr>
          <w:rFonts w:ascii="仿宋" w:hAnsi="仿宋" w:eastAsia="仿宋"/>
          <w:b/>
          <w:color w:val="000000"/>
          <w:sz w:val="32"/>
          <w:szCs w:val="32"/>
        </w:rPr>
      </w:pPr>
    </w:p>
    <w:p w14:paraId="6A289CE1">
      <w:pPr>
        <w:spacing w:line="600" w:lineRule="exact"/>
        <w:ind w:firstLine="643" w:firstLineChars="200"/>
        <w:outlineLvl w:val="2"/>
        <w:rPr>
          <w:rFonts w:ascii="仿宋" w:hAnsi="仿宋" w:eastAsia="仿宋"/>
          <w:b/>
          <w:color w:val="000000"/>
          <w:sz w:val="32"/>
          <w:szCs w:val="32"/>
        </w:rPr>
      </w:pPr>
      <w:r>
        <w:rPr>
          <w:rFonts w:hint="eastAsia" w:ascii="仿宋" w:hAnsi="仿宋" w:eastAsia="仿宋"/>
          <w:b/>
          <w:color w:val="000000"/>
          <w:sz w:val="32"/>
          <w:szCs w:val="32"/>
        </w:rPr>
        <w:t>（二）一般公共预算财政拨款支出决算结构情况</w:t>
      </w:r>
      <w:bookmarkEnd w:id="70"/>
      <w:bookmarkEnd w:id="71"/>
      <w:bookmarkEnd w:id="72"/>
    </w:p>
    <w:p w14:paraId="7AD816C8">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202</w:t>
      </w:r>
      <w:r>
        <w:rPr>
          <w:rFonts w:hint="eastAsia" w:ascii="仿宋" w:hAnsi="仿宋" w:eastAsia="仿宋"/>
          <w:color w:val="000000"/>
          <w:sz w:val="32"/>
          <w:szCs w:val="32"/>
        </w:rPr>
        <w:t>1年一般公共预算财政拨款支出</w:t>
      </w:r>
      <w:r>
        <w:rPr>
          <w:rFonts w:hint="eastAsia" w:ascii="仿宋" w:hAnsi="仿宋" w:eastAsia="仿宋"/>
          <w:color w:val="000000"/>
          <w:sz w:val="32"/>
          <w:szCs w:val="32"/>
          <w:lang w:val="en-US" w:eastAsia="zh-CN"/>
        </w:rPr>
        <w:t>1773.08</w:t>
      </w:r>
      <w:r>
        <w:rPr>
          <w:rFonts w:hint="eastAsia" w:ascii="仿宋" w:hAnsi="仿宋" w:eastAsia="仿宋"/>
          <w:color w:val="000000"/>
          <w:sz w:val="32"/>
          <w:szCs w:val="32"/>
        </w:rPr>
        <w:t>万元，主要用于以下方面</w:t>
      </w:r>
      <w:r>
        <w:rPr>
          <w:rFonts w:hint="eastAsia" w:ascii="仿宋" w:hAnsi="仿宋" w:eastAsia="仿宋"/>
          <w:color w:val="000000"/>
          <w:sz w:val="32"/>
          <w:szCs w:val="32"/>
          <w:lang w:eastAsia="zh-CN"/>
        </w:rPr>
        <w:t>：</w:t>
      </w:r>
      <w:r>
        <w:rPr>
          <w:rFonts w:hint="eastAsia" w:ascii="仿宋" w:hAnsi="仿宋" w:eastAsia="仿宋"/>
          <w:b/>
          <w:bCs/>
          <w:color w:val="000000"/>
          <w:sz w:val="32"/>
          <w:szCs w:val="32"/>
        </w:rPr>
        <w:t>一般公共服务支出</w:t>
      </w:r>
      <w:r>
        <w:rPr>
          <w:rFonts w:hint="eastAsia" w:ascii="仿宋" w:hAnsi="仿宋" w:eastAsia="仿宋"/>
          <w:color w:val="000000"/>
          <w:sz w:val="32"/>
          <w:szCs w:val="32"/>
          <w:lang w:val="en-US" w:eastAsia="zh-CN"/>
        </w:rPr>
        <w:t>1596.38</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90.03</w:t>
      </w:r>
      <w:r>
        <w:rPr>
          <w:rFonts w:hint="eastAsia" w:ascii="仿宋" w:hAnsi="仿宋" w:eastAsia="仿宋"/>
          <w:color w:val="000000"/>
          <w:sz w:val="32"/>
          <w:szCs w:val="32"/>
        </w:rPr>
        <w:t>%；</w:t>
      </w:r>
      <w:r>
        <w:rPr>
          <w:rFonts w:hint="eastAsia" w:ascii="仿宋" w:hAnsi="仿宋" w:eastAsia="仿宋"/>
          <w:b/>
          <w:bCs/>
          <w:color w:val="000000"/>
          <w:sz w:val="32"/>
          <w:szCs w:val="32"/>
        </w:rPr>
        <w:t>社会保障和就业支出</w:t>
      </w:r>
      <w:r>
        <w:rPr>
          <w:rFonts w:hint="eastAsia" w:ascii="仿宋" w:hAnsi="仿宋" w:eastAsia="仿宋"/>
          <w:color w:val="000000"/>
          <w:sz w:val="32"/>
          <w:szCs w:val="32"/>
        </w:rPr>
        <w:t>85.32万元，占4.9</w:t>
      </w:r>
      <w:r>
        <w:rPr>
          <w:rFonts w:hint="eastAsia" w:ascii="仿宋" w:hAnsi="仿宋" w:eastAsia="仿宋"/>
          <w:color w:val="000000"/>
          <w:sz w:val="32"/>
          <w:szCs w:val="32"/>
          <w:lang w:val="en-US" w:eastAsia="zh-CN"/>
        </w:rPr>
        <w:t>1</w:t>
      </w:r>
      <w:r>
        <w:rPr>
          <w:rFonts w:hint="eastAsia" w:ascii="仿宋" w:hAnsi="仿宋" w:eastAsia="仿宋"/>
          <w:color w:val="000000"/>
          <w:sz w:val="32"/>
          <w:szCs w:val="32"/>
        </w:rPr>
        <w:t>%；</w:t>
      </w:r>
      <w:r>
        <w:rPr>
          <w:rFonts w:hint="eastAsia" w:ascii="仿宋" w:hAnsi="仿宋" w:eastAsia="仿宋"/>
          <w:b/>
          <w:bCs/>
          <w:color w:val="000000"/>
          <w:sz w:val="32"/>
          <w:szCs w:val="32"/>
        </w:rPr>
        <w:t>医疗卫生与计划生育支出</w:t>
      </w:r>
      <w:r>
        <w:rPr>
          <w:rFonts w:hint="eastAsia" w:ascii="仿宋" w:hAnsi="仿宋" w:eastAsia="仿宋"/>
          <w:color w:val="000000"/>
          <w:sz w:val="32"/>
          <w:szCs w:val="32"/>
        </w:rPr>
        <w:t>39.09万元，占2.2</w:t>
      </w:r>
      <w:r>
        <w:rPr>
          <w:rFonts w:hint="eastAsia" w:ascii="仿宋" w:hAnsi="仿宋" w:eastAsia="仿宋"/>
          <w:color w:val="000000"/>
          <w:sz w:val="32"/>
          <w:szCs w:val="32"/>
          <w:lang w:val="en-US" w:eastAsia="zh-CN"/>
        </w:rPr>
        <w:t>4</w:t>
      </w:r>
      <w:r>
        <w:rPr>
          <w:rFonts w:hint="eastAsia" w:ascii="仿宋" w:hAnsi="仿宋" w:eastAsia="仿宋"/>
          <w:color w:val="000000"/>
          <w:sz w:val="32"/>
          <w:szCs w:val="32"/>
        </w:rPr>
        <w:t>%；</w:t>
      </w:r>
      <w:r>
        <w:rPr>
          <w:rFonts w:hint="eastAsia" w:ascii="仿宋" w:hAnsi="仿宋" w:eastAsia="仿宋"/>
          <w:b/>
          <w:bCs/>
          <w:color w:val="000000"/>
          <w:sz w:val="32"/>
          <w:szCs w:val="32"/>
        </w:rPr>
        <w:t>住房保障支出5</w:t>
      </w:r>
      <w:r>
        <w:rPr>
          <w:rFonts w:hint="eastAsia" w:ascii="仿宋" w:hAnsi="仿宋" w:eastAsia="仿宋"/>
          <w:color w:val="000000"/>
          <w:sz w:val="32"/>
          <w:szCs w:val="32"/>
        </w:rPr>
        <w:t>2.</w:t>
      </w:r>
      <w:r>
        <w:rPr>
          <w:rFonts w:hint="eastAsia" w:ascii="仿宋" w:hAnsi="仿宋" w:eastAsia="仿宋"/>
          <w:color w:val="000000"/>
          <w:sz w:val="32"/>
          <w:szCs w:val="32"/>
          <w:lang w:val="en-US" w:eastAsia="zh-CN"/>
        </w:rPr>
        <w:t>29</w:t>
      </w:r>
      <w:r>
        <w:rPr>
          <w:rFonts w:hint="eastAsia" w:ascii="仿宋" w:hAnsi="仿宋" w:eastAsia="仿宋"/>
          <w:color w:val="000000"/>
          <w:sz w:val="32"/>
          <w:szCs w:val="32"/>
        </w:rPr>
        <w:t>万元，占3.</w:t>
      </w:r>
      <w:r>
        <w:rPr>
          <w:rFonts w:hint="eastAsia" w:ascii="仿宋" w:hAnsi="仿宋" w:eastAsia="仿宋"/>
          <w:color w:val="000000"/>
          <w:sz w:val="32"/>
          <w:szCs w:val="32"/>
          <w:lang w:val="en-US" w:eastAsia="zh-CN"/>
        </w:rPr>
        <w:t>01</w:t>
      </w:r>
      <w:r>
        <w:rPr>
          <w:rFonts w:hint="eastAsia" w:ascii="仿宋" w:hAnsi="仿宋" w:eastAsia="仿宋"/>
          <w:color w:val="000000"/>
          <w:sz w:val="32"/>
          <w:szCs w:val="32"/>
        </w:rPr>
        <w:t>%。</w:t>
      </w:r>
    </w:p>
    <w:p w14:paraId="642F0DC8">
      <w:pPr>
        <w:spacing w:line="600" w:lineRule="exact"/>
        <w:rPr>
          <w:rFonts w:ascii="仿宋" w:hAnsi="仿宋" w:eastAsia="仿宋"/>
          <w:color w:val="000000"/>
          <w:sz w:val="32"/>
          <w:szCs w:val="32"/>
        </w:rPr>
      </w:pPr>
      <w:r>
        <w:rPr>
          <w:rFonts w:hint="eastAsia" w:ascii="仿宋" w:hAnsi="仿宋" w:eastAsia="仿宋"/>
          <w:color w:val="000000"/>
          <w:sz w:val="32"/>
          <w:szCs w:val="32"/>
        </w:rPr>
        <w:t>（图</w:t>
      </w:r>
      <w:r>
        <w:rPr>
          <w:rFonts w:ascii="仿宋" w:hAnsi="仿宋" w:eastAsia="仿宋"/>
          <w:color w:val="000000"/>
          <w:sz w:val="32"/>
          <w:szCs w:val="32"/>
        </w:rPr>
        <w:t>6</w:t>
      </w:r>
      <w:r>
        <w:rPr>
          <w:rFonts w:hint="eastAsia" w:ascii="仿宋" w:hAnsi="仿宋" w:eastAsia="仿宋"/>
          <w:color w:val="000000"/>
          <w:sz w:val="32"/>
          <w:szCs w:val="32"/>
        </w:rPr>
        <w:t>：一般公共预算财政拨款支出决算结构）（饼状图）</w:t>
      </w:r>
    </w:p>
    <w:p w14:paraId="5604201A">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drawing>
          <wp:anchor distT="0" distB="0" distL="114300" distR="114300" simplePos="0" relativeHeight="251664384" behindDoc="0" locked="0" layoutInCell="1" allowOverlap="1">
            <wp:simplePos x="0" y="0"/>
            <wp:positionH relativeFrom="column">
              <wp:posOffset>523875</wp:posOffset>
            </wp:positionH>
            <wp:positionV relativeFrom="paragraph">
              <wp:posOffset>166370</wp:posOffset>
            </wp:positionV>
            <wp:extent cx="4309110" cy="2486025"/>
            <wp:effectExtent l="4445" t="4445" r="10795" b="5080"/>
            <wp:wrapSquare wrapText="bothSides"/>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038CED86">
      <w:pPr>
        <w:spacing w:line="600" w:lineRule="exact"/>
        <w:ind w:firstLine="643" w:firstLineChars="200"/>
        <w:outlineLvl w:val="2"/>
        <w:rPr>
          <w:rFonts w:ascii="仿宋" w:hAnsi="仿宋" w:eastAsia="仿宋"/>
          <w:b/>
          <w:color w:val="000000"/>
          <w:sz w:val="32"/>
          <w:szCs w:val="32"/>
        </w:rPr>
      </w:pPr>
      <w:bookmarkStart w:id="73" w:name="_Toc79163867"/>
      <w:bookmarkStart w:id="74" w:name="_Toc79163617"/>
      <w:bookmarkStart w:id="75" w:name="_Toc15377212"/>
      <w:r>
        <w:rPr>
          <w:rFonts w:hint="eastAsia" w:ascii="仿宋" w:hAnsi="仿宋" w:eastAsia="仿宋"/>
          <w:b/>
          <w:color w:val="000000"/>
          <w:sz w:val="32"/>
          <w:szCs w:val="32"/>
        </w:rPr>
        <w:t>（三）一般公共预算财政拨款支出决算具体情况</w:t>
      </w:r>
      <w:bookmarkEnd w:id="73"/>
      <w:bookmarkEnd w:id="74"/>
      <w:bookmarkEnd w:id="75"/>
    </w:p>
    <w:p w14:paraId="687A96D1">
      <w:pPr>
        <w:spacing w:line="600" w:lineRule="exact"/>
        <w:ind w:firstLine="643" w:firstLineChars="200"/>
        <w:rPr>
          <w:rFonts w:ascii="仿宋_GB2312" w:eastAsia="仿宋_GB2312"/>
          <w:b/>
          <w:bCs/>
          <w:sz w:val="32"/>
          <w:szCs w:val="32"/>
        </w:rPr>
      </w:pPr>
      <w:bookmarkStart w:id="76" w:name="_Toc15377444"/>
      <w:bookmarkStart w:id="77" w:name="_Toc15378460"/>
      <w:bookmarkStart w:id="78" w:name="_Toc15377213"/>
      <w:r>
        <w:rPr>
          <w:rFonts w:ascii="仿宋_GB2312" w:eastAsia="仿宋_GB2312"/>
          <w:b/>
          <w:bCs/>
          <w:sz w:val="32"/>
          <w:szCs w:val="32"/>
        </w:rPr>
        <w:t>202</w:t>
      </w:r>
      <w:r>
        <w:rPr>
          <w:rFonts w:hint="eastAsia" w:ascii="仿宋_GB2312" w:eastAsia="仿宋_GB2312"/>
          <w:b/>
          <w:bCs/>
          <w:sz w:val="32"/>
          <w:szCs w:val="32"/>
        </w:rPr>
        <w:t>1年一般公共预算支出决算数为</w:t>
      </w:r>
      <w:r>
        <w:rPr>
          <w:rFonts w:hint="eastAsia" w:ascii="仿宋_GB2312" w:eastAsia="仿宋_GB2312"/>
          <w:b/>
          <w:bCs/>
          <w:sz w:val="32"/>
          <w:szCs w:val="32"/>
          <w:lang w:val="en-US" w:eastAsia="zh-CN"/>
        </w:rPr>
        <w:t>1773.08万元</w:t>
      </w:r>
      <w:r>
        <w:rPr>
          <w:rFonts w:hint="eastAsia" w:ascii="仿宋_GB2312" w:eastAsia="仿宋_GB2312"/>
          <w:b/>
          <w:bCs/>
          <w:sz w:val="32"/>
          <w:szCs w:val="32"/>
        </w:rPr>
        <w:t>，完成预算</w:t>
      </w:r>
      <w:r>
        <w:rPr>
          <w:rFonts w:hint="eastAsia" w:ascii="仿宋_GB2312" w:eastAsia="仿宋_GB2312"/>
          <w:b/>
          <w:bCs/>
          <w:sz w:val="32"/>
          <w:szCs w:val="32"/>
          <w:lang w:val="en-US" w:eastAsia="zh-CN"/>
        </w:rPr>
        <w:t>100</w:t>
      </w:r>
      <w:r>
        <w:rPr>
          <w:rFonts w:ascii="仿宋_GB2312" w:eastAsia="仿宋_GB2312"/>
          <w:b/>
          <w:bCs/>
          <w:sz w:val="32"/>
          <w:szCs w:val="32"/>
        </w:rPr>
        <w:t>%</w:t>
      </w:r>
      <w:r>
        <w:rPr>
          <w:rFonts w:hint="eastAsia" w:ascii="仿宋_GB2312" w:eastAsia="仿宋_GB2312"/>
          <w:b/>
          <w:bCs/>
          <w:sz w:val="32"/>
          <w:szCs w:val="32"/>
        </w:rPr>
        <w:t>。其中：</w:t>
      </w:r>
      <w:bookmarkEnd w:id="76"/>
      <w:bookmarkEnd w:id="77"/>
      <w:bookmarkEnd w:id="78"/>
    </w:p>
    <w:p w14:paraId="1DCB2BCB">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1.一般公共服务（2013101）党委办公厅（室）及相关机构事务</w:t>
      </w:r>
      <w:r>
        <w:rPr>
          <w:rFonts w:hint="eastAsia" w:ascii="仿宋" w:hAnsi="仿宋" w:eastAsia="仿宋"/>
          <w:color w:val="000000"/>
          <w:sz w:val="32"/>
          <w:szCs w:val="32"/>
          <w:lang w:eastAsia="zh-CN"/>
        </w:rPr>
        <w:t>－</w:t>
      </w:r>
      <w:r>
        <w:rPr>
          <w:rFonts w:hint="eastAsia" w:ascii="仿宋" w:hAnsi="仿宋" w:eastAsia="仿宋"/>
          <w:color w:val="000000"/>
          <w:sz w:val="32"/>
          <w:szCs w:val="32"/>
        </w:rPr>
        <w:t>行政运行2021年决算支出数为1230.0</w:t>
      </w:r>
      <w:r>
        <w:rPr>
          <w:rFonts w:hint="eastAsia" w:ascii="仿宋" w:hAnsi="仿宋" w:eastAsia="仿宋"/>
          <w:color w:val="000000"/>
          <w:sz w:val="32"/>
          <w:szCs w:val="32"/>
          <w:lang w:val="en-US" w:eastAsia="zh-CN"/>
        </w:rPr>
        <w:t>3</w:t>
      </w:r>
      <w:r>
        <w:rPr>
          <w:rFonts w:hint="eastAsia" w:ascii="仿宋" w:hAnsi="仿宋" w:eastAsia="仿宋"/>
          <w:color w:val="000000"/>
          <w:sz w:val="32"/>
          <w:szCs w:val="32"/>
        </w:rPr>
        <w:t>万元，完成预算100%。</w:t>
      </w:r>
    </w:p>
    <w:p w14:paraId="6103FB2F">
      <w:pPr>
        <w:spacing w:line="560" w:lineRule="exact"/>
      </w:pPr>
      <w:r>
        <w:rPr>
          <w:rFonts w:hint="eastAsia" w:ascii="仿宋" w:hAnsi="仿宋" w:eastAsia="仿宋"/>
          <w:color w:val="000000"/>
          <w:sz w:val="32"/>
          <w:szCs w:val="32"/>
        </w:rPr>
        <w:t>（2013102）党委办公厅（室）及相关机构事务</w:t>
      </w:r>
      <w:r>
        <w:rPr>
          <w:rFonts w:hint="eastAsia" w:ascii="仿宋" w:hAnsi="仿宋" w:eastAsia="仿宋"/>
          <w:color w:val="000000"/>
          <w:sz w:val="32"/>
          <w:szCs w:val="32"/>
          <w:lang w:eastAsia="zh-CN"/>
        </w:rPr>
        <w:t>－</w:t>
      </w:r>
      <w:r>
        <w:rPr>
          <w:rFonts w:hint="eastAsia" w:ascii="仿宋" w:hAnsi="仿宋" w:eastAsia="仿宋"/>
          <w:color w:val="000000"/>
          <w:sz w:val="32"/>
          <w:szCs w:val="32"/>
        </w:rPr>
        <w:t>一般行政管理事务2021年决算支出数为331.78万元，完成预算100%。</w:t>
      </w:r>
    </w:p>
    <w:p w14:paraId="45B75594">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2.社会保障和就业</w:t>
      </w:r>
    </w:p>
    <w:p w14:paraId="13AD07F4">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lang w:eastAsia="zh-CN"/>
        </w:rPr>
        <w:t>（</w:t>
      </w:r>
      <w:r>
        <w:rPr>
          <w:rFonts w:hint="eastAsia" w:ascii="仿宋" w:hAnsi="仿宋" w:eastAsia="仿宋"/>
          <w:color w:val="000000"/>
          <w:sz w:val="32"/>
          <w:szCs w:val="32"/>
        </w:rPr>
        <w:t>2080505</w:t>
      </w:r>
      <w:r>
        <w:rPr>
          <w:rFonts w:hint="eastAsia" w:ascii="仿宋" w:hAnsi="仿宋" w:eastAsia="仿宋"/>
          <w:color w:val="000000"/>
          <w:sz w:val="32"/>
          <w:szCs w:val="32"/>
          <w:lang w:eastAsia="zh-CN"/>
        </w:rPr>
        <w:t>）</w:t>
      </w:r>
      <w:r>
        <w:rPr>
          <w:rFonts w:hint="eastAsia" w:ascii="仿宋" w:hAnsi="仿宋" w:eastAsia="仿宋"/>
          <w:color w:val="000000"/>
          <w:sz w:val="32"/>
          <w:szCs w:val="32"/>
        </w:rPr>
        <w:t>机关事业单位基本养老保险缴费支出2021年决算支出数为50.5</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万元，完成预算100%。</w:t>
      </w:r>
    </w:p>
    <w:p w14:paraId="130C2902">
      <w:pPr>
        <w:spacing w:line="560" w:lineRule="exact"/>
        <w:ind w:firstLine="480" w:firstLineChars="150"/>
        <w:rPr>
          <w:rFonts w:ascii="仿宋" w:hAnsi="仿宋" w:eastAsia="仿宋"/>
          <w:color w:val="000000"/>
          <w:sz w:val="32"/>
          <w:szCs w:val="32"/>
        </w:rPr>
      </w:pPr>
      <w:r>
        <w:rPr>
          <w:rFonts w:hint="eastAsia" w:ascii="仿宋" w:hAnsi="仿宋" w:eastAsia="仿宋"/>
          <w:color w:val="000000"/>
          <w:sz w:val="32"/>
          <w:szCs w:val="32"/>
        </w:rPr>
        <w:t>（2080506）机关事业单位职业年金缴费支出2021年决算支出数为34.7</w:t>
      </w:r>
      <w:r>
        <w:rPr>
          <w:rFonts w:hint="eastAsia" w:ascii="仿宋" w:hAnsi="仿宋" w:eastAsia="仿宋"/>
          <w:color w:val="000000"/>
          <w:sz w:val="32"/>
          <w:szCs w:val="32"/>
          <w:lang w:val="en-US" w:eastAsia="zh-CN"/>
        </w:rPr>
        <w:t>3</w:t>
      </w:r>
      <w:r>
        <w:rPr>
          <w:rFonts w:hint="eastAsia" w:ascii="仿宋" w:hAnsi="仿宋" w:eastAsia="仿宋"/>
          <w:color w:val="000000"/>
          <w:sz w:val="32"/>
          <w:szCs w:val="32"/>
        </w:rPr>
        <w:t>万元，完成预算100%。</w:t>
      </w:r>
    </w:p>
    <w:p w14:paraId="7B254BAB">
      <w:pPr>
        <w:spacing w:line="560" w:lineRule="exact"/>
        <w:ind w:firstLine="480" w:firstLineChars="150"/>
        <w:rPr>
          <w:rFonts w:ascii="仿宋" w:hAnsi="仿宋" w:eastAsia="仿宋"/>
          <w:color w:val="000000"/>
          <w:sz w:val="32"/>
          <w:szCs w:val="32"/>
        </w:rPr>
      </w:pPr>
      <w:r>
        <w:rPr>
          <w:rFonts w:hint="eastAsia" w:ascii="仿宋" w:hAnsi="仿宋" w:eastAsia="仿宋"/>
          <w:color w:val="000000"/>
          <w:sz w:val="32"/>
          <w:szCs w:val="32"/>
        </w:rPr>
        <w:t>3.医疗卫生与计划生育</w:t>
      </w:r>
    </w:p>
    <w:p w14:paraId="418358C6">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（2101101）行政单位医疗2021年决算支出数为31.77万元，完成预算100%。</w:t>
      </w:r>
    </w:p>
    <w:p w14:paraId="3B5558B0">
      <w:pPr>
        <w:spacing w:line="560" w:lineRule="exact"/>
        <w:ind w:firstLine="640" w:firstLineChars="200"/>
        <w:rPr>
          <w:rFonts w:hint="eastAsia" w:ascii="仿宋" w:hAnsi="仿宋" w:eastAsia="仿宋"/>
          <w:color w:val="000000"/>
          <w:sz w:val="32"/>
          <w:szCs w:val="32"/>
          <w:lang w:val="en-US" w:eastAsia="zh-CN"/>
        </w:rPr>
      </w:pPr>
      <w:r>
        <w:rPr>
          <w:rFonts w:hint="eastAsia" w:ascii="仿宋" w:hAnsi="仿宋" w:eastAsia="仿宋"/>
          <w:color w:val="000000"/>
          <w:sz w:val="32"/>
          <w:szCs w:val="32"/>
        </w:rPr>
        <w:t>（2101103）公务员医疗补助2021年决算支出数为7.32万元，完成预算100%</w:t>
      </w:r>
      <w:r>
        <w:rPr>
          <w:rFonts w:hint="eastAsia" w:ascii="仿宋" w:hAnsi="仿宋" w:eastAsia="仿宋"/>
          <w:color w:val="000000"/>
          <w:sz w:val="32"/>
          <w:szCs w:val="32"/>
          <w:lang w:val="en-US" w:eastAsia="zh-CN"/>
        </w:rPr>
        <w:t>。</w:t>
      </w:r>
    </w:p>
    <w:p w14:paraId="28219AFF">
      <w:pPr>
        <w:spacing w:line="560" w:lineRule="exact"/>
        <w:ind w:firstLine="320" w:firstLineChars="100"/>
        <w:rPr>
          <w:rFonts w:ascii="仿宋" w:hAnsi="仿宋" w:eastAsia="仿宋"/>
          <w:color w:val="000000"/>
          <w:sz w:val="32"/>
          <w:szCs w:val="32"/>
        </w:rPr>
      </w:pPr>
      <w:r>
        <w:rPr>
          <w:rFonts w:hint="eastAsia" w:ascii="仿宋" w:hAnsi="仿宋" w:eastAsia="仿宋"/>
          <w:color w:val="000000"/>
          <w:sz w:val="32"/>
          <w:szCs w:val="32"/>
        </w:rPr>
        <w:t>4.住房保障支出</w:t>
      </w:r>
    </w:p>
    <w:p w14:paraId="27BD572D">
      <w:pPr>
        <w:spacing w:line="600" w:lineRule="exact"/>
        <w:ind w:firstLine="640"/>
        <w:rPr>
          <w:rFonts w:ascii="仿宋" w:hAnsi="仿宋" w:eastAsia="仿宋"/>
          <w:b/>
          <w:color w:val="000000"/>
          <w:sz w:val="32"/>
          <w:szCs w:val="32"/>
        </w:rPr>
      </w:pPr>
      <w:r>
        <w:rPr>
          <w:rFonts w:hint="eastAsia" w:ascii="仿宋" w:hAnsi="仿宋" w:eastAsia="仿宋"/>
          <w:color w:val="000000"/>
          <w:sz w:val="32"/>
          <w:szCs w:val="32"/>
          <w:lang w:eastAsia="zh-CN"/>
        </w:rPr>
        <w:t>（</w:t>
      </w:r>
      <w:r>
        <w:rPr>
          <w:rFonts w:hint="eastAsia" w:ascii="仿宋" w:hAnsi="仿宋" w:eastAsia="仿宋"/>
          <w:color w:val="000000"/>
          <w:sz w:val="32"/>
          <w:szCs w:val="32"/>
        </w:rPr>
        <w:t>2210201</w:t>
      </w:r>
      <w:r>
        <w:rPr>
          <w:rFonts w:hint="eastAsia" w:ascii="仿宋" w:hAnsi="仿宋" w:eastAsia="仿宋"/>
          <w:color w:val="000000"/>
          <w:sz w:val="32"/>
          <w:szCs w:val="32"/>
          <w:lang w:eastAsia="zh-CN"/>
        </w:rPr>
        <w:t>）</w:t>
      </w:r>
      <w:r>
        <w:rPr>
          <w:rFonts w:hint="eastAsia" w:ascii="仿宋" w:hAnsi="仿宋" w:eastAsia="仿宋"/>
          <w:color w:val="000000"/>
          <w:sz w:val="32"/>
          <w:szCs w:val="32"/>
        </w:rPr>
        <w:t>住房公积金2021年决算支出数为52.</w:t>
      </w:r>
      <w:r>
        <w:rPr>
          <w:rFonts w:hint="eastAsia" w:ascii="仿宋" w:hAnsi="仿宋" w:eastAsia="仿宋"/>
          <w:color w:val="000000"/>
          <w:sz w:val="32"/>
          <w:szCs w:val="32"/>
          <w:lang w:val="en-US" w:eastAsia="zh-CN"/>
        </w:rPr>
        <w:t>29</w:t>
      </w:r>
      <w:r>
        <w:rPr>
          <w:rFonts w:hint="eastAsia" w:ascii="仿宋" w:hAnsi="仿宋" w:eastAsia="仿宋"/>
          <w:color w:val="000000"/>
          <w:sz w:val="32"/>
          <w:szCs w:val="32"/>
        </w:rPr>
        <w:t>万元，完成预算100%。</w:t>
      </w:r>
    </w:p>
    <w:p w14:paraId="1A850839">
      <w:pPr>
        <w:tabs>
          <w:tab w:val="right" w:pos="8306"/>
        </w:tabs>
        <w:spacing w:line="600" w:lineRule="exact"/>
        <w:ind w:firstLine="640"/>
        <w:outlineLvl w:val="1"/>
        <w:rPr>
          <w:rStyle w:val="26"/>
        </w:rPr>
      </w:pPr>
      <w:bookmarkStart w:id="79" w:name="_Toc15377214"/>
      <w:bookmarkStart w:id="80" w:name="_Toc15396608"/>
      <w:bookmarkStart w:id="81" w:name="_Toc79163868"/>
      <w:bookmarkStart w:id="82" w:name="_Toc14509"/>
      <w:bookmarkStart w:id="83" w:name="_Toc79163618"/>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26"/>
          <w:rFonts w:hint="eastAsia" w:ascii="黑体" w:hAnsi="黑体" w:eastAsia="黑体"/>
          <w:b w:val="0"/>
        </w:rPr>
        <w:t>般公共预算财政拨款基本支出决算情况说明</w:t>
      </w:r>
      <w:bookmarkEnd w:id="79"/>
      <w:bookmarkEnd w:id="80"/>
      <w:bookmarkEnd w:id="81"/>
      <w:bookmarkEnd w:id="82"/>
      <w:bookmarkEnd w:id="83"/>
      <w:r>
        <w:rPr>
          <w:rStyle w:val="26"/>
          <w:rFonts w:ascii="黑体" w:hAnsi="黑体" w:eastAsia="黑体"/>
          <w:b w:val="0"/>
        </w:rPr>
        <w:tab/>
      </w:r>
    </w:p>
    <w:p w14:paraId="5933E8CE">
      <w:pPr>
        <w:spacing w:line="600" w:lineRule="exact"/>
        <w:ind w:firstLine="645"/>
        <w:rPr>
          <w:rFonts w:ascii="仿宋" w:hAnsi="仿宋" w:eastAsia="仿宋"/>
          <w:color w:val="000000"/>
          <w:sz w:val="32"/>
          <w:szCs w:val="32"/>
        </w:rPr>
      </w:pPr>
      <w:r>
        <w:rPr>
          <w:rFonts w:ascii="仿宋" w:hAnsi="仿宋" w:eastAsia="仿宋"/>
          <w:color w:val="000000"/>
          <w:sz w:val="32"/>
          <w:szCs w:val="32"/>
        </w:rPr>
        <w:t>202</w:t>
      </w:r>
      <w:r>
        <w:rPr>
          <w:rFonts w:hint="eastAsia" w:ascii="仿宋" w:hAnsi="仿宋" w:eastAsia="仿宋"/>
          <w:color w:val="000000"/>
          <w:sz w:val="32"/>
          <w:szCs w:val="32"/>
        </w:rPr>
        <w:t>1年一般公共预算财政拨款基本支出</w:t>
      </w:r>
      <w:r>
        <w:rPr>
          <w:rFonts w:hint="eastAsia" w:ascii="仿宋" w:hAnsi="仿宋" w:eastAsia="仿宋"/>
          <w:color w:val="000000"/>
          <w:sz w:val="32"/>
          <w:szCs w:val="32"/>
          <w:lang w:val="en-US" w:eastAsia="zh-CN"/>
        </w:rPr>
        <w:t>1441.3</w:t>
      </w:r>
      <w:r>
        <w:rPr>
          <w:rFonts w:hint="eastAsia" w:ascii="仿宋" w:hAnsi="仿宋" w:eastAsia="仿宋"/>
          <w:color w:val="000000"/>
          <w:sz w:val="32"/>
          <w:szCs w:val="32"/>
        </w:rPr>
        <w:t>万元，其中：</w:t>
      </w:r>
    </w:p>
    <w:p w14:paraId="3A548B37">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rPr>
        <w:t>人员经费829.78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4905F40C">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rPr>
        <w:t>日常公用经费</w:t>
      </w:r>
      <w:r>
        <w:rPr>
          <w:rFonts w:hint="eastAsia" w:ascii="仿宋" w:hAnsi="仿宋" w:eastAsia="仿宋"/>
          <w:color w:val="000000"/>
          <w:sz w:val="32"/>
          <w:szCs w:val="32"/>
          <w:lang w:val="en-US" w:eastAsia="zh-CN"/>
        </w:rPr>
        <w:t>611.52</w:t>
      </w:r>
      <w:r>
        <w:rPr>
          <w:rFonts w:hint="eastAsia" w:ascii="仿宋" w:hAnsi="仿宋" w:eastAsia="仿宋"/>
          <w:color w:val="000000"/>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4A8F1A17">
      <w:pPr>
        <w:spacing w:line="600" w:lineRule="exact"/>
        <w:ind w:firstLine="640"/>
        <w:outlineLvl w:val="1"/>
        <w:rPr>
          <w:rFonts w:ascii="仿宋" w:hAnsi="仿宋" w:eastAsia="仿宋"/>
          <w:color w:val="000000"/>
          <w:sz w:val="32"/>
          <w:szCs w:val="32"/>
        </w:rPr>
      </w:pPr>
      <w:bookmarkStart w:id="84" w:name="_Toc24240"/>
      <w:bookmarkStart w:id="85" w:name="_Toc79163619"/>
      <w:bookmarkStart w:id="86" w:name="_Toc79163869"/>
      <w:bookmarkStart w:id="87" w:name="_Toc15377215"/>
      <w:bookmarkStart w:id="88" w:name="_Toc15396609"/>
      <w:r>
        <w:rPr>
          <w:rFonts w:hint="eastAsia" w:ascii="仿宋" w:hAnsi="仿宋" w:eastAsia="仿宋"/>
          <w:color w:val="000000"/>
          <w:sz w:val="32"/>
          <w:szCs w:val="32"/>
        </w:rPr>
        <w:t>项目支出331.78万元，主要用于2021年度安全可靠替代工程费用，国家安全支出，党代</w:t>
      </w:r>
      <w:r>
        <w:rPr>
          <w:rFonts w:hint="eastAsia" w:ascii="仿宋" w:hAnsi="仿宋" w:eastAsia="仿宋"/>
          <w:color w:val="000000"/>
          <w:sz w:val="32"/>
          <w:szCs w:val="32"/>
          <w:lang w:eastAsia="zh-CN"/>
        </w:rPr>
        <w:t>会</w:t>
      </w:r>
      <w:r>
        <w:rPr>
          <w:rFonts w:hint="eastAsia" w:ascii="仿宋" w:hAnsi="仿宋" w:eastAsia="仿宋"/>
          <w:color w:val="000000"/>
          <w:sz w:val="32"/>
          <w:szCs w:val="32"/>
        </w:rPr>
        <w:t>支出，涉M会议室设备支出，深化改革支出，徽苑小区运行支出</w:t>
      </w:r>
      <w:bookmarkEnd w:id="84"/>
    </w:p>
    <w:p w14:paraId="40F58AAD">
      <w:pPr>
        <w:spacing w:line="600" w:lineRule="exact"/>
        <w:ind w:firstLine="640"/>
        <w:outlineLvl w:val="1"/>
        <w:rPr>
          <w:rFonts w:hint="eastAsia" w:ascii="仿宋" w:hAnsi="仿宋" w:eastAsia="仿宋"/>
          <w:color w:val="000000"/>
          <w:sz w:val="32"/>
          <w:szCs w:val="32"/>
        </w:rPr>
      </w:pPr>
      <w:bookmarkStart w:id="89" w:name="_Toc15843"/>
      <w:r>
        <w:rPr>
          <w:rFonts w:hint="eastAsia" w:ascii="黑体" w:eastAsia="黑体"/>
          <w:color w:val="000000"/>
          <w:sz w:val="32"/>
          <w:szCs w:val="32"/>
        </w:rPr>
        <w:t>七、</w:t>
      </w:r>
      <w:r>
        <w:rPr>
          <w:rStyle w:val="26"/>
          <w:rFonts w:hint="eastAsia" w:ascii="黑体" w:hAnsi="黑体" w:eastAsia="黑体"/>
        </w:rPr>
        <w:t>“</w:t>
      </w:r>
      <w:r>
        <w:rPr>
          <w:rStyle w:val="26"/>
          <w:rFonts w:hint="eastAsia" w:ascii="黑体" w:hAnsi="黑体" w:eastAsia="黑体"/>
          <w:b w:val="0"/>
        </w:rPr>
        <w:t>三公”经费财政拨款支出决算情况说明</w:t>
      </w:r>
      <w:bookmarkEnd w:id="85"/>
      <w:bookmarkEnd w:id="86"/>
      <w:bookmarkEnd w:id="87"/>
      <w:bookmarkEnd w:id="88"/>
      <w:bookmarkEnd w:id="89"/>
    </w:p>
    <w:p w14:paraId="37F09714">
      <w:pPr>
        <w:spacing w:line="560" w:lineRule="exact"/>
        <w:ind w:firstLine="640" w:firstLineChars="200"/>
        <w:rPr>
          <w:rFonts w:hint="eastAsia" w:ascii="仿宋" w:hAnsi="仿宋" w:eastAsia="仿宋"/>
          <w:color w:val="000000"/>
          <w:sz w:val="32"/>
          <w:szCs w:val="32"/>
          <w:lang w:eastAsia="zh-CN"/>
        </w:rPr>
      </w:pPr>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1</w:t>
      </w:r>
      <w:r>
        <w:rPr>
          <w:rFonts w:hint="eastAsia" w:ascii="仿宋" w:hAnsi="仿宋" w:eastAsia="仿宋"/>
          <w:color w:val="000000"/>
          <w:sz w:val="32"/>
          <w:szCs w:val="32"/>
        </w:rPr>
        <w:t>年度“三公”经费财政拨款支出决算中，因公出国（境）费支出决算0万元；公务用车购置及运行维护费支出决算为</w:t>
      </w:r>
      <w:r>
        <w:rPr>
          <w:rFonts w:hint="eastAsia" w:ascii="仿宋" w:hAnsi="仿宋" w:eastAsia="仿宋"/>
          <w:color w:val="000000"/>
          <w:sz w:val="32"/>
          <w:szCs w:val="32"/>
          <w:lang w:val="en-US" w:eastAsia="zh-CN"/>
        </w:rPr>
        <w:t>146.23</w:t>
      </w:r>
      <w:r>
        <w:rPr>
          <w:rFonts w:hint="eastAsia" w:ascii="仿宋" w:hAnsi="仿宋" w:eastAsia="仿宋"/>
          <w:color w:val="000000"/>
          <w:sz w:val="32"/>
          <w:szCs w:val="32"/>
        </w:rPr>
        <w:t>万元，完成预算100%；公务接待费支出决算为</w:t>
      </w:r>
      <w:r>
        <w:rPr>
          <w:rFonts w:hint="eastAsia" w:ascii="仿宋" w:hAnsi="仿宋" w:eastAsia="仿宋"/>
          <w:color w:val="000000"/>
          <w:sz w:val="32"/>
          <w:szCs w:val="32"/>
          <w:lang w:val="en-US" w:eastAsia="zh-CN"/>
        </w:rPr>
        <w:t>7.9</w:t>
      </w:r>
      <w:r>
        <w:rPr>
          <w:rFonts w:hint="eastAsia" w:ascii="仿宋" w:hAnsi="仿宋" w:eastAsia="仿宋"/>
          <w:color w:val="000000"/>
          <w:sz w:val="32"/>
          <w:szCs w:val="32"/>
        </w:rPr>
        <w:t>万元，完成预算100%。具体情况如下：</w:t>
      </w:r>
    </w:p>
    <w:p w14:paraId="456D0CA6">
      <w:pPr>
        <w:spacing w:line="560" w:lineRule="exact"/>
        <w:ind w:firstLine="643" w:firstLineChars="200"/>
        <w:rPr>
          <w:rFonts w:hint="eastAsia" w:ascii="仿宋" w:hAnsi="仿宋" w:eastAsia="仿宋"/>
          <w:color w:val="000000"/>
          <w:sz w:val="32"/>
          <w:szCs w:val="32"/>
        </w:rPr>
      </w:pPr>
      <w:r>
        <w:rPr>
          <w:rFonts w:hint="eastAsia" w:ascii="仿宋" w:hAnsi="仿宋" w:eastAsia="仿宋"/>
          <w:b/>
          <w:bCs/>
          <w:color w:val="000000"/>
          <w:sz w:val="32"/>
          <w:szCs w:val="32"/>
        </w:rPr>
        <w:t>1.</w:t>
      </w:r>
      <w:r>
        <w:rPr>
          <w:rFonts w:hint="eastAsia" w:ascii="仿宋" w:hAnsi="仿宋" w:eastAsia="仿宋" w:cs="Times New Roman"/>
          <w:color w:val="000000"/>
          <w:sz w:val="32"/>
          <w:szCs w:val="32"/>
        </w:rPr>
        <w:t>202</w:t>
      </w:r>
      <w:r>
        <w:rPr>
          <w:rFonts w:hint="eastAsia" w:ascii="仿宋" w:hAnsi="仿宋" w:eastAsia="仿宋" w:cs="Times New Roman"/>
          <w:color w:val="000000"/>
          <w:sz w:val="32"/>
          <w:szCs w:val="32"/>
          <w:lang w:val="en-US" w:eastAsia="zh-CN"/>
        </w:rPr>
        <w:t>1</w:t>
      </w:r>
      <w:r>
        <w:rPr>
          <w:rFonts w:hint="eastAsia" w:ascii="仿宋" w:hAnsi="仿宋" w:eastAsia="仿宋" w:cs="Times New Roman"/>
          <w:color w:val="000000"/>
          <w:sz w:val="32"/>
          <w:szCs w:val="32"/>
        </w:rPr>
        <w:t>年因公出国（境）经费</w:t>
      </w:r>
      <w:r>
        <w:rPr>
          <w:rFonts w:hint="eastAsia" w:ascii="仿宋" w:hAnsi="仿宋" w:eastAsia="仿宋"/>
          <w:color w:val="000000"/>
          <w:sz w:val="32"/>
          <w:szCs w:val="32"/>
        </w:rPr>
        <w:t>0万元。</w:t>
      </w:r>
    </w:p>
    <w:p w14:paraId="1A060B53">
      <w:pPr>
        <w:spacing w:line="560" w:lineRule="exact"/>
        <w:ind w:firstLine="643" w:firstLineChars="200"/>
        <w:rPr>
          <w:rFonts w:hint="eastAsia" w:ascii="仿宋" w:hAnsi="仿宋" w:eastAsia="仿宋"/>
          <w:color w:val="000000"/>
          <w:sz w:val="32"/>
          <w:szCs w:val="32"/>
          <w:lang w:eastAsia="zh-CN"/>
        </w:rPr>
      </w:pPr>
      <w:r>
        <w:rPr>
          <w:rFonts w:hint="eastAsia" w:ascii="仿宋" w:hAnsi="仿宋" w:eastAsia="仿宋"/>
          <w:b/>
          <w:bCs/>
          <w:color w:val="000000"/>
          <w:sz w:val="32"/>
          <w:szCs w:val="32"/>
        </w:rPr>
        <w:t>2.</w:t>
      </w:r>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1</w:t>
      </w:r>
      <w:r>
        <w:rPr>
          <w:rFonts w:hint="eastAsia" w:ascii="仿宋" w:hAnsi="仿宋" w:eastAsia="仿宋"/>
          <w:color w:val="000000"/>
          <w:sz w:val="32"/>
          <w:szCs w:val="32"/>
        </w:rPr>
        <w:t>年公务用车购置及运行维护费</w:t>
      </w:r>
      <w:r>
        <w:rPr>
          <w:rFonts w:hint="eastAsia" w:ascii="仿宋" w:hAnsi="仿宋" w:eastAsia="仿宋"/>
          <w:color w:val="000000"/>
          <w:sz w:val="32"/>
          <w:szCs w:val="32"/>
          <w:lang w:val="en-US" w:eastAsia="zh-CN"/>
        </w:rPr>
        <w:t>146.23</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w:t>
      </w:r>
      <w:r>
        <w:rPr>
          <w:rFonts w:hint="eastAsia" w:ascii="仿宋" w:hAnsi="仿宋" w:eastAsia="仿宋"/>
          <w:color w:val="000000"/>
          <w:sz w:val="32"/>
          <w:szCs w:val="32"/>
        </w:rPr>
        <w:t>其中：公务用车购置支出</w:t>
      </w:r>
      <w:r>
        <w:rPr>
          <w:rFonts w:hint="eastAsia" w:ascii="仿宋" w:hAnsi="仿宋" w:eastAsia="仿宋"/>
          <w:color w:val="000000"/>
          <w:sz w:val="32"/>
          <w:szCs w:val="32"/>
          <w:lang w:val="en-US" w:eastAsia="zh-CN"/>
        </w:rPr>
        <w:t>57.92</w:t>
      </w:r>
      <w:r>
        <w:rPr>
          <w:rFonts w:hint="eastAsia" w:ascii="仿宋" w:hAnsi="仿宋" w:eastAsia="仿宋"/>
          <w:color w:val="000000"/>
          <w:sz w:val="32"/>
          <w:szCs w:val="32"/>
        </w:rPr>
        <w:t>万元。截至20</w:t>
      </w:r>
      <w:r>
        <w:rPr>
          <w:rFonts w:hint="eastAsia" w:ascii="仿宋" w:hAnsi="仿宋" w:eastAsia="仿宋"/>
          <w:color w:val="000000"/>
          <w:sz w:val="32"/>
          <w:szCs w:val="32"/>
          <w:lang w:val="en-US" w:eastAsia="zh-CN"/>
        </w:rPr>
        <w:t>21</w:t>
      </w:r>
      <w:r>
        <w:rPr>
          <w:rFonts w:hint="eastAsia" w:ascii="仿宋" w:hAnsi="仿宋" w:eastAsia="仿宋"/>
          <w:color w:val="000000"/>
          <w:sz w:val="32"/>
          <w:szCs w:val="32"/>
        </w:rPr>
        <w:t>年12月底，单位共有公务用车1</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辆，其中：轿车1辆、越野车</w:t>
      </w:r>
      <w:r>
        <w:rPr>
          <w:rFonts w:hint="eastAsia" w:ascii="仿宋" w:hAnsi="仿宋" w:eastAsia="仿宋"/>
          <w:color w:val="000000"/>
          <w:sz w:val="32"/>
          <w:szCs w:val="32"/>
          <w:lang w:val="en-US" w:eastAsia="zh-CN"/>
        </w:rPr>
        <w:t>7</w:t>
      </w:r>
      <w:r>
        <w:rPr>
          <w:rFonts w:hint="eastAsia" w:ascii="仿宋" w:hAnsi="仿宋" w:eastAsia="仿宋"/>
          <w:color w:val="000000"/>
          <w:sz w:val="32"/>
          <w:szCs w:val="32"/>
        </w:rPr>
        <w:t>辆、常委部门越野车2辆。</w:t>
      </w:r>
    </w:p>
    <w:p w14:paraId="605BC870">
      <w:pPr>
        <w:spacing w:line="560"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公务用车运行维护费支出</w:t>
      </w:r>
      <w:r>
        <w:rPr>
          <w:rFonts w:hint="eastAsia" w:ascii="仿宋" w:hAnsi="仿宋" w:eastAsia="仿宋"/>
          <w:color w:val="000000"/>
          <w:sz w:val="32"/>
          <w:szCs w:val="32"/>
          <w:lang w:val="en-US" w:eastAsia="zh-CN"/>
        </w:rPr>
        <w:t>146.23</w:t>
      </w:r>
      <w:r>
        <w:rPr>
          <w:rFonts w:hint="eastAsia" w:ascii="仿宋" w:hAnsi="仿宋" w:eastAsia="仿宋"/>
          <w:color w:val="000000"/>
          <w:sz w:val="32"/>
          <w:szCs w:val="32"/>
        </w:rPr>
        <w:t>万元。主要用于收集信息、反映动态、综合调研、重大调研活动、深化改革、国家安全、</w:t>
      </w:r>
      <w:r>
        <w:rPr>
          <w:rFonts w:ascii="仿宋" w:hAnsi="仿宋" w:eastAsia="仿宋"/>
          <w:color w:val="000000"/>
          <w:sz w:val="32"/>
          <w:szCs w:val="32"/>
        </w:rPr>
        <w:t>深化改革、保密机要，脱贫攻坚、</w:t>
      </w:r>
      <w:r>
        <w:rPr>
          <w:rFonts w:hint="eastAsia" w:ascii="仿宋" w:hAnsi="仿宋" w:eastAsia="仿宋"/>
          <w:color w:val="000000"/>
          <w:sz w:val="32"/>
          <w:szCs w:val="32"/>
        </w:rPr>
        <w:t>疫情防控、</w:t>
      </w:r>
      <w:r>
        <w:rPr>
          <w:rFonts w:ascii="仿宋" w:hAnsi="仿宋" w:eastAsia="仿宋"/>
          <w:color w:val="000000"/>
          <w:sz w:val="32"/>
          <w:szCs w:val="32"/>
        </w:rPr>
        <w:t>民族团结进步、应急抢险救灾、主办第</w:t>
      </w:r>
      <w:r>
        <w:rPr>
          <w:rFonts w:hint="eastAsia" w:ascii="仿宋" w:hAnsi="仿宋" w:eastAsia="仿宋"/>
          <w:color w:val="000000"/>
          <w:sz w:val="32"/>
          <w:szCs w:val="32"/>
        </w:rPr>
        <w:t>四</w:t>
      </w:r>
      <w:r>
        <w:rPr>
          <w:rFonts w:ascii="仿宋" w:hAnsi="仿宋" w:eastAsia="仿宋"/>
          <w:color w:val="000000"/>
          <w:sz w:val="32"/>
          <w:szCs w:val="32"/>
        </w:rPr>
        <w:t>届古城花灯会</w:t>
      </w:r>
      <w:r>
        <w:rPr>
          <w:rFonts w:hint="eastAsia" w:ascii="仿宋" w:hAnsi="仿宋" w:eastAsia="仿宋"/>
          <w:color w:val="000000"/>
          <w:sz w:val="32"/>
          <w:szCs w:val="32"/>
        </w:rPr>
        <w:t>、政策宣讲等工作所需的公务用车燃料费、维修费、过路过桥费、保险费等支出。</w:t>
      </w:r>
    </w:p>
    <w:p w14:paraId="3BDC30A2">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3</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2021年公务接待费7.9万元，接待69批次，760人。用于县委机关公务活动、接待，脱贫攻坚、重大活动、上级单位调研，</w:t>
      </w:r>
      <w:r>
        <w:rPr>
          <w:rFonts w:ascii="仿宋" w:hAnsi="仿宋" w:eastAsia="仿宋"/>
          <w:color w:val="000000"/>
          <w:sz w:val="32"/>
          <w:szCs w:val="32"/>
        </w:rPr>
        <w:t>主办古城花灯会</w:t>
      </w:r>
      <w:r>
        <w:rPr>
          <w:rFonts w:hint="eastAsia" w:ascii="仿宋" w:hAnsi="仿宋" w:eastAsia="仿宋"/>
          <w:color w:val="000000"/>
          <w:sz w:val="32"/>
          <w:szCs w:val="32"/>
        </w:rPr>
        <w:t>产生住宿费、餐费等支出。</w:t>
      </w:r>
    </w:p>
    <w:p w14:paraId="75852E57">
      <w:pPr>
        <w:spacing w:line="560" w:lineRule="exact"/>
        <w:ind w:firstLine="640" w:firstLineChars="200"/>
        <w:outlineLvl w:val="1"/>
        <w:rPr>
          <w:rFonts w:ascii="黑体" w:hAnsi="黑体" w:eastAsia="黑体"/>
          <w:color w:val="000000"/>
          <w:sz w:val="32"/>
          <w:szCs w:val="32"/>
        </w:rPr>
      </w:pPr>
      <w:bookmarkStart w:id="90" w:name="_Toc644"/>
      <w:r>
        <w:rPr>
          <w:rFonts w:hint="eastAsia" w:ascii="黑体" w:hAnsi="黑体" w:eastAsia="黑体"/>
          <w:color w:val="000000"/>
          <w:sz w:val="32"/>
          <w:szCs w:val="32"/>
        </w:rPr>
        <w:t>八、政府性基金预算财政拨款支出决算情况</w:t>
      </w:r>
      <w:bookmarkEnd w:id="90"/>
    </w:p>
    <w:p w14:paraId="1B266C19">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中共松潘县委办公室2021年使用政府性基金预算财政拨款0万元，无基金支出。</w:t>
      </w:r>
    </w:p>
    <w:p w14:paraId="45D50CF8">
      <w:pPr>
        <w:spacing w:line="600" w:lineRule="exact"/>
        <w:ind w:firstLine="640" w:firstLineChars="200"/>
        <w:outlineLvl w:val="1"/>
        <w:rPr>
          <w:rStyle w:val="26"/>
          <w:rFonts w:ascii="黑体" w:hAnsi="黑体" w:eastAsia="黑体"/>
          <w:b w:val="0"/>
        </w:rPr>
      </w:pPr>
      <w:bookmarkStart w:id="91" w:name="_Toc19491"/>
      <w:r>
        <w:rPr>
          <w:rFonts w:hint="eastAsia" w:ascii="黑体" w:hAnsi="黑体" w:eastAsia="黑体"/>
          <w:color w:val="000000"/>
          <w:sz w:val="32"/>
          <w:szCs w:val="32"/>
        </w:rPr>
        <w:t>九、</w:t>
      </w:r>
      <w:r>
        <w:rPr>
          <w:rStyle w:val="26"/>
          <w:rFonts w:hint="eastAsia" w:ascii="黑体" w:hAnsi="黑体" w:eastAsia="黑体"/>
          <w:b w:val="0"/>
        </w:rPr>
        <w:t>国有资本经营预算支出决算情况说明</w:t>
      </w:r>
      <w:bookmarkEnd w:id="91"/>
    </w:p>
    <w:p w14:paraId="2C83342D">
      <w:pPr>
        <w:spacing w:line="600" w:lineRule="exact"/>
        <w:ind w:firstLine="640"/>
        <w:rPr>
          <w:rFonts w:ascii="仿宋_GB2312" w:eastAsia="仿宋_GB2312"/>
          <w:color w:val="000000"/>
          <w:sz w:val="32"/>
          <w:szCs w:val="32"/>
        </w:rPr>
      </w:pPr>
      <w:r>
        <w:rPr>
          <w:rFonts w:ascii="仿宋_GB2312" w:eastAsia="仿宋_GB2312"/>
          <w:color w:val="000000"/>
          <w:sz w:val="32"/>
          <w:szCs w:val="32"/>
        </w:rPr>
        <w:t>202</w:t>
      </w:r>
      <w:r>
        <w:rPr>
          <w:rFonts w:hint="eastAsia" w:ascii="仿宋_GB2312" w:eastAsia="仿宋_GB2312"/>
          <w:color w:val="000000"/>
          <w:sz w:val="32"/>
          <w:szCs w:val="32"/>
        </w:rPr>
        <w:t>1年国有资本经营预算拨款支出0万元。</w:t>
      </w:r>
    </w:p>
    <w:p w14:paraId="5E7A7563">
      <w:pPr>
        <w:spacing w:line="560" w:lineRule="exact"/>
        <w:ind w:firstLine="640" w:firstLineChars="200"/>
        <w:outlineLvl w:val="1"/>
        <w:rPr>
          <w:rFonts w:ascii="黑体" w:hAnsi="黑体" w:eastAsia="黑体"/>
          <w:color w:val="000000"/>
          <w:sz w:val="32"/>
          <w:szCs w:val="32"/>
        </w:rPr>
      </w:pPr>
      <w:bookmarkStart w:id="92" w:name="_Toc11824"/>
      <w:r>
        <w:rPr>
          <w:rFonts w:hint="eastAsia" w:ascii="黑体" w:hAnsi="黑体" w:eastAsia="黑体"/>
          <w:color w:val="000000"/>
          <w:sz w:val="32"/>
          <w:szCs w:val="32"/>
        </w:rPr>
        <w:t>十、其他重要事项的情况说明</w:t>
      </w:r>
      <w:bookmarkEnd w:id="92"/>
    </w:p>
    <w:p w14:paraId="180220B9">
      <w:pPr>
        <w:spacing w:line="560" w:lineRule="exact"/>
        <w:ind w:left="319" w:leftChars="152" w:firstLine="320" w:firstLineChars="100"/>
        <w:rPr>
          <w:rFonts w:ascii="楷体" w:hAnsi="楷体" w:eastAsia="楷体"/>
          <w:color w:val="000000"/>
          <w:sz w:val="32"/>
          <w:szCs w:val="32"/>
        </w:rPr>
      </w:pPr>
      <w:r>
        <w:rPr>
          <w:rFonts w:hint="eastAsia" w:ascii="楷体" w:hAnsi="楷体" w:eastAsia="楷体"/>
          <w:color w:val="000000"/>
          <w:sz w:val="32"/>
          <w:szCs w:val="32"/>
        </w:rPr>
        <w:t>㈠机关运行经费支出情况</w:t>
      </w:r>
    </w:p>
    <w:p w14:paraId="6CE58702">
      <w:pPr>
        <w:snapToGrid w:val="0"/>
        <w:spacing w:line="578"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2021年度，中共松潘县委办公室机关运行经费支出611.51万元，比2020年增加107.32万元，增加21.28%。增加的主要原因是换届工作人员经费增加，机构运行费用增加，安可替代工程全面完成。</w:t>
      </w:r>
    </w:p>
    <w:p w14:paraId="0E495EA5">
      <w:pPr>
        <w:spacing w:line="560" w:lineRule="exact"/>
        <w:ind w:firstLine="480" w:firstLineChars="150"/>
        <w:rPr>
          <w:rFonts w:ascii="楷体" w:hAnsi="楷体" w:eastAsia="楷体"/>
          <w:color w:val="000000"/>
          <w:sz w:val="32"/>
          <w:szCs w:val="32"/>
        </w:rPr>
      </w:pPr>
      <w:r>
        <w:rPr>
          <w:rFonts w:hint="eastAsia" w:ascii="楷体" w:hAnsi="楷体" w:eastAsia="楷体"/>
          <w:color w:val="000000"/>
          <w:sz w:val="32"/>
          <w:szCs w:val="32"/>
        </w:rPr>
        <w:t>㈡政府采购支出情况</w:t>
      </w:r>
    </w:p>
    <w:p w14:paraId="49492462">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2020年度，中共松潘县委办公室政府采购支出239.86万元，用于购置安可替代工程设备，涉M会议室设备、公务用车购置。</w:t>
      </w:r>
    </w:p>
    <w:p w14:paraId="747DA56E">
      <w:pPr>
        <w:spacing w:line="560" w:lineRule="exact"/>
        <w:ind w:firstLine="480" w:firstLineChars="150"/>
        <w:rPr>
          <w:rFonts w:ascii="楷体" w:hAnsi="楷体" w:eastAsia="楷体"/>
          <w:color w:val="000000"/>
          <w:sz w:val="32"/>
          <w:szCs w:val="32"/>
        </w:rPr>
      </w:pPr>
      <w:r>
        <w:rPr>
          <w:rFonts w:hint="eastAsia" w:ascii="楷体" w:hAnsi="楷体" w:eastAsia="楷体"/>
          <w:color w:val="000000"/>
          <w:sz w:val="32"/>
          <w:szCs w:val="32"/>
        </w:rPr>
        <w:t>㈢国有资产占有使用情况</w:t>
      </w:r>
    </w:p>
    <w:p w14:paraId="625C87F4">
      <w:pPr>
        <w:spacing w:line="600" w:lineRule="exact"/>
        <w:ind w:firstLine="640" w:firstLineChars="200"/>
        <w:rPr>
          <w:rFonts w:ascii="仿宋_GB2312" w:eastAsia="仿宋_GB2312"/>
          <w:color w:val="000000"/>
          <w:sz w:val="32"/>
          <w:szCs w:val="32"/>
        </w:rPr>
      </w:pPr>
      <w:r>
        <w:rPr>
          <w:rFonts w:hint="eastAsia" w:ascii="仿宋" w:hAnsi="仿宋" w:eastAsia="仿宋"/>
          <w:color w:val="000000"/>
          <w:sz w:val="32"/>
          <w:szCs w:val="32"/>
        </w:rPr>
        <w:t>截至2021年12月31日，中共松潘县委办公室公务车辆10辆，其中：一般公务用车10辆；单价50万元以上通用设备0台（套），单价100万元以上专用设备0台（套）。</w:t>
      </w:r>
    </w:p>
    <w:p w14:paraId="3116B00D">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93" w:name="_Toc79163878"/>
      <w:bookmarkStart w:id="94" w:name="_Toc79163628"/>
      <w:r>
        <w:rPr>
          <w:rFonts w:hint="eastAsia" w:ascii="仿宋" w:hAnsi="仿宋" w:eastAsia="仿宋"/>
          <w:b/>
          <w:color w:val="000000"/>
          <w:sz w:val="32"/>
          <w:szCs w:val="32"/>
        </w:rPr>
        <w:t>（四）预算绩效管理情况。</w:t>
      </w:r>
      <w:bookmarkEnd w:id="93"/>
      <w:bookmarkEnd w:id="94"/>
    </w:p>
    <w:p w14:paraId="2FB60A2E">
      <w:pPr>
        <w:widowControl/>
        <w:adjustRightInd w:val="0"/>
        <w:snapToGrid w:val="0"/>
        <w:spacing w:line="570" w:lineRule="exact"/>
        <w:ind w:firstLine="640" w:firstLineChars="200"/>
        <w:jc w:val="left"/>
        <w:rPr>
          <w:rFonts w:ascii="仿宋_GB2312" w:hAnsi="仿宋" w:eastAsia="仿宋_GB2312" w:cs="仿宋"/>
          <w:color w:val="000000"/>
          <w:kern w:val="0"/>
          <w:sz w:val="32"/>
          <w:szCs w:val="32"/>
        </w:rPr>
      </w:pPr>
      <w:r>
        <w:rPr>
          <w:rFonts w:hint="eastAsia" w:ascii="仿宋_GB2312" w:hAnsi="仿宋_GB2312" w:eastAsia="仿宋_GB2312" w:cs="仿宋_GB2312"/>
          <w:sz w:val="32"/>
          <w:szCs w:val="32"/>
          <w:lang w:eastAsia="zh-CN"/>
        </w:rPr>
        <w:t>本</w:t>
      </w:r>
      <w:r>
        <w:rPr>
          <w:rFonts w:hint="eastAsia" w:ascii="仿宋_GB2312" w:hAnsi="仿宋_GB2312" w:eastAsia="仿宋_GB2312" w:cs="仿宋_GB2312"/>
          <w:sz w:val="32"/>
          <w:szCs w:val="32"/>
        </w:rPr>
        <w:t>部门按要求对</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1年部门整体支出开展绩效自评，从评价情况看</w:t>
      </w:r>
      <w:r>
        <w:rPr>
          <w:rFonts w:hint="eastAsia" w:ascii="仿宋_GB2312" w:hAnsi="仿宋" w:eastAsia="仿宋_GB2312" w:cs="仿宋"/>
          <w:color w:val="000000"/>
          <w:kern w:val="0"/>
          <w:sz w:val="32"/>
          <w:szCs w:val="32"/>
        </w:rPr>
        <w:t>，我县委办公室依据整体绩效目标所设定的绩效指标清晰、细化、可衡量，与部门年度的任务数或计划数相对应；与本年度部门预算资金相匹配。严格按照年初预算进行部门整体支出。在支出过程中，能严格遵守各项规章制度，</w:t>
      </w:r>
      <w:r>
        <w:rPr>
          <w:rFonts w:hint="eastAsia" w:ascii="仿宋_GB2312" w:hAnsi="仿宋" w:eastAsia="仿宋_GB2312" w:cs="仿宋"/>
          <w:color w:val="000000"/>
          <w:kern w:val="0"/>
          <w:sz w:val="32"/>
          <w:szCs w:val="32"/>
          <w:lang w:eastAsia="zh-CN"/>
        </w:rPr>
        <w:t>“三公”经费</w:t>
      </w:r>
      <w:r>
        <w:rPr>
          <w:rFonts w:hint="eastAsia" w:ascii="仿宋_GB2312" w:hAnsi="仿宋" w:eastAsia="仿宋_GB2312" w:cs="仿宋"/>
          <w:color w:val="000000"/>
          <w:kern w:val="0"/>
          <w:sz w:val="32"/>
          <w:szCs w:val="32"/>
        </w:rPr>
        <w:t>明显下降。尤其是在专项经费支出上，我们能专款专用，按项目实施计划的进度情况进行资金拨付，无截留、无挪用等现象。实行了先有预算、后有执行、“用钱必问效、无效必问责”的新常态。</w:t>
      </w:r>
    </w:p>
    <w:p w14:paraId="2AFDAB26">
      <w:pPr>
        <w:spacing w:line="580" w:lineRule="exact"/>
        <w:ind w:left="630"/>
        <w:rPr>
          <w:rFonts w:ascii="仿宋_GB2312" w:hAnsi="仿宋_GB2312" w:eastAsia="仿宋_GB2312" w:cs="仿宋_GB2312"/>
          <w:sz w:val="32"/>
          <w:szCs w:val="32"/>
        </w:rPr>
      </w:pPr>
    </w:p>
    <w:p w14:paraId="557C6A41">
      <w:pPr>
        <w:widowControl/>
        <w:jc w:val="left"/>
        <w:rPr>
          <w:rFonts w:ascii="仿宋_GB2312" w:eastAsia="仿宋_GB2312"/>
          <w:b/>
          <w:color w:val="000000"/>
          <w:sz w:val="32"/>
          <w:szCs w:val="32"/>
        </w:rPr>
      </w:pPr>
      <w:r>
        <w:rPr>
          <w:rFonts w:ascii="仿宋_GB2312" w:eastAsia="仿宋_GB2312"/>
          <w:b/>
          <w:color w:val="000000"/>
          <w:sz w:val="32"/>
          <w:szCs w:val="32"/>
        </w:rPr>
        <w:br w:type="page"/>
      </w:r>
    </w:p>
    <w:p w14:paraId="37F0261A">
      <w:pPr>
        <w:numPr>
          <w:ilvl w:val="0"/>
          <w:numId w:val="4"/>
        </w:numPr>
        <w:spacing w:line="600" w:lineRule="exact"/>
        <w:ind w:firstLine="660" w:firstLineChars="150"/>
        <w:jc w:val="center"/>
        <w:outlineLvl w:val="0"/>
        <w:rPr>
          <w:rStyle w:val="40"/>
          <w:rFonts w:ascii="黑体" w:hAnsi="黑体" w:eastAsia="黑体"/>
          <w:b w:val="0"/>
        </w:rPr>
      </w:pPr>
      <w:bookmarkStart w:id="95" w:name="_Toc15396613"/>
      <w:bookmarkStart w:id="96" w:name="_Toc15377225"/>
      <w:bookmarkStart w:id="97" w:name="_Toc79163879"/>
      <w:bookmarkStart w:id="98" w:name="_Toc79163629"/>
      <w:bookmarkStart w:id="99" w:name="_Toc31488"/>
      <w:r>
        <w:rPr>
          <w:rFonts w:hint="eastAsia" w:ascii="黑体" w:hAnsi="黑体" w:eastAsia="黑体"/>
          <w:color w:val="000000"/>
          <w:sz w:val="44"/>
          <w:szCs w:val="44"/>
        </w:rPr>
        <w:t>名</w:t>
      </w:r>
      <w:r>
        <w:rPr>
          <w:rStyle w:val="40"/>
          <w:rFonts w:hint="eastAsia" w:ascii="黑体" w:hAnsi="黑体" w:eastAsia="黑体"/>
          <w:b w:val="0"/>
        </w:rPr>
        <w:t>词解释</w:t>
      </w:r>
      <w:bookmarkEnd w:id="95"/>
      <w:bookmarkEnd w:id="96"/>
      <w:bookmarkEnd w:id="97"/>
      <w:bookmarkEnd w:id="98"/>
      <w:bookmarkEnd w:id="99"/>
    </w:p>
    <w:p w14:paraId="7E61324F">
      <w:pPr>
        <w:spacing w:line="600" w:lineRule="exact"/>
        <w:jc w:val="left"/>
        <w:rPr>
          <w:rFonts w:ascii="宋体"/>
          <w:b/>
          <w:color w:val="000000"/>
          <w:sz w:val="44"/>
          <w:szCs w:val="44"/>
        </w:rPr>
      </w:pPr>
    </w:p>
    <w:p w14:paraId="35F5A145">
      <w:pPr>
        <w:numPr>
          <w:ilvl w:val="0"/>
          <w:numId w:val="0"/>
        </w:numPr>
        <w:spacing w:line="560" w:lineRule="exact"/>
        <w:ind w:firstLine="640" w:firstLineChars="200"/>
        <w:outlineLvl w:val="1"/>
        <w:rPr>
          <w:rFonts w:ascii="仿宋" w:hAnsi="仿宋" w:eastAsia="仿宋"/>
          <w:color w:val="000000"/>
          <w:sz w:val="32"/>
          <w:szCs w:val="32"/>
        </w:rPr>
      </w:pPr>
      <w:bookmarkStart w:id="100" w:name="_Toc27800"/>
      <w:r>
        <w:rPr>
          <w:rFonts w:hint="eastAsia" w:ascii="仿宋" w:hAnsi="仿宋" w:eastAsia="仿宋"/>
          <w:color w:val="000000"/>
          <w:sz w:val="32"/>
          <w:szCs w:val="32"/>
          <w:lang w:val="en-US" w:eastAsia="zh-CN"/>
        </w:rPr>
        <w:t>1.</w:t>
      </w:r>
      <w:r>
        <w:rPr>
          <w:rFonts w:hint="eastAsia" w:ascii="仿宋" w:hAnsi="仿宋" w:eastAsia="仿宋"/>
          <w:color w:val="000000"/>
          <w:sz w:val="32"/>
          <w:szCs w:val="32"/>
        </w:rPr>
        <w:t>财政拨款收入：指县级财政当年拨付的资金。</w:t>
      </w:r>
      <w:bookmarkEnd w:id="100"/>
    </w:p>
    <w:p w14:paraId="13BFD850">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2.年初结转和结余：指以前年度尚未完成、结转到本年按有关规定继续使用的资金。</w:t>
      </w:r>
    </w:p>
    <w:p w14:paraId="03A9789B">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3.一般公共服务（类）201（款）31（项）01：指党委办公厅（室）及相关机构事务</w:t>
      </w:r>
      <w:r>
        <w:rPr>
          <w:rFonts w:hint="eastAsia" w:ascii="仿宋" w:hAnsi="仿宋" w:eastAsia="仿宋"/>
          <w:color w:val="000000"/>
          <w:sz w:val="32"/>
          <w:szCs w:val="32"/>
          <w:lang w:eastAsia="zh-CN"/>
        </w:rPr>
        <w:t>－</w:t>
      </w:r>
      <w:r>
        <w:rPr>
          <w:rFonts w:hint="eastAsia" w:ascii="仿宋" w:hAnsi="仿宋" w:eastAsia="仿宋"/>
          <w:color w:val="000000"/>
          <w:sz w:val="32"/>
          <w:szCs w:val="32"/>
        </w:rPr>
        <w:t>行政运行。（类）201（款）04（项）02：指一般</w:t>
      </w:r>
      <w:r>
        <w:rPr>
          <w:rFonts w:hint="eastAsia" w:ascii="仿宋" w:hAnsi="仿宋" w:eastAsia="仿宋"/>
          <w:color w:val="000000"/>
          <w:sz w:val="32"/>
          <w:szCs w:val="32"/>
          <w:lang w:eastAsia="zh-CN"/>
        </w:rPr>
        <w:t>行政管理事务</w:t>
      </w:r>
      <w:r>
        <w:rPr>
          <w:rFonts w:hint="eastAsia" w:ascii="仿宋" w:hAnsi="仿宋" w:eastAsia="仿宋"/>
          <w:color w:val="000000"/>
          <w:sz w:val="32"/>
          <w:szCs w:val="32"/>
        </w:rPr>
        <w:t>。（类）201（款）33（项）99：指宣传事务</w:t>
      </w:r>
      <w:r>
        <w:rPr>
          <w:rFonts w:hint="eastAsia" w:ascii="仿宋" w:hAnsi="仿宋" w:eastAsia="仿宋"/>
          <w:color w:val="000000"/>
          <w:sz w:val="32"/>
          <w:szCs w:val="32"/>
          <w:lang w:eastAsia="zh-CN"/>
        </w:rPr>
        <w:t>－</w:t>
      </w:r>
      <w:r>
        <w:rPr>
          <w:rFonts w:hint="eastAsia" w:ascii="仿宋" w:hAnsi="仿宋" w:eastAsia="仿宋"/>
          <w:color w:val="000000"/>
          <w:sz w:val="32"/>
          <w:szCs w:val="32"/>
        </w:rPr>
        <w:t>其他宣传事务支出。（类）201（款）99（项）99：其他一般公共服务支出。</w:t>
      </w:r>
    </w:p>
    <w:p w14:paraId="42AD272F">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4.社会保障和就业（类）208（款）05（项）05：指机关事业单位基本养老保险缴费支出。208（款）05（项）06：指机关事业单位职业年金缴费支出。</w:t>
      </w:r>
    </w:p>
    <w:p w14:paraId="0E0251CC">
      <w:pPr>
        <w:spacing w:line="56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5.医疗卫生与计划生育（类）210（款）05（项）01：指行政单位医疗。（类）210（款）05（项）02：指事业单位医疗。</w:t>
      </w:r>
    </w:p>
    <w:p w14:paraId="372B2232">
      <w:pPr>
        <w:ind w:firstLine="640" w:firstLineChars="200"/>
        <w:rPr>
          <w:rFonts w:hint="eastAsia" w:ascii="仿宋" w:hAnsi="仿宋" w:eastAsia="仿宋"/>
          <w:color w:val="000000"/>
          <w:sz w:val="32"/>
          <w:szCs w:val="32"/>
          <w:lang w:eastAsia="zh-CN"/>
        </w:rPr>
      </w:pPr>
      <w:r>
        <w:rPr>
          <w:rFonts w:hint="eastAsia" w:ascii="仿宋" w:hAnsi="仿宋" w:eastAsia="仿宋"/>
          <w:color w:val="000000"/>
          <w:sz w:val="32"/>
          <w:szCs w:val="32"/>
        </w:rPr>
        <w:t>6.住房保障（类）221（款）02（项）01：指住房公积金</w:t>
      </w:r>
      <w:r>
        <w:rPr>
          <w:rFonts w:hint="eastAsia" w:ascii="仿宋" w:hAnsi="仿宋" w:eastAsia="仿宋"/>
          <w:color w:val="000000"/>
          <w:sz w:val="32"/>
          <w:szCs w:val="32"/>
          <w:lang w:eastAsia="zh-CN"/>
        </w:rPr>
        <w:t>。</w:t>
      </w:r>
    </w:p>
    <w:p w14:paraId="2914E38B">
      <w:pPr>
        <w:ind w:firstLine="640" w:firstLineChars="200"/>
        <w:rPr>
          <w:rFonts w:ascii="仿宋" w:hAnsi="仿宋" w:eastAsia="仿宋"/>
          <w:color w:val="000000"/>
          <w:sz w:val="32"/>
          <w:szCs w:val="32"/>
        </w:rPr>
      </w:pPr>
      <w:r>
        <w:rPr>
          <w:rFonts w:hint="eastAsia" w:ascii="仿宋" w:hAnsi="仿宋" w:eastAsia="仿宋"/>
          <w:color w:val="000000"/>
          <w:sz w:val="32"/>
          <w:szCs w:val="32"/>
        </w:rPr>
        <w:t>7.年末结转和结余：指本年度或以前年度预算安排、因客观条件发生变化无法按原计划实施，需延迟到以后年度按有关规定继续使用的资金。</w:t>
      </w:r>
    </w:p>
    <w:p w14:paraId="4A24EE84">
      <w:pPr>
        <w:ind w:firstLine="640" w:firstLineChars="200"/>
        <w:rPr>
          <w:rFonts w:ascii="仿宋" w:hAnsi="仿宋" w:eastAsia="仿宋"/>
          <w:color w:val="000000"/>
          <w:sz w:val="32"/>
          <w:szCs w:val="32"/>
        </w:rPr>
      </w:pPr>
      <w:r>
        <w:rPr>
          <w:rFonts w:hint="eastAsia" w:ascii="仿宋" w:hAnsi="仿宋" w:eastAsia="仿宋"/>
          <w:color w:val="000000"/>
          <w:sz w:val="32"/>
          <w:szCs w:val="32"/>
        </w:rPr>
        <w:t>8.基本支出：指为保障机构正常运转、完成日常工作任务而发生的人员支出和公用支出。</w:t>
      </w:r>
    </w:p>
    <w:p w14:paraId="1C8ADCB5">
      <w:pPr>
        <w:ind w:firstLine="640" w:firstLineChars="200"/>
        <w:rPr>
          <w:rFonts w:ascii="仿宋" w:hAnsi="仿宋" w:eastAsia="仿宋"/>
          <w:color w:val="000000"/>
          <w:sz w:val="32"/>
          <w:szCs w:val="32"/>
        </w:rPr>
      </w:pPr>
      <w:r>
        <w:rPr>
          <w:rFonts w:hint="eastAsia" w:ascii="仿宋" w:hAnsi="仿宋" w:eastAsia="仿宋"/>
          <w:color w:val="000000"/>
          <w:sz w:val="32"/>
          <w:szCs w:val="32"/>
        </w:rPr>
        <w:t>9.项目支出：指在基本支出之外为完成特定行政任务和事业发展目标所发生的支出。</w:t>
      </w:r>
    </w:p>
    <w:p w14:paraId="5BBAC37F">
      <w:pPr>
        <w:ind w:firstLine="640" w:firstLineChars="200"/>
        <w:rPr>
          <w:rFonts w:ascii="仿宋" w:hAnsi="仿宋" w:eastAsia="仿宋"/>
          <w:color w:val="000000"/>
          <w:sz w:val="32"/>
          <w:szCs w:val="32"/>
        </w:rPr>
      </w:pPr>
      <w:r>
        <w:rPr>
          <w:rFonts w:hint="eastAsia" w:ascii="仿宋" w:hAnsi="仿宋" w:eastAsia="仿宋"/>
          <w:color w:val="000000"/>
          <w:sz w:val="32"/>
          <w:szCs w:val="32"/>
        </w:rPr>
        <w:t>10.“三公”经费：纳入县级财政预决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14:paraId="78A5FA79">
      <w:pPr>
        <w:ind w:firstLine="640" w:firstLineChars="200"/>
      </w:pPr>
      <w:r>
        <w:rPr>
          <w:rFonts w:hint="eastAsia" w:ascii="仿宋" w:hAnsi="仿宋" w:eastAsia="仿宋"/>
          <w:color w:val="000000"/>
          <w:sz w:val="32"/>
          <w:szCs w:val="32"/>
        </w:rPr>
        <w:t>11.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B1250C6">
      <w:pPr>
        <w:ind w:firstLine="640" w:firstLineChars="200"/>
        <w:rPr>
          <w:rFonts w:ascii="仿宋_GB2312" w:eastAsia="仿宋_GB2312"/>
          <w:color w:val="000000"/>
          <w:sz w:val="32"/>
          <w:szCs w:val="32"/>
        </w:rPr>
      </w:pPr>
      <w:r>
        <w:rPr>
          <w:rFonts w:hint="eastAsia" w:ascii="仿宋_GB2312" w:eastAsia="仿宋_GB2312"/>
          <w:color w:val="000000"/>
          <w:sz w:val="32"/>
          <w:szCs w:val="32"/>
        </w:rPr>
        <w:t>12</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14:paraId="021F3240">
      <w:pPr>
        <w:ind w:firstLine="640" w:firstLineChars="200"/>
        <w:rPr>
          <w:rFonts w:ascii="仿宋_GB2312" w:eastAsia="仿宋_GB2312"/>
          <w:color w:val="000000"/>
          <w:sz w:val="32"/>
          <w:szCs w:val="32"/>
        </w:rPr>
      </w:pPr>
      <w:r>
        <w:rPr>
          <w:rFonts w:hint="eastAsia" w:ascii="仿宋_GB2312" w:eastAsia="仿宋_GB2312"/>
          <w:color w:val="000000"/>
          <w:sz w:val="32"/>
          <w:szCs w:val="32"/>
        </w:rPr>
        <w:t>13</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p>
    <w:p w14:paraId="581ABA40">
      <w:pPr>
        <w:ind w:firstLine="640" w:firstLineChars="200"/>
        <w:rPr>
          <w:rFonts w:ascii="仿宋_GB2312" w:eastAsia="仿宋_GB2312"/>
          <w:color w:val="000000"/>
          <w:sz w:val="32"/>
          <w:szCs w:val="32"/>
        </w:rPr>
      </w:pPr>
      <w:r>
        <w:rPr>
          <w:rFonts w:hint="eastAsia" w:ascii="仿宋_GB2312" w:eastAsia="仿宋_GB2312"/>
          <w:color w:val="000000"/>
          <w:sz w:val="32"/>
          <w:szCs w:val="32"/>
        </w:rPr>
        <w:t>14</w:t>
      </w:r>
      <w:r>
        <w:rPr>
          <w:rFonts w:ascii="仿宋_GB2312" w:eastAsia="仿宋_GB2312"/>
          <w:color w:val="000000"/>
          <w:sz w:val="32"/>
          <w:szCs w:val="32"/>
        </w:rPr>
        <w:t>.</w:t>
      </w:r>
      <w:r>
        <w:rPr>
          <w:rFonts w:hint="eastAsia" w:ascii="仿宋_GB2312" w:eastAsia="仿宋_GB2312"/>
          <w:color w:val="000000"/>
          <w:sz w:val="32"/>
          <w:szCs w:val="32"/>
        </w:rPr>
        <w:t>经营支出：指事业单位在专业业务活动及其辅助活动之外开展非独立核算经营活动发生的支出。</w:t>
      </w:r>
    </w:p>
    <w:p w14:paraId="482C53ED">
      <w:pPr>
        <w:pStyle w:val="35"/>
        <w:spacing w:line="560" w:lineRule="exact"/>
        <w:ind w:firstLine="640" w:firstLineChars="200"/>
        <w:rPr>
          <w:rFonts w:ascii="仿宋_GB2312" w:eastAsia="仿宋_GB2312"/>
          <w:sz w:val="32"/>
          <w:szCs w:val="32"/>
        </w:rPr>
      </w:pPr>
      <w:r>
        <w:rPr>
          <w:rFonts w:hint="eastAsia" w:ascii="仿宋_GB2312" w:eastAsia="仿宋_GB2312"/>
          <w:sz w:val="32"/>
          <w:szCs w:val="32"/>
        </w:rPr>
        <w:t>15</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10CE905">
      <w:pPr>
        <w:pStyle w:val="35"/>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16</w:t>
      </w:r>
      <w:r>
        <w:rPr>
          <w:rFonts w:ascii="仿宋_GB2312" w:eastAsia="仿宋_GB2312"/>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5498AF7">
      <w:pPr>
        <w:pStyle w:val="35"/>
        <w:spacing w:line="560" w:lineRule="exact"/>
        <w:ind w:firstLine="640" w:firstLineChars="200"/>
        <w:rPr>
          <w:rFonts w:ascii="仿宋_GB2312" w:eastAsia="仿宋_GB2312" w:cs="黑体"/>
          <w:sz w:val="32"/>
          <w:szCs w:val="32"/>
        </w:rPr>
      </w:pPr>
    </w:p>
    <w:p w14:paraId="577196C7">
      <w:pPr>
        <w:spacing w:line="600" w:lineRule="exact"/>
        <w:jc w:val="center"/>
        <w:rPr>
          <w:rFonts w:ascii="黑体" w:hAnsi="黑体" w:eastAsia="黑体"/>
          <w:color w:val="000000"/>
          <w:sz w:val="44"/>
          <w:szCs w:val="44"/>
        </w:rPr>
      </w:pPr>
      <w:bookmarkStart w:id="101" w:name="_Toc79163630"/>
      <w:bookmarkStart w:id="102" w:name="_Toc79163880"/>
      <w:bookmarkStart w:id="103" w:name="_Toc15396614"/>
      <w:bookmarkStart w:id="104" w:name="_Toc15377226"/>
    </w:p>
    <w:p w14:paraId="7E5E0C65">
      <w:pPr>
        <w:spacing w:line="600" w:lineRule="exact"/>
        <w:jc w:val="center"/>
        <w:rPr>
          <w:rFonts w:ascii="黑体" w:hAnsi="黑体" w:eastAsia="黑体"/>
          <w:color w:val="000000"/>
          <w:sz w:val="44"/>
          <w:szCs w:val="44"/>
        </w:rPr>
      </w:pPr>
    </w:p>
    <w:p w14:paraId="201FECCB">
      <w:pPr>
        <w:spacing w:line="600" w:lineRule="exact"/>
        <w:jc w:val="center"/>
        <w:rPr>
          <w:rFonts w:ascii="黑体" w:hAnsi="黑体" w:eastAsia="黑体"/>
          <w:color w:val="000000"/>
          <w:sz w:val="44"/>
          <w:szCs w:val="44"/>
        </w:rPr>
      </w:pPr>
    </w:p>
    <w:p w14:paraId="57FFA833">
      <w:pPr>
        <w:spacing w:line="600" w:lineRule="exact"/>
        <w:jc w:val="center"/>
        <w:rPr>
          <w:rFonts w:ascii="黑体" w:hAnsi="黑体" w:eastAsia="黑体"/>
          <w:color w:val="000000"/>
          <w:sz w:val="44"/>
          <w:szCs w:val="44"/>
        </w:rPr>
      </w:pPr>
    </w:p>
    <w:p w14:paraId="6A2F9381">
      <w:pPr>
        <w:spacing w:line="600" w:lineRule="exact"/>
        <w:jc w:val="center"/>
        <w:rPr>
          <w:rFonts w:ascii="黑体" w:hAnsi="黑体" w:eastAsia="黑体"/>
          <w:color w:val="000000"/>
          <w:sz w:val="44"/>
          <w:szCs w:val="44"/>
        </w:rPr>
      </w:pPr>
    </w:p>
    <w:p w14:paraId="53353C33">
      <w:pPr>
        <w:spacing w:line="600" w:lineRule="exact"/>
        <w:jc w:val="center"/>
        <w:rPr>
          <w:rFonts w:ascii="黑体" w:hAnsi="黑体" w:eastAsia="黑体"/>
          <w:color w:val="000000"/>
          <w:sz w:val="44"/>
          <w:szCs w:val="44"/>
        </w:rPr>
      </w:pPr>
    </w:p>
    <w:p w14:paraId="3F99D78B">
      <w:pPr>
        <w:spacing w:line="600" w:lineRule="exact"/>
        <w:jc w:val="center"/>
        <w:rPr>
          <w:rFonts w:ascii="黑体" w:hAnsi="黑体" w:eastAsia="黑体"/>
          <w:color w:val="000000"/>
          <w:sz w:val="44"/>
          <w:szCs w:val="44"/>
        </w:rPr>
      </w:pPr>
    </w:p>
    <w:p w14:paraId="7E89ABE9">
      <w:pPr>
        <w:spacing w:line="600" w:lineRule="exact"/>
        <w:jc w:val="center"/>
        <w:rPr>
          <w:rFonts w:ascii="黑体" w:hAnsi="黑体" w:eastAsia="黑体"/>
          <w:color w:val="000000"/>
          <w:sz w:val="44"/>
          <w:szCs w:val="44"/>
        </w:rPr>
      </w:pPr>
    </w:p>
    <w:p w14:paraId="0D523F73">
      <w:pPr>
        <w:spacing w:line="600" w:lineRule="exact"/>
        <w:jc w:val="center"/>
        <w:rPr>
          <w:rFonts w:ascii="黑体" w:hAnsi="黑体" w:eastAsia="黑体"/>
          <w:color w:val="000000"/>
          <w:sz w:val="44"/>
          <w:szCs w:val="44"/>
        </w:rPr>
      </w:pPr>
    </w:p>
    <w:p w14:paraId="48923716">
      <w:pPr>
        <w:spacing w:line="600" w:lineRule="exact"/>
        <w:jc w:val="center"/>
        <w:outlineLvl w:val="0"/>
        <w:rPr>
          <w:rStyle w:val="25"/>
          <w:rFonts w:ascii="黑体" w:hAnsi="黑体" w:eastAsia="黑体"/>
          <w:b w:val="0"/>
        </w:rPr>
      </w:pPr>
      <w:bookmarkStart w:id="105" w:name="_Toc15587"/>
      <w:r>
        <w:rPr>
          <w:rFonts w:hint="eastAsia" w:ascii="黑体" w:hAnsi="黑体" w:eastAsia="黑体"/>
          <w:color w:val="000000"/>
          <w:sz w:val="44"/>
          <w:szCs w:val="44"/>
        </w:rPr>
        <w:t>第</w:t>
      </w:r>
      <w:r>
        <w:rPr>
          <w:rStyle w:val="25"/>
          <w:rFonts w:hint="eastAsia" w:ascii="黑体" w:hAnsi="黑体" w:eastAsia="黑体"/>
          <w:b w:val="0"/>
        </w:rPr>
        <w:t>四部分附件</w:t>
      </w:r>
      <w:bookmarkEnd w:id="101"/>
      <w:bookmarkEnd w:id="102"/>
      <w:bookmarkEnd w:id="103"/>
      <w:bookmarkEnd w:id="105"/>
    </w:p>
    <w:p w14:paraId="5C1719F5">
      <w:pPr>
        <w:spacing w:line="600" w:lineRule="exact"/>
        <w:jc w:val="left"/>
        <w:outlineLvl w:val="1"/>
        <w:rPr>
          <w:rFonts w:ascii="方正小标宋简体" w:hAnsi="方正小标宋简体" w:eastAsia="方正小标宋简体" w:cs="方正小标宋简体"/>
          <w:sz w:val="32"/>
          <w:szCs w:val="32"/>
        </w:rPr>
      </w:pPr>
      <w:bookmarkStart w:id="106" w:name="_Toc79163631"/>
      <w:bookmarkStart w:id="107" w:name="_Toc79163881"/>
      <w:bookmarkStart w:id="108" w:name="_Toc5432"/>
      <w:r>
        <w:rPr>
          <w:rFonts w:hint="eastAsia" w:ascii="黑体" w:hAnsi="黑体" w:eastAsia="黑体" w:cs="黑体"/>
          <w:sz w:val="32"/>
          <w:szCs w:val="32"/>
        </w:rPr>
        <w:t>附件</w:t>
      </w:r>
      <w:r>
        <w:rPr>
          <w:rFonts w:ascii="黑体" w:hAnsi="黑体" w:eastAsia="黑体" w:cs="黑体"/>
          <w:sz w:val="32"/>
          <w:szCs w:val="32"/>
        </w:rPr>
        <w:t>1</w:t>
      </w:r>
      <w:bookmarkEnd w:id="106"/>
      <w:bookmarkEnd w:id="107"/>
      <w:bookmarkEnd w:id="108"/>
    </w:p>
    <w:p w14:paraId="299476D2">
      <w:pPr>
        <w:widowControl/>
        <w:spacing w:line="640" w:lineRule="exact"/>
        <w:ind w:firstLine="3520" w:firstLineChars="800"/>
        <w:textAlignment w:val="bottom"/>
        <w:rPr>
          <w:rFonts w:ascii="方正小标宋简体" w:hAnsi="宋体" w:eastAsia="方正小标宋简体"/>
          <w:kern w:val="0"/>
          <w:sz w:val="44"/>
          <w:szCs w:val="44"/>
        </w:rPr>
      </w:pPr>
      <w:r>
        <w:rPr>
          <w:rFonts w:hint="eastAsia" w:ascii="方正小标宋简体" w:hAnsi="宋体" w:eastAsia="方正小标宋简体"/>
          <w:kern w:val="0"/>
          <w:sz w:val="44"/>
          <w:szCs w:val="44"/>
        </w:rPr>
        <w:t>中共松潘县委办公室</w:t>
      </w:r>
    </w:p>
    <w:p w14:paraId="658E98D8">
      <w:pPr>
        <w:widowControl/>
        <w:spacing w:line="640" w:lineRule="exact"/>
        <w:jc w:val="center"/>
        <w:textAlignment w:val="bottom"/>
        <w:rPr>
          <w:rFonts w:ascii="方正小标宋简体" w:hAnsi="宋体" w:eastAsia="方正小标宋简体"/>
          <w:kern w:val="0"/>
          <w:sz w:val="44"/>
          <w:szCs w:val="44"/>
        </w:rPr>
      </w:pPr>
      <w:r>
        <w:rPr>
          <w:rFonts w:ascii="方正小标宋简体" w:hAnsi="宋体" w:eastAsia="方正小标宋简体"/>
          <w:kern w:val="0"/>
          <w:sz w:val="44"/>
          <w:szCs w:val="44"/>
        </w:rPr>
        <w:t>20</w:t>
      </w:r>
      <w:r>
        <w:rPr>
          <w:rFonts w:hint="eastAsia" w:ascii="方正小标宋简体" w:hAnsi="宋体" w:eastAsia="方正小标宋简体"/>
          <w:kern w:val="0"/>
          <w:sz w:val="44"/>
          <w:szCs w:val="44"/>
        </w:rPr>
        <w:t>21年部门整体支出绩效报告</w:t>
      </w:r>
    </w:p>
    <w:p w14:paraId="5D3BD5C0">
      <w:pPr>
        <w:spacing w:line="570" w:lineRule="exact"/>
        <w:ind w:firstLine="640" w:firstLineChars="200"/>
        <w:rPr>
          <w:rFonts w:eastAsia="仿宋_GB2312"/>
          <w:bCs/>
          <w:sz w:val="32"/>
          <w:szCs w:val="32"/>
        </w:rPr>
      </w:pPr>
      <w:r>
        <w:rPr>
          <w:rFonts w:hint="eastAsia" w:eastAsia="仿宋_GB2312"/>
          <w:bCs/>
          <w:sz w:val="32"/>
          <w:szCs w:val="32"/>
        </w:rPr>
        <w:t>根据县财政局《关于开展2022年部门、政策和项目支出绩效评价工作的通知》（松财</w:t>
      </w:r>
      <w:r>
        <w:rPr>
          <w:rFonts w:hint="eastAsia" w:eastAsia="仿宋_GB2312"/>
          <w:bCs/>
          <w:sz w:val="32"/>
          <w:szCs w:val="32"/>
          <w:lang w:eastAsia="zh-CN"/>
        </w:rPr>
        <w:t>〔</w:t>
      </w:r>
      <w:r>
        <w:rPr>
          <w:rFonts w:hint="eastAsia" w:eastAsia="仿宋_GB2312"/>
          <w:bCs/>
          <w:sz w:val="32"/>
          <w:szCs w:val="32"/>
        </w:rPr>
        <w:t>2022</w:t>
      </w:r>
      <w:r>
        <w:rPr>
          <w:rFonts w:hint="eastAsia" w:eastAsia="仿宋_GB2312"/>
          <w:bCs/>
          <w:sz w:val="32"/>
          <w:szCs w:val="32"/>
          <w:lang w:eastAsia="zh-CN"/>
        </w:rPr>
        <w:t>〕</w:t>
      </w:r>
      <w:r>
        <w:rPr>
          <w:rFonts w:hint="eastAsia" w:eastAsia="仿宋_GB2312"/>
          <w:bCs/>
          <w:sz w:val="32"/>
          <w:szCs w:val="32"/>
        </w:rPr>
        <w:t>158号）文件精神，结合预算绩效管理工作要点，组织专人对2021年财政资金整体支出绩效进行了认真自评，总体自我评价是：财政资金预算配置合理合规，预算执行严格有序，预算管理规范可控，资金效益合乎预期。具体自评情况如下：</w:t>
      </w:r>
    </w:p>
    <w:p w14:paraId="7ED2745A">
      <w:pPr>
        <w:spacing w:line="570" w:lineRule="exact"/>
        <w:ind w:firstLine="640" w:firstLineChars="200"/>
        <w:outlineLvl w:val="1"/>
        <w:rPr>
          <w:rFonts w:ascii="黑体" w:hAnsi="黑体" w:eastAsia="黑体" w:cs="黑体"/>
          <w:bCs/>
          <w:sz w:val="32"/>
          <w:szCs w:val="32"/>
          <w:lang w:val="zh-CN"/>
        </w:rPr>
      </w:pPr>
      <w:bookmarkStart w:id="109" w:name="_Toc18248"/>
      <w:r>
        <w:rPr>
          <w:rFonts w:hint="eastAsia" w:ascii="黑体" w:hAnsi="黑体" w:eastAsia="黑体" w:cs="黑体"/>
          <w:bCs/>
          <w:sz w:val="32"/>
          <w:szCs w:val="32"/>
        </w:rPr>
        <w:t>一、</w:t>
      </w:r>
      <w:r>
        <w:rPr>
          <w:rFonts w:hint="eastAsia" w:ascii="黑体" w:hAnsi="黑体" w:eastAsia="黑体" w:cs="黑体"/>
          <w:bCs/>
          <w:sz w:val="32"/>
          <w:szCs w:val="32"/>
          <w:lang w:val="zh-CN"/>
        </w:rPr>
        <w:t>部门（单位）概况</w:t>
      </w:r>
      <w:bookmarkEnd w:id="109"/>
    </w:p>
    <w:p w14:paraId="1AD6962E">
      <w:pPr>
        <w:spacing w:line="570" w:lineRule="exact"/>
        <w:ind w:firstLine="640" w:firstLineChars="200"/>
        <w:rPr>
          <w:rFonts w:eastAsia="仿宋_GB2312"/>
          <w:bCs/>
          <w:sz w:val="32"/>
          <w:szCs w:val="32"/>
          <w:lang w:val="zh-CN"/>
        </w:rPr>
      </w:pPr>
      <w:r>
        <w:rPr>
          <w:rFonts w:hint="eastAsia" w:eastAsia="仿宋_GB2312"/>
          <w:bCs/>
          <w:sz w:val="32"/>
          <w:szCs w:val="32"/>
          <w:lang w:val="zh-CN"/>
        </w:rPr>
        <w:t>（一）机构组成</w:t>
      </w:r>
    </w:p>
    <w:p w14:paraId="70A05DB9">
      <w:pPr>
        <w:spacing w:line="570" w:lineRule="exact"/>
        <w:ind w:firstLine="640" w:firstLineChars="200"/>
        <w:rPr>
          <w:rFonts w:eastAsia="仿宋_GB2312"/>
          <w:bCs/>
          <w:sz w:val="32"/>
          <w:szCs w:val="32"/>
        </w:rPr>
      </w:pPr>
      <w:r>
        <w:rPr>
          <w:rFonts w:hint="eastAsia" w:eastAsia="仿宋_GB2312"/>
          <w:bCs/>
          <w:sz w:val="32"/>
          <w:szCs w:val="32"/>
        </w:rPr>
        <w:t>中共松潘县委办公室为行政单位（正科级单位），下设7个股室即综合股、秘书股、信息股、机要保密股、县委督查室、人事行政股、机关党委。</w:t>
      </w:r>
    </w:p>
    <w:p w14:paraId="4AD5CC7C">
      <w:pPr>
        <w:widowControl/>
        <w:adjustRightInd w:val="0"/>
        <w:snapToGrid w:val="0"/>
        <w:spacing w:line="570" w:lineRule="exact"/>
        <w:ind w:firstLine="320" w:firstLineChars="100"/>
        <w:jc w:val="left"/>
        <w:rPr>
          <w:rFonts w:ascii="仿宋_GB2312" w:hAnsi="宋体" w:cs="宋体"/>
          <w:color w:val="000000"/>
          <w:kern w:val="0"/>
          <w:sz w:val="32"/>
          <w:szCs w:val="32"/>
          <w:lang w:val="zh-CN"/>
        </w:rPr>
      </w:pPr>
      <w:r>
        <w:rPr>
          <w:rFonts w:hint="eastAsia" w:ascii="仿宋_GB2312" w:hAnsi="宋体" w:cs="宋体"/>
          <w:color w:val="000000"/>
          <w:kern w:val="0"/>
          <w:sz w:val="32"/>
          <w:szCs w:val="32"/>
          <w:lang w:val="zh-CN"/>
        </w:rPr>
        <w:t>（</w:t>
      </w:r>
      <w:r>
        <w:rPr>
          <w:rFonts w:hint="eastAsia" w:ascii="楷体" w:hAnsi="楷体" w:eastAsia="楷体" w:cs="宋体"/>
          <w:color w:val="000000"/>
          <w:kern w:val="0"/>
          <w:sz w:val="32"/>
          <w:szCs w:val="32"/>
          <w:lang w:val="zh-CN"/>
        </w:rPr>
        <w:t>二）机构职能</w:t>
      </w:r>
    </w:p>
    <w:p w14:paraId="7FBE1316">
      <w:pPr>
        <w:spacing w:line="570" w:lineRule="exact"/>
        <w:ind w:firstLine="640" w:firstLineChars="200"/>
        <w:rPr>
          <w:rFonts w:eastAsia="仿宋_GB2312"/>
          <w:bCs/>
          <w:color w:val="0000FF"/>
          <w:sz w:val="32"/>
          <w:szCs w:val="32"/>
        </w:rPr>
      </w:pPr>
      <w:r>
        <w:rPr>
          <w:rFonts w:hint="eastAsia"/>
          <w:bCs/>
          <w:sz w:val="32"/>
          <w:szCs w:val="32"/>
        </w:rPr>
        <w:t>1.</w:t>
      </w:r>
      <w:r>
        <w:rPr>
          <w:rFonts w:eastAsia="仿宋_GB2312"/>
          <w:bCs/>
          <w:sz w:val="32"/>
          <w:szCs w:val="32"/>
        </w:rPr>
        <w:t>负责中央、省委、州委、县委决策部署贯彻落实的协调、督促、检查，中央、省委、州委、县委领导同志批示的传达和督办。</w:t>
      </w:r>
    </w:p>
    <w:p w14:paraId="2B6EA8D7">
      <w:pPr>
        <w:spacing w:line="570" w:lineRule="exact"/>
        <w:ind w:firstLine="642"/>
        <w:rPr>
          <w:rFonts w:eastAsia="仿宋_GB2312"/>
          <w:bCs/>
          <w:sz w:val="32"/>
          <w:szCs w:val="32"/>
        </w:rPr>
      </w:pPr>
      <w:r>
        <w:rPr>
          <w:rFonts w:hint="eastAsia"/>
          <w:bCs/>
          <w:sz w:val="32"/>
          <w:szCs w:val="32"/>
        </w:rPr>
        <w:t>2.</w:t>
      </w:r>
      <w:r>
        <w:rPr>
          <w:rFonts w:eastAsia="仿宋_GB2312"/>
          <w:bCs/>
          <w:sz w:val="32"/>
          <w:szCs w:val="32"/>
        </w:rPr>
        <w:t>负责县委会议、重大活动的准备和实施，县委领导活动的协调安排，县委各类文稿的撰写、修改和印制。</w:t>
      </w:r>
    </w:p>
    <w:p w14:paraId="6693794A">
      <w:pPr>
        <w:spacing w:line="570" w:lineRule="exact"/>
        <w:rPr>
          <w:rFonts w:eastAsia="仿宋_GB2312"/>
          <w:bCs/>
          <w:sz w:val="32"/>
          <w:szCs w:val="32"/>
        </w:rPr>
      </w:pPr>
      <w:r>
        <w:rPr>
          <w:rFonts w:hint="eastAsia"/>
          <w:bCs/>
          <w:sz w:val="32"/>
          <w:szCs w:val="32"/>
        </w:rPr>
        <w:t>3.</w:t>
      </w:r>
      <w:r>
        <w:rPr>
          <w:rFonts w:eastAsia="仿宋_GB2312"/>
          <w:bCs/>
          <w:sz w:val="32"/>
          <w:szCs w:val="32"/>
        </w:rPr>
        <w:t>围绕州委和县委总体工作部署，收集信息，反映情况，调查研究，综合协调，为县委决策提供依据和服务。</w:t>
      </w:r>
    </w:p>
    <w:p w14:paraId="20B9DD48">
      <w:pPr>
        <w:spacing w:line="570" w:lineRule="exact"/>
        <w:ind w:firstLine="640"/>
        <w:rPr>
          <w:rFonts w:eastAsia="仿宋_GB2312"/>
          <w:bCs/>
          <w:sz w:val="32"/>
          <w:szCs w:val="32"/>
        </w:rPr>
      </w:pPr>
      <w:r>
        <w:rPr>
          <w:rFonts w:hint="eastAsia"/>
          <w:bCs/>
          <w:sz w:val="32"/>
          <w:szCs w:val="32"/>
        </w:rPr>
        <w:t>4.</w:t>
      </w:r>
      <w:r>
        <w:rPr>
          <w:rFonts w:eastAsia="仿宋_GB2312"/>
          <w:bCs/>
          <w:sz w:val="32"/>
          <w:szCs w:val="32"/>
        </w:rPr>
        <w:t>负责上级公文的承办和县委文件的草拟、印制、分发管理等工作。</w:t>
      </w:r>
    </w:p>
    <w:p w14:paraId="2621F9AC">
      <w:pPr>
        <w:spacing w:line="570" w:lineRule="exact"/>
        <w:ind w:firstLine="640"/>
        <w:rPr>
          <w:rFonts w:eastAsia="仿宋_GB2312"/>
          <w:bCs/>
          <w:sz w:val="32"/>
          <w:szCs w:val="32"/>
        </w:rPr>
      </w:pPr>
      <w:r>
        <w:rPr>
          <w:rFonts w:hint="eastAsia"/>
          <w:bCs/>
          <w:sz w:val="32"/>
          <w:szCs w:val="32"/>
        </w:rPr>
        <w:t>5.</w:t>
      </w:r>
      <w:r>
        <w:rPr>
          <w:rFonts w:eastAsia="仿宋_GB2312"/>
          <w:bCs/>
          <w:sz w:val="32"/>
          <w:szCs w:val="32"/>
        </w:rPr>
        <w:t>负责督促指导全县党内规范性文件的制定、审查、备案等工作。</w:t>
      </w:r>
    </w:p>
    <w:p w14:paraId="395B3CF8">
      <w:pPr>
        <w:spacing w:line="570" w:lineRule="exact"/>
        <w:ind w:firstLine="640" w:firstLineChars="200"/>
        <w:rPr>
          <w:rFonts w:eastAsia="仿宋_GB2312"/>
          <w:bCs/>
          <w:sz w:val="32"/>
          <w:szCs w:val="32"/>
        </w:rPr>
      </w:pPr>
      <w:r>
        <w:rPr>
          <w:rFonts w:hint="eastAsia"/>
          <w:bCs/>
          <w:sz w:val="32"/>
          <w:szCs w:val="32"/>
        </w:rPr>
        <w:t>6.</w:t>
      </w:r>
      <w:r>
        <w:rPr>
          <w:rFonts w:eastAsia="仿宋_GB2312"/>
          <w:bCs/>
          <w:sz w:val="32"/>
          <w:szCs w:val="32"/>
        </w:rPr>
        <w:t>承担县委值班工作，负责全县党委办公室系统值班检查指导，对突发事件紧急情况跟踪了解、协调处理。</w:t>
      </w:r>
    </w:p>
    <w:p w14:paraId="7BD1CF5A">
      <w:pPr>
        <w:spacing w:line="570" w:lineRule="exact"/>
        <w:ind w:firstLine="640" w:firstLineChars="200"/>
        <w:rPr>
          <w:rFonts w:eastAsia="仿宋_GB2312"/>
          <w:bCs/>
          <w:sz w:val="32"/>
          <w:szCs w:val="32"/>
        </w:rPr>
      </w:pPr>
      <w:r>
        <w:rPr>
          <w:rFonts w:hint="eastAsia"/>
          <w:bCs/>
          <w:sz w:val="32"/>
          <w:szCs w:val="32"/>
        </w:rPr>
        <w:t>7.</w:t>
      </w:r>
      <w:r>
        <w:rPr>
          <w:rFonts w:eastAsia="仿宋_GB2312"/>
          <w:bCs/>
          <w:sz w:val="32"/>
          <w:szCs w:val="32"/>
        </w:rPr>
        <w:t>负责做好与州委藏区办工作的对接和办理。</w:t>
      </w:r>
    </w:p>
    <w:p w14:paraId="2B449A79">
      <w:pPr>
        <w:spacing w:line="570" w:lineRule="exact"/>
        <w:ind w:firstLine="640" w:firstLineChars="200"/>
        <w:rPr>
          <w:rFonts w:eastAsia="仿宋_GB2312"/>
          <w:bCs/>
          <w:sz w:val="32"/>
          <w:szCs w:val="32"/>
        </w:rPr>
      </w:pPr>
      <w:r>
        <w:rPr>
          <w:rFonts w:hint="eastAsia"/>
          <w:bCs/>
          <w:sz w:val="32"/>
          <w:szCs w:val="32"/>
        </w:rPr>
        <w:t>8.</w:t>
      </w:r>
      <w:r>
        <w:rPr>
          <w:rFonts w:eastAsia="仿宋_GB2312"/>
          <w:bCs/>
          <w:sz w:val="32"/>
          <w:szCs w:val="32"/>
        </w:rPr>
        <w:t>负责贯彻执行《中华人民共和国档案法》等相关法律法规</w:t>
      </w:r>
      <w:r>
        <w:rPr>
          <w:rFonts w:hint="eastAsia" w:eastAsia="仿宋_GB2312"/>
          <w:bCs/>
          <w:sz w:val="32"/>
          <w:szCs w:val="32"/>
        </w:rPr>
        <w:t>。</w:t>
      </w:r>
      <w:r>
        <w:rPr>
          <w:rFonts w:eastAsia="仿宋_GB2312"/>
          <w:bCs/>
          <w:sz w:val="32"/>
          <w:szCs w:val="32"/>
        </w:rPr>
        <w:t>负责制定全县档案事业发展规划和年度计划并组织实施</w:t>
      </w:r>
      <w:r>
        <w:rPr>
          <w:rFonts w:hint="eastAsia" w:eastAsia="仿宋_GB2312"/>
          <w:bCs/>
          <w:sz w:val="32"/>
          <w:szCs w:val="32"/>
        </w:rPr>
        <w:t>。</w:t>
      </w:r>
      <w:r>
        <w:rPr>
          <w:rFonts w:eastAsia="仿宋_GB2312"/>
          <w:bCs/>
          <w:sz w:val="32"/>
          <w:szCs w:val="32"/>
        </w:rPr>
        <w:t>负责全县档案工作的统筹规划和管理，依法对全县档案工作进行监督检查并查处违法行为。</w:t>
      </w:r>
    </w:p>
    <w:p w14:paraId="7AF36ADD">
      <w:pPr>
        <w:spacing w:line="570" w:lineRule="exact"/>
        <w:rPr>
          <w:rFonts w:eastAsia="仿宋_GB2312"/>
          <w:bCs/>
          <w:sz w:val="32"/>
          <w:szCs w:val="32"/>
        </w:rPr>
      </w:pPr>
      <w:r>
        <w:rPr>
          <w:rFonts w:hint="eastAsia"/>
          <w:bCs/>
          <w:sz w:val="32"/>
          <w:szCs w:val="32"/>
        </w:rPr>
        <w:t>9.</w:t>
      </w:r>
      <w:r>
        <w:rPr>
          <w:rFonts w:eastAsia="仿宋_GB2312"/>
          <w:bCs/>
          <w:sz w:val="32"/>
          <w:szCs w:val="32"/>
        </w:rPr>
        <w:t>负责协调县委办公室办公区的社会治安综合治理和安全防范。</w:t>
      </w:r>
    </w:p>
    <w:p w14:paraId="0C917C53">
      <w:pPr>
        <w:spacing w:line="570" w:lineRule="exact"/>
        <w:ind w:firstLine="640" w:firstLineChars="200"/>
        <w:rPr>
          <w:rFonts w:ascii="仿宋_GB2312" w:hAnsi="仿宋_GB2312" w:eastAsia="仿宋_GB2312" w:cs="仿宋_GB2312"/>
          <w:bCs/>
          <w:sz w:val="32"/>
          <w:szCs w:val="32"/>
        </w:rPr>
      </w:pPr>
      <w:r>
        <w:rPr>
          <w:rFonts w:hint="eastAsia" w:ascii="仿宋_GB2312" w:hAnsi="仿宋_GB2312" w:cs="仿宋_GB2312"/>
          <w:bCs/>
          <w:sz w:val="32"/>
          <w:szCs w:val="32"/>
        </w:rPr>
        <w:t>10.</w:t>
      </w:r>
      <w:r>
        <w:rPr>
          <w:rFonts w:hint="eastAsia" w:ascii="仿宋_GB2312" w:hAnsi="仿宋_GB2312" w:eastAsia="仿宋_GB2312" w:cs="仿宋_GB2312"/>
          <w:bCs/>
          <w:sz w:val="32"/>
          <w:szCs w:val="32"/>
        </w:rPr>
        <w:t>负责全县机要密码和保密工作。</w:t>
      </w:r>
    </w:p>
    <w:p w14:paraId="6C05E553">
      <w:pPr>
        <w:spacing w:line="570" w:lineRule="exact"/>
        <w:ind w:firstLine="640" w:firstLineChars="200"/>
        <w:rPr>
          <w:rFonts w:ascii="仿宋_GB2312" w:hAnsi="仿宋_GB2312" w:eastAsia="仿宋_GB2312" w:cs="仿宋_GB2312"/>
          <w:bCs/>
          <w:sz w:val="32"/>
          <w:szCs w:val="32"/>
        </w:rPr>
      </w:pPr>
      <w:r>
        <w:rPr>
          <w:rFonts w:hint="eastAsia" w:ascii="仿宋_GB2312" w:hAnsi="仿宋_GB2312" w:cs="仿宋_GB2312"/>
          <w:bCs/>
          <w:sz w:val="32"/>
          <w:szCs w:val="32"/>
        </w:rPr>
        <w:t>11.</w:t>
      </w:r>
      <w:r>
        <w:rPr>
          <w:rFonts w:hint="eastAsia" w:ascii="仿宋_GB2312" w:hAnsi="仿宋_GB2312" w:eastAsia="仿宋_GB2312" w:cs="仿宋_GB2312"/>
          <w:bCs/>
          <w:sz w:val="32"/>
          <w:szCs w:val="32"/>
        </w:rPr>
        <w:t>代管县公务服务中心、县档案馆。</w:t>
      </w:r>
    </w:p>
    <w:p w14:paraId="3C1ADC42">
      <w:pPr>
        <w:spacing w:line="570" w:lineRule="exact"/>
        <w:rPr>
          <w:rFonts w:eastAsia="仿宋_GB2312"/>
          <w:bCs/>
          <w:sz w:val="32"/>
          <w:szCs w:val="32"/>
        </w:rPr>
      </w:pPr>
      <w:r>
        <w:rPr>
          <w:rFonts w:hint="eastAsia"/>
          <w:bCs/>
          <w:sz w:val="32"/>
          <w:szCs w:val="32"/>
        </w:rPr>
        <w:t>12.</w:t>
      </w:r>
      <w:r>
        <w:rPr>
          <w:rFonts w:hint="eastAsia" w:eastAsia="仿宋_GB2312"/>
          <w:bCs/>
          <w:sz w:val="32"/>
          <w:szCs w:val="32"/>
        </w:rPr>
        <w:t>完成</w:t>
      </w:r>
      <w:r>
        <w:rPr>
          <w:rFonts w:eastAsia="仿宋_GB2312"/>
          <w:bCs/>
          <w:sz w:val="32"/>
          <w:szCs w:val="32"/>
        </w:rPr>
        <w:t>县委领导交办的其他工作。</w:t>
      </w:r>
    </w:p>
    <w:p w14:paraId="3126D8C7">
      <w:pPr>
        <w:widowControl/>
        <w:adjustRightInd w:val="0"/>
        <w:snapToGrid w:val="0"/>
        <w:spacing w:line="570" w:lineRule="exact"/>
        <w:jc w:val="left"/>
        <w:rPr>
          <w:rFonts w:ascii="仿宋_GB2312" w:hAnsi="宋体" w:cs="宋体"/>
          <w:color w:val="000000"/>
          <w:kern w:val="0"/>
          <w:sz w:val="32"/>
          <w:szCs w:val="32"/>
          <w:lang w:val="zh-CN"/>
        </w:rPr>
      </w:pPr>
      <w:r>
        <w:rPr>
          <w:rFonts w:hint="eastAsia" w:ascii="仿宋_GB2312" w:hAnsi="宋体" w:cs="宋体"/>
          <w:color w:val="000000"/>
          <w:kern w:val="0"/>
          <w:sz w:val="32"/>
          <w:szCs w:val="32"/>
          <w:lang w:val="zh-CN"/>
        </w:rPr>
        <w:t>（</w:t>
      </w:r>
      <w:r>
        <w:rPr>
          <w:rFonts w:hint="eastAsia" w:ascii="楷体" w:hAnsi="楷体" w:eastAsia="楷体" w:cs="宋体"/>
          <w:color w:val="000000"/>
          <w:kern w:val="0"/>
          <w:sz w:val="32"/>
          <w:szCs w:val="32"/>
          <w:lang w:val="zh-CN"/>
        </w:rPr>
        <w:t>三）人员概况</w:t>
      </w:r>
    </w:p>
    <w:p w14:paraId="79F9BF6E">
      <w:pPr>
        <w:widowControl/>
        <w:adjustRightInd w:val="0"/>
        <w:snapToGrid w:val="0"/>
        <w:spacing w:line="570" w:lineRule="exact"/>
        <w:ind w:firstLine="640" w:firstLineChars="200"/>
        <w:jc w:val="left"/>
        <w:rPr>
          <w:rFonts w:eastAsia="仿宋_GB2312"/>
          <w:bCs/>
          <w:sz w:val="32"/>
          <w:szCs w:val="32"/>
        </w:rPr>
      </w:pPr>
      <w:r>
        <w:rPr>
          <w:rFonts w:hint="eastAsia" w:ascii="Times New Roman" w:hAnsi="Times New Roman" w:eastAsia="仿宋_GB2312" w:cs="Times New Roman"/>
          <w:bCs/>
          <w:sz w:val="32"/>
          <w:szCs w:val="32"/>
        </w:rPr>
        <w:t>县委办公室</w:t>
      </w:r>
      <w:r>
        <w:rPr>
          <w:rFonts w:hint="eastAsia" w:eastAsia="仿宋_GB2312"/>
          <w:bCs/>
          <w:sz w:val="32"/>
          <w:szCs w:val="32"/>
        </w:rPr>
        <w:t>行政编制18名，其中：办公室主任1名（兼县档案局局长）副主任2名（不含兼职，其中1名兼县国家保密局局长、县密码管理局局长）；机关党委书记1名，股级领导职数6名。机关后勤服务人员事业编制8名。</w:t>
      </w:r>
    </w:p>
    <w:p w14:paraId="7ABB69BF">
      <w:pPr>
        <w:widowControl/>
        <w:numPr>
          <w:ilvl w:val="0"/>
          <w:numId w:val="5"/>
        </w:numPr>
        <w:adjustRightInd w:val="0"/>
        <w:snapToGrid w:val="0"/>
        <w:spacing w:line="570" w:lineRule="exact"/>
        <w:jc w:val="left"/>
        <w:rPr>
          <w:rFonts w:ascii="楷体" w:hAnsi="楷体" w:eastAsia="楷体" w:cs="楷体"/>
          <w:color w:val="000000"/>
          <w:kern w:val="0"/>
          <w:sz w:val="32"/>
          <w:szCs w:val="32"/>
          <w:lang w:val="zh-CN"/>
        </w:rPr>
      </w:pPr>
      <w:r>
        <w:rPr>
          <w:rFonts w:hint="eastAsia" w:ascii="楷体" w:hAnsi="楷体" w:eastAsia="楷体" w:cs="楷体"/>
          <w:color w:val="000000"/>
          <w:kern w:val="0"/>
          <w:sz w:val="32"/>
          <w:szCs w:val="32"/>
          <w:lang w:val="zh-CN"/>
        </w:rPr>
        <w:t>重点工作</w:t>
      </w:r>
    </w:p>
    <w:p w14:paraId="0C829011">
      <w:pPr>
        <w:spacing w:line="578" w:lineRule="exact"/>
        <w:ind w:firstLine="640" w:firstLineChars="200"/>
        <w:rPr>
          <w:rFonts w:eastAsia="仿宋_GB2312"/>
          <w:sz w:val="32"/>
          <w:szCs w:val="32"/>
        </w:rPr>
      </w:pPr>
      <w:r>
        <w:rPr>
          <w:rFonts w:eastAsia="仿宋_GB2312"/>
          <w:sz w:val="32"/>
          <w:szCs w:val="32"/>
        </w:rPr>
        <w:t>202</w:t>
      </w:r>
      <w:r>
        <w:rPr>
          <w:rFonts w:hint="eastAsia" w:eastAsia="仿宋_GB2312"/>
          <w:sz w:val="32"/>
          <w:szCs w:val="32"/>
        </w:rPr>
        <w:t>1</w:t>
      </w:r>
      <w:r>
        <w:rPr>
          <w:rFonts w:eastAsia="仿宋_GB2312"/>
          <w:sz w:val="32"/>
          <w:szCs w:val="32"/>
        </w:rPr>
        <w:t>年以来，县委办公室在县委的坚强领导下，坚持以习近平新时代中国特色社会主义思想为指导，深入贯彻习近平总书记关于“坚持绝对忠诚的政治品格、坚持高度自觉的大局意识、坚持极端负责的工作作风、坚持无怨无悔的奉献精神、坚持廉洁自律的道德操守”“五个坚持”要求，紧紧围绕县委工作全局，抓实参谋助手、综合协调、督办督查、服务保障“四大职能”和服务领导、服务机关、服务群众“三个服务”以及办文、办会、办事“三项工作”，认真落实全县新冠肺炎疫情防控部署，机关党建、党委信息、深化改革、保密等工作有力推进。</w:t>
      </w:r>
    </w:p>
    <w:p w14:paraId="1B45407F">
      <w:pPr>
        <w:spacing w:line="578" w:lineRule="exact"/>
        <w:ind w:firstLine="640" w:firstLineChars="200"/>
        <w:rPr>
          <w:rFonts w:eastAsia="仿宋_GB2312"/>
          <w:sz w:val="32"/>
          <w:szCs w:val="32"/>
        </w:rPr>
      </w:pPr>
      <w:r>
        <w:rPr>
          <w:rFonts w:eastAsia="黑体"/>
          <w:sz w:val="32"/>
          <w:szCs w:val="32"/>
        </w:rPr>
        <w:t>一、在绝对忠诚上争当先进。</w:t>
      </w:r>
      <w:r>
        <w:rPr>
          <w:rFonts w:eastAsia="仿宋_GB2312"/>
          <w:b/>
          <w:bCs/>
          <w:sz w:val="32"/>
          <w:szCs w:val="32"/>
        </w:rPr>
        <w:t>一是深入学习教育。</w:t>
      </w:r>
      <w:r>
        <w:rPr>
          <w:rFonts w:eastAsia="仿宋_GB2312"/>
          <w:sz w:val="32"/>
          <w:szCs w:val="32"/>
        </w:rPr>
        <w:t>突出领导干部带头，组织开展集体学习11次、专题研讨4次</w:t>
      </w:r>
      <w:r>
        <w:rPr>
          <w:rFonts w:hint="eastAsia" w:eastAsia="仿宋_GB2312"/>
          <w:sz w:val="32"/>
          <w:szCs w:val="32"/>
          <w:lang w:eastAsia="zh-CN"/>
        </w:rPr>
        <w:t>，</w:t>
      </w:r>
      <w:r>
        <w:rPr>
          <w:rFonts w:hint="eastAsia" w:eastAsia="仿宋_GB2312"/>
          <w:sz w:val="32"/>
          <w:szCs w:val="32"/>
        </w:rPr>
        <w:t>深入学习了习近平总书记“七·一”讲话精神和</w:t>
      </w:r>
      <w:r>
        <w:rPr>
          <w:rFonts w:hint="eastAsia" w:eastAsia="仿宋_GB2312"/>
          <w:sz w:val="32"/>
          <w:szCs w:val="32"/>
          <w:lang w:eastAsia="zh-CN"/>
        </w:rPr>
        <w:t>党的十九届六中全会精神</w:t>
      </w:r>
      <w:r>
        <w:rPr>
          <w:rFonts w:eastAsia="仿宋_GB2312"/>
          <w:sz w:val="32"/>
          <w:szCs w:val="32"/>
        </w:rPr>
        <w:t>；召开党员大会4次，及时传达学习贯彻中央、省委、州委和县委有关文件和重要会议精神；</w:t>
      </w:r>
      <w:r>
        <w:rPr>
          <w:rFonts w:hint="eastAsia" w:eastAsia="仿宋_GB2312"/>
          <w:sz w:val="32"/>
          <w:szCs w:val="32"/>
        </w:rPr>
        <w:t>7</w:t>
      </w:r>
      <w:r>
        <w:rPr>
          <w:rFonts w:eastAsia="仿宋_GB2312"/>
          <w:sz w:val="32"/>
          <w:szCs w:val="32"/>
        </w:rPr>
        <w:t>月</w:t>
      </w:r>
      <w:r>
        <w:rPr>
          <w:rFonts w:hint="eastAsia" w:eastAsia="仿宋_GB2312"/>
          <w:sz w:val="32"/>
          <w:szCs w:val="32"/>
        </w:rPr>
        <w:t>1</w:t>
      </w:r>
      <w:r>
        <w:rPr>
          <w:rFonts w:eastAsia="仿宋_GB2312"/>
          <w:sz w:val="32"/>
          <w:szCs w:val="32"/>
        </w:rPr>
        <w:t>日，组织党员、入党积极分子到</w:t>
      </w:r>
      <w:r>
        <w:rPr>
          <w:rFonts w:hint="eastAsia" w:eastAsia="仿宋_GB2312"/>
          <w:sz w:val="32"/>
          <w:szCs w:val="32"/>
        </w:rPr>
        <w:t>红军长征纪念碑碑园</w:t>
      </w:r>
      <w:r>
        <w:rPr>
          <w:rFonts w:eastAsia="仿宋_GB2312"/>
          <w:sz w:val="32"/>
          <w:szCs w:val="32"/>
        </w:rPr>
        <w:t>开展</w:t>
      </w:r>
      <w:r>
        <w:rPr>
          <w:rFonts w:hint="eastAsia" w:eastAsia="仿宋_GB2312"/>
          <w:sz w:val="32"/>
          <w:szCs w:val="32"/>
        </w:rPr>
        <w:t>“传承红色基因谱写奋进篇章”</w:t>
      </w:r>
      <w:r>
        <w:rPr>
          <w:rFonts w:eastAsia="仿宋_GB2312"/>
          <w:sz w:val="32"/>
          <w:szCs w:val="32"/>
        </w:rPr>
        <w:t>主题党日活动</w:t>
      </w:r>
      <w:r>
        <w:rPr>
          <w:rFonts w:hint="eastAsia" w:eastAsia="仿宋_GB2312"/>
          <w:sz w:val="32"/>
          <w:szCs w:val="32"/>
        </w:rPr>
        <w:t>，</w:t>
      </w:r>
      <w:r>
        <w:rPr>
          <w:rFonts w:eastAsia="仿宋_GB2312"/>
          <w:sz w:val="32"/>
          <w:szCs w:val="32"/>
        </w:rPr>
        <w:t>引导党员干部思想得到洗礼，灵魂得到触动。</w:t>
      </w:r>
      <w:r>
        <w:rPr>
          <w:rFonts w:eastAsia="仿宋_GB2312"/>
          <w:b/>
          <w:bCs/>
          <w:sz w:val="32"/>
          <w:szCs w:val="32"/>
        </w:rPr>
        <w:t>二是</w:t>
      </w:r>
      <w:r>
        <w:rPr>
          <w:rFonts w:hint="eastAsia" w:eastAsia="仿宋_GB2312"/>
          <w:b/>
          <w:bCs/>
          <w:sz w:val="32"/>
          <w:szCs w:val="32"/>
          <w:lang w:eastAsia="zh-CN"/>
        </w:rPr>
        <w:t>深入调查研究</w:t>
      </w:r>
      <w:r>
        <w:rPr>
          <w:rFonts w:eastAsia="仿宋_GB2312"/>
          <w:b/>
          <w:bCs/>
          <w:sz w:val="32"/>
          <w:szCs w:val="32"/>
        </w:rPr>
        <w:t>。</w:t>
      </w:r>
      <w:r>
        <w:rPr>
          <w:rFonts w:eastAsia="仿宋_GB2312"/>
          <w:sz w:val="32"/>
          <w:szCs w:val="32"/>
        </w:rPr>
        <w:t>聚焦县委中心工作、突出基层社会治理，依托“两联一进”群众工作全覆盖和“户户访·人人忙”专题实践活动，深入基层一线、问题一线、矛盾一线，扎扎实实勤调研、摸实情。</w:t>
      </w:r>
    </w:p>
    <w:p w14:paraId="72E6DB3C">
      <w:pPr>
        <w:spacing w:line="578" w:lineRule="exact"/>
        <w:ind w:firstLine="640" w:firstLineChars="200"/>
        <w:rPr>
          <w:rFonts w:eastAsia="仿宋_GB2312"/>
          <w:sz w:val="32"/>
          <w:szCs w:val="32"/>
        </w:rPr>
      </w:pPr>
      <w:r>
        <w:rPr>
          <w:rFonts w:eastAsia="黑体"/>
          <w:sz w:val="32"/>
          <w:szCs w:val="32"/>
        </w:rPr>
        <w:t>二、在参谋助手上争当先进。</w:t>
      </w:r>
      <w:r>
        <w:rPr>
          <w:rFonts w:eastAsia="仿宋_GB2312"/>
          <w:b/>
          <w:bCs/>
          <w:sz w:val="32"/>
          <w:szCs w:val="32"/>
        </w:rPr>
        <w:t>一是切实以文辅政。</w:t>
      </w:r>
      <w:r>
        <w:rPr>
          <w:rFonts w:eastAsia="仿宋_GB2312"/>
          <w:sz w:val="32"/>
          <w:szCs w:val="32"/>
        </w:rPr>
        <w:t>起草向省委、州委领导汇报材料</w:t>
      </w:r>
      <w:r>
        <w:rPr>
          <w:rFonts w:hint="eastAsia" w:eastAsia="仿宋_GB2312"/>
          <w:sz w:val="32"/>
          <w:szCs w:val="32"/>
        </w:rPr>
        <w:t>50</w:t>
      </w:r>
      <w:r>
        <w:rPr>
          <w:rFonts w:eastAsia="仿宋_GB2312"/>
          <w:sz w:val="32"/>
          <w:szCs w:val="32"/>
        </w:rPr>
        <w:t>余篇，起草新冠肺炎疫情防控工作、</w:t>
      </w:r>
      <w:r>
        <w:rPr>
          <w:rFonts w:hint="eastAsia" w:eastAsia="仿宋_GB2312"/>
          <w:sz w:val="32"/>
          <w:szCs w:val="32"/>
          <w:lang w:eastAsia="zh-CN"/>
        </w:rPr>
        <w:t>巩固拓展脱贫攻坚成果</w:t>
      </w:r>
      <w:r>
        <w:rPr>
          <w:rFonts w:eastAsia="仿宋_GB2312"/>
          <w:sz w:val="32"/>
          <w:szCs w:val="32"/>
        </w:rPr>
        <w:t>工作、森林草原防灭火工作、</w:t>
      </w:r>
      <w:r>
        <w:rPr>
          <w:rFonts w:hint="eastAsia" w:eastAsia="仿宋_GB2312"/>
          <w:sz w:val="32"/>
          <w:szCs w:val="32"/>
        </w:rPr>
        <w:t>“两项”改革工作</w:t>
      </w:r>
      <w:r>
        <w:rPr>
          <w:rFonts w:eastAsia="仿宋_GB2312"/>
          <w:sz w:val="32"/>
          <w:szCs w:val="32"/>
        </w:rPr>
        <w:t>、防汛减灾暨地灾防治工作、县委十三届十</w:t>
      </w:r>
      <w:r>
        <w:rPr>
          <w:rFonts w:hint="eastAsia" w:eastAsia="仿宋_GB2312"/>
          <w:sz w:val="32"/>
          <w:szCs w:val="32"/>
        </w:rPr>
        <w:t>三</w:t>
      </w:r>
      <w:r>
        <w:rPr>
          <w:rFonts w:eastAsia="仿宋_GB2312"/>
          <w:sz w:val="32"/>
          <w:szCs w:val="32"/>
        </w:rPr>
        <w:t>次</w:t>
      </w:r>
      <w:r>
        <w:rPr>
          <w:rFonts w:hint="eastAsia" w:eastAsia="仿宋_GB2312"/>
          <w:sz w:val="32"/>
          <w:szCs w:val="32"/>
        </w:rPr>
        <w:t>全会</w:t>
      </w:r>
      <w:r>
        <w:rPr>
          <w:rFonts w:eastAsia="仿宋_GB2312"/>
          <w:sz w:val="32"/>
          <w:szCs w:val="32"/>
        </w:rPr>
        <w:t>、县第十四次党代会等各类讲话稿100余篇，编制各类方案60余篇，形成县委常委会纪要</w:t>
      </w:r>
      <w:r>
        <w:rPr>
          <w:rFonts w:hint="eastAsia" w:eastAsia="仿宋_GB2312"/>
          <w:sz w:val="32"/>
          <w:szCs w:val="32"/>
        </w:rPr>
        <w:t>30</w:t>
      </w:r>
      <w:r>
        <w:rPr>
          <w:rFonts w:eastAsia="仿宋_GB2312"/>
          <w:sz w:val="32"/>
          <w:szCs w:val="32"/>
        </w:rPr>
        <w:t>期，有效提升文稿质量。</w:t>
      </w:r>
      <w:r>
        <w:rPr>
          <w:rFonts w:eastAsia="仿宋_GB2312"/>
          <w:b/>
          <w:bCs/>
          <w:sz w:val="32"/>
          <w:szCs w:val="32"/>
        </w:rPr>
        <w:t>二是当好参谋助手。</w:t>
      </w:r>
      <w:r>
        <w:rPr>
          <w:rFonts w:eastAsia="仿宋_GB2312"/>
          <w:sz w:val="32"/>
          <w:szCs w:val="32"/>
        </w:rPr>
        <w:t>高质量形成《中共松潘县委关于提高政治判断力、政治领悟力、政治执行力全力推动“一城两心三地”发展战略落地落实的决定》、中国共产党松潘县第十三届委员会报告，为县委领导科学决策提供参考。</w:t>
      </w:r>
      <w:r>
        <w:rPr>
          <w:rFonts w:eastAsia="仿宋_GB2312"/>
          <w:b/>
          <w:bCs/>
          <w:sz w:val="32"/>
          <w:szCs w:val="32"/>
        </w:rPr>
        <w:t>三是优化信息服务。</w:t>
      </w:r>
      <w:r>
        <w:rPr>
          <w:rFonts w:eastAsia="仿宋_GB2312"/>
          <w:sz w:val="32"/>
          <w:szCs w:val="32"/>
        </w:rPr>
        <w:t>及时向省委办公厅报送党委信息42期，向州委办报送约稿信息、常规信息、应急信息等100余期。</w:t>
      </w:r>
    </w:p>
    <w:p w14:paraId="350ECAE3">
      <w:pPr>
        <w:spacing w:line="578" w:lineRule="exact"/>
        <w:ind w:firstLine="640" w:firstLineChars="200"/>
        <w:rPr>
          <w:rFonts w:eastAsia="仿宋_GB2312"/>
          <w:sz w:val="32"/>
          <w:szCs w:val="32"/>
        </w:rPr>
      </w:pPr>
      <w:r>
        <w:rPr>
          <w:rFonts w:eastAsia="黑体"/>
          <w:sz w:val="32"/>
          <w:szCs w:val="32"/>
        </w:rPr>
        <w:t>三、在勇于担当上争当先进。</w:t>
      </w:r>
      <w:r>
        <w:rPr>
          <w:rFonts w:eastAsia="仿宋_GB2312"/>
          <w:b/>
          <w:bCs/>
          <w:sz w:val="32"/>
          <w:szCs w:val="32"/>
        </w:rPr>
        <w:t>一是稳步推进国安办工作。</w:t>
      </w:r>
      <w:r>
        <w:rPr>
          <w:rFonts w:eastAsia="仿宋_GB2312"/>
          <w:sz w:val="32"/>
          <w:szCs w:val="32"/>
        </w:rPr>
        <w:t>建立国安情报信息日、周、月、季专报制，向州委国安办报送国安信息1</w:t>
      </w:r>
      <w:r>
        <w:rPr>
          <w:rFonts w:hint="eastAsia" w:eastAsia="仿宋_GB2312"/>
          <w:sz w:val="32"/>
          <w:szCs w:val="32"/>
        </w:rPr>
        <w:t>50</w:t>
      </w:r>
      <w:r>
        <w:rPr>
          <w:rFonts w:eastAsia="仿宋_GB2312"/>
          <w:sz w:val="32"/>
          <w:szCs w:val="32"/>
        </w:rPr>
        <w:t>余期；</w:t>
      </w:r>
      <w:r>
        <w:rPr>
          <w:rFonts w:hint="eastAsia" w:eastAsia="仿宋_GB2312"/>
          <w:sz w:val="32"/>
          <w:szCs w:val="32"/>
        </w:rPr>
        <w:t>结合</w:t>
      </w:r>
      <w:r>
        <w:rPr>
          <w:rFonts w:hint="eastAsia" w:eastAsia="仿宋_GB2312"/>
          <w:sz w:val="32"/>
          <w:szCs w:val="32"/>
          <w:lang w:eastAsia="zh-CN"/>
        </w:rPr>
        <w:t>党史学习教育</w:t>
      </w:r>
      <w:r>
        <w:rPr>
          <w:rFonts w:hint="eastAsia" w:eastAsia="仿宋_GB2312"/>
          <w:sz w:val="32"/>
          <w:szCs w:val="32"/>
        </w:rPr>
        <w:t>，累计开展</w:t>
      </w:r>
      <w:r>
        <w:rPr>
          <w:rFonts w:eastAsia="仿宋_GB2312"/>
          <w:sz w:val="32"/>
          <w:szCs w:val="32"/>
        </w:rPr>
        <w:t>国家安全教育日普法宣传活动</w:t>
      </w:r>
      <w:r>
        <w:rPr>
          <w:rFonts w:hint="eastAsia" w:eastAsia="仿宋_GB2312"/>
          <w:sz w:val="32"/>
          <w:szCs w:val="32"/>
        </w:rPr>
        <w:t>30余场次，发放普法物品145000余份，</w:t>
      </w:r>
      <w:r>
        <w:rPr>
          <w:rFonts w:eastAsia="仿宋_GB2312"/>
          <w:sz w:val="32"/>
          <w:szCs w:val="32"/>
        </w:rPr>
        <w:t>有效提升全县广大干群国家安全意识。</w:t>
      </w:r>
      <w:r>
        <w:rPr>
          <w:rFonts w:hint="eastAsia" w:eastAsia="仿宋_GB2312"/>
          <w:sz w:val="32"/>
          <w:szCs w:val="32"/>
        </w:rPr>
        <w:t>上报参评的“4·15”国家安全</w:t>
      </w:r>
      <w:r>
        <w:rPr>
          <w:rFonts w:hint="eastAsia" w:eastAsia="仿宋_GB2312"/>
          <w:sz w:val="32"/>
          <w:szCs w:val="32"/>
          <w:lang w:eastAsia="zh-CN"/>
        </w:rPr>
        <w:t>标识</w:t>
      </w:r>
      <w:r>
        <w:rPr>
          <w:rFonts w:hint="eastAsia" w:eastAsia="仿宋_GB2312"/>
          <w:sz w:val="32"/>
          <w:szCs w:val="32"/>
        </w:rPr>
        <w:t>被评为省三等奖。</w:t>
      </w:r>
      <w:r>
        <w:rPr>
          <w:rFonts w:hint="eastAsia" w:eastAsia="仿宋_GB2312"/>
          <w:b/>
          <w:bCs/>
          <w:sz w:val="32"/>
          <w:szCs w:val="32"/>
        </w:rPr>
        <w:t>二</w:t>
      </w:r>
      <w:r>
        <w:rPr>
          <w:rFonts w:eastAsia="仿宋_GB2312"/>
          <w:b/>
          <w:bCs/>
          <w:sz w:val="32"/>
          <w:szCs w:val="32"/>
        </w:rPr>
        <w:t>是扎实推进深改办工作。</w:t>
      </w:r>
      <w:r>
        <w:rPr>
          <w:rFonts w:eastAsia="仿宋_GB2312"/>
          <w:sz w:val="32"/>
          <w:szCs w:val="32"/>
        </w:rPr>
        <w:t>筹备召开县委深</w:t>
      </w:r>
      <w:r>
        <w:rPr>
          <w:rFonts w:hint="eastAsia" w:eastAsia="仿宋_GB2312"/>
          <w:sz w:val="32"/>
          <w:szCs w:val="32"/>
        </w:rPr>
        <w:t>化改革</w:t>
      </w:r>
      <w:r>
        <w:rPr>
          <w:rFonts w:eastAsia="仿宋_GB2312"/>
          <w:sz w:val="32"/>
          <w:szCs w:val="32"/>
        </w:rPr>
        <w:t>工作专题会议，拟定202</w:t>
      </w:r>
      <w:r>
        <w:rPr>
          <w:rFonts w:hint="eastAsia" w:eastAsia="仿宋_GB2312"/>
          <w:sz w:val="32"/>
          <w:szCs w:val="32"/>
        </w:rPr>
        <w:t>1</w:t>
      </w:r>
      <w:r>
        <w:rPr>
          <w:rFonts w:eastAsia="仿宋_GB2312"/>
          <w:sz w:val="32"/>
          <w:szCs w:val="32"/>
        </w:rPr>
        <w:t>年全面深化改革《工作要点》和《工作台账》，向州委深改办报送专报信息</w:t>
      </w:r>
      <w:r>
        <w:rPr>
          <w:rFonts w:hint="eastAsia" w:eastAsia="仿宋_GB2312"/>
          <w:sz w:val="32"/>
          <w:szCs w:val="32"/>
        </w:rPr>
        <w:t>32</w:t>
      </w:r>
      <w:r>
        <w:rPr>
          <w:rFonts w:eastAsia="仿宋_GB2312"/>
          <w:sz w:val="32"/>
          <w:szCs w:val="32"/>
        </w:rPr>
        <w:t>条。</w:t>
      </w:r>
      <w:r>
        <w:rPr>
          <w:rFonts w:hint="eastAsia" w:eastAsia="仿宋_GB2312"/>
          <w:b/>
          <w:bCs/>
          <w:sz w:val="32"/>
          <w:szCs w:val="32"/>
        </w:rPr>
        <w:t>三</w:t>
      </w:r>
      <w:r>
        <w:rPr>
          <w:rFonts w:eastAsia="仿宋_GB2312"/>
          <w:b/>
          <w:bCs/>
          <w:sz w:val="32"/>
          <w:szCs w:val="32"/>
        </w:rPr>
        <w:t>是着力推进督查室工作。</w:t>
      </w:r>
      <w:r>
        <w:rPr>
          <w:rFonts w:eastAsia="仿宋_GB2312"/>
          <w:sz w:val="32"/>
          <w:szCs w:val="32"/>
        </w:rPr>
        <w:t>按照“督查倒逼落实”的要求，针对县委常委会、书记专题会等会议议定事项，分解任务、建立台账，开展常规督查</w:t>
      </w:r>
      <w:r>
        <w:rPr>
          <w:rFonts w:hint="eastAsia" w:eastAsia="仿宋_GB2312"/>
          <w:sz w:val="32"/>
          <w:szCs w:val="32"/>
        </w:rPr>
        <w:t>45</w:t>
      </w:r>
      <w:r>
        <w:rPr>
          <w:rFonts w:eastAsia="仿宋_GB2312"/>
          <w:sz w:val="32"/>
          <w:szCs w:val="32"/>
        </w:rPr>
        <w:t>次，暗访督查</w:t>
      </w:r>
      <w:r>
        <w:rPr>
          <w:rFonts w:hint="eastAsia" w:eastAsia="仿宋_GB2312"/>
          <w:sz w:val="32"/>
          <w:szCs w:val="32"/>
        </w:rPr>
        <w:t>30</w:t>
      </w:r>
      <w:r>
        <w:rPr>
          <w:rFonts w:eastAsia="仿宋_GB2312"/>
          <w:sz w:val="32"/>
          <w:szCs w:val="32"/>
        </w:rPr>
        <w:t>次，民生、项目、</w:t>
      </w:r>
      <w:r>
        <w:rPr>
          <w:rFonts w:hint="eastAsia" w:eastAsia="仿宋_GB2312"/>
          <w:sz w:val="32"/>
          <w:szCs w:val="32"/>
        </w:rPr>
        <w:t>乡村振兴</w:t>
      </w:r>
      <w:r>
        <w:rPr>
          <w:rFonts w:eastAsia="仿宋_GB2312"/>
          <w:sz w:val="32"/>
          <w:szCs w:val="32"/>
        </w:rPr>
        <w:t>、防汛减灾等专项督查13次，形成督查专报</w:t>
      </w:r>
      <w:r>
        <w:rPr>
          <w:rFonts w:hint="eastAsia" w:eastAsia="仿宋_GB2312"/>
          <w:sz w:val="32"/>
          <w:szCs w:val="32"/>
        </w:rPr>
        <w:t>16</w:t>
      </w:r>
      <w:r>
        <w:rPr>
          <w:rFonts w:eastAsia="仿宋_GB2312"/>
          <w:sz w:val="32"/>
          <w:szCs w:val="32"/>
        </w:rPr>
        <w:t>期，切实做到“决策</w:t>
      </w:r>
      <w:r>
        <w:rPr>
          <w:rFonts w:hint="eastAsia" w:eastAsia="仿宋_GB2312"/>
          <w:sz w:val="32"/>
          <w:szCs w:val="32"/>
        </w:rPr>
        <w:t>作出</w:t>
      </w:r>
      <w:r>
        <w:rPr>
          <w:rFonts w:eastAsia="仿宋_GB2312"/>
          <w:sz w:val="32"/>
          <w:szCs w:val="32"/>
        </w:rPr>
        <w:t>之时即为督查启动之时”。</w:t>
      </w:r>
      <w:r>
        <w:rPr>
          <w:rFonts w:hint="eastAsia" w:eastAsia="仿宋_GB2312"/>
          <w:b/>
          <w:bCs/>
          <w:sz w:val="32"/>
          <w:szCs w:val="32"/>
        </w:rPr>
        <w:t>四</w:t>
      </w:r>
      <w:r>
        <w:rPr>
          <w:rFonts w:eastAsia="仿宋_GB2312"/>
          <w:b/>
          <w:bCs/>
          <w:sz w:val="32"/>
          <w:szCs w:val="32"/>
        </w:rPr>
        <w:t>是务实推进联系点工作。</w:t>
      </w:r>
      <w:r>
        <w:rPr>
          <w:rFonts w:eastAsia="仿宋_GB2312"/>
          <w:sz w:val="32"/>
          <w:szCs w:val="32"/>
        </w:rPr>
        <w:t>深入安宏乡扎实开展“两联一进”群众工作全覆盖、“户户访·人人忙”专题实践活动等工作，帮扶人员到村开展帮扶工作100余人次，带头转作风密切联系群众。</w:t>
      </w:r>
      <w:r>
        <w:rPr>
          <w:rFonts w:hint="eastAsia" w:eastAsia="仿宋_GB2312"/>
          <w:b/>
          <w:bCs/>
          <w:sz w:val="32"/>
          <w:szCs w:val="32"/>
        </w:rPr>
        <w:t>五</w:t>
      </w:r>
      <w:r>
        <w:rPr>
          <w:rFonts w:eastAsia="仿宋_GB2312"/>
          <w:b/>
          <w:bCs/>
          <w:sz w:val="32"/>
          <w:szCs w:val="32"/>
        </w:rPr>
        <w:t>是有效推进后勤服务。</w:t>
      </w:r>
      <w:r>
        <w:rPr>
          <w:rFonts w:eastAsia="仿宋_GB2312"/>
          <w:sz w:val="32"/>
          <w:szCs w:val="32"/>
        </w:rPr>
        <w:t>严明会计制度和财经纪律，完成政府采购项目2项，处理财务账目</w:t>
      </w:r>
      <w:r>
        <w:rPr>
          <w:rFonts w:hint="eastAsia" w:eastAsia="仿宋_GB2312"/>
          <w:sz w:val="32"/>
          <w:szCs w:val="32"/>
        </w:rPr>
        <w:t>2</w:t>
      </w:r>
      <w:r>
        <w:rPr>
          <w:rFonts w:eastAsia="仿宋_GB2312"/>
          <w:sz w:val="32"/>
          <w:szCs w:val="32"/>
        </w:rPr>
        <w:t>份，编制财务报表、账目凭证96册，完善固定资产基础数据台账153条。做好县委重要会议后勤保障，累计办会1</w:t>
      </w:r>
      <w:r>
        <w:rPr>
          <w:rFonts w:hint="eastAsia" w:eastAsia="仿宋_GB2312"/>
          <w:sz w:val="32"/>
          <w:szCs w:val="32"/>
        </w:rPr>
        <w:t>7</w:t>
      </w:r>
      <w:r>
        <w:rPr>
          <w:rFonts w:eastAsia="仿宋_GB2312"/>
          <w:sz w:val="32"/>
          <w:szCs w:val="32"/>
        </w:rPr>
        <w:t>0余场次。</w:t>
      </w:r>
    </w:p>
    <w:p w14:paraId="10A05A1F">
      <w:pPr>
        <w:spacing w:line="578" w:lineRule="exact"/>
        <w:ind w:firstLine="640" w:firstLineChars="200"/>
        <w:rPr>
          <w:rFonts w:eastAsia="仿宋_GB2312"/>
          <w:sz w:val="32"/>
          <w:szCs w:val="32"/>
        </w:rPr>
      </w:pPr>
      <w:r>
        <w:rPr>
          <w:rFonts w:eastAsia="黑体"/>
          <w:sz w:val="32"/>
          <w:szCs w:val="32"/>
        </w:rPr>
        <w:t>四、在增强效率上争当先进。</w:t>
      </w:r>
      <w:r>
        <w:rPr>
          <w:rFonts w:eastAsia="仿宋_GB2312"/>
          <w:b/>
          <w:bCs/>
          <w:sz w:val="32"/>
          <w:szCs w:val="32"/>
        </w:rPr>
        <w:t>一是明确职责任务。</w:t>
      </w:r>
      <w:r>
        <w:rPr>
          <w:rFonts w:eastAsia="仿宋_GB2312"/>
          <w:sz w:val="32"/>
          <w:szCs w:val="32"/>
        </w:rPr>
        <w:t>按照县委机构改革要求，根据县委办公室新“三定”方案，及时调整班子配备，完成科室职能职责调整细化和人员配备，及时补位不缺位。</w:t>
      </w:r>
      <w:r>
        <w:rPr>
          <w:rFonts w:eastAsia="仿宋_GB2312"/>
          <w:b/>
          <w:bCs/>
          <w:sz w:val="32"/>
          <w:szCs w:val="32"/>
        </w:rPr>
        <w:t>二是统筹重大活动</w:t>
      </w:r>
      <w:r>
        <w:rPr>
          <w:rFonts w:eastAsia="仿宋_GB2312"/>
          <w:sz w:val="32"/>
          <w:szCs w:val="32"/>
        </w:rPr>
        <w:t>。完成接待任务</w:t>
      </w:r>
      <w:r>
        <w:rPr>
          <w:rFonts w:hint="eastAsia" w:eastAsia="仿宋_GB2312"/>
          <w:sz w:val="32"/>
          <w:szCs w:val="32"/>
        </w:rPr>
        <w:t>274</w:t>
      </w:r>
      <w:r>
        <w:rPr>
          <w:rFonts w:eastAsia="仿宋_GB2312"/>
          <w:sz w:val="32"/>
          <w:szCs w:val="32"/>
        </w:rPr>
        <w:t>批次（其中国级</w:t>
      </w:r>
      <w:r>
        <w:rPr>
          <w:rFonts w:hint="eastAsia" w:eastAsia="仿宋_GB2312"/>
          <w:sz w:val="32"/>
          <w:szCs w:val="32"/>
        </w:rPr>
        <w:t>4</w:t>
      </w:r>
      <w:r>
        <w:rPr>
          <w:rFonts w:eastAsia="仿宋_GB2312"/>
          <w:sz w:val="32"/>
          <w:szCs w:val="32"/>
        </w:rPr>
        <w:t>批次、部级</w:t>
      </w:r>
      <w:r>
        <w:rPr>
          <w:rFonts w:hint="eastAsia" w:eastAsia="仿宋_GB2312"/>
          <w:sz w:val="32"/>
          <w:szCs w:val="32"/>
        </w:rPr>
        <w:t>5</w:t>
      </w:r>
      <w:r>
        <w:rPr>
          <w:rFonts w:eastAsia="仿宋_GB2312"/>
          <w:sz w:val="32"/>
          <w:szCs w:val="32"/>
        </w:rPr>
        <w:t>批次、厅级</w:t>
      </w:r>
      <w:r>
        <w:rPr>
          <w:rFonts w:hint="eastAsia" w:eastAsia="仿宋_GB2312"/>
          <w:sz w:val="32"/>
          <w:szCs w:val="32"/>
        </w:rPr>
        <w:t>114</w:t>
      </w:r>
      <w:r>
        <w:rPr>
          <w:rFonts w:eastAsia="仿宋_GB2312"/>
          <w:sz w:val="32"/>
          <w:szCs w:val="32"/>
        </w:rPr>
        <w:t>批次、商务3批次、其他</w:t>
      </w:r>
      <w:r>
        <w:rPr>
          <w:rFonts w:hint="eastAsia" w:eastAsia="仿宋_GB2312"/>
          <w:sz w:val="32"/>
          <w:szCs w:val="32"/>
        </w:rPr>
        <w:t>148</w:t>
      </w:r>
      <w:r>
        <w:rPr>
          <w:rFonts w:eastAsia="仿宋_GB2312"/>
          <w:sz w:val="32"/>
          <w:szCs w:val="32"/>
        </w:rPr>
        <w:t>批次），实际接待人数</w:t>
      </w:r>
      <w:r>
        <w:rPr>
          <w:rFonts w:hint="eastAsia" w:eastAsia="仿宋_GB2312"/>
          <w:sz w:val="32"/>
          <w:szCs w:val="32"/>
        </w:rPr>
        <w:t>8869</w:t>
      </w:r>
      <w:r>
        <w:rPr>
          <w:rFonts w:eastAsia="仿宋_GB2312"/>
          <w:sz w:val="32"/>
          <w:szCs w:val="32"/>
        </w:rPr>
        <w:t>人（来宾人数</w:t>
      </w:r>
      <w:r>
        <w:rPr>
          <w:rFonts w:hint="eastAsia" w:eastAsia="仿宋_GB2312"/>
          <w:sz w:val="32"/>
          <w:szCs w:val="32"/>
        </w:rPr>
        <w:t>5651</w:t>
      </w:r>
      <w:r>
        <w:rPr>
          <w:rFonts w:eastAsia="仿宋_GB2312"/>
          <w:sz w:val="32"/>
          <w:szCs w:val="32"/>
        </w:rPr>
        <w:t>、陪同领导</w:t>
      </w:r>
      <w:r>
        <w:rPr>
          <w:rFonts w:hint="eastAsia" w:eastAsia="仿宋_GB2312"/>
          <w:sz w:val="32"/>
          <w:szCs w:val="32"/>
        </w:rPr>
        <w:t>1089</w:t>
      </w:r>
      <w:r>
        <w:rPr>
          <w:rFonts w:eastAsia="仿宋_GB2312"/>
          <w:sz w:val="32"/>
          <w:szCs w:val="32"/>
        </w:rPr>
        <w:t>、工作人员</w:t>
      </w:r>
      <w:r>
        <w:rPr>
          <w:rFonts w:hint="eastAsia" w:eastAsia="仿宋_GB2312"/>
          <w:sz w:val="32"/>
          <w:szCs w:val="32"/>
        </w:rPr>
        <w:t>2129</w:t>
      </w:r>
      <w:r>
        <w:rPr>
          <w:rFonts w:eastAsia="仿宋_GB2312"/>
          <w:sz w:val="32"/>
          <w:szCs w:val="32"/>
        </w:rPr>
        <w:t>）。圆满完成“第五届古城花灯会”、四川文旅大会等接待任务。</w:t>
      </w:r>
      <w:r>
        <w:rPr>
          <w:rFonts w:eastAsia="仿宋_GB2312"/>
          <w:b/>
          <w:bCs/>
          <w:sz w:val="32"/>
          <w:szCs w:val="32"/>
        </w:rPr>
        <w:t>三是大力减负增效。</w:t>
      </w:r>
      <w:r>
        <w:rPr>
          <w:rFonts w:eastAsia="仿宋_GB2312"/>
          <w:sz w:val="32"/>
          <w:szCs w:val="32"/>
        </w:rPr>
        <w:t>坚持从破除“文山会海”“繁文缛节”“过度留痕”等入手，加大形式主义、官僚主义整治力度，</w:t>
      </w:r>
      <w:r>
        <w:rPr>
          <w:rFonts w:ascii="Times New Roman" w:hAnsi="Times New Roman" w:eastAsia="仿宋_GB2312" w:cs="Times New Roman"/>
          <w:sz w:val="32"/>
          <w:szCs w:val="32"/>
        </w:rPr>
        <w:t>制发文件</w:t>
      </w:r>
      <w:r>
        <w:rPr>
          <w:rFonts w:hint="eastAsia" w:ascii="Times New Roman" w:hAnsi="Times New Roman" w:eastAsia="仿宋_GB2312" w:cs="Times New Roman"/>
          <w:sz w:val="32"/>
          <w:szCs w:val="32"/>
        </w:rPr>
        <w:t>169</w:t>
      </w:r>
      <w:r>
        <w:rPr>
          <w:rFonts w:ascii="Times New Roman" w:hAnsi="Times New Roman" w:eastAsia="仿宋_GB2312" w:cs="Times New Roman"/>
          <w:sz w:val="32"/>
          <w:szCs w:val="32"/>
        </w:rPr>
        <w:t>份，同比减少</w:t>
      </w:r>
      <w:r>
        <w:rPr>
          <w:rFonts w:hint="eastAsia" w:ascii="Times New Roman" w:hAnsi="Times New Roman" w:eastAsia="仿宋_GB2312" w:cs="Times New Roman"/>
          <w:sz w:val="32"/>
          <w:szCs w:val="32"/>
        </w:rPr>
        <w:t>14</w:t>
      </w:r>
      <w:r>
        <w:rPr>
          <w:rFonts w:ascii="Times New Roman" w:hAnsi="Times New Roman" w:eastAsia="仿宋_GB2312" w:cs="Times New Roman"/>
          <w:sz w:val="32"/>
          <w:szCs w:val="32"/>
        </w:rPr>
        <w:t>%，承办县委常委会3</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次、县本级会议</w:t>
      </w:r>
      <w:r>
        <w:rPr>
          <w:rFonts w:hint="eastAsia" w:ascii="Times New Roman" w:hAnsi="Times New Roman" w:eastAsia="仿宋_GB2312" w:cs="Times New Roman"/>
          <w:sz w:val="32"/>
          <w:szCs w:val="32"/>
        </w:rPr>
        <w:t>72</w:t>
      </w:r>
      <w:r>
        <w:rPr>
          <w:rFonts w:ascii="Times New Roman" w:hAnsi="Times New Roman" w:eastAsia="仿宋_GB2312" w:cs="Times New Roman"/>
          <w:sz w:val="32"/>
          <w:szCs w:val="32"/>
        </w:rPr>
        <w:t>次、专题会议10次、参加上级视频会议</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0余次，较2019年均有所下降，着力为基层减负。四是积极回应诉求。全年收到群众来信共计</w:t>
      </w:r>
      <w:r>
        <w:rPr>
          <w:rFonts w:hint="eastAsia" w:ascii="Times New Roman" w:hAnsi="Times New Roman" w:eastAsia="仿宋_GB2312" w:cs="Times New Roman"/>
          <w:sz w:val="32"/>
          <w:szCs w:val="32"/>
        </w:rPr>
        <w:t>4</w:t>
      </w:r>
      <w:r>
        <w:rPr>
          <w:rFonts w:hint="eastAsia" w:eastAsia="仿宋_GB2312"/>
          <w:sz w:val="32"/>
          <w:szCs w:val="32"/>
        </w:rPr>
        <w:t>7</w:t>
      </w:r>
      <w:r>
        <w:rPr>
          <w:rFonts w:eastAsia="仿宋_GB2312"/>
          <w:sz w:val="32"/>
          <w:szCs w:val="32"/>
        </w:rPr>
        <w:t>件，接待来访群众</w:t>
      </w:r>
      <w:r>
        <w:rPr>
          <w:rFonts w:hint="eastAsia" w:eastAsia="仿宋_GB2312"/>
          <w:sz w:val="32"/>
          <w:szCs w:val="32"/>
        </w:rPr>
        <w:t>10</w:t>
      </w:r>
      <w:r>
        <w:rPr>
          <w:rFonts w:eastAsia="仿宋_GB2312"/>
          <w:sz w:val="32"/>
          <w:szCs w:val="32"/>
        </w:rPr>
        <w:t>余批次。面对上访群众，始终保持热情、耐心、细致的接访态度，对群众反映的问题及时登记、归口转办处理，使每次反映的问题都能得到圆满答复，获得全县各界一致好评。</w:t>
      </w:r>
    </w:p>
    <w:p w14:paraId="0C1CF4EC">
      <w:pPr>
        <w:spacing w:line="578" w:lineRule="exact"/>
        <w:ind w:firstLine="640" w:firstLineChars="200"/>
        <w:rPr>
          <w:rFonts w:ascii="仿宋" w:hAnsi="仿宋" w:eastAsia="仿宋"/>
          <w:bCs/>
          <w:color w:val="000000"/>
          <w:sz w:val="32"/>
          <w:szCs w:val="32"/>
        </w:rPr>
      </w:pPr>
      <w:r>
        <w:rPr>
          <w:rFonts w:eastAsia="黑体"/>
          <w:sz w:val="32"/>
          <w:szCs w:val="32"/>
        </w:rPr>
        <w:t>五、在遵规守纪上争当先进。</w:t>
      </w:r>
      <w:r>
        <w:rPr>
          <w:rFonts w:eastAsia="仿宋_GB2312"/>
          <w:b/>
          <w:bCs/>
          <w:sz w:val="32"/>
          <w:szCs w:val="32"/>
        </w:rPr>
        <w:t>一是严格抓廉政建设。</w:t>
      </w:r>
      <w:r>
        <w:rPr>
          <w:rFonts w:eastAsia="仿宋_GB2312"/>
          <w:sz w:val="32"/>
          <w:szCs w:val="32"/>
        </w:rPr>
        <w:t>认真履行主体责任，全面落实“一岗双责”，签订《党风廉政建设主体责任书》《不利用地方名贵特产谋取私利承诺书》《党员干部、国家公职人员不参与赌博承诺书》50余份，切实压紧压实廉政责任。</w:t>
      </w:r>
      <w:r>
        <w:rPr>
          <w:rFonts w:eastAsia="仿宋_GB2312"/>
          <w:b/>
          <w:bCs/>
          <w:sz w:val="32"/>
          <w:szCs w:val="32"/>
        </w:rPr>
        <w:t>二是安全抓保密机要。</w:t>
      </w:r>
      <w:r>
        <w:rPr>
          <w:rFonts w:eastAsia="仿宋_GB2312"/>
          <w:sz w:val="32"/>
          <w:szCs w:val="32"/>
        </w:rPr>
        <w:t>扎实开展安可试点工作，保障党政高清视频会议80余场次。严格按照党政网省级业务应用迁移工作推进时间节点和工作任务，基本党政网迁移工作。牵头承办应急密码保障演练现场会。组织力量对各乡镇、各部门开展保密自查自评督查，举办保密法律法规宣传教育会议2期，与全县28家文印店签订保密责任书，协助纪委查处泄密案件1起。</w:t>
      </w:r>
      <w:r>
        <w:rPr>
          <w:rFonts w:eastAsia="仿宋_GB2312"/>
          <w:b/>
          <w:bCs/>
          <w:sz w:val="32"/>
          <w:szCs w:val="32"/>
        </w:rPr>
        <w:t>三是规范抓应急值守。</w:t>
      </w:r>
      <w:r>
        <w:rPr>
          <w:rFonts w:eastAsia="仿宋_GB2312"/>
          <w:sz w:val="32"/>
          <w:szCs w:val="32"/>
        </w:rPr>
        <w:t>严格值班值守制度，向州委办报送《值班报告》30期。全力保障3月、7月、10月及春节、两会期间等敏感节点值守任务，在防汛期间昼夜值班值守，全力支持抢险救灾等工作。</w:t>
      </w:r>
      <w:r>
        <w:rPr>
          <w:rFonts w:eastAsia="仿宋_GB2312"/>
          <w:b/>
          <w:bCs/>
          <w:sz w:val="32"/>
          <w:szCs w:val="32"/>
        </w:rPr>
        <w:t>四是贴心抓人文关爱。</w:t>
      </w:r>
      <w:r>
        <w:rPr>
          <w:rFonts w:eastAsia="仿宋_GB2312"/>
          <w:sz w:val="32"/>
          <w:szCs w:val="32"/>
        </w:rPr>
        <w:t>办公室领导先后与30余名干部职工谈心谈话、交流思想；切实保障职工年休假、产假、病假等权益；有序开展机关党支部、工会等活动，真正体现家的亲情温暖。</w:t>
      </w:r>
    </w:p>
    <w:p w14:paraId="39DC910F">
      <w:pPr>
        <w:spacing w:line="570" w:lineRule="exact"/>
        <w:ind w:firstLine="640" w:firstLineChars="200"/>
        <w:outlineLvl w:val="1"/>
        <w:rPr>
          <w:rFonts w:ascii="瀹嬩綋" w:eastAsia="瀹嬩綋"/>
          <w:color w:val="4E4342"/>
          <w:sz w:val="32"/>
          <w:szCs w:val="32"/>
        </w:rPr>
      </w:pPr>
      <w:bookmarkStart w:id="110" w:name="_Toc31708"/>
      <w:r>
        <w:rPr>
          <w:rFonts w:hint="eastAsia" w:ascii="黑体" w:hAnsi="宋体" w:eastAsia="黑体" w:cs="宋体"/>
          <w:color w:val="000000"/>
          <w:kern w:val="0"/>
          <w:sz w:val="32"/>
          <w:szCs w:val="32"/>
        </w:rPr>
        <w:t>二、部门财政资金收支情况</w:t>
      </w:r>
      <w:bookmarkEnd w:id="110"/>
    </w:p>
    <w:p w14:paraId="2D52AF3C">
      <w:pPr>
        <w:widowControl/>
        <w:adjustRightInd w:val="0"/>
        <w:snapToGrid w:val="0"/>
        <w:spacing w:line="570" w:lineRule="exact"/>
        <w:ind w:firstLine="320" w:firstLineChars="100"/>
        <w:jc w:val="left"/>
        <w:rPr>
          <w:rFonts w:ascii="楷体" w:hAnsi="楷体" w:eastAsia="楷体" w:cs="宋体"/>
          <w:color w:val="000000"/>
          <w:kern w:val="0"/>
          <w:sz w:val="32"/>
          <w:szCs w:val="32"/>
          <w:lang w:val="zh-CN"/>
        </w:rPr>
      </w:pPr>
      <w:r>
        <w:rPr>
          <w:rFonts w:hint="eastAsia" w:ascii="楷体" w:hAnsi="楷体" w:eastAsia="楷体" w:cs="楷体"/>
          <w:color w:val="000000"/>
          <w:kern w:val="0"/>
          <w:sz w:val="32"/>
          <w:szCs w:val="32"/>
          <w:lang w:val="zh-CN"/>
        </w:rPr>
        <w:t>（一）部门财政资金收入情况</w:t>
      </w:r>
      <w:r>
        <w:rPr>
          <w:rFonts w:hint="eastAsia" w:ascii="楷体" w:hAnsi="楷体" w:eastAsia="楷体" w:cs="宋体"/>
          <w:color w:val="000000"/>
          <w:kern w:val="0"/>
          <w:sz w:val="32"/>
          <w:szCs w:val="32"/>
          <w:lang w:val="zh-CN"/>
        </w:rPr>
        <w:t>。</w:t>
      </w:r>
    </w:p>
    <w:p w14:paraId="4523F9F4">
      <w:pPr>
        <w:spacing w:line="560"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1</w:t>
      </w:r>
      <w:r>
        <w:rPr>
          <w:rFonts w:hint="eastAsia" w:ascii="仿宋" w:hAnsi="仿宋" w:eastAsia="仿宋"/>
          <w:color w:val="000000"/>
          <w:sz w:val="32"/>
          <w:szCs w:val="32"/>
        </w:rPr>
        <w:t>年度中共松潘县委办公室本年收入合计</w:t>
      </w:r>
      <w:r>
        <w:rPr>
          <w:rFonts w:hint="eastAsia" w:ascii="仿宋" w:hAnsi="仿宋" w:eastAsia="仿宋"/>
          <w:color w:val="000000"/>
          <w:sz w:val="32"/>
          <w:szCs w:val="32"/>
          <w:lang w:val="en-US" w:eastAsia="zh-CN"/>
        </w:rPr>
        <w:t>1783.6</w:t>
      </w:r>
      <w:r>
        <w:rPr>
          <w:rFonts w:hint="eastAsia" w:ascii="仿宋" w:hAnsi="仿宋" w:eastAsia="仿宋"/>
          <w:color w:val="000000"/>
          <w:sz w:val="32"/>
          <w:szCs w:val="32"/>
        </w:rPr>
        <w:t>万元，其中：财政拨款收入</w:t>
      </w:r>
      <w:r>
        <w:rPr>
          <w:rFonts w:hint="eastAsia" w:ascii="仿宋" w:hAnsi="仿宋" w:eastAsia="仿宋"/>
          <w:color w:val="000000"/>
          <w:sz w:val="32"/>
          <w:szCs w:val="32"/>
          <w:lang w:val="en-US" w:eastAsia="zh-CN"/>
        </w:rPr>
        <w:t>1738.5</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97.47</w:t>
      </w:r>
      <w:r>
        <w:rPr>
          <w:rFonts w:hint="eastAsia" w:ascii="仿宋" w:hAnsi="仿宋" w:eastAsia="仿宋"/>
          <w:color w:val="000000"/>
          <w:sz w:val="32"/>
          <w:szCs w:val="32"/>
        </w:rPr>
        <w:t>%；20</w:t>
      </w:r>
      <w:r>
        <w:rPr>
          <w:rFonts w:hint="eastAsia" w:ascii="仿宋" w:hAnsi="仿宋" w:eastAsia="仿宋"/>
          <w:color w:val="000000"/>
          <w:sz w:val="32"/>
          <w:szCs w:val="32"/>
          <w:lang w:val="en-US" w:eastAsia="zh-CN"/>
        </w:rPr>
        <w:t>21</w:t>
      </w:r>
      <w:r>
        <w:rPr>
          <w:rFonts w:hint="eastAsia" w:ascii="仿宋" w:hAnsi="仿宋" w:eastAsia="仿宋"/>
          <w:color w:val="000000"/>
          <w:sz w:val="32"/>
          <w:szCs w:val="32"/>
        </w:rPr>
        <w:t>年度中共松潘县办公室财政拨款结余</w:t>
      </w:r>
      <w:r>
        <w:rPr>
          <w:rFonts w:hint="eastAsia" w:ascii="仿宋" w:hAnsi="仿宋" w:eastAsia="仿宋"/>
          <w:color w:val="000000"/>
          <w:sz w:val="32"/>
          <w:szCs w:val="32"/>
          <w:lang w:val="en-US" w:eastAsia="zh-CN"/>
        </w:rPr>
        <w:t>45.1</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2.53</w:t>
      </w:r>
      <w:r>
        <w:rPr>
          <w:rFonts w:hint="eastAsia" w:ascii="仿宋" w:hAnsi="仿宋" w:eastAsia="仿宋"/>
          <w:color w:val="000000"/>
          <w:sz w:val="32"/>
          <w:szCs w:val="32"/>
        </w:rPr>
        <w:t>%。</w:t>
      </w:r>
    </w:p>
    <w:p w14:paraId="6D911AF8">
      <w:pPr>
        <w:widowControl/>
        <w:adjustRightInd w:val="0"/>
        <w:snapToGrid w:val="0"/>
        <w:spacing w:line="570" w:lineRule="exact"/>
        <w:ind w:firstLine="320" w:firstLineChars="100"/>
        <w:jc w:val="left"/>
        <w:rPr>
          <w:rFonts w:hint="eastAsia" w:ascii="楷体" w:hAnsi="楷体" w:eastAsia="楷体" w:cs="楷体"/>
          <w:color w:val="000000"/>
          <w:kern w:val="0"/>
          <w:sz w:val="32"/>
          <w:szCs w:val="32"/>
          <w:lang w:val="zh-CN"/>
        </w:rPr>
      </w:pPr>
      <w:r>
        <w:rPr>
          <w:rFonts w:hint="eastAsia" w:ascii="楷体" w:hAnsi="楷体" w:eastAsia="楷体" w:cs="楷体"/>
          <w:color w:val="000000"/>
          <w:kern w:val="0"/>
          <w:sz w:val="32"/>
          <w:szCs w:val="32"/>
          <w:lang w:val="zh-CN"/>
        </w:rPr>
        <w:t>（二）部门财政资金支出情况。</w:t>
      </w:r>
    </w:p>
    <w:p w14:paraId="2EE30EE8">
      <w:pPr>
        <w:spacing w:line="560"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1</w:t>
      </w:r>
      <w:r>
        <w:rPr>
          <w:rFonts w:hint="eastAsia" w:ascii="仿宋" w:hAnsi="仿宋" w:eastAsia="仿宋"/>
          <w:color w:val="000000"/>
          <w:sz w:val="32"/>
          <w:szCs w:val="32"/>
        </w:rPr>
        <w:t>年度中共松潘县委办公室本年支出合计</w:t>
      </w:r>
      <w:r>
        <w:rPr>
          <w:rFonts w:hint="eastAsia" w:ascii="仿宋" w:hAnsi="仿宋" w:eastAsia="仿宋"/>
          <w:color w:val="000000"/>
          <w:sz w:val="32"/>
          <w:szCs w:val="32"/>
          <w:lang w:val="en-US" w:eastAsia="zh-CN"/>
        </w:rPr>
        <w:t>1773.08</w:t>
      </w:r>
      <w:r>
        <w:rPr>
          <w:rFonts w:hint="eastAsia" w:ascii="仿宋" w:hAnsi="仿宋" w:eastAsia="仿宋"/>
          <w:color w:val="000000"/>
          <w:sz w:val="32"/>
          <w:szCs w:val="32"/>
        </w:rPr>
        <w:t>万元，其中：本年财政拨款支出</w:t>
      </w:r>
      <w:r>
        <w:rPr>
          <w:rFonts w:hint="eastAsia" w:ascii="仿宋" w:hAnsi="仿宋" w:eastAsia="仿宋"/>
          <w:color w:val="000000"/>
          <w:sz w:val="32"/>
          <w:szCs w:val="32"/>
          <w:lang w:val="en-US" w:eastAsia="zh-CN"/>
        </w:rPr>
        <w:t>1738.5</w:t>
      </w:r>
      <w:r>
        <w:rPr>
          <w:rFonts w:hint="eastAsia" w:ascii="仿宋" w:hAnsi="仿宋" w:eastAsia="仿宋"/>
          <w:color w:val="000000"/>
          <w:sz w:val="32"/>
          <w:szCs w:val="32"/>
        </w:rPr>
        <w:t>万元，基本支出</w:t>
      </w:r>
      <w:r>
        <w:rPr>
          <w:rFonts w:hint="eastAsia" w:ascii="仿宋" w:hAnsi="仿宋" w:eastAsia="仿宋"/>
          <w:color w:val="000000"/>
          <w:sz w:val="32"/>
          <w:szCs w:val="32"/>
          <w:lang w:val="en-US" w:eastAsia="zh-CN"/>
        </w:rPr>
        <w:t>1406.72</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80.91</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331.78</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19.09</w:t>
      </w:r>
      <w:r>
        <w:rPr>
          <w:rFonts w:hint="eastAsia" w:ascii="仿宋" w:hAnsi="仿宋" w:eastAsia="仿宋"/>
          <w:color w:val="000000"/>
          <w:sz w:val="32"/>
          <w:szCs w:val="32"/>
        </w:rPr>
        <w:t>%。财政拨款结转结余支出</w:t>
      </w:r>
      <w:r>
        <w:rPr>
          <w:rFonts w:hint="eastAsia" w:ascii="仿宋" w:hAnsi="仿宋" w:eastAsia="仿宋"/>
          <w:color w:val="000000"/>
          <w:sz w:val="32"/>
          <w:szCs w:val="32"/>
          <w:lang w:val="en-US" w:eastAsia="zh-CN"/>
        </w:rPr>
        <w:t>34.57</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76.65</w:t>
      </w:r>
      <w:r>
        <w:rPr>
          <w:rFonts w:hint="eastAsia" w:ascii="仿宋" w:hAnsi="仿宋" w:eastAsia="仿宋"/>
          <w:color w:val="000000"/>
          <w:sz w:val="32"/>
          <w:szCs w:val="32"/>
        </w:rPr>
        <w:t>%</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CN"/>
        </w:rPr>
        <w:t>因财政收回10.53万元</w:t>
      </w:r>
      <w:r>
        <w:rPr>
          <w:rFonts w:hint="eastAsia" w:ascii="仿宋" w:hAnsi="仿宋" w:eastAsia="仿宋"/>
          <w:color w:val="000000"/>
          <w:sz w:val="32"/>
          <w:szCs w:val="32"/>
          <w:lang w:eastAsia="zh-CN"/>
        </w:rPr>
        <w:t>，</w:t>
      </w:r>
      <w:r>
        <w:rPr>
          <w:rFonts w:hint="eastAsia" w:ascii="仿宋" w:hAnsi="仿宋" w:eastAsia="仿宋"/>
          <w:color w:val="000000"/>
          <w:sz w:val="32"/>
          <w:szCs w:val="32"/>
        </w:rPr>
        <w:t>占</w:t>
      </w:r>
      <w:r>
        <w:rPr>
          <w:rFonts w:hint="eastAsia" w:ascii="仿宋" w:hAnsi="仿宋" w:eastAsia="仿宋"/>
          <w:color w:val="000000"/>
          <w:sz w:val="32"/>
          <w:szCs w:val="32"/>
          <w:lang w:val="en-US" w:eastAsia="zh-CN"/>
        </w:rPr>
        <w:t>23.35%</w:t>
      </w:r>
      <w:r>
        <w:rPr>
          <w:rFonts w:hint="eastAsia" w:ascii="仿宋" w:hAnsi="仿宋" w:eastAsia="仿宋"/>
          <w:color w:val="000000"/>
          <w:sz w:val="32"/>
          <w:szCs w:val="32"/>
        </w:rPr>
        <w:t>。</w:t>
      </w:r>
    </w:p>
    <w:p w14:paraId="15FB0007">
      <w:pPr>
        <w:numPr>
          <w:ilvl w:val="0"/>
          <w:numId w:val="0"/>
        </w:numPr>
        <w:spacing w:line="560" w:lineRule="exact"/>
        <w:ind w:firstLine="320" w:firstLineChars="100"/>
        <w:rPr>
          <w:rFonts w:hint="eastAsia" w:ascii="楷体" w:hAnsi="楷体" w:eastAsia="楷体"/>
          <w:color w:val="000000"/>
          <w:sz w:val="32"/>
          <w:szCs w:val="32"/>
        </w:rPr>
      </w:pPr>
      <w:r>
        <w:rPr>
          <w:rFonts w:hint="eastAsia" w:ascii="楷体" w:hAnsi="楷体" w:eastAsia="楷体"/>
          <w:color w:val="000000"/>
          <w:sz w:val="32"/>
          <w:szCs w:val="32"/>
          <w:lang w:val="en-US" w:eastAsia="zh-CN"/>
        </w:rPr>
        <w:t>（</w:t>
      </w:r>
      <w:r>
        <w:rPr>
          <w:rFonts w:hint="eastAsia" w:ascii="楷体" w:hAnsi="楷体" w:eastAsia="楷体"/>
          <w:color w:val="000000"/>
          <w:sz w:val="32"/>
          <w:szCs w:val="32"/>
          <w:lang w:eastAsia="zh-CN"/>
        </w:rPr>
        <w:t>三）</w:t>
      </w:r>
      <w:r>
        <w:rPr>
          <w:rFonts w:hint="eastAsia" w:ascii="楷体" w:hAnsi="楷体" w:eastAsia="楷体"/>
          <w:color w:val="000000"/>
          <w:sz w:val="32"/>
          <w:szCs w:val="32"/>
        </w:rPr>
        <w:t>“三公”经费财政拨款支出决算总体情况</w:t>
      </w:r>
    </w:p>
    <w:p w14:paraId="2B27DD16">
      <w:pPr>
        <w:numPr>
          <w:ilvl w:val="0"/>
          <w:numId w:val="0"/>
        </w:numPr>
        <w:spacing w:line="560" w:lineRule="exact"/>
        <w:ind w:leftChars="0" w:firstLine="640" w:firstLineChars="200"/>
        <w:rPr>
          <w:rFonts w:ascii="仿宋" w:hAnsi="仿宋" w:eastAsia="仿宋"/>
          <w:color w:val="000000"/>
          <w:sz w:val="32"/>
          <w:szCs w:val="32"/>
        </w:rPr>
      </w:pPr>
      <w:r>
        <w:rPr>
          <w:rFonts w:hint="eastAsia" w:ascii="仿宋" w:hAnsi="仿宋" w:eastAsia="仿宋"/>
          <w:color w:val="000000"/>
          <w:sz w:val="32"/>
          <w:szCs w:val="32"/>
        </w:rPr>
        <w:t>2021年度“三公”经费财政拨款支出决算为154.13万元，完成预算100%，其中：公务用车购置及运行维护费支出决算</w:t>
      </w:r>
      <w:r>
        <w:rPr>
          <w:rFonts w:hint="eastAsia" w:ascii="仿宋" w:hAnsi="仿宋" w:eastAsia="仿宋"/>
          <w:color w:val="000000"/>
          <w:sz w:val="32"/>
          <w:szCs w:val="32"/>
          <w:lang w:eastAsia="zh-CN"/>
        </w:rPr>
        <w:t>：</w:t>
      </w:r>
      <w:r>
        <w:rPr>
          <w:rFonts w:hint="eastAsia" w:ascii="仿宋" w:hAnsi="仿宋" w:eastAsia="仿宋"/>
          <w:color w:val="000000"/>
          <w:sz w:val="32"/>
          <w:szCs w:val="32"/>
        </w:rPr>
        <w:t>146.23万元，完成预算100%；公务接待费支出决算为7.9万元，完成预算100%。2021年度“三公”经费财政拨款支出决算数比2020年增加41.27万元，增长36.56%，其中：公务用车购置及运行维护费支出决算增加52.45万元，增长55.93%；原因是保障机关运行新购置一辆公务用车，公务车辆运行维护费减少5.47万元，下降5.83%。公务接待费支出决算减少11.18万元，下降58.6%。</w:t>
      </w:r>
    </w:p>
    <w:p w14:paraId="2C11B0C1">
      <w:pPr>
        <w:widowControl/>
        <w:adjustRightInd w:val="0"/>
        <w:snapToGrid w:val="0"/>
        <w:spacing w:line="570" w:lineRule="exact"/>
        <w:ind w:firstLine="640" w:firstLineChars="200"/>
        <w:jc w:val="left"/>
        <w:rPr>
          <w:rFonts w:hint="eastAsia" w:ascii="黑体" w:hAnsi="黑体" w:eastAsia="黑体" w:cs="黑体"/>
          <w:color w:val="000000"/>
          <w:kern w:val="0"/>
          <w:sz w:val="32"/>
          <w:szCs w:val="32"/>
          <w:lang w:val="zh-CN"/>
        </w:rPr>
      </w:pPr>
      <w:r>
        <w:rPr>
          <w:rFonts w:hint="eastAsia" w:ascii="黑体" w:hAnsi="黑体" w:eastAsia="黑体" w:cs="黑体"/>
          <w:color w:val="000000"/>
          <w:kern w:val="0"/>
          <w:sz w:val="32"/>
          <w:szCs w:val="32"/>
          <w:lang w:val="zh-CN"/>
        </w:rPr>
        <w:t>三、部门整体支出情况分析。</w:t>
      </w:r>
    </w:p>
    <w:p w14:paraId="723638FF">
      <w:pPr>
        <w:widowControl/>
        <w:adjustRightInd w:val="0"/>
        <w:snapToGrid w:val="0"/>
        <w:spacing w:line="570" w:lineRule="exact"/>
        <w:ind w:firstLine="480" w:firstLineChars="15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从整体情况来看，我县委办公室依据整体绩效目标所设定的绩效指标清晰、细化、可衡量，与部门年度的任务数或计划数相对应；与本年度部门预算资金相匹配。严格按照年初预算进行部门整体支出。在支出过程中，能严格遵守各项规章制度，</w:t>
      </w:r>
      <w:r>
        <w:rPr>
          <w:rFonts w:hint="eastAsia" w:ascii="仿宋_GB2312" w:hAnsi="仿宋" w:eastAsia="仿宋_GB2312" w:cs="仿宋"/>
          <w:color w:val="000000"/>
          <w:kern w:val="0"/>
          <w:sz w:val="32"/>
          <w:szCs w:val="32"/>
          <w:lang w:eastAsia="zh-CN"/>
        </w:rPr>
        <w:t>“三公”经费</w:t>
      </w:r>
      <w:r>
        <w:rPr>
          <w:rFonts w:hint="eastAsia" w:ascii="仿宋_GB2312" w:hAnsi="仿宋" w:eastAsia="仿宋_GB2312" w:cs="仿宋"/>
          <w:color w:val="000000"/>
          <w:kern w:val="0"/>
          <w:sz w:val="32"/>
          <w:szCs w:val="32"/>
        </w:rPr>
        <w:t>明显下降。尤其是在专项经费支出上，我们能专款专用，按项目实施计划的进度情况进行资金拨付，无截留、无挪用等现象。实行了先有预算、后有执行、“用钱必问效、无效必问责”的新常态。</w:t>
      </w:r>
    </w:p>
    <w:p w14:paraId="616206F2">
      <w:pPr>
        <w:widowControl/>
        <w:adjustRightInd w:val="0"/>
        <w:snapToGrid w:val="0"/>
        <w:spacing w:line="570" w:lineRule="exact"/>
        <w:ind w:firstLine="640" w:firstLineChars="200"/>
        <w:jc w:val="left"/>
        <w:outlineLvl w:val="1"/>
        <w:rPr>
          <w:rFonts w:hint="eastAsia" w:ascii="黑体" w:hAnsi="黑体" w:eastAsia="黑体" w:cs="黑体"/>
          <w:color w:val="000000"/>
          <w:kern w:val="0"/>
          <w:sz w:val="32"/>
          <w:szCs w:val="32"/>
        </w:rPr>
      </w:pPr>
      <w:bookmarkStart w:id="111" w:name="_Toc18945"/>
      <w:r>
        <w:rPr>
          <w:rFonts w:hint="eastAsia" w:ascii="黑体" w:hAnsi="黑体" w:eastAsia="黑体" w:cs="黑体"/>
          <w:color w:val="000000"/>
          <w:kern w:val="0"/>
          <w:sz w:val="32"/>
          <w:szCs w:val="32"/>
          <w:lang w:eastAsia="zh-CN"/>
        </w:rPr>
        <w:t>四、</w:t>
      </w:r>
      <w:r>
        <w:rPr>
          <w:rFonts w:hint="eastAsia" w:ascii="黑体" w:hAnsi="黑体" w:eastAsia="黑体" w:cs="黑体"/>
          <w:color w:val="000000"/>
          <w:kern w:val="0"/>
          <w:sz w:val="32"/>
          <w:szCs w:val="32"/>
        </w:rPr>
        <w:t>部门财政支出管理情况</w:t>
      </w:r>
      <w:bookmarkEnd w:id="111"/>
    </w:p>
    <w:p w14:paraId="42CEBBFF">
      <w:pPr>
        <w:widowControl/>
        <w:adjustRightInd w:val="0"/>
        <w:snapToGrid w:val="0"/>
        <w:spacing w:line="570" w:lineRule="exact"/>
        <w:ind w:firstLine="321" w:firstLineChars="100"/>
        <w:jc w:val="left"/>
        <w:rPr>
          <w:rFonts w:ascii="仿宋_GB2312" w:hAnsi="仿宋" w:eastAsia="仿宋_GB2312" w:cs="仿宋"/>
          <w:color w:val="000000"/>
          <w:kern w:val="0"/>
          <w:sz w:val="32"/>
          <w:szCs w:val="32"/>
          <w:lang w:val="zh-CN"/>
        </w:rPr>
      </w:pPr>
      <w:r>
        <w:rPr>
          <w:rFonts w:hint="eastAsia" w:ascii="仿宋_GB2312" w:hAnsi="仿宋" w:eastAsia="仿宋_GB2312" w:cs="仿宋"/>
          <w:b/>
          <w:bCs/>
          <w:color w:val="000000"/>
          <w:kern w:val="0"/>
          <w:sz w:val="32"/>
          <w:szCs w:val="32"/>
          <w:lang w:val="zh-CN"/>
        </w:rPr>
        <w:t>（一）预算编制情况。</w:t>
      </w:r>
    </w:p>
    <w:p w14:paraId="544B7B9B">
      <w:pPr>
        <w:widowControl/>
        <w:adjustRightInd w:val="0"/>
        <w:snapToGrid w:val="0"/>
        <w:spacing w:line="570" w:lineRule="exact"/>
        <w:ind w:firstLine="720"/>
        <w:jc w:val="left"/>
        <w:rPr>
          <w:rFonts w:ascii="仿宋_GB2312" w:hAnsi="仿宋" w:eastAsia="仿宋_GB2312" w:cs="仿宋"/>
          <w:color w:val="000000"/>
          <w:kern w:val="0"/>
          <w:sz w:val="32"/>
          <w:szCs w:val="32"/>
          <w:lang w:val="zh-CN"/>
        </w:rPr>
      </w:pPr>
      <w:r>
        <w:rPr>
          <w:rFonts w:hint="eastAsia" w:ascii="仿宋_GB2312" w:hAnsi="仿宋" w:eastAsia="仿宋_GB2312" w:cs="仿宋"/>
          <w:color w:val="000000"/>
          <w:kern w:val="0"/>
          <w:sz w:val="32"/>
          <w:szCs w:val="32"/>
          <w:lang w:val="zh-CN"/>
        </w:rPr>
        <w:t>严格按照“统筹兼顾、勤俭节约、量力而行、讲求绩效、收支平衡”的原则编制预算，明确绩效目标，项目经费使用提前细化并上报财政与政府，在当年9月将审核汇总的部门预算及项目支出的相关依据报送县财政局（“一上”）。10月前调整和完善部门预算及相关材料，再次按时上报部门预算（“二上”）。</w:t>
      </w:r>
    </w:p>
    <w:p w14:paraId="4EA586BF">
      <w:pPr>
        <w:widowControl/>
        <w:adjustRightInd w:val="0"/>
        <w:snapToGrid w:val="0"/>
        <w:spacing w:line="570" w:lineRule="exact"/>
        <w:ind w:firstLine="482" w:firstLineChars="150"/>
        <w:jc w:val="left"/>
        <w:rPr>
          <w:rFonts w:ascii="仿宋_GB2312" w:hAnsi="仿宋" w:eastAsia="仿宋_GB2312" w:cs="仿宋"/>
          <w:b/>
          <w:bCs/>
          <w:color w:val="000000"/>
          <w:kern w:val="0"/>
          <w:sz w:val="32"/>
          <w:szCs w:val="32"/>
          <w:lang w:val="zh-CN"/>
        </w:rPr>
      </w:pPr>
      <w:r>
        <w:rPr>
          <w:rFonts w:hint="eastAsia" w:ascii="仿宋_GB2312" w:hAnsi="仿宋" w:eastAsia="仿宋_GB2312" w:cs="仿宋"/>
          <w:b/>
          <w:bCs/>
          <w:color w:val="000000"/>
          <w:kern w:val="0"/>
          <w:sz w:val="32"/>
          <w:szCs w:val="32"/>
          <w:lang w:val="zh-CN"/>
        </w:rPr>
        <w:t>（二）执行管理情况。</w:t>
      </w:r>
      <w:r>
        <w:rPr>
          <w:rFonts w:hint="eastAsia" w:ascii="仿宋_GB2312" w:hAnsi="仿宋" w:eastAsia="仿宋_GB2312" w:cs="仿宋"/>
          <w:b/>
          <w:bCs/>
          <w:color w:val="000000"/>
          <w:kern w:val="0"/>
          <w:sz w:val="32"/>
          <w:szCs w:val="32"/>
          <w:lang w:val="zh-CN"/>
        </w:rPr>
        <w:tab/>
      </w:r>
    </w:p>
    <w:p w14:paraId="54F7AA4B">
      <w:pPr>
        <w:widowControl/>
        <w:adjustRightInd w:val="0"/>
        <w:snapToGrid w:val="0"/>
        <w:spacing w:line="570" w:lineRule="exact"/>
        <w:ind w:firstLine="480" w:firstLineChars="150"/>
        <w:jc w:val="left"/>
        <w:rPr>
          <w:rFonts w:ascii="仿宋_GB2312" w:hAnsi="仿宋" w:eastAsia="仿宋_GB2312" w:cs="仿宋"/>
          <w:color w:val="000000"/>
          <w:kern w:val="0"/>
          <w:sz w:val="32"/>
          <w:szCs w:val="32"/>
          <w:lang w:val="zh-CN"/>
        </w:rPr>
      </w:pPr>
      <w:r>
        <w:rPr>
          <w:rFonts w:hint="eastAsia" w:ascii="仿宋_GB2312" w:hAnsi="仿宋" w:eastAsia="仿宋_GB2312" w:cs="仿宋"/>
          <w:color w:val="000000"/>
          <w:kern w:val="0"/>
          <w:sz w:val="32"/>
          <w:szCs w:val="32"/>
          <w:lang w:val="zh-CN"/>
        </w:rPr>
        <w:t>财政及时下达预算指标，本部门严格按照预算分配情况进行资金支付，部门预算执行进度严格按照预算执行、中期自我评估良好、本部门节能降耗和“三公”经费实行厉行节约条例。</w:t>
      </w:r>
    </w:p>
    <w:p w14:paraId="081FE05A">
      <w:pPr>
        <w:widowControl/>
        <w:adjustRightInd w:val="0"/>
        <w:snapToGrid w:val="0"/>
        <w:spacing w:line="570" w:lineRule="exact"/>
        <w:ind w:firstLine="482" w:firstLineChars="150"/>
        <w:jc w:val="left"/>
        <w:rPr>
          <w:rFonts w:ascii="仿宋_GB2312" w:hAnsi="仿宋" w:eastAsia="仿宋_GB2312" w:cs="仿宋"/>
          <w:b/>
          <w:bCs/>
          <w:color w:val="000000"/>
          <w:kern w:val="0"/>
          <w:sz w:val="32"/>
          <w:szCs w:val="32"/>
          <w:lang w:val="zh-CN"/>
        </w:rPr>
      </w:pPr>
      <w:r>
        <w:rPr>
          <w:rFonts w:hint="eastAsia" w:ascii="仿宋_GB2312" w:hAnsi="仿宋" w:eastAsia="仿宋_GB2312" w:cs="仿宋"/>
          <w:b/>
          <w:bCs/>
          <w:color w:val="000000"/>
          <w:kern w:val="0"/>
          <w:sz w:val="32"/>
          <w:szCs w:val="32"/>
          <w:lang w:val="zh-CN"/>
        </w:rPr>
        <w:t>（三）综合管理情况。</w:t>
      </w:r>
    </w:p>
    <w:p w14:paraId="6B8A7681">
      <w:pPr>
        <w:widowControl/>
        <w:adjustRightInd w:val="0"/>
        <w:snapToGrid w:val="0"/>
        <w:spacing w:line="570" w:lineRule="exact"/>
        <w:ind w:firstLine="480" w:firstLineChars="150"/>
        <w:jc w:val="left"/>
        <w:rPr>
          <w:rFonts w:ascii="仿宋_GB2312" w:hAnsi="仿宋" w:eastAsia="仿宋_GB2312" w:cs="仿宋"/>
          <w:color w:val="000000"/>
          <w:kern w:val="0"/>
          <w:sz w:val="32"/>
          <w:szCs w:val="32"/>
          <w:lang w:val="zh-CN"/>
        </w:rPr>
      </w:pPr>
      <w:r>
        <w:rPr>
          <w:rFonts w:hint="eastAsia" w:ascii="仿宋_GB2312" w:hAnsi="仿宋" w:eastAsia="仿宋_GB2312" w:cs="仿宋"/>
          <w:color w:val="000000"/>
          <w:kern w:val="0"/>
          <w:sz w:val="32"/>
          <w:szCs w:val="32"/>
          <w:lang w:val="zh-CN"/>
        </w:rPr>
        <w:t>严格资金监管和使用，坚持专款专用，严格遵守执行《中华人民共和国预算法》《中华人民共和国会计法》《松潘县政府性投资项目管理办法》《进一步加强财政资金管理的实施意见》等法律法规，确保资金的安全、有效使用。</w:t>
      </w:r>
    </w:p>
    <w:p w14:paraId="69F5A590">
      <w:pPr>
        <w:widowControl/>
        <w:adjustRightInd w:val="0"/>
        <w:snapToGrid w:val="0"/>
        <w:spacing w:line="570" w:lineRule="exact"/>
        <w:ind w:firstLine="482" w:firstLineChars="150"/>
        <w:jc w:val="left"/>
        <w:rPr>
          <w:rFonts w:ascii="仿宋_GB2312" w:hAnsi="仿宋" w:eastAsia="仿宋_GB2312" w:cs="仿宋"/>
          <w:b/>
          <w:bCs/>
          <w:color w:val="000000"/>
          <w:kern w:val="0"/>
          <w:sz w:val="32"/>
          <w:szCs w:val="32"/>
          <w:lang w:val="zh-CN"/>
        </w:rPr>
      </w:pPr>
      <w:r>
        <w:rPr>
          <w:rFonts w:hint="eastAsia" w:ascii="仿宋_GB2312" w:hAnsi="仿宋" w:eastAsia="仿宋_GB2312" w:cs="仿宋"/>
          <w:b/>
          <w:bCs/>
          <w:color w:val="000000"/>
          <w:kern w:val="0"/>
          <w:sz w:val="32"/>
          <w:szCs w:val="32"/>
          <w:lang w:val="zh-CN"/>
        </w:rPr>
        <w:t>（四）整体绩效。</w:t>
      </w:r>
    </w:p>
    <w:p w14:paraId="580D8986">
      <w:pPr>
        <w:widowControl/>
        <w:adjustRightInd w:val="0"/>
        <w:snapToGrid w:val="0"/>
        <w:spacing w:line="570" w:lineRule="exact"/>
        <w:ind w:firstLine="480" w:firstLineChars="150"/>
        <w:jc w:val="left"/>
        <w:rPr>
          <w:rFonts w:ascii="仿宋_GB2312" w:hAnsi="仿宋" w:eastAsia="仿宋_GB2312" w:cs="仿宋"/>
          <w:color w:val="000000"/>
          <w:kern w:val="0"/>
          <w:sz w:val="32"/>
          <w:szCs w:val="32"/>
          <w:lang w:val="zh-CN"/>
        </w:rPr>
      </w:pPr>
      <w:r>
        <w:rPr>
          <w:rFonts w:hint="eastAsia" w:ascii="仿宋_GB2312" w:hAnsi="仿宋" w:eastAsia="仿宋_GB2312" w:cs="仿宋"/>
          <w:color w:val="000000"/>
          <w:kern w:val="0"/>
          <w:sz w:val="32"/>
          <w:szCs w:val="32"/>
          <w:lang w:val="zh-CN"/>
        </w:rPr>
        <w:t>严格执行《四川省省级财政专项资金绩效分配管理暂行办法》，实施绩效分配情况。</w:t>
      </w:r>
    </w:p>
    <w:p w14:paraId="07693F9C">
      <w:pPr>
        <w:widowControl/>
        <w:adjustRightInd w:val="0"/>
        <w:snapToGrid w:val="0"/>
        <w:spacing w:line="570" w:lineRule="exact"/>
        <w:ind w:firstLine="480" w:firstLineChars="150"/>
        <w:jc w:val="left"/>
        <w:rPr>
          <w:rFonts w:ascii="仿宋_GB2312" w:hAnsi="仿宋" w:eastAsia="仿宋_GB2312" w:cs="仿宋"/>
          <w:color w:val="000000"/>
          <w:kern w:val="0"/>
          <w:sz w:val="32"/>
          <w:szCs w:val="32"/>
          <w:lang w:val="zh-CN"/>
        </w:rPr>
      </w:pPr>
      <w:r>
        <w:rPr>
          <w:rFonts w:hint="eastAsia" w:ascii="仿宋_GB2312" w:hAnsi="仿宋" w:eastAsia="仿宋_GB2312" w:cs="仿宋"/>
          <w:color w:val="000000"/>
          <w:kern w:val="0"/>
          <w:sz w:val="32"/>
          <w:szCs w:val="32"/>
          <w:lang w:val="zh-CN"/>
        </w:rPr>
        <w:t>服务对象满意程度。</w:t>
      </w:r>
    </w:p>
    <w:p w14:paraId="1C087C2A">
      <w:pPr>
        <w:widowControl/>
        <w:adjustRightInd w:val="0"/>
        <w:snapToGrid w:val="0"/>
        <w:spacing w:line="570" w:lineRule="exact"/>
        <w:ind w:firstLine="480" w:firstLineChars="150"/>
        <w:jc w:val="left"/>
        <w:rPr>
          <w:rFonts w:ascii="仿宋_GB2312" w:hAnsi="仿宋" w:eastAsia="仿宋_GB2312" w:cs="仿宋"/>
          <w:color w:val="000000"/>
          <w:kern w:val="0"/>
          <w:sz w:val="32"/>
          <w:szCs w:val="32"/>
          <w:lang w:val="zh-CN"/>
        </w:rPr>
      </w:pPr>
      <w:r>
        <w:rPr>
          <w:rFonts w:hint="eastAsia" w:ascii="仿宋_GB2312" w:hAnsi="仿宋" w:eastAsia="仿宋_GB2312" w:cs="仿宋"/>
          <w:color w:val="000000"/>
          <w:kern w:val="0"/>
          <w:sz w:val="32"/>
          <w:szCs w:val="32"/>
          <w:lang w:val="zh-CN"/>
        </w:rPr>
        <w:t>本部门实行让每个项目的服务对象的满意程度达到非常满意。</w:t>
      </w:r>
    </w:p>
    <w:p w14:paraId="631AE75F">
      <w:pPr>
        <w:widowControl/>
        <w:adjustRightInd w:val="0"/>
        <w:snapToGrid w:val="0"/>
        <w:spacing w:line="570" w:lineRule="exact"/>
        <w:ind w:firstLine="320" w:firstLineChars="100"/>
        <w:jc w:val="left"/>
        <w:outlineLvl w:val="1"/>
        <w:rPr>
          <w:rFonts w:hint="eastAsia" w:ascii="黑体" w:hAnsi="黑体" w:eastAsia="黑体" w:cs="黑体"/>
          <w:color w:val="000000"/>
          <w:kern w:val="0"/>
          <w:sz w:val="32"/>
          <w:szCs w:val="32"/>
        </w:rPr>
      </w:pPr>
      <w:bookmarkStart w:id="112" w:name="_Toc30563"/>
      <w:r>
        <w:rPr>
          <w:rFonts w:hint="eastAsia" w:ascii="黑体" w:hAnsi="黑体" w:eastAsia="黑体" w:cs="黑体"/>
          <w:color w:val="000000"/>
          <w:kern w:val="0"/>
          <w:sz w:val="32"/>
          <w:szCs w:val="32"/>
          <w:lang w:eastAsia="zh-CN"/>
        </w:rPr>
        <w:t>五</w:t>
      </w:r>
      <w:r>
        <w:rPr>
          <w:rFonts w:hint="eastAsia" w:ascii="黑体" w:hAnsi="黑体" w:eastAsia="黑体" w:cs="黑体"/>
          <w:color w:val="000000"/>
          <w:kern w:val="0"/>
          <w:sz w:val="32"/>
          <w:szCs w:val="32"/>
        </w:rPr>
        <w:t>、评价结论及建议</w:t>
      </w:r>
      <w:bookmarkEnd w:id="112"/>
    </w:p>
    <w:p w14:paraId="539D8A85">
      <w:pPr>
        <w:spacing w:line="570" w:lineRule="exact"/>
        <w:ind w:firstLine="640"/>
        <w:rPr>
          <w:rFonts w:ascii="仿宋_GB2312" w:hAnsi="仿宋" w:eastAsia="仿宋_GB2312" w:cs="仿宋"/>
          <w:b/>
          <w:bCs/>
          <w:color w:val="000000"/>
          <w:kern w:val="0"/>
          <w:sz w:val="32"/>
          <w:szCs w:val="32"/>
          <w:lang w:val="zh-CN"/>
        </w:rPr>
      </w:pPr>
      <w:r>
        <w:rPr>
          <w:rFonts w:hint="eastAsia" w:ascii="仿宋_GB2312" w:hAnsi="仿宋" w:eastAsia="仿宋_GB2312" w:cs="仿宋"/>
          <w:b/>
          <w:bCs/>
          <w:color w:val="000000"/>
          <w:kern w:val="0"/>
          <w:sz w:val="32"/>
          <w:szCs w:val="32"/>
          <w:lang w:val="zh-CN"/>
        </w:rPr>
        <w:t>（一）评价结论。</w:t>
      </w:r>
    </w:p>
    <w:p w14:paraId="1148543E">
      <w:pPr>
        <w:spacing w:line="570" w:lineRule="exact"/>
        <w:ind w:firstLine="640"/>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县委办全体干部职工紧紧围绕县委中心工作，始终坚持以“让县委满意、让部门满意、让基层和人民群众满意”为目标，与时俱进、团结协作、统筹兼顾、狠抓落实，努力提升办公室服务水平，切实发挥参谋助手、综合协调和后勤保障作用，内强素质，外树形象，开拓创新，扎实工作，较好地完成了各项工作任务和领导交办的任务。</w:t>
      </w:r>
    </w:p>
    <w:p w14:paraId="10FDF363">
      <w:pPr>
        <w:widowControl/>
        <w:adjustRightInd w:val="0"/>
        <w:snapToGrid w:val="0"/>
        <w:spacing w:line="570" w:lineRule="exact"/>
        <w:ind w:firstLine="321" w:firstLineChars="100"/>
        <w:jc w:val="left"/>
        <w:rPr>
          <w:rFonts w:ascii="仿宋_GB2312" w:hAnsi="仿宋" w:eastAsia="仿宋_GB2312" w:cs="仿宋"/>
          <w:b/>
          <w:bCs/>
          <w:color w:val="000000"/>
          <w:kern w:val="0"/>
          <w:sz w:val="32"/>
          <w:szCs w:val="32"/>
          <w:lang w:val="zh-CN"/>
        </w:rPr>
      </w:pPr>
      <w:r>
        <w:rPr>
          <w:rFonts w:hint="eastAsia" w:ascii="仿宋_GB2312" w:hAnsi="仿宋" w:eastAsia="仿宋_GB2312" w:cs="仿宋"/>
          <w:b/>
          <w:bCs/>
          <w:color w:val="000000"/>
          <w:kern w:val="0"/>
          <w:sz w:val="32"/>
          <w:szCs w:val="32"/>
          <w:lang w:val="zh-CN"/>
        </w:rPr>
        <w:t>（二）存在问题。</w:t>
      </w:r>
    </w:p>
    <w:p w14:paraId="12E40DAC">
      <w:pPr>
        <w:widowControl/>
        <w:adjustRightInd w:val="0"/>
        <w:snapToGrid w:val="0"/>
        <w:spacing w:line="570" w:lineRule="exact"/>
        <w:ind w:firstLine="720"/>
        <w:jc w:val="left"/>
        <w:rPr>
          <w:rFonts w:ascii="仿宋_GB2312" w:hAnsi="仿宋" w:eastAsia="仿宋_GB2312" w:cs="仿宋"/>
          <w:color w:val="000000"/>
          <w:kern w:val="0"/>
          <w:sz w:val="32"/>
          <w:szCs w:val="32"/>
          <w:lang w:val="zh-CN"/>
        </w:rPr>
      </w:pPr>
      <w:r>
        <w:rPr>
          <w:rFonts w:hint="eastAsia" w:ascii="仿宋_GB2312" w:hAnsi="仿宋" w:eastAsia="仿宋_GB2312" w:cs="仿宋"/>
          <w:color w:val="000000"/>
          <w:kern w:val="0"/>
          <w:sz w:val="32"/>
          <w:szCs w:val="32"/>
          <w:lang w:val="zh-CN"/>
        </w:rPr>
        <w:t>1.资金使用效益有待进一步提高，加强财政资金事前、事中、事后的监管。</w:t>
      </w:r>
    </w:p>
    <w:p w14:paraId="1E99B7A6">
      <w:pPr>
        <w:widowControl/>
        <w:adjustRightInd w:val="0"/>
        <w:snapToGrid w:val="0"/>
        <w:spacing w:line="570" w:lineRule="exact"/>
        <w:ind w:firstLine="720"/>
        <w:jc w:val="left"/>
        <w:rPr>
          <w:rFonts w:ascii="仿宋_GB2312" w:hAnsi="仿宋" w:eastAsia="仿宋_GB2312" w:cs="仿宋"/>
          <w:color w:val="000000"/>
          <w:kern w:val="0"/>
          <w:sz w:val="32"/>
          <w:szCs w:val="32"/>
          <w:lang w:val="zh-CN"/>
        </w:rPr>
      </w:pPr>
      <w:r>
        <w:rPr>
          <w:rFonts w:hint="eastAsia" w:ascii="仿宋_GB2312" w:hAnsi="仿宋" w:eastAsia="仿宋_GB2312" w:cs="仿宋"/>
          <w:color w:val="000000"/>
          <w:kern w:val="0"/>
          <w:sz w:val="32"/>
          <w:szCs w:val="32"/>
          <w:lang w:val="zh-CN"/>
        </w:rPr>
        <w:t>2.绩效目标设立不够明确、细化和量化。</w:t>
      </w:r>
    </w:p>
    <w:p w14:paraId="6134DBCB">
      <w:pPr>
        <w:widowControl/>
        <w:adjustRightInd w:val="0"/>
        <w:snapToGrid w:val="0"/>
        <w:spacing w:line="570" w:lineRule="exact"/>
        <w:ind w:firstLine="321" w:firstLineChars="100"/>
        <w:jc w:val="left"/>
        <w:rPr>
          <w:rFonts w:ascii="仿宋_GB2312" w:hAnsi="仿宋" w:eastAsia="仿宋_GB2312" w:cs="仿宋"/>
          <w:b/>
          <w:bCs/>
          <w:color w:val="000000"/>
          <w:kern w:val="0"/>
          <w:sz w:val="32"/>
          <w:szCs w:val="32"/>
          <w:lang w:val="zh-CN"/>
        </w:rPr>
      </w:pPr>
      <w:r>
        <w:rPr>
          <w:rFonts w:hint="eastAsia" w:ascii="仿宋_GB2312" w:hAnsi="仿宋" w:eastAsia="仿宋_GB2312" w:cs="仿宋"/>
          <w:b/>
          <w:bCs/>
          <w:color w:val="000000"/>
          <w:kern w:val="0"/>
          <w:sz w:val="32"/>
          <w:szCs w:val="32"/>
          <w:lang w:val="zh-CN"/>
        </w:rPr>
        <w:t>（三）改进建议。</w:t>
      </w:r>
    </w:p>
    <w:p w14:paraId="1F4543B6">
      <w:pPr>
        <w:widowControl/>
        <w:adjustRightInd w:val="0"/>
        <w:snapToGrid w:val="0"/>
        <w:spacing w:line="570" w:lineRule="exact"/>
        <w:ind w:firstLine="720"/>
        <w:jc w:val="left"/>
        <w:rPr>
          <w:rFonts w:ascii="仿宋_GB2312" w:hAnsi="仿宋" w:eastAsia="仿宋_GB2312" w:cs="仿宋"/>
          <w:color w:val="000000"/>
          <w:kern w:val="0"/>
          <w:sz w:val="32"/>
          <w:szCs w:val="32"/>
          <w:lang w:val="zh-CN"/>
        </w:rPr>
      </w:pPr>
      <w:r>
        <w:rPr>
          <w:rFonts w:hint="eastAsia" w:ascii="仿宋_GB2312" w:hAnsi="仿宋" w:eastAsia="仿宋_GB2312" w:cs="仿宋"/>
          <w:color w:val="000000"/>
          <w:kern w:val="0"/>
          <w:sz w:val="32"/>
          <w:szCs w:val="32"/>
          <w:lang w:val="zh-CN"/>
        </w:rPr>
        <w:t>1.加强学习，提高思想认识。组织单位财务人员认真学习《</w:t>
      </w:r>
      <w:bookmarkStart w:id="172" w:name="_GoBack"/>
      <w:r>
        <w:rPr>
          <w:rFonts w:hint="eastAsia" w:ascii="仿宋_GB2312" w:hAnsi="仿宋" w:eastAsia="仿宋_GB2312" w:cs="仿宋"/>
          <w:color w:val="000000"/>
          <w:kern w:val="0"/>
          <w:sz w:val="32"/>
          <w:szCs w:val="32"/>
          <w:lang w:val="zh-CN"/>
        </w:rPr>
        <w:t>中华人民共和国预算法</w:t>
      </w:r>
      <w:bookmarkEnd w:id="172"/>
      <w:r>
        <w:rPr>
          <w:rFonts w:hint="eastAsia" w:ascii="仿宋_GB2312" w:hAnsi="仿宋" w:eastAsia="仿宋_GB2312" w:cs="仿宋"/>
          <w:color w:val="000000"/>
          <w:kern w:val="0"/>
          <w:sz w:val="32"/>
          <w:szCs w:val="32"/>
          <w:lang w:val="zh-CN"/>
        </w:rPr>
        <w:t>》等相关法规、制度，提高单位领导对全面预算管理的重视程度，增强财务人员的预算意识。</w:t>
      </w:r>
    </w:p>
    <w:p w14:paraId="7237F6D4">
      <w:pPr>
        <w:widowControl/>
        <w:adjustRightInd w:val="0"/>
        <w:snapToGrid w:val="0"/>
        <w:spacing w:line="570" w:lineRule="exact"/>
        <w:ind w:firstLine="720"/>
        <w:jc w:val="left"/>
        <w:rPr>
          <w:rFonts w:ascii="仿宋_GB2312" w:hAnsi="仿宋" w:eastAsia="仿宋_GB2312" w:cs="仿宋"/>
          <w:color w:val="000000"/>
          <w:kern w:val="0"/>
          <w:sz w:val="32"/>
          <w:szCs w:val="32"/>
          <w:lang w:val="zh-CN"/>
        </w:rPr>
      </w:pPr>
      <w:r>
        <w:rPr>
          <w:rFonts w:hint="eastAsia" w:ascii="仿宋_GB2312" w:hAnsi="仿宋" w:eastAsia="仿宋_GB2312" w:cs="仿宋"/>
          <w:color w:val="000000"/>
          <w:kern w:val="0"/>
          <w:sz w:val="32"/>
          <w:szCs w:val="32"/>
          <w:lang w:val="zh-CN"/>
        </w:rPr>
        <w:t>2.加强财务管理，严格财务审批，严格执行预算，杜绝超预算超支出现象，细化预算编制工作，认真做好预算的编制。</w:t>
      </w:r>
    </w:p>
    <w:p w14:paraId="29B31F4F">
      <w:pPr>
        <w:widowControl/>
        <w:adjustRightInd w:val="0"/>
        <w:snapToGrid w:val="0"/>
        <w:spacing w:line="570" w:lineRule="exact"/>
        <w:ind w:firstLine="640" w:firstLineChars="200"/>
        <w:jc w:val="left"/>
        <w:rPr>
          <w:rFonts w:ascii="仿宋_GB2312" w:hAnsi="仿宋" w:eastAsia="仿宋_GB2312" w:cs="仿宋"/>
          <w:color w:val="000000"/>
          <w:kern w:val="0"/>
          <w:sz w:val="32"/>
          <w:szCs w:val="32"/>
          <w:lang w:val="zh-CN"/>
        </w:rPr>
      </w:pPr>
      <w:r>
        <w:rPr>
          <w:rFonts w:hint="eastAsia" w:ascii="仿宋_GB2312" w:hAnsi="仿宋" w:eastAsia="仿宋_GB2312" w:cs="仿宋"/>
          <w:color w:val="000000"/>
          <w:kern w:val="0"/>
          <w:sz w:val="32"/>
          <w:szCs w:val="32"/>
          <w:lang w:val="zh-CN"/>
        </w:rPr>
        <w:t>3、规范财务运行，加强预算支出管理。严格遵循“先有预算、后有支出”的原则，在资金支付管理方面，严格按照规定程序向财政部门申请用款，在财政部门批复的支出预算资金范围内申请使用一般预算支出经费。建立健全并认真执行各项资金使用管理制度，建立内部控制机制，资金使用严格履行审批程序，确保资金支出合法、真实。严格落实会计核算、报销审批制度，加强对资金使用环节的监督。</w:t>
      </w:r>
    </w:p>
    <w:p w14:paraId="4D19544D">
      <w:pPr>
        <w:spacing w:line="600" w:lineRule="exact"/>
        <w:jc w:val="center"/>
        <w:outlineLvl w:val="0"/>
        <w:rPr>
          <w:rStyle w:val="25"/>
          <w:rFonts w:ascii="黑体" w:hAnsi="黑体" w:eastAsia="黑体"/>
          <w:b w:val="0"/>
        </w:rPr>
      </w:pPr>
      <w:bookmarkStart w:id="113" w:name="_Toc79163885"/>
      <w:bookmarkStart w:id="114" w:name="_Toc15396618"/>
      <w:bookmarkStart w:id="115" w:name="_Toc21885"/>
      <w:bookmarkStart w:id="116" w:name="_Toc79163635"/>
      <w:r>
        <w:rPr>
          <w:rFonts w:hint="eastAsia" w:ascii="黑体" w:hAnsi="黑体" w:eastAsia="黑体"/>
          <w:color w:val="000000"/>
          <w:sz w:val="44"/>
          <w:szCs w:val="44"/>
        </w:rPr>
        <w:t>第</w:t>
      </w:r>
      <w:r>
        <w:rPr>
          <w:rStyle w:val="25"/>
          <w:rFonts w:hint="eastAsia" w:ascii="黑体" w:hAnsi="黑体" w:eastAsia="黑体"/>
          <w:b w:val="0"/>
        </w:rPr>
        <w:t>五部分附表</w:t>
      </w:r>
      <w:bookmarkEnd w:id="104"/>
      <w:bookmarkEnd w:id="113"/>
      <w:bookmarkEnd w:id="114"/>
      <w:bookmarkEnd w:id="115"/>
      <w:bookmarkEnd w:id="116"/>
    </w:p>
    <w:p w14:paraId="0905AAE2">
      <w:pPr>
        <w:pStyle w:val="5"/>
        <w:rPr>
          <w:rFonts w:ascii="仿宋" w:hAnsi="仿宋" w:eastAsia="仿宋"/>
          <w:color w:val="000000"/>
        </w:rPr>
      </w:pPr>
      <w:bookmarkStart w:id="117" w:name="_Toc79163636"/>
      <w:bookmarkStart w:id="118" w:name="_Toc79163886"/>
      <w:bookmarkStart w:id="119" w:name="_Toc16220"/>
      <w:bookmarkStart w:id="120" w:name="_Toc15396619"/>
      <w:r>
        <w:rPr>
          <w:rFonts w:hint="eastAsia" w:ascii="仿宋" w:hAnsi="仿宋" w:eastAsia="仿宋"/>
          <w:b w:val="0"/>
          <w:color w:val="000000"/>
        </w:rPr>
        <w:t>一、收</w:t>
      </w:r>
      <w:r>
        <w:rPr>
          <w:rStyle w:val="26"/>
          <w:rFonts w:hint="eastAsia" w:ascii="仿宋" w:hAnsi="仿宋" w:eastAsia="仿宋"/>
          <w:b w:val="0"/>
          <w:bCs w:val="0"/>
        </w:rPr>
        <w:t>入支出决算总表</w:t>
      </w:r>
      <w:bookmarkEnd w:id="117"/>
      <w:bookmarkEnd w:id="118"/>
      <w:bookmarkEnd w:id="119"/>
      <w:bookmarkEnd w:id="120"/>
    </w:p>
    <w:p w14:paraId="4C1133DB">
      <w:pPr>
        <w:pStyle w:val="5"/>
        <w:rPr>
          <w:rFonts w:ascii="仿宋" w:hAnsi="仿宋" w:eastAsia="仿宋"/>
          <w:color w:val="000000"/>
        </w:rPr>
      </w:pPr>
      <w:bookmarkStart w:id="121" w:name="_Toc15396620"/>
      <w:bookmarkStart w:id="122" w:name="_Toc79163887"/>
      <w:bookmarkStart w:id="123" w:name="_Toc79163637"/>
      <w:bookmarkStart w:id="124" w:name="_Toc4201"/>
      <w:r>
        <w:rPr>
          <w:rFonts w:hint="eastAsia" w:ascii="仿宋" w:hAnsi="仿宋" w:eastAsia="仿宋"/>
          <w:b w:val="0"/>
          <w:color w:val="000000"/>
        </w:rPr>
        <w:t>二、收</w:t>
      </w:r>
      <w:r>
        <w:rPr>
          <w:rStyle w:val="26"/>
          <w:rFonts w:hint="eastAsia" w:ascii="仿宋" w:hAnsi="仿宋" w:eastAsia="仿宋"/>
          <w:b w:val="0"/>
          <w:bCs w:val="0"/>
        </w:rPr>
        <w:t>入决算表</w:t>
      </w:r>
      <w:bookmarkEnd w:id="121"/>
      <w:bookmarkEnd w:id="122"/>
      <w:bookmarkEnd w:id="123"/>
      <w:bookmarkEnd w:id="124"/>
    </w:p>
    <w:p w14:paraId="5FC343F4">
      <w:pPr>
        <w:pStyle w:val="5"/>
        <w:rPr>
          <w:rFonts w:ascii="仿宋" w:hAnsi="仿宋" w:eastAsia="仿宋"/>
          <w:color w:val="000000"/>
        </w:rPr>
      </w:pPr>
      <w:bookmarkStart w:id="125" w:name="_Toc15396621"/>
      <w:bookmarkStart w:id="126" w:name="_Toc79163638"/>
      <w:bookmarkStart w:id="127" w:name="_Toc24502"/>
      <w:bookmarkStart w:id="128" w:name="_Toc79163888"/>
      <w:r>
        <w:rPr>
          <w:rStyle w:val="26"/>
          <w:rFonts w:hint="eastAsia" w:ascii="仿宋" w:hAnsi="仿宋" w:eastAsia="仿宋"/>
          <w:b w:val="0"/>
          <w:bCs w:val="0"/>
        </w:rPr>
        <w:t>三、</w:t>
      </w:r>
      <w:r>
        <w:rPr>
          <w:rFonts w:hint="eastAsia" w:ascii="仿宋" w:hAnsi="仿宋" w:eastAsia="仿宋"/>
          <w:b w:val="0"/>
          <w:color w:val="000000"/>
        </w:rPr>
        <w:t>支</w:t>
      </w:r>
      <w:r>
        <w:rPr>
          <w:rStyle w:val="26"/>
          <w:rFonts w:hint="eastAsia" w:ascii="仿宋" w:hAnsi="仿宋" w:eastAsia="仿宋"/>
          <w:b w:val="0"/>
          <w:bCs w:val="0"/>
        </w:rPr>
        <w:t>出决算表</w:t>
      </w:r>
      <w:bookmarkEnd w:id="125"/>
      <w:bookmarkEnd w:id="126"/>
      <w:bookmarkEnd w:id="127"/>
      <w:bookmarkEnd w:id="128"/>
    </w:p>
    <w:p w14:paraId="38C4142C">
      <w:pPr>
        <w:pStyle w:val="5"/>
        <w:rPr>
          <w:rFonts w:ascii="仿宋" w:hAnsi="仿宋" w:eastAsia="仿宋"/>
          <w:b w:val="0"/>
          <w:color w:val="000000"/>
        </w:rPr>
      </w:pPr>
      <w:bookmarkStart w:id="129" w:name="_Toc7966"/>
      <w:bookmarkStart w:id="130" w:name="_Toc79163889"/>
      <w:bookmarkStart w:id="131" w:name="_Toc79163639"/>
      <w:bookmarkStart w:id="132" w:name="_Toc15396622"/>
      <w:r>
        <w:rPr>
          <w:rStyle w:val="26"/>
          <w:rFonts w:hint="eastAsia" w:ascii="仿宋" w:hAnsi="仿宋" w:eastAsia="仿宋"/>
          <w:b w:val="0"/>
          <w:bCs w:val="0"/>
        </w:rPr>
        <w:t>四、</w:t>
      </w:r>
      <w:r>
        <w:rPr>
          <w:rFonts w:hint="eastAsia" w:ascii="仿宋" w:hAnsi="仿宋" w:eastAsia="仿宋"/>
          <w:b w:val="0"/>
          <w:color w:val="000000"/>
        </w:rPr>
        <w:t>财</w:t>
      </w:r>
      <w:r>
        <w:rPr>
          <w:rStyle w:val="26"/>
          <w:rFonts w:hint="eastAsia" w:ascii="仿宋" w:hAnsi="仿宋" w:eastAsia="仿宋"/>
          <w:b w:val="0"/>
          <w:bCs w:val="0"/>
        </w:rPr>
        <w:t>政拨款收入支出决算总表</w:t>
      </w:r>
      <w:bookmarkEnd w:id="129"/>
      <w:bookmarkEnd w:id="130"/>
      <w:bookmarkEnd w:id="131"/>
      <w:bookmarkEnd w:id="132"/>
    </w:p>
    <w:p w14:paraId="66260541">
      <w:pPr>
        <w:pStyle w:val="5"/>
        <w:rPr>
          <w:rStyle w:val="26"/>
          <w:rFonts w:ascii="仿宋" w:hAnsi="仿宋" w:eastAsia="仿宋"/>
          <w:b w:val="0"/>
          <w:bCs w:val="0"/>
        </w:rPr>
      </w:pPr>
      <w:bookmarkStart w:id="133" w:name="_Toc79163890"/>
      <w:bookmarkStart w:id="134" w:name="_Toc15079"/>
      <w:bookmarkStart w:id="135" w:name="_Toc15396623"/>
      <w:bookmarkStart w:id="136" w:name="_Toc79163640"/>
      <w:r>
        <w:rPr>
          <w:rStyle w:val="26"/>
          <w:rFonts w:hint="eastAsia" w:ascii="仿宋" w:hAnsi="仿宋" w:eastAsia="仿宋"/>
          <w:b w:val="0"/>
          <w:bCs w:val="0"/>
        </w:rPr>
        <w:t>五、</w:t>
      </w:r>
      <w:r>
        <w:rPr>
          <w:rFonts w:hint="eastAsia" w:ascii="仿宋" w:hAnsi="仿宋" w:eastAsia="仿宋"/>
          <w:b w:val="0"/>
          <w:color w:val="000000"/>
        </w:rPr>
        <w:t>财</w:t>
      </w:r>
      <w:r>
        <w:rPr>
          <w:rStyle w:val="26"/>
          <w:rFonts w:hint="eastAsia" w:ascii="仿宋" w:hAnsi="仿宋" w:eastAsia="仿宋"/>
          <w:b w:val="0"/>
          <w:bCs w:val="0"/>
        </w:rPr>
        <w:t>政拨款支出决算明细表</w:t>
      </w:r>
      <w:bookmarkEnd w:id="133"/>
      <w:bookmarkEnd w:id="134"/>
      <w:bookmarkEnd w:id="135"/>
      <w:bookmarkEnd w:id="136"/>
      <w:bookmarkStart w:id="137" w:name="_Toc15396624"/>
    </w:p>
    <w:p w14:paraId="753F8BC8">
      <w:pPr>
        <w:pStyle w:val="5"/>
        <w:rPr>
          <w:rFonts w:ascii="仿宋" w:hAnsi="仿宋" w:eastAsia="仿宋"/>
          <w:color w:val="000000"/>
        </w:rPr>
      </w:pPr>
      <w:bookmarkStart w:id="138" w:name="_Toc79163641"/>
      <w:bookmarkStart w:id="139" w:name="_Toc79163891"/>
      <w:bookmarkStart w:id="140" w:name="_Toc29627"/>
      <w:r>
        <w:rPr>
          <w:rStyle w:val="26"/>
          <w:rFonts w:hint="eastAsia" w:ascii="仿宋" w:hAnsi="仿宋" w:eastAsia="仿宋"/>
          <w:b w:val="0"/>
          <w:bCs w:val="0"/>
        </w:rPr>
        <w:t>六、</w:t>
      </w:r>
      <w:r>
        <w:rPr>
          <w:rFonts w:hint="eastAsia" w:ascii="仿宋" w:hAnsi="仿宋" w:eastAsia="仿宋"/>
          <w:b w:val="0"/>
          <w:color w:val="000000"/>
        </w:rPr>
        <w:t>一</w:t>
      </w:r>
      <w:r>
        <w:rPr>
          <w:rStyle w:val="26"/>
          <w:rFonts w:hint="eastAsia" w:ascii="仿宋" w:hAnsi="仿宋" w:eastAsia="仿宋"/>
          <w:b w:val="0"/>
          <w:bCs w:val="0"/>
        </w:rPr>
        <w:t>般公共预算财政拨款支出决算表</w:t>
      </w:r>
      <w:bookmarkEnd w:id="137"/>
      <w:bookmarkEnd w:id="138"/>
      <w:bookmarkEnd w:id="139"/>
      <w:bookmarkEnd w:id="140"/>
    </w:p>
    <w:p w14:paraId="2CE674F1">
      <w:pPr>
        <w:pStyle w:val="5"/>
        <w:rPr>
          <w:rFonts w:ascii="仿宋" w:hAnsi="仿宋" w:eastAsia="仿宋"/>
          <w:color w:val="000000"/>
        </w:rPr>
      </w:pPr>
      <w:bookmarkStart w:id="141" w:name="_Toc15396625"/>
      <w:bookmarkStart w:id="142" w:name="_Toc79163642"/>
      <w:bookmarkStart w:id="143" w:name="_Toc79163892"/>
      <w:bookmarkStart w:id="144" w:name="_Toc5671"/>
      <w:r>
        <w:rPr>
          <w:rStyle w:val="26"/>
          <w:rFonts w:hint="eastAsia" w:ascii="仿宋" w:hAnsi="仿宋" w:eastAsia="仿宋"/>
          <w:b w:val="0"/>
          <w:bCs w:val="0"/>
        </w:rPr>
        <w:t>七、</w:t>
      </w:r>
      <w:r>
        <w:rPr>
          <w:rFonts w:hint="eastAsia" w:ascii="仿宋" w:hAnsi="仿宋" w:eastAsia="仿宋"/>
          <w:b w:val="0"/>
          <w:color w:val="000000"/>
        </w:rPr>
        <w:t>一</w:t>
      </w:r>
      <w:r>
        <w:rPr>
          <w:rStyle w:val="26"/>
          <w:rFonts w:hint="eastAsia" w:ascii="仿宋" w:hAnsi="仿宋" w:eastAsia="仿宋"/>
          <w:b w:val="0"/>
          <w:bCs w:val="0"/>
        </w:rPr>
        <w:t>般公共预算财政拨款支出决算明细表</w:t>
      </w:r>
      <w:bookmarkEnd w:id="141"/>
      <w:bookmarkEnd w:id="142"/>
      <w:bookmarkEnd w:id="143"/>
      <w:bookmarkEnd w:id="144"/>
    </w:p>
    <w:p w14:paraId="3AC9C782">
      <w:pPr>
        <w:pStyle w:val="5"/>
        <w:rPr>
          <w:rFonts w:ascii="仿宋" w:hAnsi="仿宋" w:eastAsia="仿宋"/>
          <w:color w:val="000000"/>
        </w:rPr>
      </w:pPr>
      <w:bookmarkStart w:id="145" w:name="_Toc79163643"/>
      <w:bookmarkStart w:id="146" w:name="_Toc79163893"/>
      <w:bookmarkStart w:id="147" w:name="_Toc15396626"/>
      <w:bookmarkStart w:id="148" w:name="_Toc13278"/>
      <w:r>
        <w:rPr>
          <w:rStyle w:val="26"/>
          <w:rFonts w:hint="eastAsia" w:ascii="仿宋" w:hAnsi="仿宋" w:eastAsia="仿宋"/>
          <w:b w:val="0"/>
          <w:bCs w:val="0"/>
        </w:rPr>
        <w:t>八、</w:t>
      </w:r>
      <w:r>
        <w:rPr>
          <w:rFonts w:hint="eastAsia" w:ascii="仿宋" w:hAnsi="仿宋" w:eastAsia="仿宋"/>
          <w:b w:val="0"/>
          <w:color w:val="000000"/>
        </w:rPr>
        <w:t>一</w:t>
      </w:r>
      <w:r>
        <w:rPr>
          <w:rStyle w:val="26"/>
          <w:rFonts w:hint="eastAsia" w:ascii="仿宋" w:hAnsi="仿宋" w:eastAsia="仿宋"/>
          <w:b w:val="0"/>
          <w:bCs w:val="0"/>
        </w:rPr>
        <w:t>般公共预算财政拨款基本支出决算表</w:t>
      </w:r>
      <w:bookmarkEnd w:id="145"/>
      <w:bookmarkEnd w:id="146"/>
      <w:bookmarkEnd w:id="147"/>
      <w:bookmarkEnd w:id="148"/>
    </w:p>
    <w:p w14:paraId="393412CF">
      <w:pPr>
        <w:pStyle w:val="5"/>
        <w:rPr>
          <w:rFonts w:ascii="仿宋" w:hAnsi="仿宋" w:eastAsia="仿宋"/>
          <w:color w:val="000000"/>
        </w:rPr>
      </w:pPr>
      <w:bookmarkStart w:id="149" w:name="_Toc79163894"/>
      <w:bookmarkStart w:id="150" w:name="_Toc79163644"/>
      <w:bookmarkStart w:id="151" w:name="_Toc18616"/>
      <w:bookmarkStart w:id="152" w:name="_Toc15396627"/>
      <w:r>
        <w:rPr>
          <w:rStyle w:val="26"/>
          <w:rFonts w:hint="eastAsia" w:ascii="仿宋" w:hAnsi="仿宋" w:eastAsia="仿宋"/>
          <w:b w:val="0"/>
          <w:bCs w:val="0"/>
        </w:rPr>
        <w:t>九、</w:t>
      </w:r>
      <w:r>
        <w:rPr>
          <w:rFonts w:hint="eastAsia" w:ascii="仿宋" w:hAnsi="仿宋" w:eastAsia="仿宋"/>
          <w:b w:val="0"/>
          <w:color w:val="000000"/>
        </w:rPr>
        <w:t>一</w:t>
      </w:r>
      <w:r>
        <w:rPr>
          <w:rStyle w:val="26"/>
          <w:rFonts w:hint="eastAsia" w:ascii="仿宋" w:hAnsi="仿宋" w:eastAsia="仿宋"/>
          <w:b w:val="0"/>
          <w:bCs w:val="0"/>
        </w:rPr>
        <w:t>般公共预算财政拨款项目支出决算表</w:t>
      </w:r>
      <w:bookmarkEnd w:id="149"/>
      <w:bookmarkEnd w:id="150"/>
      <w:bookmarkEnd w:id="151"/>
      <w:bookmarkEnd w:id="152"/>
    </w:p>
    <w:p w14:paraId="73F9F014">
      <w:pPr>
        <w:pStyle w:val="5"/>
        <w:rPr>
          <w:rFonts w:ascii="仿宋" w:hAnsi="仿宋" w:eastAsia="仿宋"/>
          <w:color w:val="000000"/>
        </w:rPr>
      </w:pPr>
      <w:bookmarkStart w:id="153" w:name="_Toc79163645"/>
      <w:bookmarkStart w:id="154" w:name="_Toc79163895"/>
      <w:bookmarkStart w:id="155" w:name="_Toc2393"/>
      <w:bookmarkStart w:id="156" w:name="_Toc15396628"/>
      <w:r>
        <w:rPr>
          <w:rStyle w:val="26"/>
          <w:rFonts w:hint="eastAsia" w:ascii="仿宋" w:hAnsi="仿宋" w:eastAsia="仿宋"/>
          <w:b w:val="0"/>
          <w:bCs w:val="0"/>
        </w:rPr>
        <w:t>十、</w:t>
      </w:r>
      <w:r>
        <w:rPr>
          <w:rFonts w:hint="eastAsia" w:ascii="仿宋" w:hAnsi="仿宋" w:eastAsia="仿宋"/>
          <w:b w:val="0"/>
          <w:color w:val="000000"/>
        </w:rPr>
        <w:t>一</w:t>
      </w:r>
      <w:r>
        <w:rPr>
          <w:rStyle w:val="26"/>
          <w:rFonts w:hint="eastAsia" w:ascii="仿宋" w:hAnsi="仿宋" w:eastAsia="仿宋"/>
          <w:b w:val="0"/>
          <w:bCs w:val="0"/>
        </w:rPr>
        <w:t>般公共预算财政拨款“三公”经费支出决算表</w:t>
      </w:r>
      <w:bookmarkEnd w:id="153"/>
      <w:bookmarkEnd w:id="154"/>
      <w:bookmarkEnd w:id="155"/>
      <w:bookmarkEnd w:id="156"/>
    </w:p>
    <w:p w14:paraId="4ED8472A">
      <w:pPr>
        <w:pStyle w:val="5"/>
        <w:rPr>
          <w:rFonts w:ascii="仿宋" w:hAnsi="仿宋" w:eastAsia="仿宋"/>
          <w:color w:val="000000"/>
        </w:rPr>
      </w:pPr>
      <w:bookmarkStart w:id="157" w:name="_Toc79163896"/>
      <w:bookmarkStart w:id="158" w:name="_Toc79163646"/>
      <w:bookmarkStart w:id="159" w:name="_Toc11867"/>
      <w:bookmarkStart w:id="160" w:name="_Toc15396629"/>
      <w:r>
        <w:rPr>
          <w:rStyle w:val="26"/>
          <w:rFonts w:hint="eastAsia" w:ascii="仿宋" w:hAnsi="仿宋" w:eastAsia="仿宋"/>
          <w:b w:val="0"/>
          <w:bCs w:val="0"/>
        </w:rPr>
        <w:t>十一、</w:t>
      </w:r>
      <w:r>
        <w:rPr>
          <w:rFonts w:hint="eastAsia" w:ascii="仿宋" w:hAnsi="仿宋" w:eastAsia="仿宋"/>
          <w:b w:val="0"/>
          <w:color w:val="000000"/>
        </w:rPr>
        <w:t>政</w:t>
      </w:r>
      <w:r>
        <w:rPr>
          <w:rStyle w:val="26"/>
          <w:rFonts w:hint="eastAsia" w:ascii="仿宋" w:hAnsi="仿宋" w:eastAsia="仿宋"/>
          <w:b w:val="0"/>
          <w:bCs w:val="0"/>
        </w:rPr>
        <w:t>府性基金预算财政拨款收入支出决算表</w:t>
      </w:r>
      <w:bookmarkEnd w:id="157"/>
      <w:bookmarkEnd w:id="158"/>
      <w:bookmarkEnd w:id="159"/>
      <w:bookmarkEnd w:id="160"/>
    </w:p>
    <w:p w14:paraId="2C678350">
      <w:pPr>
        <w:pStyle w:val="5"/>
        <w:rPr>
          <w:rFonts w:ascii="仿宋" w:hAnsi="仿宋" w:eastAsia="仿宋"/>
          <w:color w:val="000000"/>
        </w:rPr>
      </w:pPr>
      <w:bookmarkStart w:id="161" w:name="_Toc7509"/>
      <w:bookmarkStart w:id="162" w:name="_Toc79163897"/>
      <w:bookmarkStart w:id="163" w:name="_Toc79163647"/>
      <w:bookmarkStart w:id="164" w:name="_Toc15396630"/>
      <w:r>
        <w:rPr>
          <w:rStyle w:val="26"/>
          <w:rFonts w:hint="eastAsia" w:ascii="仿宋" w:hAnsi="仿宋" w:eastAsia="仿宋"/>
          <w:b w:val="0"/>
          <w:bCs w:val="0"/>
        </w:rPr>
        <w:t>十二、</w:t>
      </w:r>
      <w:r>
        <w:rPr>
          <w:rFonts w:hint="eastAsia" w:ascii="仿宋" w:hAnsi="仿宋" w:eastAsia="仿宋"/>
          <w:b w:val="0"/>
          <w:color w:val="000000"/>
        </w:rPr>
        <w:t>政</w:t>
      </w:r>
      <w:r>
        <w:rPr>
          <w:rStyle w:val="26"/>
          <w:rFonts w:hint="eastAsia" w:ascii="仿宋" w:hAnsi="仿宋" w:eastAsia="仿宋"/>
          <w:b w:val="0"/>
          <w:bCs w:val="0"/>
        </w:rPr>
        <w:t>府性基金预算财政拨款“三公”经费支出决算表</w:t>
      </w:r>
      <w:bookmarkEnd w:id="161"/>
      <w:bookmarkEnd w:id="162"/>
      <w:bookmarkEnd w:id="163"/>
      <w:bookmarkEnd w:id="164"/>
    </w:p>
    <w:p w14:paraId="7026AADD">
      <w:pPr>
        <w:pStyle w:val="5"/>
        <w:rPr>
          <w:rStyle w:val="26"/>
          <w:rFonts w:ascii="仿宋" w:hAnsi="仿宋" w:eastAsia="仿宋"/>
          <w:b w:val="0"/>
          <w:bCs w:val="0"/>
        </w:rPr>
      </w:pPr>
      <w:bookmarkStart w:id="165" w:name="_Toc15958"/>
      <w:bookmarkStart w:id="166" w:name="_Toc79163898"/>
      <w:bookmarkStart w:id="167" w:name="_Toc15396631"/>
      <w:bookmarkStart w:id="168" w:name="_Toc79163648"/>
      <w:r>
        <w:rPr>
          <w:rStyle w:val="26"/>
          <w:rFonts w:hint="eastAsia" w:ascii="仿宋" w:hAnsi="仿宋" w:eastAsia="仿宋"/>
          <w:b w:val="0"/>
          <w:bCs w:val="0"/>
        </w:rPr>
        <w:t>十三、</w:t>
      </w:r>
      <w:r>
        <w:rPr>
          <w:rFonts w:hint="eastAsia" w:ascii="仿宋" w:hAnsi="仿宋" w:eastAsia="仿宋"/>
          <w:b w:val="0"/>
          <w:color w:val="000000"/>
        </w:rPr>
        <w:t>国</w:t>
      </w:r>
      <w:r>
        <w:rPr>
          <w:rStyle w:val="26"/>
          <w:rFonts w:hint="eastAsia" w:ascii="仿宋" w:hAnsi="仿宋" w:eastAsia="仿宋"/>
          <w:b w:val="0"/>
          <w:bCs w:val="0"/>
        </w:rPr>
        <w:t>有资本经营预算财政拨款支出决算表</w:t>
      </w:r>
      <w:bookmarkEnd w:id="165"/>
      <w:bookmarkEnd w:id="166"/>
      <w:bookmarkEnd w:id="167"/>
      <w:bookmarkEnd w:id="168"/>
    </w:p>
    <w:p w14:paraId="54D7B4CC">
      <w:pPr>
        <w:pStyle w:val="5"/>
        <w:rPr>
          <w:rStyle w:val="26"/>
          <w:rFonts w:ascii="仿宋" w:hAnsi="仿宋" w:eastAsia="仿宋"/>
          <w:b w:val="0"/>
          <w:bCs w:val="0"/>
        </w:rPr>
      </w:pPr>
      <w:bookmarkStart w:id="169" w:name="_Toc14782"/>
      <w:bookmarkStart w:id="170" w:name="_Toc79163649"/>
      <w:bookmarkStart w:id="171" w:name="_Toc79163899"/>
      <w:r>
        <w:rPr>
          <w:rStyle w:val="26"/>
          <w:rFonts w:hint="eastAsia" w:ascii="仿宋" w:hAnsi="仿宋" w:eastAsia="仿宋"/>
          <w:b w:val="0"/>
          <w:bCs w:val="0"/>
        </w:rPr>
        <w:t>十四、国有资本经营预算财政拨款支出决算表</w:t>
      </w:r>
      <w:bookmarkEnd w:id="169"/>
      <w:bookmarkEnd w:id="170"/>
      <w:bookmarkEnd w:id="171"/>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58D7B1B-B889-43C9-AC52-33BAA97BA9A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E97623B-CB00-4777-9F3A-E416D0A5F525}"/>
  </w:font>
  <w:font w:name="Cambria">
    <w:panose1 w:val="02040503050406030204"/>
    <w:charset w:val="00"/>
    <w:family w:val="roman"/>
    <w:pitch w:val="default"/>
    <w:sig w:usb0="E00006FF" w:usb1="420024FF" w:usb2="02000000" w:usb3="00000000" w:csb0="2000019F" w:csb1="00000000"/>
    <w:embedRegular r:id="rId3" w:fontKey="{253E6B2E-825E-43C7-A1E6-1AB1EFBD48CD}"/>
  </w:font>
  <w:font w:name="仿宋_GB2312">
    <w:panose1 w:val="02010609030101010101"/>
    <w:charset w:val="86"/>
    <w:family w:val="modern"/>
    <w:pitch w:val="default"/>
    <w:sig w:usb0="00000001" w:usb1="080E0000" w:usb2="00000000" w:usb3="00000000" w:csb0="00040000" w:csb1="00000000"/>
    <w:embedRegular r:id="rId4" w:fontKey="{685F3861-0061-4D1D-8D28-D3890AE4B267}"/>
  </w:font>
  <w:font w:name="等线">
    <w:panose1 w:val="02010600030101010101"/>
    <w:charset w:val="86"/>
    <w:family w:val="auto"/>
    <w:pitch w:val="default"/>
    <w:sig w:usb0="A00002BF" w:usb1="38CF7CFA" w:usb2="00000016" w:usb3="00000000" w:csb0="0004000F" w:csb1="00000000"/>
    <w:embedRegular r:id="rId5" w:fontKey="{6DB2CF3B-755B-4B2F-97F4-71C8A8D3870F}"/>
  </w:font>
  <w:font w:name="仿宋">
    <w:panose1 w:val="02010609060101010101"/>
    <w:charset w:val="86"/>
    <w:family w:val="auto"/>
    <w:pitch w:val="default"/>
    <w:sig w:usb0="800002BF" w:usb1="38CF7CFA" w:usb2="00000016" w:usb3="00000000" w:csb0="00040001" w:csb1="00000000"/>
    <w:embedRegular r:id="rId6" w:fontKey="{71D09B5A-EF8F-4DCA-A498-F84C682E5A34}"/>
  </w:font>
  <w:font w:name="等线 Light">
    <w:panose1 w:val="02010600030101010101"/>
    <w:charset w:val="86"/>
    <w:family w:val="auto"/>
    <w:pitch w:val="default"/>
    <w:sig w:usb0="A00002BF" w:usb1="38CF7CFA" w:usb2="00000016" w:usb3="00000000" w:csb0="0004000F" w:csb1="00000000"/>
  </w:font>
  <w:font w:name="方正小标宋简体">
    <w:panose1 w:val="02010600010101010101"/>
    <w:charset w:val="86"/>
    <w:family w:val="script"/>
    <w:pitch w:val="default"/>
    <w:sig w:usb0="00000001" w:usb1="080E0000" w:usb2="00000000" w:usb3="00000000" w:csb0="00040000" w:csb1="00000000"/>
    <w:embedRegular r:id="rId7" w:fontKey="{7BF12745-D918-4F44-AD1C-3100B06B24B3}"/>
  </w:font>
  <w:font w:name="楷体">
    <w:panose1 w:val="02010609060101010101"/>
    <w:charset w:val="86"/>
    <w:family w:val="modern"/>
    <w:pitch w:val="default"/>
    <w:sig w:usb0="800002BF" w:usb1="38CF7CFA" w:usb2="00000016" w:usb3="00000000" w:csb0="00040001" w:csb1="00000000"/>
    <w:embedRegular r:id="rId8" w:fontKey="{47AE253A-4F79-4616-A701-6BF5D7214D8E}"/>
  </w:font>
  <w:font w:name="微软雅黑">
    <w:panose1 w:val="020B0503020204020204"/>
    <w:charset w:val="86"/>
    <w:family w:val="auto"/>
    <w:pitch w:val="default"/>
    <w:sig w:usb0="80000287" w:usb1="2ACF3C50" w:usb2="00000016" w:usb3="00000000" w:csb0="0004001F" w:csb1="00000000"/>
  </w:font>
  <w:font w:name="瀹嬩綋">
    <w:altName w:val="宋体"/>
    <w:panose1 w:val="00000000000000000000"/>
    <w:charset w:val="86"/>
    <w:family w:val="roman"/>
    <w:pitch w:val="default"/>
    <w:sig w:usb0="00000000" w:usb1="00000000" w:usb2="00000010" w:usb3="00000000" w:csb0="00040000" w:csb1="00000000"/>
    <w:embedRegular r:id="rId9" w:fontKey="{A3757446-E713-460F-BC31-453B46F5BD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A170A">
    <w:pPr>
      <w:pStyle w:val="13"/>
      <w:jc w:val="center"/>
    </w:pPr>
    <w:r>
      <w:fldChar w:fldCharType="begin"/>
    </w:r>
    <w:r>
      <w:instrText xml:space="preserve">PAGE   \* MERGEFORMAT</w:instrText>
    </w:r>
    <w:r>
      <w:fldChar w:fldCharType="separate"/>
    </w:r>
    <w:r>
      <w:rPr>
        <w:lang w:val="zh-CN"/>
      </w:rPr>
      <w:t>18</w:t>
    </w:r>
    <w:r>
      <w:fldChar w:fldCharType="end"/>
    </w:r>
  </w:p>
  <w:p w14:paraId="581B73E9">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574B8">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43E156"/>
    <w:multiLevelType w:val="singleLevel"/>
    <w:tmpl w:val="9F43E156"/>
    <w:lvl w:ilvl="0" w:tentative="0">
      <w:start w:val="1"/>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cs="Times New Roman"/>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cs="Times New Roman"/>
        <w:b w:val="0"/>
      </w:rPr>
    </w:lvl>
    <w:lvl w:ilvl="1" w:tentative="0">
      <w:start w:val="1"/>
      <w:numFmt w:val="lowerLetter"/>
      <w:lvlText w:val="%2)"/>
      <w:lvlJc w:val="left"/>
      <w:pPr>
        <w:ind w:left="1480" w:hanging="420"/>
      </w:pPr>
      <w:rPr>
        <w:rFonts w:cs="Times New Roman"/>
      </w:rPr>
    </w:lvl>
    <w:lvl w:ilvl="2" w:tentative="0">
      <w:start w:val="1"/>
      <w:numFmt w:val="lowerRoman"/>
      <w:lvlText w:val="%3."/>
      <w:lvlJc w:val="right"/>
      <w:pPr>
        <w:ind w:left="1900" w:hanging="420"/>
      </w:pPr>
      <w:rPr>
        <w:rFonts w:cs="Times New Roman"/>
      </w:rPr>
    </w:lvl>
    <w:lvl w:ilvl="3" w:tentative="0">
      <w:start w:val="1"/>
      <w:numFmt w:val="decimal"/>
      <w:lvlText w:val="%4."/>
      <w:lvlJc w:val="left"/>
      <w:pPr>
        <w:ind w:left="2320" w:hanging="420"/>
      </w:pPr>
      <w:rPr>
        <w:rFonts w:cs="Times New Roman"/>
      </w:rPr>
    </w:lvl>
    <w:lvl w:ilvl="4" w:tentative="0">
      <w:start w:val="1"/>
      <w:numFmt w:val="lowerLetter"/>
      <w:lvlText w:val="%5)"/>
      <w:lvlJc w:val="left"/>
      <w:pPr>
        <w:ind w:left="2740" w:hanging="420"/>
      </w:pPr>
      <w:rPr>
        <w:rFonts w:cs="Times New Roman"/>
      </w:rPr>
    </w:lvl>
    <w:lvl w:ilvl="5" w:tentative="0">
      <w:start w:val="1"/>
      <w:numFmt w:val="lowerRoman"/>
      <w:lvlText w:val="%6."/>
      <w:lvlJc w:val="right"/>
      <w:pPr>
        <w:ind w:left="3160" w:hanging="420"/>
      </w:pPr>
      <w:rPr>
        <w:rFonts w:cs="Times New Roman"/>
      </w:rPr>
    </w:lvl>
    <w:lvl w:ilvl="6" w:tentative="0">
      <w:start w:val="1"/>
      <w:numFmt w:val="decimal"/>
      <w:lvlText w:val="%7."/>
      <w:lvlJc w:val="left"/>
      <w:pPr>
        <w:ind w:left="3580" w:hanging="420"/>
      </w:pPr>
      <w:rPr>
        <w:rFonts w:cs="Times New Roman"/>
      </w:rPr>
    </w:lvl>
    <w:lvl w:ilvl="7" w:tentative="0">
      <w:start w:val="1"/>
      <w:numFmt w:val="lowerLetter"/>
      <w:lvlText w:val="%8)"/>
      <w:lvlJc w:val="left"/>
      <w:pPr>
        <w:ind w:left="4000" w:hanging="420"/>
      </w:pPr>
      <w:rPr>
        <w:rFonts w:cs="Times New Roman"/>
      </w:rPr>
    </w:lvl>
    <w:lvl w:ilvl="8" w:tentative="0">
      <w:start w:val="1"/>
      <w:numFmt w:val="lowerRoman"/>
      <w:lvlText w:val="%9."/>
      <w:lvlJc w:val="right"/>
      <w:pPr>
        <w:ind w:left="4420" w:hanging="420"/>
      </w:pPr>
      <w:rPr>
        <w:rFonts w:cs="Times New Roman"/>
      </w:rPr>
    </w:lvl>
  </w:abstractNum>
  <w:abstractNum w:abstractNumId="3">
    <w:nsid w:val="2F2996B8"/>
    <w:multiLevelType w:val="singleLevel"/>
    <w:tmpl w:val="2F2996B8"/>
    <w:lvl w:ilvl="0" w:tentative="0">
      <w:start w:val="4"/>
      <w:numFmt w:val="chineseCounting"/>
      <w:suff w:val="nothing"/>
      <w:lvlText w:val="（%1）"/>
      <w:lvlJc w:val="left"/>
      <w:rPr>
        <w:rFonts w:hint="eastAsia"/>
      </w:rPr>
    </w:lvl>
  </w:abstractNum>
  <w:abstractNum w:abstractNumId="4">
    <w:nsid w:val="334BAF42"/>
    <w:multiLevelType w:val="singleLevel"/>
    <w:tmpl w:val="334BAF42"/>
    <w:lvl w:ilvl="0" w:tentative="0">
      <w:start w:val="1"/>
      <w:numFmt w:val="chineseCounting"/>
      <w:suff w:val="nothing"/>
      <w:lvlText w:val="%1、"/>
      <w:lvlJc w:val="left"/>
      <w:rPr>
        <w:rFonts w:hint="eastAsia"/>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mM2Mzk4N2FiN2YzNTA5OGE3MWIzNmVhMTNmZDBiOTc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4654"/>
    <w:rsid w:val="000D5782"/>
    <w:rsid w:val="000E6613"/>
    <w:rsid w:val="000E7119"/>
    <w:rsid w:val="00114E9B"/>
    <w:rsid w:val="00115301"/>
    <w:rsid w:val="001319E1"/>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16757"/>
    <w:rsid w:val="00220536"/>
    <w:rsid w:val="002216A5"/>
    <w:rsid w:val="00235629"/>
    <w:rsid w:val="00256262"/>
    <w:rsid w:val="00260C38"/>
    <w:rsid w:val="002616C0"/>
    <w:rsid w:val="00265372"/>
    <w:rsid w:val="002662AA"/>
    <w:rsid w:val="0027224D"/>
    <w:rsid w:val="00280496"/>
    <w:rsid w:val="00294DC9"/>
    <w:rsid w:val="00295495"/>
    <w:rsid w:val="002A31DE"/>
    <w:rsid w:val="002B2613"/>
    <w:rsid w:val="002B2FF7"/>
    <w:rsid w:val="002D6D05"/>
    <w:rsid w:val="002F1818"/>
    <w:rsid w:val="002F567B"/>
    <w:rsid w:val="00305F0E"/>
    <w:rsid w:val="003216A9"/>
    <w:rsid w:val="00335A74"/>
    <w:rsid w:val="0036561B"/>
    <w:rsid w:val="0037013F"/>
    <w:rsid w:val="00380C92"/>
    <w:rsid w:val="003A1493"/>
    <w:rsid w:val="003A484F"/>
    <w:rsid w:val="003A4883"/>
    <w:rsid w:val="003B0BE0"/>
    <w:rsid w:val="003B0C1B"/>
    <w:rsid w:val="003B688C"/>
    <w:rsid w:val="003C0291"/>
    <w:rsid w:val="003C39AE"/>
    <w:rsid w:val="003C7B60"/>
    <w:rsid w:val="003D0C0F"/>
    <w:rsid w:val="003D1FB2"/>
    <w:rsid w:val="003D66DA"/>
    <w:rsid w:val="003E1310"/>
    <w:rsid w:val="003E6F55"/>
    <w:rsid w:val="003E6FE4"/>
    <w:rsid w:val="00406254"/>
    <w:rsid w:val="004223DE"/>
    <w:rsid w:val="00434489"/>
    <w:rsid w:val="00437085"/>
    <w:rsid w:val="00443880"/>
    <w:rsid w:val="00445607"/>
    <w:rsid w:val="004464F4"/>
    <w:rsid w:val="00471401"/>
    <w:rsid w:val="00473F31"/>
    <w:rsid w:val="0048263A"/>
    <w:rsid w:val="00487E5D"/>
    <w:rsid w:val="00491B00"/>
    <w:rsid w:val="004A711F"/>
    <w:rsid w:val="004B199D"/>
    <w:rsid w:val="004B4690"/>
    <w:rsid w:val="004C2E32"/>
    <w:rsid w:val="004D5479"/>
    <w:rsid w:val="004E0A2D"/>
    <w:rsid w:val="004E206B"/>
    <w:rsid w:val="004E6DF7"/>
    <w:rsid w:val="004E72C0"/>
    <w:rsid w:val="004F0FBD"/>
    <w:rsid w:val="00505A47"/>
    <w:rsid w:val="00507078"/>
    <w:rsid w:val="00512FDA"/>
    <w:rsid w:val="00520DA0"/>
    <w:rsid w:val="005269A7"/>
    <w:rsid w:val="005269D7"/>
    <w:rsid w:val="00564B93"/>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45F81"/>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3E74"/>
    <w:rsid w:val="00746F48"/>
    <w:rsid w:val="0075404D"/>
    <w:rsid w:val="0076182A"/>
    <w:rsid w:val="007638CC"/>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08AE"/>
    <w:rsid w:val="00885AF4"/>
    <w:rsid w:val="00892977"/>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34D8"/>
    <w:rsid w:val="00935C98"/>
    <w:rsid w:val="00946945"/>
    <w:rsid w:val="00951248"/>
    <w:rsid w:val="0095152F"/>
    <w:rsid w:val="00954C49"/>
    <w:rsid w:val="00955E37"/>
    <w:rsid w:val="00962656"/>
    <w:rsid w:val="00963756"/>
    <w:rsid w:val="00966356"/>
    <w:rsid w:val="0097099F"/>
    <w:rsid w:val="00971997"/>
    <w:rsid w:val="00971FFC"/>
    <w:rsid w:val="0098660A"/>
    <w:rsid w:val="009931C3"/>
    <w:rsid w:val="009A572A"/>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47EA1"/>
    <w:rsid w:val="00A56DF2"/>
    <w:rsid w:val="00A56E6E"/>
    <w:rsid w:val="00A67AB5"/>
    <w:rsid w:val="00A733B2"/>
    <w:rsid w:val="00A73BDA"/>
    <w:rsid w:val="00A741C2"/>
    <w:rsid w:val="00A84535"/>
    <w:rsid w:val="00A91760"/>
    <w:rsid w:val="00A93B00"/>
    <w:rsid w:val="00A93C21"/>
    <w:rsid w:val="00AB64C9"/>
    <w:rsid w:val="00AC3C6A"/>
    <w:rsid w:val="00AD5620"/>
    <w:rsid w:val="00AD656B"/>
    <w:rsid w:val="00AD7C1B"/>
    <w:rsid w:val="00AE16BA"/>
    <w:rsid w:val="00AE1EBE"/>
    <w:rsid w:val="00B011E4"/>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0E4E"/>
    <w:rsid w:val="00B944D6"/>
    <w:rsid w:val="00B965DC"/>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2711E"/>
    <w:rsid w:val="00D34E7C"/>
    <w:rsid w:val="00D35489"/>
    <w:rsid w:val="00D36AFE"/>
    <w:rsid w:val="00D51276"/>
    <w:rsid w:val="00D7035F"/>
    <w:rsid w:val="00DA634F"/>
    <w:rsid w:val="00DA65AC"/>
    <w:rsid w:val="00DB1913"/>
    <w:rsid w:val="00DC410D"/>
    <w:rsid w:val="00DC5A81"/>
    <w:rsid w:val="00DC68CA"/>
    <w:rsid w:val="00DC74B0"/>
    <w:rsid w:val="00DC7CBA"/>
    <w:rsid w:val="00DD73B7"/>
    <w:rsid w:val="00DF28BC"/>
    <w:rsid w:val="00DF34B9"/>
    <w:rsid w:val="00E01053"/>
    <w:rsid w:val="00E07ACF"/>
    <w:rsid w:val="00E32CAD"/>
    <w:rsid w:val="00E331A1"/>
    <w:rsid w:val="00E33202"/>
    <w:rsid w:val="00E336A9"/>
    <w:rsid w:val="00E472B1"/>
    <w:rsid w:val="00E50624"/>
    <w:rsid w:val="00E568DF"/>
    <w:rsid w:val="00E64269"/>
    <w:rsid w:val="00E70975"/>
    <w:rsid w:val="00E82267"/>
    <w:rsid w:val="00E853CE"/>
    <w:rsid w:val="00E867B6"/>
    <w:rsid w:val="00EA010F"/>
    <w:rsid w:val="00ED1B63"/>
    <w:rsid w:val="00ED3C1F"/>
    <w:rsid w:val="00ED4085"/>
    <w:rsid w:val="00ED420E"/>
    <w:rsid w:val="00ED6FBE"/>
    <w:rsid w:val="00EE2F57"/>
    <w:rsid w:val="00EF4C34"/>
    <w:rsid w:val="00EF60EF"/>
    <w:rsid w:val="00EF77C6"/>
    <w:rsid w:val="00F05438"/>
    <w:rsid w:val="00F1361C"/>
    <w:rsid w:val="00F156F0"/>
    <w:rsid w:val="00F160C7"/>
    <w:rsid w:val="00F2408F"/>
    <w:rsid w:val="00F240E9"/>
    <w:rsid w:val="00F36D8F"/>
    <w:rsid w:val="00F417B1"/>
    <w:rsid w:val="00F45853"/>
    <w:rsid w:val="00F602DF"/>
    <w:rsid w:val="00F67211"/>
    <w:rsid w:val="00F754A1"/>
    <w:rsid w:val="00F81FD9"/>
    <w:rsid w:val="00F841AA"/>
    <w:rsid w:val="00F84A94"/>
    <w:rsid w:val="00F87E96"/>
    <w:rsid w:val="00FA23E8"/>
    <w:rsid w:val="00FB7363"/>
    <w:rsid w:val="00FD3CC1"/>
    <w:rsid w:val="00FE03FA"/>
    <w:rsid w:val="00FF1E02"/>
    <w:rsid w:val="00FF30B4"/>
    <w:rsid w:val="05010A09"/>
    <w:rsid w:val="0A2032A3"/>
    <w:rsid w:val="0F9505A7"/>
    <w:rsid w:val="10C055FF"/>
    <w:rsid w:val="118107EC"/>
    <w:rsid w:val="16BB723D"/>
    <w:rsid w:val="18C871B7"/>
    <w:rsid w:val="1D155CEE"/>
    <w:rsid w:val="240371BF"/>
    <w:rsid w:val="2446572A"/>
    <w:rsid w:val="29FD04D3"/>
    <w:rsid w:val="2A672865"/>
    <w:rsid w:val="319F7F4E"/>
    <w:rsid w:val="348558FB"/>
    <w:rsid w:val="36A77DAA"/>
    <w:rsid w:val="386671CC"/>
    <w:rsid w:val="3E6D60FF"/>
    <w:rsid w:val="428F53AE"/>
    <w:rsid w:val="43E24E7D"/>
    <w:rsid w:val="46224E5C"/>
    <w:rsid w:val="48D9088F"/>
    <w:rsid w:val="4ACC50FA"/>
    <w:rsid w:val="4ECE2238"/>
    <w:rsid w:val="5335204D"/>
    <w:rsid w:val="5D330006"/>
    <w:rsid w:val="5F744410"/>
    <w:rsid w:val="6C4A05C8"/>
    <w:rsid w:val="6FB035BA"/>
    <w:rsid w:val="72734D90"/>
    <w:rsid w:val="76216471"/>
    <w:rsid w:val="7CE42BC1"/>
    <w:rsid w:val="7D2C7C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0"/>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6"/>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link w:val="27"/>
    <w:qFormat/>
    <w:uiPriority w:val="9"/>
    <w:pPr>
      <w:keepNext/>
      <w:keepLines/>
      <w:spacing w:before="260" w:after="260" w:line="416" w:lineRule="auto"/>
      <w:outlineLvl w:val="2"/>
    </w:pPr>
    <w:rPr>
      <w:b/>
      <w:bCs/>
      <w:sz w:val="32"/>
      <w:szCs w:val="32"/>
    </w:rPr>
  </w:style>
  <w:style w:type="character" w:default="1" w:styleId="22">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style>
  <w:style w:type="paragraph" w:styleId="3">
    <w:name w:val="Body Text Indent"/>
    <w:basedOn w:val="1"/>
    <w:qFormat/>
    <w:uiPriority w:val="0"/>
    <w:pPr>
      <w:ind w:right="-334" w:rightChars="-159" w:firstLine="640" w:firstLineChars="200"/>
      <w:jc w:val="left"/>
    </w:pPr>
    <w:rPr>
      <w:rFonts w:ascii="仿宋_GB2312" w:hAnsi="仿宋_GB2312" w:eastAsia="仿宋_GB2312"/>
      <w:sz w:val="32"/>
      <w:szCs w:val="32"/>
    </w:rPr>
  </w:style>
  <w:style w:type="paragraph" w:styleId="7">
    <w:name w:val="toc 7"/>
    <w:basedOn w:val="1"/>
    <w:next w:val="1"/>
    <w:unhideWhenUsed/>
    <w:qFormat/>
    <w:uiPriority w:val="39"/>
    <w:pPr>
      <w:ind w:left="1260"/>
      <w:jc w:val="left"/>
    </w:pPr>
    <w:rPr>
      <w:rFonts w:asciiTheme="minorHAnsi" w:eastAsiaTheme="minorHAnsi"/>
      <w:sz w:val="18"/>
      <w:szCs w:val="18"/>
    </w:rPr>
  </w:style>
  <w:style w:type="paragraph" w:styleId="8">
    <w:name w:val="Body Text"/>
    <w:basedOn w:val="1"/>
    <w:link w:val="34"/>
    <w:qFormat/>
    <w:uiPriority w:val="99"/>
    <w:pPr>
      <w:spacing w:beforeLines="30"/>
    </w:pPr>
    <w:rPr>
      <w:rFonts w:ascii="仿宋_GB2312" w:eastAsia="仿宋_GB2312"/>
      <w:kern w:val="0"/>
      <w:sz w:val="24"/>
      <w:szCs w:val="20"/>
    </w:rPr>
  </w:style>
  <w:style w:type="paragraph" w:styleId="9">
    <w:name w:val="toc 5"/>
    <w:basedOn w:val="1"/>
    <w:next w:val="1"/>
    <w:unhideWhenUsed/>
    <w:qFormat/>
    <w:uiPriority w:val="39"/>
    <w:pPr>
      <w:ind w:left="840"/>
      <w:jc w:val="left"/>
    </w:pPr>
    <w:rPr>
      <w:rFonts w:asciiTheme="minorHAnsi" w:eastAsiaTheme="minorHAnsi"/>
      <w:sz w:val="18"/>
      <w:szCs w:val="18"/>
    </w:rPr>
  </w:style>
  <w:style w:type="paragraph" w:styleId="10">
    <w:name w:val="toc 3"/>
    <w:basedOn w:val="1"/>
    <w:next w:val="1"/>
    <w:unhideWhenUsed/>
    <w:qFormat/>
    <w:uiPriority w:val="39"/>
    <w:pPr>
      <w:ind w:left="420"/>
      <w:jc w:val="left"/>
    </w:pPr>
    <w:rPr>
      <w:rFonts w:asciiTheme="minorHAnsi" w:eastAsiaTheme="minorHAnsi"/>
      <w:i/>
      <w:iCs/>
      <w:sz w:val="20"/>
      <w:szCs w:val="20"/>
    </w:rPr>
  </w:style>
  <w:style w:type="paragraph" w:styleId="11">
    <w:name w:val="toc 8"/>
    <w:basedOn w:val="1"/>
    <w:next w:val="1"/>
    <w:unhideWhenUsed/>
    <w:qFormat/>
    <w:uiPriority w:val="39"/>
    <w:pPr>
      <w:ind w:left="1470"/>
      <w:jc w:val="left"/>
    </w:pPr>
    <w:rPr>
      <w:rFonts w:asciiTheme="minorHAnsi" w:eastAsiaTheme="minorHAnsi"/>
      <w:sz w:val="18"/>
      <w:szCs w:val="18"/>
    </w:rPr>
  </w:style>
  <w:style w:type="paragraph" w:styleId="12">
    <w:name w:val="Balloon Text"/>
    <w:basedOn w:val="1"/>
    <w:link w:val="29"/>
    <w:unhideWhenUsed/>
    <w:qFormat/>
    <w:uiPriority w:val="99"/>
    <w:rPr>
      <w:sz w:val="18"/>
      <w:szCs w:val="18"/>
    </w:rPr>
  </w:style>
  <w:style w:type="paragraph" w:styleId="13">
    <w:name w:val="footer"/>
    <w:basedOn w:val="1"/>
    <w:link w:val="33"/>
    <w:qFormat/>
    <w:uiPriority w:val="99"/>
    <w:pPr>
      <w:tabs>
        <w:tab w:val="center" w:pos="4153"/>
        <w:tab w:val="right" w:pos="8306"/>
      </w:tabs>
      <w:snapToGrid w:val="0"/>
      <w:jc w:val="left"/>
    </w:pPr>
    <w:rPr>
      <w:rFonts w:ascii="Calibri" w:hAnsi="Calibri"/>
      <w:kern w:val="0"/>
      <w:sz w:val="18"/>
      <w:szCs w:val="20"/>
    </w:rPr>
  </w:style>
  <w:style w:type="paragraph" w:styleId="14">
    <w:name w:val="header"/>
    <w:basedOn w:val="1"/>
    <w:link w:val="32"/>
    <w:semiHidden/>
    <w:qFormat/>
    <w:uiPriority w:val="99"/>
    <w:pPr>
      <w:pBdr>
        <w:bottom w:val="single" w:color="auto" w:sz="6" w:space="1"/>
      </w:pBdr>
      <w:tabs>
        <w:tab w:val="center" w:pos="4153"/>
        <w:tab w:val="right" w:pos="8306"/>
      </w:tabs>
      <w:snapToGrid w:val="0"/>
      <w:jc w:val="center"/>
    </w:pPr>
    <w:rPr>
      <w:rFonts w:ascii="Calibri" w:hAnsi="Calibri"/>
      <w:kern w:val="0"/>
      <w:sz w:val="18"/>
      <w:szCs w:val="20"/>
    </w:rPr>
  </w:style>
  <w:style w:type="paragraph" w:styleId="15">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6">
    <w:name w:val="toc 4"/>
    <w:basedOn w:val="1"/>
    <w:next w:val="1"/>
    <w:unhideWhenUsed/>
    <w:qFormat/>
    <w:uiPriority w:val="39"/>
    <w:pPr>
      <w:ind w:left="630"/>
      <w:jc w:val="left"/>
    </w:pPr>
    <w:rPr>
      <w:rFonts w:asciiTheme="minorHAnsi" w:eastAsiaTheme="minorHAnsi"/>
      <w:sz w:val="18"/>
      <w:szCs w:val="18"/>
    </w:rPr>
  </w:style>
  <w:style w:type="paragraph" w:styleId="17">
    <w:name w:val="toc 6"/>
    <w:basedOn w:val="1"/>
    <w:next w:val="1"/>
    <w:unhideWhenUsed/>
    <w:qFormat/>
    <w:uiPriority w:val="39"/>
    <w:pPr>
      <w:ind w:left="1050"/>
      <w:jc w:val="left"/>
    </w:pPr>
    <w:rPr>
      <w:rFonts w:asciiTheme="minorHAnsi" w:eastAsiaTheme="minorHAnsi"/>
      <w:sz w:val="18"/>
      <w:szCs w:val="18"/>
    </w:rPr>
  </w:style>
  <w:style w:type="paragraph" w:styleId="18">
    <w:name w:val="toc 2"/>
    <w:basedOn w:val="1"/>
    <w:next w:val="1"/>
    <w:unhideWhenUsed/>
    <w:qFormat/>
    <w:uiPriority w:val="39"/>
    <w:pPr>
      <w:ind w:left="210"/>
      <w:jc w:val="left"/>
    </w:pPr>
    <w:rPr>
      <w:rFonts w:asciiTheme="minorHAnsi" w:eastAsiaTheme="minorHAnsi"/>
      <w:smallCaps/>
      <w:sz w:val="20"/>
      <w:szCs w:val="20"/>
    </w:rPr>
  </w:style>
  <w:style w:type="paragraph" w:styleId="19">
    <w:name w:val="toc 9"/>
    <w:basedOn w:val="1"/>
    <w:next w:val="1"/>
    <w:unhideWhenUsed/>
    <w:qFormat/>
    <w:uiPriority w:val="39"/>
    <w:pPr>
      <w:ind w:left="1680"/>
      <w:jc w:val="left"/>
    </w:pPr>
    <w:rPr>
      <w:rFonts w:asciiTheme="minorHAnsi" w:eastAsiaTheme="minorHAnsi"/>
      <w:sz w:val="18"/>
      <w:szCs w:val="18"/>
    </w:rPr>
  </w:style>
  <w:style w:type="paragraph" w:styleId="2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23">
    <w:name w:val="Strong"/>
    <w:basedOn w:val="22"/>
    <w:qFormat/>
    <w:uiPriority w:val="99"/>
    <w:rPr>
      <w:rFonts w:cs="Times New Roman"/>
      <w:b/>
    </w:rPr>
  </w:style>
  <w:style w:type="character" w:styleId="24">
    <w:name w:val="Hyperlink"/>
    <w:basedOn w:val="22"/>
    <w:unhideWhenUsed/>
    <w:qFormat/>
    <w:uiPriority w:val="99"/>
    <w:rPr>
      <w:rFonts w:cs="Times New Roman"/>
      <w:color w:val="0000FF"/>
      <w:u w:val="single"/>
    </w:rPr>
  </w:style>
  <w:style w:type="character" w:customStyle="1" w:styleId="25">
    <w:name w:val="标题 1 字符"/>
    <w:basedOn w:val="22"/>
    <w:link w:val="4"/>
    <w:qFormat/>
    <w:locked/>
    <w:uiPriority w:val="9"/>
    <w:rPr>
      <w:rFonts w:ascii="Times New Roman" w:hAnsi="Times New Roman" w:cs="Times New Roman"/>
      <w:b/>
      <w:bCs/>
      <w:kern w:val="44"/>
      <w:sz w:val="44"/>
      <w:szCs w:val="44"/>
    </w:rPr>
  </w:style>
  <w:style w:type="character" w:customStyle="1" w:styleId="26">
    <w:name w:val="标题 2 Char"/>
    <w:basedOn w:val="22"/>
    <w:link w:val="5"/>
    <w:qFormat/>
    <w:locked/>
    <w:uiPriority w:val="9"/>
    <w:rPr>
      <w:rFonts w:ascii="Cambria" w:hAnsi="Cambria" w:eastAsia="宋体" w:cs="Times New Roman"/>
      <w:b/>
      <w:bCs/>
      <w:kern w:val="2"/>
      <w:sz w:val="32"/>
      <w:szCs w:val="32"/>
    </w:rPr>
  </w:style>
  <w:style w:type="character" w:customStyle="1" w:styleId="27">
    <w:name w:val="标题 3 Char"/>
    <w:basedOn w:val="22"/>
    <w:link w:val="6"/>
    <w:qFormat/>
    <w:locked/>
    <w:uiPriority w:val="9"/>
    <w:rPr>
      <w:rFonts w:ascii="Times New Roman" w:hAnsi="Times New Roman" w:cs="Times New Roman"/>
      <w:b/>
      <w:bCs/>
      <w:kern w:val="2"/>
      <w:sz w:val="32"/>
      <w:szCs w:val="32"/>
    </w:rPr>
  </w:style>
  <w:style w:type="character" w:customStyle="1" w:styleId="28">
    <w:name w:val="Body Text Char"/>
    <w:basedOn w:val="22"/>
    <w:semiHidden/>
    <w:qFormat/>
    <w:uiPriority w:val="99"/>
    <w:rPr>
      <w:rFonts w:ascii="Times New Roman" w:hAnsi="Times New Roman" w:cs="Times New Roman"/>
      <w:sz w:val="24"/>
      <w:szCs w:val="24"/>
    </w:rPr>
  </w:style>
  <w:style w:type="character" w:customStyle="1" w:styleId="29">
    <w:name w:val="批注框文本 Char"/>
    <w:basedOn w:val="22"/>
    <w:link w:val="12"/>
    <w:semiHidden/>
    <w:qFormat/>
    <w:locked/>
    <w:uiPriority w:val="99"/>
    <w:rPr>
      <w:rFonts w:ascii="Times New Roman" w:hAnsi="Times New Roman" w:cs="Times New Roman"/>
      <w:kern w:val="2"/>
      <w:sz w:val="18"/>
      <w:szCs w:val="18"/>
    </w:rPr>
  </w:style>
  <w:style w:type="character" w:customStyle="1" w:styleId="30">
    <w:name w:val="Footer Char"/>
    <w:basedOn w:val="22"/>
    <w:semiHidden/>
    <w:qFormat/>
    <w:uiPriority w:val="99"/>
    <w:rPr>
      <w:rFonts w:ascii="Times New Roman" w:hAnsi="Times New Roman" w:cs="Times New Roman"/>
      <w:sz w:val="18"/>
      <w:szCs w:val="18"/>
    </w:rPr>
  </w:style>
  <w:style w:type="character" w:customStyle="1" w:styleId="31">
    <w:name w:val="Header Char"/>
    <w:basedOn w:val="22"/>
    <w:semiHidden/>
    <w:qFormat/>
    <w:uiPriority w:val="99"/>
    <w:rPr>
      <w:rFonts w:ascii="Times New Roman" w:hAnsi="Times New Roman" w:cs="Times New Roman"/>
      <w:sz w:val="18"/>
      <w:szCs w:val="18"/>
    </w:rPr>
  </w:style>
  <w:style w:type="character" w:customStyle="1" w:styleId="32">
    <w:name w:val="页眉 Char"/>
    <w:link w:val="14"/>
    <w:semiHidden/>
    <w:qFormat/>
    <w:locked/>
    <w:uiPriority w:val="99"/>
    <w:rPr>
      <w:sz w:val="18"/>
    </w:rPr>
  </w:style>
  <w:style w:type="character" w:customStyle="1" w:styleId="33">
    <w:name w:val="页脚 Char"/>
    <w:link w:val="13"/>
    <w:qFormat/>
    <w:locked/>
    <w:uiPriority w:val="99"/>
    <w:rPr>
      <w:sz w:val="18"/>
    </w:rPr>
  </w:style>
  <w:style w:type="character" w:customStyle="1" w:styleId="34">
    <w:name w:val="正文文本 Char"/>
    <w:link w:val="8"/>
    <w:qFormat/>
    <w:locked/>
    <w:uiPriority w:val="99"/>
    <w:rPr>
      <w:rFonts w:ascii="仿宋_GB2312" w:hAnsi="Times New Roman" w:eastAsia="仿宋_GB2312"/>
      <w:sz w:val="24"/>
    </w:rPr>
  </w:style>
  <w:style w:type="paragraph" w:customStyle="1" w:styleId="3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36">
    <w:name w:val="列表段落1"/>
    <w:basedOn w:val="1"/>
    <w:qFormat/>
    <w:uiPriority w:val="34"/>
    <w:pPr>
      <w:ind w:firstLine="420" w:firstLineChars="200"/>
    </w:pPr>
  </w:style>
  <w:style w:type="paragraph" w:customStyle="1" w:styleId="37">
    <w:name w:val="TOC 标题1"/>
    <w:basedOn w:val="4"/>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8">
    <w:name w:val="TOC Heading1"/>
    <w:basedOn w:val="4"/>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9">
    <w:name w:val="TOC 标题2"/>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character" w:customStyle="1" w:styleId="40">
    <w:name w:val="标题 1 Char"/>
    <w:basedOn w:val="22"/>
    <w:link w:val="4"/>
    <w:qFormat/>
    <w:locked/>
    <w:uiPriority w:val="9"/>
    <w:rPr>
      <w:rFonts w:ascii="Times New Roman" w:hAnsi="Times New Roman" w:cs="Times New Roman"/>
      <w:b/>
      <w:bCs/>
      <w:kern w:val="44"/>
      <w:sz w:val="44"/>
      <w:szCs w:val="44"/>
    </w:rPr>
  </w:style>
  <w:style w:type="paragraph" w:customStyle="1" w:styleId="41">
    <w:name w:val="WPSOffice手动目录 1"/>
    <w:qFormat/>
    <w:uiPriority w:val="0"/>
    <w:rPr>
      <w:rFonts w:ascii="Calibri" w:hAnsi="Calibri" w:eastAsia="宋体" w:cs="Times New Roman"/>
      <w:lang w:val="en-US" w:eastAsia="zh-CN" w:bidi="ar-SA"/>
    </w:rPr>
  </w:style>
  <w:style w:type="paragraph" w:customStyle="1" w:styleId="42">
    <w:name w:val="WPSOffice手动目录 2"/>
    <w:qFormat/>
    <w:uiPriority w:val="0"/>
    <w:pPr>
      <w:ind w:left="200" w:leftChars="200"/>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7" Type="http://schemas.microsoft.com/office/2011/relationships/chartColorStyle" Target="colors5.xml"/><Relationship Id="rId6" Type="http://schemas.microsoft.com/office/2011/relationships/chartStyle" Target="style5.xml"/><Relationship Id="rId5" Type="http://schemas.openxmlformats.org/officeDocument/2006/relationships/image" Target="../media/image3.png"/><Relationship Id="rId4" Type="http://schemas.openxmlformats.org/officeDocument/2006/relationships/image" Target="../media/image2.png"/><Relationship Id="rId3" Type="http://schemas.openxmlformats.org/officeDocument/2006/relationships/image" Target="../media/image1.png"/><Relationship Id="rId2" Type="http://schemas.openxmlformats.org/officeDocument/2006/relationships/themeOverride" Target="../theme/themeOverride4.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5" Type="http://schemas.microsoft.com/office/2011/relationships/chartColorStyle" Target="colors3.xml"/><Relationship Id="rId4" Type="http://schemas.microsoft.com/office/2011/relationships/chartStyle" Target="style3.xml"/><Relationship Id="rId3" Type="http://schemas.openxmlformats.org/officeDocument/2006/relationships/image" Target="../media/image4.png"/><Relationship Id="rId2" Type="http://schemas.openxmlformats.org/officeDocument/2006/relationships/themeOverride" Target="../theme/themeOverride2.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7" Type="http://schemas.microsoft.com/office/2011/relationships/chartColorStyle" Target="colors2.xml"/><Relationship Id="rId6" Type="http://schemas.microsoft.com/office/2011/relationships/chartStyle" Target="style2.xml"/><Relationship Id="rId5" Type="http://schemas.openxmlformats.org/officeDocument/2006/relationships/image" Target="../media/image3.png"/><Relationship Id="rId4" Type="http://schemas.openxmlformats.org/officeDocument/2006/relationships/image" Target="../media/image2.png"/><Relationship Id="rId3" Type="http://schemas.openxmlformats.org/officeDocument/2006/relationships/image" Target="../media/image1.png"/><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7" Type="http://schemas.microsoft.com/office/2011/relationships/chartColorStyle" Target="colors4.xml"/><Relationship Id="rId6" Type="http://schemas.microsoft.com/office/2011/relationships/chartStyle" Target="style4.xml"/><Relationship Id="rId5" Type="http://schemas.openxmlformats.org/officeDocument/2006/relationships/image" Target="../media/image3.png"/><Relationship Id="rId4" Type="http://schemas.openxmlformats.org/officeDocument/2006/relationships/image" Target="../media/image2.png"/><Relationship Id="rId3" Type="http://schemas.openxmlformats.org/officeDocument/2006/relationships/image" Target="../media/image1.png"/><Relationship Id="rId2" Type="http://schemas.openxmlformats.org/officeDocument/2006/relationships/themeOverride" Target="../theme/themeOverride3.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收入</c:v>
                </c:pt>
              </c:strCache>
            </c:strRef>
          </c:tx>
          <c:spPr>
            <a:blipFill rotWithShape="1">
              <a:blip xmlns:r="http://schemas.openxmlformats.org/officeDocument/2006/relationships" r:embed="rId3"/>
              <a:stretch>
                <a:fillRect/>
              </a:stretch>
            </a:blipFill>
            <a:ln>
              <a:noFill/>
            </a:ln>
            <a:effectLst>
              <a:outerShdw blurRad="101600" dir="13500000" sy="23000" kx="1200000" algn="br" rotWithShape="0">
                <a:schemeClr val="tx1">
                  <a:lumMod val="95000"/>
                  <a:lumOff val="5000"/>
                  <a:alpha val="20000"/>
                </a:schemeClr>
              </a:outerShdw>
            </a:effectLst>
          </c:spPr>
          <c:invertIfNegative val="0"/>
          <c:dLbls>
            <c:delete val="1"/>
          </c:dLbls>
          <c:cat>
            <c:multiLvlStrRef>
              <c:f>Sheet1!$A$2:$C$5</c:f>
              <c:multiLvlStrCache>
                <c:ptCount val="4"/>
                <c:lvl>
                  <c:pt idx="2">
                    <c:v>1415.23</c:v>
                  </c:pt>
                  <c:pt idx="3">
                    <c:v>1773.08</c:v>
                  </c:pt>
                </c:lvl>
                <c:lvl>
                  <c:pt idx="0">
                    <c:v>1460.32</c:v>
                  </c:pt>
                  <c:pt idx="1">
                    <c:v>1773.08</c:v>
                  </c:pt>
                </c:lvl>
                <c:lvl>
                  <c:pt idx="0">
                    <c:v>2020年度总收入</c:v>
                  </c:pt>
                  <c:pt idx="1">
                    <c:v>2021年度总收入</c:v>
                  </c:pt>
                  <c:pt idx="2">
                    <c:v>2020年度总支出</c:v>
                  </c:pt>
                  <c:pt idx="3">
                    <c:v>2021年度总支出</c:v>
                  </c:pt>
                </c:lvl>
              </c:multiLvlStrCache>
            </c:multiLvlStrRef>
          </c:cat>
          <c:val>
            <c:numRef>
              <c:f>Sheet1!$B$2:$B$5</c:f>
              <c:numCache>
                <c:formatCode>General</c:formatCode>
                <c:ptCount val="4"/>
                <c:pt idx="0">
                  <c:v>1460.32</c:v>
                </c:pt>
                <c:pt idx="1">
                  <c:v>1773.08</c:v>
                </c:pt>
              </c:numCache>
            </c:numRef>
          </c:val>
        </c:ser>
        <c:ser>
          <c:idx val="1"/>
          <c:order val="1"/>
          <c:tx>
            <c:strRef>
              <c:f>Sheet1!$C$1</c:f>
              <c:strCache>
                <c:ptCount val="1"/>
                <c:pt idx="0">
                  <c:v>支出</c:v>
                </c:pt>
              </c:strCache>
            </c:strRef>
          </c:tx>
          <c:spPr>
            <a:blipFill rotWithShape="1">
              <a:blip xmlns:r="http://schemas.openxmlformats.org/officeDocument/2006/relationships" r:embed="rId4"/>
              <a:stretch>
                <a:fillRect/>
              </a:stretch>
            </a:blipFill>
            <a:ln>
              <a:noFill/>
            </a:ln>
            <a:effectLst/>
          </c:spPr>
          <c:invertIfNegative val="0"/>
          <c:dLbls>
            <c:delete val="1"/>
          </c:dLbls>
          <c:cat>
            <c:multiLvlStrRef>
              <c:f>Sheet1!$A$2:$C$5</c:f>
              <c:multiLvlStrCache>
                <c:ptCount val="4"/>
                <c:lvl>
                  <c:pt idx="2">
                    <c:v>1415.23</c:v>
                  </c:pt>
                  <c:pt idx="3">
                    <c:v>1773.08</c:v>
                  </c:pt>
                </c:lvl>
                <c:lvl>
                  <c:pt idx="0">
                    <c:v>1460.32</c:v>
                  </c:pt>
                  <c:pt idx="1">
                    <c:v>1773.08</c:v>
                  </c:pt>
                </c:lvl>
                <c:lvl>
                  <c:pt idx="0">
                    <c:v>2020年度总收入</c:v>
                  </c:pt>
                  <c:pt idx="1">
                    <c:v>2021年度总收入</c:v>
                  </c:pt>
                  <c:pt idx="2">
                    <c:v>2020年度总支出</c:v>
                  </c:pt>
                  <c:pt idx="3">
                    <c:v>2021年度总支出</c:v>
                  </c:pt>
                </c:lvl>
              </c:multiLvlStrCache>
            </c:multiLvlStrRef>
          </c:cat>
          <c:val>
            <c:numRef>
              <c:f>Sheet1!$C$2:$C$5</c:f>
              <c:numCache>
                <c:formatCode>General</c:formatCode>
                <c:ptCount val="4"/>
                <c:pt idx="2">
                  <c:v>1415.23</c:v>
                </c:pt>
                <c:pt idx="3">
                  <c:v>1773.08</c:v>
                </c:pt>
              </c:numCache>
            </c:numRef>
          </c:val>
        </c:ser>
        <c:ser>
          <c:idx val="2"/>
          <c:order val="2"/>
          <c:tx>
            <c:strRef>
              <c:f>Sheet1!#REF!</c:f>
              <c:strCache>
                <c:ptCount val="1"/>
                <c:pt idx="0">
                  <c:v/>
                </c:pt>
              </c:strCache>
            </c:strRef>
          </c:tx>
          <c:spPr>
            <a:blipFill rotWithShape="1">
              <a:blip xmlns:r="http://schemas.openxmlformats.org/officeDocument/2006/relationships" r:embed="rId5"/>
              <a:stretch>
                <a:fillRect/>
              </a:stretch>
            </a:blipFill>
            <a:ln>
              <a:noFill/>
            </a:ln>
            <a:effectLst/>
          </c:spPr>
          <c:invertIfNegative val="0"/>
          <c:dLbls>
            <c:delete val="1"/>
          </c:dLbls>
          <c:cat>
            <c:multiLvlStrRef>
              <c:f>Sheet1!$A$2:$C$5</c:f>
              <c:multiLvlStrCache>
                <c:ptCount val="4"/>
                <c:lvl>
                  <c:pt idx="2">
                    <c:v>1415.23</c:v>
                  </c:pt>
                  <c:pt idx="3">
                    <c:v>1773.08</c:v>
                  </c:pt>
                </c:lvl>
                <c:lvl>
                  <c:pt idx="0">
                    <c:v>1460.32</c:v>
                  </c:pt>
                  <c:pt idx="1">
                    <c:v>1773.08</c:v>
                  </c:pt>
                </c:lvl>
                <c:lvl>
                  <c:pt idx="0">
                    <c:v>2020年度总收入</c:v>
                  </c:pt>
                  <c:pt idx="1">
                    <c:v>2021年度总收入</c:v>
                  </c:pt>
                  <c:pt idx="2">
                    <c:v>2020年度总支出</c:v>
                  </c:pt>
                  <c:pt idx="3">
                    <c:v>2021年度总支出</c:v>
                  </c:pt>
                </c:lvl>
              </c:multiLvlStrCache>
            </c:multiLvlStrRef>
          </c:cat>
          <c:val>
            <c:numRef>
              <c:f>Sheet1!#REF!</c:f>
              <c:numCache>
                <c:formatCode>General</c:formatCode>
                <c:ptCount val="1"/>
                <c:pt idx="0">
                  <c:v>1</c:v>
                </c:pt>
              </c:numCache>
            </c:numRef>
          </c:val>
        </c:ser>
        <c:dLbls>
          <c:showLegendKey val="0"/>
          <c:showVal val="0"/>
          <c:showCatName val="0"/>
          <c:showSerName val="0"/>
          <c:showPercent val="0"/>
          <c:showBubbleSize val="0"/>
        </c:dLbls>
        <c:gapWidth val="150"/>
        <c:axId val="85136128"/>
        <c:axId val="85137664"/>
      </c:barChart>
      <c:catAx>
        <c:axId val="85136128"/>
        <c:scaling>
          <c:orientation val="minMax"/>
        </c:scaling>
        <c:delete val="0"/>
        <c:axPos val="b"/>
        <c:numFmt formatCode="General" sourceLinked="1"/>
        <c:majorTickMark val="none"/>
        <c:minorTickMark val="none"/>
        <c:tickLblPos val="nextTo"/>
        <c:spPr>
          <a:noFill/>
          <a:ln w="9525" cap="flat" cmpd="sng" algn="ctr">
            <a:solidFill>
              <a:schemeClr val="bg1">
                <a:alpha val="50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5137664"/>
        <c:crosses val="autoZero"/>
        <c:auto val="1"/>
        <c:lblAlgn val="ctr"/>
        <c:lblOffset val="100"/>
        <c:noMultiLvlLbl val="0"/>
      </c:catAx>
      <c:valAx>
        <c:axId val="85137664"/>
        <c:scaling>
          <c:orientation val="minMax"/>
        </c:scaling>
        <c:delete val="0"/>
        <c:axPos val="l"/>
        <c:majorGridlines>
          <c:spPr>
            <a:ln w="9525" cap="flat" cmpd="sng" algn="ctr">
              <a:solidFill>
                <a:schemeClr val="bg1">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5136128"/>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49457ce2-2b09-44b2-86bc-7741d22176c5}"/>
      </c:ext>
    </c:extLst>
  </c:chart>
  <c:spPr>
    <a:solidFill>
      <a:srgbClr val="4472C4"/>
    </a:solidFill>
    <a:ln w="9525" cap="flat" cmpd="sng" algn="ctr">
      <a:solidFill>
        <a:schemeClr val="tx1">
          <a:lumMod val="15000"/>
          <a:lumOff val="85000"/>
        </a:schemeClr>
      </a:solidFill>
      <a:round/>
    </a:ln>
    <a:effectLst/>
  </c:spPr>
  <c:txPr>
    <a:bodyPr/>
    <a:lstStyle/>
    <a:p>
      <a:pPr>
        <a:defRPr lang="zh-CN">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2021</a:t>
            </a:r>
            <a:r>
              <a:rPr altLang="en-US"/>
              <a:t>年</a:t>
            </a:r>
            <a:r>
              <a:t>收入决算数</a:t>
            </a:r>
          </a:p>
        </c:rich>
      </c:tx>
      <c:layout>
        <c:manualLayout>
          <c:xMode val="edge"/>
          <c:yMode val="edge"/>
          <c:x val="0.304344591578634"/>
          <c:y val="0.0271725198667008"/>
        </c:manualLayout>
      </c:layout>
      <c:overlay val="0"/>
      <c:spPr>
        <a:noFill/>
        <a:ln>
          <a:noFill/>
        </a:ln>
        <a:effectLst/>
      </c:spPr>
    </c:title>
    <c:autoTitleDeleted val="0"/>
    <c:plotArea>
      <c:layout>
        <c:manualLayout>
          <c:layoutTarget val="inner"/>
          <c:xMode val="edge"/>
          <c:yMode val="edge"/>
          <c:x val="0.292777777777778"/>
          <c:y val="0.162268518518519"/>
          <c:w val="0.416944444444444"/>
          <c:h val="0.694907407407407"/>
        </c:manualLayout>
      </c:layout>
      <c:pieChart>
        <c:varyColors val="1"/>
        <c:ser>
          <c:idx val="0"/>
          <c:order val="0"/>
          <c:tx>
            <c:strRef>
              <c:f>Sheet1!$B$1</c:f>
              <c:strCache>
                <c:ptCount val="1"/>
                <c:pt idx="0">
                  <c:v>2021年度收入决算数</c:v>
                </c:pt>
              </c:strCache>
            </c:strRef>
          </c:tx>
          <c:spPr>
            <a:effectLst>
              <a:outerShdw blurRad="63500" sx="102000" sy="102000" algn="ctr" rotWithShape="0">
                <a:prstClr val="black">
                  <a:alpha val="40000"/>
                </a:prstClr>
              </a:outerShdw>
            </a:effectLst>
          </c:spPr>
          <c:explosion val="0"/>
          <c:dPt>
            <c:idx val="0"/>
            <c:bubble3D val="0"/>
            <c:spPr>
              <a:solidFill>
                <a:srgbClr val="F38080"/>
              </a:solidFill>
              <a:ln w="19050">
                <a:solidFill>
                  <a:schemeClr val="lt1"/>
                </a:solidFill>
              </a:ln>
              <a:effectLst>
                <a:outerShdw blurRad="63500" sx="102000" sy="102000" algn="ctr" rotWithShape="0">
                  <a:prstClr val="black">
                    <a:alpha val="40000"/>
                  </a:prstClr>
                </a:outerShdw>
              </a:effectLst>
            </c:spPr>
          </c:dPt>
          <c:dPt>
            <c:idx val="1"/>
            <c:bubble3D val="0"/>
            <c:spPr>
              <a:solidFill>
                <a:srgbClr val="B9E1DC"/>
              </a:solidFill>
              <a:ln w="19050">
                <a:solidFill>
                  <a:schemeClr val="lt1"/>
                </a:solidFill>
              </a:ln>
              <a:effectLst>
                <a:outerShdw blurRad="63500" sx="102000" sy="102000" algn="ctr" rotWithShape="0">
                  <a:prstClr val="black">
                    <a:alpha val="40000"/>
                  </a:prstClr>
                </a:outerShdw>
              </a:effectLst>
            </c:spPr>
          </c:dPt>
          <c:dPt>
            <c:idx val="2"/>
            <c:bubble3D val="0"/>
            <c:spPr>
              <a:solidFill>
                <a:srgbClr val="F7A6A6"/>
              </a:solidFill>
              <a:ln w="19050">
                <a:solidFill>
                  <a:schemeClr val="lt1"/>
                </a:solidFill>
              </a:ln>
              <a:effectLst>
                <a:outerShdw blurRad="63500" sx="102000" sy="102000" algn="ctr" rotWithShape="0">
                  <a:prstClr val="black">
                    <a:alpha val="40000"/>
                  </a:prstClr>
                </a:outerShdw>
              </a:effectLst>
            </c:spPr>
          </c:dPt>
          <c:dPt>
            <c:idx val="3"/>
            <c:bubble3D val="0"/>
            <c:spPr>
              <a:solidFill>
                <a:srgbClr val="756C83"/>
              </a:solidFill>
              <a:ln w="19050">
                <a:solidFill>
                  <a:schemeClr val="lt1"/>
                </a:solidFill>
              </a:ln>
              <a:effectLst>
                <a:outerShdw blurRad="63500" sx="102000" sy="102000" algn="ctr" rotWithShape="0">
                  <a:prstClr val="black">
                    <a:alpha val="40000"/>
                  </a:prstClr>
                </a:outerShdw>
              </a:effectLst>
            </c:spPr>
          </c:dPt>
          <c:dPt>
            <c:idx val="4"/>
            <c:bubble3D val="0"/>
            <c:spPr>
              <a:solidFill>
                <a:schemeClr val="accent5"/>
              </a:solidFill>
              <a:ln w="19050">
                <a:solidFill>
                  <a:schemeClr val="lt1"/>
                </a:solidFill>
              </a:ln>
              <a:effectLst>
                <a:outerShdw blurRad="63500" sx="102000" sy="102000" algn="ctr" rotWithShape="0">
                  <a:prstClr val="black">
                    <a:alpha val="40000"/>
                  </a:prstClr>
                </a:outerShdw>
              </a:effectLst>
            </c:spPr>
          </c:dPt>
          <c:dPt>
            <c:idx val="5"/>
            <c:bubble3D val="0"/>
            <c:spPr>
              <a:solidFill>
                <a:schemeClr val="accent6"/>
              </a:solidFill>
              <a:ln w="19050">
                <a:solidFill>
                  <a:schemeClr val="lt1"/>
                </a:solidFill>
              </a:ln>
              <a:effectLst>
                <a:outerShdw blurRad="63500" sx="102000" sy="102000" algn="ctr" rotWithShape="0">
                  <a:prstClr val="black">
                    <a:alpha val="40000"/>
                  </a:prstClr>
                </a:outerShdw>
              </a:effectLst>
            </c:spPr>
          </c:dPt>
          <c:dPt>
            <c:idx val="6"/>
            <c:bubble3D val="0"/>
            <c:spPr>
              <a:solidFill>
                <a:schemeClr val="accent1">
                  <a:lumMod val="60000"/>
                </a:schemeClr>
              </a:solidFill>
              <a:ln w="19050">
                <a:solidFill>
                  <a:schemeClr val="lt1"/>
                </a:solidFill>
              </a:ln>
              <a:effectLst>
                <a:outerShdw blurRad="63500" sx="102000" sy="102000" algn="ctr" rotWithShape="0">
                  <a:prstClr val="black">
                    <a:alpha val="40000"/>
                  </a:prstClr>
                </a:outerShdw>
              </a:effectLst>
            </c:spPr>
          </c:dPt>
          <c:dLbls>
            <c:spPr>
              <a:noFill/>
              <a:ln>
                <a:noFill/>
              </a:ln>
              <a:effectLst/>
            </c:spPr>
            <c:txPr>
              <a:bodyPr rot="0" spcFirstLastPara="0" vertOverflow="ellipsis" vert="horz" wrap="square" lIns="38100" tIns="19050" rIns="38100" bIns="19050" anchor="ctr" anchorCtr="1" forceAA="0"/>
              <a:lstStyle/>
              <a:p>
                <a:pPr>
                  <a:defRPr lang="zh-CN" sz="9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一般公共预算财政拨款收入</c:v>
                </c:pt>
                <c:pt idx="1">
                  <c:v>政府性基金预算财政拨款收入</c:v>
                </c:pt>
                <c:pt idx="2">
                  <c:v>事业收入</c:v>
                </c:pt>
                <c:pt idx="3">
                  <c:v>经营收入</c:v>
                </c:pt>
                <c:pt idx="4">
                  <c:v>附属单位上缴收入</c:v>
                </c:pt>
                <c:pt idx="5">
                  <c:v>其他收入</c:v>
                </c:pt>
                <c:pt idx="6">
                  <c:v>2020年度财政拨款结余</c:v>
                </c:pt>
              </c:strCache>
            </c:strRef>
          </c:cat>
          <c:val>
            <c:numRef>
              <c:f>Sheet1!$B$2:$B$8</c:f>
              <c:numCache>
                <c:formatCode>General</c:formatCode>
                <c:ptCount val="7"/>
                <c:pt idx="0">
                  <c:v>1738.5</c:v>
                </c:pt>
                <c:pt idx="1">
                  <c:v>0</c:v>
                </c:pt>
                <c:pt idx="2">
                  <c:v>0</c:v>
                </c:pt>
                <c:pt idx="3">
                  <c:v>0</c:v>
                </c:pt>
                <c:pt idx="4">
                  <c:v>0</c:v>
                </c:pt>
                <c:pt idx="5">
                  <c:v>0</c:v>
                </c:pt>
                <c:pt idx="6">
                  <c:v>34.57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zero"/>
    <c:showDLblsOverMax val="0"/>
    <c:extLst>
      <c:ext uri="{0b15fc19-7d7d-44ad-8c2d-2c3a37ce22c3}">
        <chartProps xmlns="https://web.wps.cn/et/2018/main" chartId="{6d31de31-6062-4207-8040-2d17527ae8e2}"/>
      </c:ext>
    </c:extLst>
  </c:chart>
  <c:spPr>
    <a:blipFill rotWithShape="1">
      <a:blip xmlns:r="http://schemas.openxmlformats.org/officeDocument/2006/relationships" r:embed="rId3"/>
      <a:stretch>
        <a:fillRect/>
      </a:stretch>
    </a:blipFill>
    <a:ln w="9525" cap="flat" cmpd="sng" algn="ctr">
      <a:noFill/>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none" spc="20" baseline="0">
                <a:solidFill>
                  <a:schemeClr val="tx1">
                    <a:lumMod val="50000"/>
                    <a:lumOff val="50000"/>
                  </a:schemeClr>
                </a:solidFill>
                <a:latin typeface="+mn-lt"/>
                <a:ea typeface="+mn-ea"/>
                <a:cs typeface="+mn-cs"/>
              </a:defRPr>
            </a:pPr>
            <a:r>
              <a:rPr b="1"/>
              <a:t>2021年本年支出决算数</a:t>
            </a:r>
            <a:endParaRPr b="1"/>
          </a:p>
        </c:rich>
      </c:tx>
      <c:layout>
        <c:manualLayout>
          <c:xMode val="edge"/>
          <c:yMode val="edge"/>
          <c:x val="0.286030061892131"/>
          <c:y val="0.00766283524904215"/>
        </c:manualLayout>
      </c:layout>
      <c:overlay val="0"/>
      <c:spPr>
        <a:noFill/>
        <a:ln>
          <a:noFill/>
        </a:ln>
        <a:effectLst/>
      </c:spPr>
    </c:title>
    <c:autoTitleDeleted val="0"/>
    <c:plotArea>
      <c:layout/>
      <c:pieChart>
        <c:varyColors val="1"/>
        <c:ser>
          <c:idx val="0"/>
          <c:order val="0"/>
          <c:tx>
            <c:strRef>
              <c:f>Sheet1!$B$1</c:f>
              <c:strCache>
                <c:ptCount val="1"/>
                <c:pt idx="0">
                  <c:v>2021年本年支出</c:v>
                </c:pt>
              </c:strCache>
            </c:strRef>
          </c:tx>
          <c:spPr/>
          <c:explosion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dPt>
          <c:dPt>
            <c:idx val="7"/>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dPt>
          <c:dPt>
            <c:idx val="8"/>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Sheet1!$A$2:$A$10</c:f>
              <c:strCache>
                <c:ptCount val="9"/>
                <c:pt idx="0">
                  <c:v>基本支出</c:v>
                </c:pt>
                <c:pt idx="1">
                  <c:v>项目支出</c:v>
                </c:pt>
                <c:pt idx="2">
                  <c:v>上缴上级支出</c:v>
                </c:pt>
                <c:pt idx="3">
                  <c:v>经营支出</c:v>
                </c:pt>
                <c:pt idx="4">
                  <c:v>对附属单位补助支出</c:v>
                </c:pt>
                <c:pt idx="5">
                  <c:v>财政结转结余支出</c:v>
                </c:pt>
              </c:strCache>
            </c:strRef>
          </c:cat>
          <c:val>
            <c:numRef>
              <c:f>Sheet1!$B$2:$B$10</c:f>
              <c:numCache>
                <c:formatCode>General</c:formatCode>
                <c:ptCount val="9"/>
                <c:pt idx="0">
                  <c:v>1406.72</c:v>
                </c:pt>
                <c:pt idx="1">
                  <c:v>331.78</c:v>
                </c:pt>
                <c:pt idx="2">
                  <c:v>0</c:v>
                </c:pt>
                <c:pt idx="3">
                  <c:v>0</c:v>
                </c:pt>
                <c:pt idx="4">
                  <c:v>0</c:v>
                </c:pt>
                <c:pt idx="5">
                  <c:v>34.57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zero"/>
    <c:showDLblsOverMax val="0"/>
    <c:extLst>
      <c:ext uri="{0b15fc19-7d7d-44ad-8c2d-2c3a37ce22c3}">
        <chartProps xmlns="https://web.wps.cn/et/2018/main" chartId="{b2a637ac-0fc5-4e9c-a7b0-556ea02b0d5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收入</c:v>
                </c:pt>
              </c:strCache>
            </c:strRef>
          </c:tx>
          <c:spPr>
            <a:blipFill rotWithShape="1">
              <a:blip xmlns:r="http://schemas.openxmlformats.org/officeDocument/2006/relationships" r:embed="rId3"/>
              <a:stretch>
                <a:fillRect/>
              </a:stretch>
            </a:blipFill>
            <a:ln>
              <a:noFill/>
            </a:ln>
            <a:effectLst>
              <a:outerShdw blurRad="101600" dir="13500000" sy="23000" kx="1200000" algn="br" rotWithShape="0">
                <a:schemeClr val="tx1">
                  <a:lumMod val="95000"/>
                  <a:lumOff val="5000"/>
                  <a:alpha val="20000"/>
                </a:schemeClr>
              </a:outerShdw>
            </a:effectLst>
          </c:spPr>
          <c:invertIfNegative val="0"/>
          <c:dLbls>
            <c:delete val="1"/>
          </c:dLbls>
          <c:cat>
            <c:multiLvlStrRef>
              <c:f>Sheet1!$A$2:$C$5</c:f>
              <c:multiLvlStrCache>
                <c:ptCount val="4"/>
                <c:lvl>
                  <c:pt idx="2">
                    <c:v>1364.86</c:v>
                  </c:pt>
                  <c:pt idx="3">
                    <c:v>1738.51</c:v>
                  </c:pt>
                </c:lvl>
                <c:lvl>
                  <c:pt idx="0">
                    <c:v>1409.95</c:v>
                  </c:pt>
                  <c:pt idx="1">
                    <c:v>1738.51</c:v>
                  </c:pt>
                </c:lvl>
                <c:lvl>
                  <c:pt idx="0">
                    <c:v>2020年财政拨款收入</c:v>
                  </c:pt>
                  <c:pt idx="1">
                    <c:v>2021年财政拨款收入</c:v>
                  </c:pt>
                  <c:pt idx="2">
                    <c:v>2020年财政拨款支出</c:v>
                  </c:pt>
                  <c:pt idx="3">
                    <c:v>2021年财政拨款支出</c:v>
                  </c:pt>
                </c:lvl>
              </c:multiLvlStrCache>
            </c:multiLvlStrRef>
          </c:cat>
          <c:val>
            <c:numRef>
              <c:f>Sheet1!$B$2:$B$5</c:f>
              <c:numCache>
                <c:formatCode>General</c:formatCode>
                <c:ptCount val="4"/>
                <c:pt idx="0">
                  <c:v>1409.95</c:v>
                </c:pt>
                <c:pt idx="1">
                  <c:v>1738.51</c:v>
                </c:pt>
              </c:numCache>
            </c:numRef>
          </c:val>
        </c:ser>
        <c:ser>
          <c:idx val="1"/>
          <c:order val="1"/>
          <c:tx>
            <c:strRef>
              <c:f>Sheet1!$C$1</c:f>
              <c:strCache>
                <c:ptCount val="1"/>
                <c:pt idx="0">
                  <c:v>支出</c:v>
                </c:pt>
              </c:strCache>
            </c:strRef>
          </c:tx>
          <c:spPr>
            <a:blipFill rotWithShape="1">
              <a:blip xmlns:r="http://schemas.openxmlformats.org/officeDocument/2006/relationships" r:embed="rId4"/>
              <a:stretch>
                <a:fillRect/>
              </a:stretch>
            </a:blipFill>
            <a:ln>
              <a:noFill/>
            </a:ln>
            <a:effectLst/>
          </c:spPr>
          <c:invertIfNegative val="0"/>
          <c:dLbls>
            <c:delete val="1"/>
          </c:dLbls>
          <c:cat>
            <c:multiLvlStrRef>
              <c:f>Sheet1!$A$2:$C$5</c:f>
              <c:multiLvlStrCache>
                <c:ptCount val="4"/>
                <c:lvl>
                  <c:pt idx="2">
                    <c:v>1364.86</c:v>
                  </c:pt>
                  <c:pt idx="3">
                    <c:v>1738.51</c:v>
                  </c:pt>
                </c:lvl>
                <c:lvl>
                  <c:pt idx="0">
                    <c:v>1409.95</c:v>
                  </c:pt>
                  <c:pt idx="1">
                    <c:v>1738.51</c:v>
                  </c:pt>
                </c:lvl>
                <c:lvl>
                  <c:pt idx="0">
                    <c:v>2020年财政拨款收入</c:v>
                  </c:pt>
                  <c:pt idx="1">
                    <c:v>2021年财政拨款收入</c:v>
                  </c:pt>
                  <c:pt idx="2">
                    <c:v>2020年财政拨款支出</c:v>
                  </c:pt>
                  <c:pt idx="3">
                    <c:v>2021年财政拨款支出</c:v>
                  </c:pt>
                </c:lvl>
              </c:multiLvlStrCache>
            </c:multiLvlStrRef>
          </c:cat>
          <c:val>
            <c:numRef>
              <c:f>Sheet1!$C$2:$C$5</c:f>
              <c:numCache>
                <c:formatCode>General</c:formatCode>
                <c:ptCount val="4"/>
                <c:pt idx="2">
                  <c:v>1364.86</c:v>
                </c:pt>
                <c:pt idx="3">
                  <c:v>1738.51</c:v>
                </c:pt>
              </c:numCache>
            </c:numRef>
          </c:val>
        </c:ser>
        <c:ser>
          <c:idx val="2"/>
          <c:order val="2"/>
          <c:tx>
            <c:strRef>
              <c:f>Sheet1!#REF!</c:f>
              <c:strCache>
                <c:ptCount val="1"/>
                <c:pt idx="0">
                  <c:v/>
                </c:pt>
              </c:strCache>
            </c:strRef>
          </c:tx>
          <c:spPr>
            <a:blipFill rotWithShape="1">
              <a:blip xmlns:r="http://schemas.openxmlformats.org/officeDocument/2006/relationships" r:embed="rId5"/>
              <a:stretch>
                <a:fillRect/>
              </a:stretch>
            </a:blipFill>
            <a:ln>
              <a:noFill/>
            </a:ln>
            <a:effectLst/>
          </c:spPr>
          <c:invertIfNegative val="0"/>
          <c:dLbls>
            <c:delete val="1"/>
          </c:dLbls>
          <c:cat>
            <c:multiLvlStrRef>
              <c:f>Sheet1!$A$2:$C$5</c:f>
              <c:multiLvlStrCache>
                <c:ptCount val="4"/>
                <c:lvl>
                  <c:pt idx="2">
                    <c:v>1364.86</c:v>
                  </c:pt>
                  <c:pt idx="3">
                    <c:v>1738.51</c:v>
                  </c:pt>
                </c:lvl>
                <c:lvl>
                  <c:pt idx="0">
                    <c:v>1409.95</c:v>
                  </c:pt>
                  <c:pt idx="1">
                    <c:v>1738.51</c:v>
                  </c:pt>
                </c:lvl>
                <c:lvl>
                  <c:pt idx="0">
                    <c:v>2020年财政拨款收入</c:v>
                  </c:pt>
                  <c:pt idx="1">
                    <c:v>2021年财政拨款收入</c:v>
                  </c:pt>
                  <c:pt idx="2">
                    <c:v>2020年财政拨款支出</c:v>
                  </c:pt>
                  <c:pt idx="3">
                    <c:v>2021年财政拨款支出</c:v>
                  </c:pt>
                </c:lvl>
              </c:multiLvlStrCache>
            </c:multiLvlStrRef>
          </c:cat>
          <c:val>
            <c:numRef>
              <c:f>Sheet1!#REF!</c:f>
              <c:numCache>
                <c:formatCode>General</c:formatCode>
                <c:ptCount val="1"/>
                <c:pt idx="0">
                  <c:v>1</c:v>
                </c:pt>
              </c:numCache>
            </c:numRef>
          </c:val>
        </c:ser>
        <c:dLbls>
          <c:showLegendKey val="0"/>
          <c:showVal val="0"/>
          <c:showCatName val="0"/>
          <c:showSerName val="0"/>
          <c:showPercent val="0"/>
          <c:showBubbleSize val="0"/>
        </c:dLbls>
        <c:gapWidth val="150"/>
        <c:axId val="87567744"/>
        <c:axId val="87577728"/>
      </c:barChart>
      <c:catAx>
        <c:axId val="87567744"/>
        <c:scaling>
          <c:orientation val="minMax"/>
        </c:scaling>
        <c:delete val="0"/>
        <c:axPos val="b"/>
        <c:numFmt formatCode="General" sourceLinked="1"/>
        <c:majorTickMark val="none"/>
        <c:minorTickMark val="none"/>
        <c:tickLblPos val="nextTo"/>
        <c:spPr>
          <a:noFill/>
          <a:ln w="9525" cap="flat" cmpd="sng" algn="ctr">
            <a:solidFill>
              <a:schemeClr val="bg1">
                <a:alpha val="50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7577728"/>
        <c:crosses val="autoZero"/>
        <c:auto val="1"/>
        <c:lblAlgn val="ctr"/>
        <c:lblOffset val="100"/>
        <c:noMultiLvlLbl val="0"/>
      </c:catAx>
      <c:valAx>
        <c:axId val="87577728"/>
        <c:scaling>
          <c:orientation val="minMax"/>
        </c:scaling>
        <c:delete val="0"/>
        <c:axPos val="l"/>
        <c:majorGridlines>
          <c:spPr>
            <a:ln w="9525" cap="flat" cmpd="sng" algn="ctr">
              <a:solidFill>
                <a:schemeClr val="bg1">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7567744"/>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b1270896-5576-46d1-b90d-92bee37e93fe}"/>
      </c:ext>
    </c:extLst>
  </c:chart>
  <c:spPr>
    <a:solidFill>
      <a:srgbClr val="4472C4"/>
    </a:solidFill>
    <a:ln w="9525" cap="flat" cmpd="sng" algn="ctr">
      <a:solidFill>
        <a:schemeClr val="tx1">
          <a:lumMod val="15000"/>
          <a:lumOff val="85000"/>
        </a:schemeClr>
      </a:solidFill>
      <a:round/>
    </a:ln>
    <a:effectLst/>
  </c:spPr>
  <c:txPr>
    <a:bodyPr/>
    <a:lstStyle/>
    <a:p>
      <a:pPr>
        <a:defRPr lang="zh-CN">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243482887037"/>
          <c:y val="0.120065789473684"/>
          <c:w val="0.701436424898032"/>
          <c:h val="0.553563596491228"/>
        </c:manualLayout>
      </c:layout>
      <c:barChart>
        <c:barDir val="col"/>
        <c:grouping val="clustered"/>
        <c:varyColors val="0"/>
        <c:ser>
          <c:idx val="0"/>
          <c:order val="0"/>
          <c:tx>
            <c:strRef>
              <c:f>Sheet1!$B$1</c:f>
              <c:strCache>
                <c:ptCount val="1"/>
                <c:pt idx="0">
                  <c:v>收入</c:v>
                </c:pt>
              </c:strCache>
            </c:strRef>
          </c:tx>
          <c:spPr>
            <a:blipFill rotWithShape="1">
              <a:blip xmlns:r="http://schemas.openxmlformats.org/officeDocument/2006/relationships" r:embed="rId3"/>
              <a:stretch>
                <a:fillRect/>
              </a:stretch>
            </a:blipFill>
            <a:ln>
              <a:noFill/>
            </a:ln>
            <a:effectLst>
              <a:outerShdw blurRad="101600" dir="13500000" sy="23000" kx="1200000" algn="br" rotWithShape="0">
                <a:schemeClr val="tx1">
                  <a:lumMod val="95000"/>
                  <a:lumOff val="5000"/>
                  <a:alpha val="20000"/>
                </a:schemeClr>
              </a:outerShdw>
            </a:effectLst>
          </c:spPr>
          <c:invertIfNegative val="0"/>
          <c:dLbls>
            <c:delete val="1"/>
          </c:dLbls>
          <c:cat>
            <c:multiLvlStrRef>
              <c:f>Sheet1!$A$2:$C$3</c:f>
              <c:multiLvlStrCache>
                <c:ptCount val="2"/>
                <c:lvl/>
                <c:lvl>
                  <c:pt idx="0">
                    <c:v>1364.86</c:v>
                  </c:pt>
                  <c:pt idx="1">
                    <c:v>1773.08</c:v>
                  </c:pt>
                </c:lvl>
                <c:lvl>
                  <c:pt idx="0">
                    <c:v>2020年财政拨款支出</c:v>
                  </c:pt>
                  <c:pt idx="1">
                    <c:v>2021年财政拨款支出</c:v>
                  </c:pt>
                </c:lvl>
              </c:multiLvlStrCache>
            </c:multiLvlStrRef>
          </c:cat>
          <c:val>
            <c:numRef>
              <c:f>Sheet1!$B$2:$B$3</c:f>
              <c:numCache>
                <c:formatCode>General</c:formatCode>
                <c:ptCount val="2"/>
                <c:pt idx="0">
                  <c:v>1364.86</c:v>
                </c:pt>
                <c:pt idx="1">
                  <c:v>1773.08</c:v>
                </c:pt>
              </c:numCache>
            </c:numRef>
          </c:val>
        </c:ser>
        <c:ser>
          <c:idx val="1"/>
          <c:order val="1"/>
          <c:tx>
            <c:strRef>
              <c:f>Sheet1!$C$1</c:f>
              <c:strCache>
                <c:ptCount val="1"/>
                <c:pt idx="0">
                  <c:v>支出</c:v>
                </c:pt>
              </c:strCache>
            </c:strRef>
          </c:tx>
          <c:spPr>
            <a:blipFill rotWithShape="1">
              <a:blip xmlns:r="http://schemas.openxmlformats.org/officeDocument/2006/relationships" r:embed="rId4"/>
              <a:stretch>
                <a:fillRect/>
              </a:stretch>
            </a:blipFill>
            <a:ln>
              <a:noFill/>
            </a:ln>
            <a:effectLst/>
          </c:spPr>
          <c:invertIfNegative val="0"/>
          <c:dLbls>
            <c:delete val="1"/>
          </c:dLbls>
          <c:cat>
            <c:multiLvlStrRef>
              <c:f>Sheet1!$A$2:$C$3</c:f>
              <c:multiLvlStrCache>
                <c:ptCount val="2"/>
                <c:lvl/>
                <c:lvl>
                  <c:pt idx="0">
                    <c:v>1364.86</c:v>
                  </c:pt>
                  <c:pt idx="1">
                    <c:v>1773.08</c:v>
                  </c:pt>
                </c:lvl>
                <c:lvl>
                  <c:pt idx="0">
                    <c:v>2020年财政拨款支出</c:v>
                  </c:pt>
                  <c:pt idx="1">
                    <c:v>2021年财政拨款支出</c:v>
                  </c:pt>
                </c:lvl>
              </c:multiLvlStrCache>
            </c:multiLvlStrRef>
          </c:cat>
          <c:val>
            <c:numRef>
              <c:f>Sheet1!$C$2:$C$3</c:f>
              <c:numCache>
                <c:formatCode>General</c:formatCode>
                <c:ptCount val="2"/>
              </c:numCache>
            </c:numRef>
          </c:val>
        </c:ser>
        <c:ser>
          <c:idx val="2"/>
          <c:order val="2"/>
          <c:tx>
            <c:strRef>
              <c:f>Sheet1!#REF!</c:f>
              <c:strCache>
                <c:ptCount val="1"/>
                <c:pt idx="0">
                  <c:v/>
                </c:pt>
              </c:strCache>
            </c:strRef>
          </c:tx>
          <c:spPr>
            <a:blipFill rotWithShape="1">
              <a:blip xmlns:r="http://schemas.openxmlformats.org/officeDocument/2006/relationships" r:embed="rId5"/>
              <a:stretch>
                <a:fillRect/>
              </a:stretch>
            </a:blipFill>
            <a:ln>
              <a:noFill/>
            </a:ln>
            <a:effectLst/>
          </c:spPr>
          <c:invertIfNegative val="0"/>
          <c:dLbls>
            <c:delete val="1"/>
          </c:dLbls>
          <c:cat>
            <c:multiLvlStrRef>
              <c:f>Sheet1!$A$2:$C$3</c:f>
              <c:multiLvlStrCache>
                <c:ptCount val="2"/>
                <c:lvl/>
                <c:lvl>
                  <c:pt idx="0">
                    <c:v>1364.86</c:v>
                  </c:pt>
                  <c:pt idx="1">
                    <c:v>1773.08</c:v>
                  </c:pt>
                </c:lvl>
                <c:lvl>
                  <c:pt idx="0">
                    <c:v>2020年财政拨款支出</c:v>
                  </c:pt>
                  <c:pt idx="1">
                    <c:v>2021年财政拨款支出</c:v>
                  </c:pt>
                </c:lvl>
              </c:multiLvlStrCache>
            </c:multiLvlStrRef>
          </c:cat>
          <c:val>
            <c:numRef>
              <c:f>Sheet1!#REF!</c:f>
              <c:numCache>
                <c:formatCode>General</c:formatCode>
                <c:ptCount val="1"/>
                <c:pt idx="0">
                  <c:v>1</c:v>
                </c:pt>
              </c:numCache>
            </c:numRef>
          </c:val>
        </c:ser>
        <c:dLbls>
          <c:showLegendKey val="0"/>
          <c:showVal val="0"/>
          <c:showCatName val="0"/>
          <c:showSerName val="0"/>
          <c:showPercent val="0"/>
          <c:showBubbleSize val="0"/>
        </c:dLbls>
        <c:gapWidth val="150"/>
        <c:axId val="87654400"/>
        <c:axId val="87655936"/>
      </c:barChart>
      <c:catAx>
        <c:axId val="87654400"/>
        <c:scaling>
          <c:orientation val="minMax"/>
        </c:scaling>
        <c:delete val="0"/>
        <c:axPos val="b"/>
        <c:numFmt formatCode="General" sourceLinked="1"/>
        <c:majorTickMark val="none"/>
        <c:minorTickMark val="none"/>
        <c:tickLblPos val="nextTo"/>
        <c:spPr>
          <a:noFill/>
          <a:ln w="9525" cap="flat" cmpd="sng" algn="ctr">
            <a:solidFill>
              <a:schemeClr val="bg1">
                <a:alpha val="50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7655936"/>
        <c:crosses val="autoZero"/>
        <c:auto val="1"/>
        <c:lblAlgn val="ctr"/>
        <c:lblOffset val="100"/>
        <c:noMultiLvlLbl val="0"/>
      </c:catAx>
      <c:valAx>
        <c:axId val="87655936"/>
        <c:scaling>
          <c:orientation val="minMax"/>
        </c:scaling>
        <c:delete val="0"/>
        <c:axPos val="l"/>
        <c:majorGridlines>
          <c:spPr>
            <a:ln w="9525" cap="flat" cmpd="sng" algn="ctr">
              <a:solidFill>
                <a:schemeClr val="bg1">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7654400"/>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fb701315-e401-4175-9f79-bc7d6049f390}"/>
      </c:ext>
    </c:extLst>
  </c:chart>
  <c:spPr>
    <a:solidFill>
      <a:srgbClr val="4472C4"/>
    </a:solidFill>
    <a:ln w="9525" cap="flat" cmpd="sng" algn="ctr">
      <a:solidFill>
        <a:schemeClr val="tx1">
          <a:lumMod val="15000"/>
          <a:lumOff val="85000"/>
        </a:schemeClr>
      </a:solidFill>
      <a:round/>
    </a:ln>
    <a:effectLst/>
  </c:spPr>
  <c:txPr>
    <a:bodyPr/>
    <a:lstStyle/>
    <a:p>
      <a:pPr>
        <a:defRPr lang="zh-CN">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none" spc="20" baseline="0">
                <a:solidFill>
                  <a:schemeClr val="tx1">
                    <a:lumMod val="50000"/>
                    <a:lumOff val="50000"/>
                  </a:schemeClr>
                </a:solidFill>
                <a:latin typeface="+mn-lt"/>
                <a:ea typeface="+mn-ea"/>
                <a:cs typeface="+mn-cs"/>
              </a:defRPr>
            </a:pPr>
            <a:r>
              <a:rPr b="1"/>
              <a:t>2021年本年支出决算数</a:t>
            </a:r>
            <a:endParaRPr b="1"/>
          </a:p>
        </c:rich>
      </c:tx>
      <c:layout>
        <c:manualLayout>
          <c:xMode val="edge"/>
          <c:yMode val="edge"/>
          <c:x val="0.286030061892131"/>
          <c:y val="0.00766283524904215"/>
        </c:manualLayout>
      </c:layout>
      <c:overlay val="0"/>
      <c:spPr>
        <a:noFill/>
        <a:ln>
          <a:noFill/>
        </a:ln>
        <a:effectLst/>
      </c:spPr>
    </c:title>
    <c:autoTitleDeleted val="0"/>
    <c:plotArea>
      <c:layout/>
      <c:pieChart>
        <c:varyColors val="1"/>
        <c:ser>
          <c:idx val="0"/>
          <c:order val="0"/>
          <c:tx>
            <c:strRef>
              <c:f>Sheet1!$B$1</c:f>
              <c:strCache>
                <c:ptCount val="1"/>
                <c:pt idx="0">
                  <c:v>一般公共预算财政拨款支出决算</c:v>
                </c:pt>
              </c:strCache>
            </c:strRef>
          </c:tx>
          <c:spPr/>
          <c:explosion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Sheet1!$A$2:$A$5</c:f>
              <c:strCache>
                <c:ptCount val="4"/>
                <c:pt idx="0">
                  <c:v>一般公共服务支出</c:v>
                </c:pt>
                <c:pt idx="1">
                  <c:v>社会保障和就业支出</c:v>
                </c:pt>
                <c:pt idx="2">
                  <c:v>医疗卫生与计划生育支出</c:v>
                </c:pt>
                <c:pt idx="3">
                  <c:v>住房保障支出</c:v>
                </c:pt>
              </c:strCache>
            </c:strRef>
          </c:cat>
          <c:val>
            <c:numRef>
              <c:f>Sheet1!$B$2:$B$5</c:f>
              <c:numCache>
                <c:formatCode>General</c:formatCode>
                <c:ptCount val="4"/>
                <c:pt idx="0">
                  <c:v>1561.81</c:v>
                </c:pt>
                <c:pt idx="1">
                  <c:v>85.32</c:v>
                </c:pt>
                <c:pt idx="2">
                  <c:v>39.09</c:v>
                </c:pt>
                <c:pt idx="3">
                  <c:v>52.3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zero"/>
    <c:showDLblsOverMax val="0"/>
    <c:extLst>
      <c:ext uri="{0b15fc19-7d7d-44ad-8c2d-2c3a37ce22c3}">
        <chartProps xmlns="https://web.wps.cn/et/2018/main" chartId="{1c1c9a4b-a78e-4b3c-8892-960af1f943e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99B0E-F165-4FAC-ABBF-42F3A426BA1C}">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32</Pages>
  <Words>3299</Words>
  <Characters>3423</Characters>
  <Lines>30</Lines>
  <Paragraphs>35</Paragraphs>
  <TotalTime>5</TotalTime>
  <ScaleCrop>false</ScaleCrop>
  <LinksUpToDate>false</LinksUpToDate>
  <CharactersWithSpaces>3461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2021-08-06T09:38:00Z</dcterms:created>
  <dc:creator>曹颖</dc:creator>
  <cp:lastModifiedBy>奕夕^_^</cp:lastModifiedBy>
  <cp:lastPrinted>2022-09-23T07:32:00Z</cp:lastPrinted>
  <dcterms:modified xsi:type="dcterms:W3CDTF">2025-06-20T07:32:26Z</dcterms:modified>
  <dc:title>阿坝州部门决算说明</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B23724B3A02F42E084C3B9529E2909DE</vt:lpwstr>
  </property>
  <property fmtid="{D5CDD505-2E9C-101B-9397-08002B2CF9AE}" pid="4" name="KSOTemplateDocerSaveRecord">
    <vt:lpwstr>eyJoZGlkIjoiNTU1MWNhN2ZmY2ZhZmY3ODhlYTg0MWU5OGMyY2QwZmUiLCJ1c2VySWQiOiI0MzQ2NTM0NzEifQ==</vt:lpwstr>
  </property>
</Properties>
</file>