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1322">
      <w:pPr>
        <w:spacing w:after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 w14:paraId="1677BC84">
      <w:pPr>
        <w:spacing w:after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松潘县20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年地方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政府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性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债务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情况说明</w:t>
      </w:r>
    </w:p>
    <w:p w14:paraId="68ED882B">
      <w:pPr>
        <w:spacing w:after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我县不断加强地方政府性债务管理，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规范政府债务举借、使用、偿还的行为，防范和化解政府债务风险，合理有效地利用政府性债务，在政府性债务管理工作上取得了显著成效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现将松潘县20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年初地方政府性债务基本情况说明如下：</w:t>
      </w:r>
    </w:p>
    <w:p w14:paraId="54F7029C">
      <w:pPr>
        <w:spacing w:after="0" w:line="576" w:lineRule="exact"/>
        <w:ind w:left="643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一、政府性债务基本情况</w:t>
      </w:r>
    </w:p>
    <w:p w14:paraId="43887935">
      <w:pPr>
        <w:spacing w:after="0" w:line="576" w:lineRule="exact"/>
        <w:ind w:firstLine="472" w:firstLineChars="147"/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</w:rPr>
        <w:t>（一）政府性债务余额情况</w:t>
      </w: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  <w:t>。</w:t>
      </w:r>
    </w:p>
    <w:p w14:paraId="6B713D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N/>
        <w:bidi w:val="0"/>
        <w:spacing w:line="578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目前地方政府债务余额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87920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其中一般债券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56792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万元、专项债券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31128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新增再融资一般债券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866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用以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归还当年到期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</w:rPr>
        <w:t>一般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债券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866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，统筹一般公共预算收入偿还到期一般债券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97万元。</w:t>
      </w:r>
    </w:p>
    <w:p w14:paraId="61C9B032">
      <w:pPr>
        <w:spacing w:after="0" w:line="576" w:lineRule="exact"/>
        <w:ind w:firstLine="630" w:firstLineChars="196"/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b/>
          <w:bCs/>
          <w:color w:val="auto"/>
          <w:sz w:val="32"/>
          <w:szCs w:val="32"/>
          <w:highlight w:val="none"/>
        </w:rPr>
        <w:t>（二）政府债务限额情况。</w:t>
      </w:r>
      <w:bookmarkStart w:id="0" w:name="_GoBack"/>
      <w:bookmarkEnd w:id="0"/>
    </w:p>
    <w:p w14:paraId="3F9C9484">
      <w:pPr>
        <w:spacing w:after="0" w:line="576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年末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政府债务限额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96996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万元，其中：一般债务限额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65824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万元，专项债务限额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31172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我县2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年未超出限额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举借债务，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尚未突破债务限额，债务风险可控。</w:t>
      </w:r>
    </w:p>
    <w:p w14:paraId="6BA9CC5E">
      <w:pPr>
        <w:spacing w:after="0" w:line="576" w:lineRule="exact"/>
        <w:ind w:firstLine="796" w:firstLineChars="249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二、政府性债务管理情况</w:t>
      </w:r>
    </w:p>
    <w:p w14:paraId="01A41F3E">
      <w:pPr>
        <w:spacing w:after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我县通过举借政府性债务筹集建设发展资金，有力的促进了我县经济和各项社会事业的发展。但是，举借地方政府性债务的同时，也伴随着债务风险。因此，我县积极加强管理，有效防范债务风险。</w:t>
      </w:r>
    </w:p>
    <w:p w14:paraId="5C193D50">
      <w:pPr>
        <w:spacing w:after="0" w:line="576" w:lineRule="exact"/>
        <w:ind w:firstLine="643" w:firstLineChars="200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（一）完善制度，制定债务管理办法。</w:t>
      </w:r>
    </w:p>
    <w:p w14:paraId="57C6D2DE">
      <w:pPr>
        <w:spacing w:after="0" w:line="576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我县制定了《松潘县政府性债务管理实施细则》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细则对债务的举借、使用、偿还、风险控制、监管及偿债准备金的筹集、使用和管理拟定了具体规定，促进我县政府性债务监管制度的建立，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规范了我县政府性债务管理工作，提高了各单位化解债务的主动性和积极性，防范和化解了政府债务风险。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同时，我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局拟定《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关于成立松潘县地方债务风险防范化解工作领导小组的通知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代拟稿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）》报政府。</w:t>
      </w:r>
    </w:p>
    <w:p w14:paraId="2BC0128E">
      <w:pPr>
        <w:spacing w:after="0" w:line="576" w:lineRule="exact"/>
        <w:ind w:firstLine="643" w:firstLineChars="200"/>
        <w:rPr>
          <w:rFonts w:hint="eastAsia" w:ascii="楷体_GB2312" w:hAnsi="黑体" w:eastAsia="楷体_GB2312" w:cs="仿宋_GB2312"/>
          <w:b/>
          <w:sz w:val="32"/>
          <w:szCs w:val="32"/>
        </w:rPr>
      </w:pPr>
      <w:r>
        <w:rPr>
          <w:rFonts w:hint="eastAsia" w:ascii="楷体_GB2312" w:hAnsi="黑体" w:eastAsia="楷体_GB2312" w:cs="仿宋_GB2312"/>
          <w:b/>
          <w:sz w:val="32"/>
          <w:szCs w:val="32"/>
        </w:rPr>
        <w:t>（二）明确目标，积极化解政府性债务。</w:t>
      </w:r>
    </w:p>
    <w:p w14:paraId="240C7AD6">
      <w:pPr>
        <w:spacing w:after="0"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按照“疏堵结合、分清责任、规范管理、防范风险、稳步推进”的原则，建立“借、用、还”相统一的地方政府性债务管理机制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，严格控制新增债务规模、加强债务管理，并根据财力情况制定偿还计划，逐年化解。</w:t>
      </w:r>
    </w:p>
    <w:p w14:paraId="73CD0984">
      <w:pPr>
        <w:numPr>
          <w:ilvl w:val="0"/>
          <w:numId w:val="0"/>
        </w:numPr>
        <w:spacing w:after="0" w:line="576" w:lineRule="exact"/>
        <w:ind w:firstLine="643" w:firstLineChars="200"/>
        <w:rPr>
          <w:rFonts w:hint="eastAsia" w:ascii="楷体_GB2312" w:hAnsi="黑体" w:eastAsia="楷体_GB2312" w:cs="仿宋_GB2312"/>
          <w:b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sz w:val="32"/>
          <w:szCs w:val="32"/>
        </w:rPr>
        <w:t>（</w:t>
      </w:r>
      <w:r>
        <w:rPr>
          <w:rFonts w:hint="eastAsia" w:ascii="楷体_GB2312" w:hAnsi="黑体" w:eastAsia="楷体_GB2312" w:cs="仿宋_GB2312"/>
          <w:b/>
          <w:sz w:val="32"/>
          <w:szCs w:val="32"/>
          <w:lang w:eastAsia="zh-CN"/>
        </w:rPr>
        <w:t>三</w:t>
      </w:r>
      <w:r>
        <w:rPr>
          <w:rFonts w:hint="eastAsia" w:ascii="楷体_GB2312" w:hAnsi="黑体" w:eastAsia="楷体_GB2312" w:cs="仿宋_GB2312"/>
          <w:b/>
          <w:sz w:val="32"/>
          <w:szCs w:val="32"/>
        </w:rPr>
        <w:t>）</w:t>
      </w:r>
      <w:r>
        <w:rPr>
          <w:rFonts w:hint="eastAsia" w:ascii="楷体_GB2312" w:hAnsi="黑体" w:eastAsia="楷体_GB2312" w:cs="仿宋_GB2312"/>
          <w:b/>
          <w:sz w:val="32"/>
          <w:szCs w:val="32"/>
          <w:lang w:val="en-US" w:eastAsia="zh-CN"/>
        </w:rPr>
        <w:t>储备项目，积极争取债券资金支持。</w:t>
      </w:r>
    </w:p>
    <w:p w14:paraId="36A44CBA">
      <w:pPr>
        <w:numPr>
          <w:ilvl w:val="0"/>
          <w:numId w:val="0"/>
        </w:numPr>
        <w:spacing w:after="0" w:line="57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加强各部门联系、协调，积极储备项目，加强成熟项目筛选，财政部门会同发展改革、行业主管等部门协同做好项目前期工作，加大要素保障力度。</w:t>
      </w:r>
    </w:p>
    <w:p w14:paraId="2C01B524">
      <w:pPr>
        <w:widowControl w:val="0"/>
        <w:spacing w:after="0" w:line="576" w:lineRule="exact"/>
        <w:ind w:firstLine="640" w:firstLineChars="200"/>
        <w:jc w:val="both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三、下一步工作措施</w:t>
      </w:r>
    </w:p>
    <w:p w14:paraId="54B8849A">
      <w:pPr>
        <w:widowControl w:val="0"/>
        <w:spacing w:after="0" w:line="576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今后的工作中，我们将进一步加强政府债务管理，严格控制政府性债务规模限额管理和新增债务的形成，逐步化解历史性债务。同时，努力克服收支双重压力，在财源培植上求突破，在征管方式上求创新，在监督管理上求精细，有效防范和化解政府债务风险，确保我县</w:t>
      </w:r>
      <w:r>
        <w:rPr>
          <w:rFonts w:ascii="仿宋_GB2312" w:eastAsia="仿宋_GB2312"/>
          <w:color w:val="000000"/>
          <w:sz w:val="32"/>
          <w:szCs w:val="32"/>
        </w:rPr>
        <w:t>经济社会</w:t>
      </w:r>
      <w:r>
        <w:rPr>
          <w:rFonts w:hint="eastAsia" w:ascii="仿宋_GB2312" w:eastAsia="仿宋_GB2312"/>
          <w:color w:val="000000"/>
          <w:sz w:val="32"/>
          <w:szCs w:val="32"/>
        </w:rPr>
        <w:t>健康</w:t>
      </w:r>
      <w:r>
        <w:rPr>
          <w:rFonts w:ascii="仿宋_GB2312" w:eastAsia="仿宋_GB2312"/>
          <w:color w:val="000000"/>
          <w:sz w:val="32"/>
          <w:szCs w:val="32"/>
        </w:rPr>
        <w:t>发展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363ED13A">
      <w:pPr>
        <w:widowControl w:val="0"/>
        <w:tabs>
          <w:tab w:val="left" w:pos="0"/>
          <w:tab w:val="left" w:pos="720"/>
        </w:tabs>
        <w:spacing w:after="0" w:line="576" w:lineRule="exact"/>
        <w:ind w:firstLine="643" w:firstLineChars="200"/>
        <w:jc w:val="both"/>
        <w:outlineLvl w:val="0"/>
        <w:rPr>
          <w:rFonts w:hint="eastAsia" w:ascii="楷体_GB2312" w:hAnsi="楷体" w:eastAsia="楷体_GB2312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（一）建立健全政府性债务管理机制。</w:t>
      </w:r>
    </w:p>
    <w:p w14:paraId="612E2F06">
      <w:pPr>
        <w:widowControl w:val="0"/>
        <w:tabs>
          <w:tab w:val="left" w:pos="0"/>
          <w:tab w:val="left" w:pos="720"/>
        </w:tabs>
        <w:spacing w:after="0" w:line="576" w:lineRule="exact"/>
        <w:ind w:firstLine="643" w:firstLineChars="200"/>
        <w:jc w:val="both"/>
        <w:rPr>
          <w:rFonts w:hint="eastAsia" w:ascii="仿宋_GB2312" w:hAnsi="楷体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</w:t>
      </w:r>
      <w:r>
        <w:rPr>
          <w:rFonts w:hint="eastAsia" w:ascii="仿宋_GB2312" w:eastAsia="仿宋_GB2312"/>
          <w:color w:val="000000"/>
          <w:sz w:val="32"/>
          <w:szCs w:val="32"/>
        </w:rPr>
        <w:t>将债务工作纳入常态化管理。将政府性债务管理工作纳入日常工作议程，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定期将债务规模、债务变化情况和变化原因进行分析，动态掌握债务信息。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完善管理办法。对债务的举借、使用、偿还、风险控制、监管及偿债准备金的筹集、使用和管理做出具体规定，健全政府性债务监管，强化政府债务项目绩效考评制度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，防范和化解政府债务风</w:t>
      </w:r>
      <w:r>
        <w:rPr>
          <w:rFonts w:hint="eastAsia" w:ascii="仿宋_GB2312" w:eastAsia="仿宋_GB2312"/>
          <w:color w:val="000000"/>
          <w:sz w:val="32"/>
          <w:szCs w:val="32"/>
        </w:rPr>
        <w:t>险。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三是</w:t>
      </w:r>
      <w:r>
        <w:rPr>
          <w:rFonts w:hint="eastAsia" w:ascii="仿宋_GB2312" w:eastAsia="仿宋_GB2312"/>
          <w:color w:val="000000"/>
          <w:sz w:val="32"/>
          <w:szCs w:val="32"/>
        </w:rPr>
        <w:t>建立政府债务预警机制。地方政府一般债务和专项债务规模严格纳入限额管理，建立地方政府性债务风险预警机制，通过债务率、新增债务率、偿债率、逾期债务率等指标，评估债务风险状况，对债务高风险时进行风险预警。控制好债务规模，建立债务偿还计划，逐步降低风险，制定债务风险应急处置预案，建立责任追究机制。</w:t>
      </w:r>
    </w:p>
    <w:p w14:paraId="2DD1F9E5">
      <w:pPr>
        <w:widowControl w:val="0"/>
        <w:spacing w:after="0" w:line="576" w:lineRule="exact"/>
        <w:ind w:firstLine="643" w:firstLineChars="200"/>
        <w:jc w:val="both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（二）严格控制政府性债务限额标准。</w:t>
      </w:r>
    </w:p>
    <w:p w14:paraId="6BE19D94">
      <w:pPr>
        <w:widowControl w:val="0"/>
        <w:spacing w:after="0" w:line="576" w:lineRule="exact"/>
        <w:ind w:firstLine="643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</w:t>
      </w:r>
      <w:r>
        <w:rPr>
          <w:rFonts w:hint="eastAsia" w:ascii="仿宋_GB2312" w:eastAsia="仿宋_GB2312"/>
          <w:color w:val="000000"/>
          <w:sz w:val="32"/>
          <w:szCs w:val="32"/>
        </w:rPr>
        <w:t>控制政府性债务限额。根据政府债务风险状况和政府债务规模限额管理的刚性要求，举债不得突破批准的限额，确保债务率、负债率、新增债务率、偿债率在可控范围内。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控制举借方式。除地方政府债券以外不得以任何方式举债。一般债务率超过风险预警线原则上不增加一般债务余额；专项债务率超过风险预警线，原则上不增加专项债务余额。三是制定政府性债务偿还计划。根据举借年限制定政府性债务偿还计划，并将当年偿还的政府性债务本金和利息全部纳入预算。</w:t>
      </w:r>
    </w:p>
    <w:p w14:paraId="1BEA5CBD">
      <w:pPr>
        <w:widowControl w:val="0"/>
        <w:spacing w:after="0" w:line="576" w:lineRule="exact"/>
        <w:ind w:firstLine="643" w:firstLineChars="200"/>
        <w:jc w:val="both"/>
        <w:outlineLvl w:val="0"/>
        <w:rPr>
          <w:rFonts w:hint="eastAsia" w:ascii="楷体_GB2312" w:hAnsi="楷体" w:eastAsia="楷体_GB2312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（三）积极防范政府性债务管理风险。</w:t>
      </w:r>
    </w:p>
    <w:p w14:paraId="712A8AC0">
      <w:pPr>
        <w:spacing w:after="0"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一是</w:t>
      </w:r>
      <w:r>
        <w:rPr>
          <w:rFonts w:hint="eastAsia" w:ascii="仿宋_GB2312" w:eastAsia="仿宋_GB2312"/>
          <w:color w:val="000000"/>
          <w:sz w:val="32"/>
          <w:szCs w:val="32"/>
        </w:rPr>
        <w:t>建立偿债基金。在编制年初预算时设立偿债准备金、在新增财力中安排偿债准备金逐步化解债务。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二是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清收债权偿债。采取强有力的措施，综合运用行政、经济和法律手段，依法追收政府债权，切实加强对单位、个人的欠款清收工作，将清收的债权用于偿还债务。在清理政府性债务的同时，进一步加强债权清理，理顺和规范“三角债”的债权债务关系，将相关债权债务相互划转、相互抵减，化解债务。</w:t>
      </w:r>
      <w:r>
        <w:rPr>
          <w:rFonts w:hint="eastAsia" w:ascii="仿宋_GB2312" w:hAnsi="宋体" w:eastAsia="仿宋_GB2312" w:cs="Arial"/>
          <w:b/>
          <w:color w:val="000000"/>
          <w:sz w:val="32"/>
          <w:szCs w:val="32"/>
        </w:rPr>
        <w:t>三是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控制新债举借。政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府债务举借实行“用途明确、责任落实、量力而行、防范风险”的管理原则。目前，虽然我县的债务在风险可控范围之内，但由于偿债能力低，建议市政建设等基础设施项目</w:t>
      </w:r>
      <w:r>
        <w:rPr>
          <w:rFonts w:hint="eastAsia" w:ascii="仿宋_GB2312" w:hAnsi="黑体" w:eastAsia="仿宋_GB2312"/>
          <w:sz w:val="32"/>
          <w:szCs w:val="32"/>
        </w:rPr>
        <w:t>不再采取政府大包大揽的投入方式，切实转观念、转方式，充分发挥财政资金引导吸附作用，积极稳妥推行PPP等模式，</w:t>
      </w:r>
      <w:r>
        <w:rPr>
          <w:rFonts w:hint="eastAsia" w:ascii="仿宋_GB2312" w:eastAsia="仿宋_GB2312"/>
          <w:sz w:val="32"/>
          <w:szCs w:val="32"/>
        </w:rPr>
        <w:t>努力形成以政府投资为引导、多方社会资金共同投入的筹资体系，有效释放社会投资潜力，发挥撬动社会资本的杠杆作用，降低政府债务风险。</w:t>
      </w:r>
    </w:p>
    <w:p w14:paraId="64172A8D">
      <w:pPr>
        <w:spacing w:after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1A4EAD">
      <w:pPr>
        <w:wordWrap w:val="0"/>
        <w:spacing w:after="0" w:line="576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松潘县财政局  </w:t>
      </w:r>
    </w:p>
    <w:p w14:paraId="030ABCA6">
      <w:pPr>
        <w:spacing w:after="0" w:line="576" w:lineRule="exact"/>
        <w:ind w:right="16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B25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1DD709A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jUwNDMyNzM5ZTdlZmY4MDAyYTBmZGVlNGYwOGEifQ=="/>
  </w:docVars>
  <w:rsids>
    <w:rsidRoot w:val="00172A27"/>
    <w:rsid w:val="00004099"/>
    <w:rsid w:val="000042B8"/>
    <w:rsid w:val="0001513C"/>
    <w:rsid w:val="000463E2"/>
    <w:rsid w:val="000B18DB"/>
    <w:rsid w:val="000B6EF9"/>
    <w:rsid w:val="000D6293"/>
    <w:rsid w:val="000F1615"/>
    <w:rsid w:val="00177F88"/>
    <w:rsid w:val="00194C76"/>
    <w:rsid w:val="001C63D8"/>
    <w:rsid w:val="001E7F64"/>
    <w:rsid w:val="001F169F"/>
    <w:rsid w:val="002064D8"/>
    <w:rsid w:val="00315936"/>
    <w:rsid w:val="00315F97"/>
    <w:rsid w:val="00344AE4"/>
    <w:rsid w:val="00353935"/>
    <w:rsid w:val="00353FF5"/>
    <w:rsid w:val="003D5592"/>
    <w:rsid w:val="004A18D6"/>
    <w:rsid w:val="004B4BE7"/>
    <w:rsid w:val="004E5093"/>
    <w:rsid w:val="0057147B"/>
    <w:rsid w:val="005762C4"/>
    <w:rsid w:val="00623700"/>
    <w:rsid w:val="006535A4"/>
    <w:rsid w:val="0068574C"/>
    <w:rsid w:val="006A3A4B"/>
    <w:rsid w:val="007044A1"/>
    <w:rsid w:val="00704A5F"/>
    <w:rsid w:val="00753DEB"/>
    <w:rsid w:val="007B3E18"/>
    <w:rsid w:val="007F6524"/>
    <w:rsid w:val="00811CA6"/>
    <w:rsid w:val="00812166"/>
    <w:rsid w:val="00845913"/>
    <w:rsid w:val="008946A4"/>
    <w:rsid w:val="0094317E"/>
    <w:rsid w:val="00973249"/>
    <w:rsid w:val="00992966"/>
    <w:rsid w:val="00B911FA"/>
    <w:rsid w:val="00BB13FC"/>
    <w:rsid w:val="00BE67C5"/>
    <w:rsid w:val="00BF23A9"/>
    <w:rsid w:val="00C2498C"/>
    <w:rsid w:val="00C276DA"/>
    <w:rsid w:val="00C4620D"/>
    <w:rsid w:val="00C6114F"/>
    <w:rsid w:val="00CC3809"/>
    <w:rsid w:val="00D278EE"/>
    <w:rsid w:val="00D27A42"/>
    <w:rsid w:val="00E01B9B"/>
    <w:rsid w:val="00E2647D"/>
    <w:rsid w:val="00E34A4A"/>
    <w:rsid w:val="00E8263A"/>
    <w:rsid w:val="00F44DFF"/>
    <w:rsid w:val="00F751D6"/>
    <w:rsid w:val="00F8592E"/>
    <w:rsid w:val="00F90DB8"/>
    <w:rsid w:val="00FA53D6"/>
    <w:rsid w:val="00FC53ED"/>
    <w:rsid w:val="03947F4E"/>
    <w:rsid w:val="04AF27AA"/>
    <w:rsid w:val="07630EF0"/>
    <w:rsid w:val="0A750833"/>
    <w:rsid w:val="0CB92DA6"/>
    <w:rsid w:val="0DA67C11"/>
    <w:rsid w:val="127B05F7"/>
    <w:rsid w:val="13956EF0"/>
    <w:rsid w:val="14897549"/>
    <w:rsid w:val="16FC6657"/>
    <w:rsid w:val="1795233F"/>
    <w:rsid w:val="19546941"/>
    <w:rsid w:val="1E1D4578"/>
    <w:rsid w:val="1E7A4D50"/>
    <w:rsid w:val="20194707"/>
    <w:rsid w:val="22717E04"/>
    <w:rsid w:val="232929C4"/>
    <w:rsid w:val="23540970"/>
    <w:rsid w:val="24025F95"/>
    <w:rsid w:val="2CB779AD"/>
    <w:rsid w:val="2EA42114"/>
    <w:rsid w:val="32772F45"/>
    <w:rsid w:val="328A5CFA"/>
    <w:rsid w:val="368A15E7"/>
    <w:rsid w:val="368D1ED7"/>
    <w:rsid w:val="3C2313F9"/>
    <w:rsid w:val="42A9571F"/>
    <w:rsid w:val="48177498"/>
    <w:rsid w:val="487C27B1"/>
    <w:rsid w:val="4C784A81"/>
    <w:rsid w:val="52842AD9"/>
    <w:rsid w:val="533A0392"/>
    <w:rsid w:val="58935604"/>
    <w:rsid w:val="59335D8B"/>
    <w:rsid w:val="5AF80E53"/>
    <w:rsid w:val="5D4D51CE"/>
    <w:rsid w:val="5E03380C"/>
    <w:rsid w:val="618665B3"/>
    <w:rsid w:val="64B7355A"/>
    <w:rsid w:val="6C2B5812"/>
    <w:rsid w:val="70445D1A"/>
    <w:rsid w:val="73E11C41"/>
    <w:rsid w:val="7BC6065A"/>
    <w:rsid w:val="7D052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link w:val="5"/>
    <w:qFormat/>
    <w:uiPriority w:val="99"/>
    <w:rPr>
      <w:rFonts w:ascii="Tahoma" w:hAnsi="Tahoma"/>
      <w:sz w:val="18"/>
      <w:szCs w:val="18"/>
    </w:rPr>
  </w:style>
  <w:style w:type="paragraph" w:customStyle="1" w:styleId="10">
    <w:name w:val="Char Char Char Char Char Char Char"/>
    <w:basedOn w:val="1"/>
    <w:qFormat/>
    <w:uiPriority w:val="0"/>
    <w:pPr>
      <w:widowControl w:val="0"/>
      <w:adjustRightInd/>
      <w:snapToGrid/>
      <w:spacing w:before="300" w:beforeLines="0" w:after="300" w:afterLines="0" w:line="560" w:lineRule="exact"/>
      <w:jc w:val="both"/>
    </w:pPr>
    <w:rPr>
      <w:rFonts w:ascii="Times New Roman" w:hAnsi="Times New Roman" w:eastAsia="黑体"/>
      <w:kern w:val="2"/>
      <w:sz w:val="36"/>
      <w:szCs w:val="36"/>
    </w:rPr>
  </w:style>
  <w:style w:type="paragraph" w:customStyle="1" w:styleId="11">
    <w:name w:val=" Char Char Char Char Char Char Char"/>
    <w:basedOn w:val="1"/>
    <w:qFormat/>
    <w:uiPriority w:val="0"/>
    <w:pPr>
      <w:adjustRightInd/>
      <w:snapToGrid/>
      <w:spacing w:after="160" w:afterLines="0" w:line="240" w:lineRule="exact"/>
    </w:pPr>
    <w:rPr>
      <w:rFonts w:ascii="Verdana" w:hAnsi="Verdana" w:eastAsia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MS</Company>
  <Pages>4</Pages>
  <Words>302</Words>
  <Characters>1722</Characters>
  <Lines>14</Lines>
  <Paragraphs>4</Paragraphs>
  <TotalTime>23</TotalTime>
  <ScaleCrop>false</ScaleCrop>
  <LinksUpToDate>false</LinksUpToDate>
  <CharactersWithSpaces>2020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2014-03-11T02:08:00Z</dcterms:created>
  <dc:creator>Administrator</dc:creator>
  <cp:lastModifiedBy>hp</cp:lastModifiedBy>
  <cp:lastPrinted>2014-01-24T05:55:00Z</cp:lastPrinted>
  <dcterms:modified xsi:type="dcterms:W3CDTF">2026-03-24T07:49:15Z</dcterms:modified>
  <dc:title>松潘县关于四川省审计厅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DB75006B15154C219EE313AAEA0AF36B_13</vt:lpwstr>
  </property>
  <property fmtid="{D5CDD505-2E9C-101B-9397-08002B2CF9AE}" pid="4" name="KSOTemplateDocerSaveRecord">
    <vt:lpwstr>eyJoZGlkIjoiZTYxYjg2MDQ1Y2IzNTZhYjMzMTBkNDIwNzY3ODkwYTIifQ==</vt:lpwstr>
  </property>
</Properties>
</file>