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widowControl w:val="0"/>
        <w:adjustRightInd w:val="0"/>
        <w:snapToGrid w:val="0"/>
        <w:spacing w:line="576" w:lineRule="exact"/>
        <w:ind w:left="0"/>
        <w:jc w:val="center"/>
        <w:textAlignment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松潘县202</w:t>
      </w:r>
      <w:r>
        <w:rPr>
          <w:rFonts w:hint="eastAsia" w:ascii="Times New Roman" w:hAnsi="Times New Roman" w:eastAsia="方正小标宋简体" w:cs="Times New Roman"/>
          <w:color w:val="000000"/>
          <w:sz w:val="44"/>
          <w:szCs w:val="44"/>
          <w:lang w:val="en-US" w:eastAsia="zh-CN"/>
        </w:rPr>
        <w:t>3</w:t>
      </w:r>
      <w:r>
        <w:rPr>
          <w:rFonts w:ascii="Times New Roman" w:hAnsi="Times New Roman" w:eastAsia="方正小标宋简体" w:cs="Times New Roman"/>
          <w:color w:val="000000"/>
          <w:sz w:val="44"/>
          <w:szCs w:val="44"/>
        </w:rPr>
        <w:t>年财政预算执行情况和202</w:t>
      </w:r>
      <w:r>
        <w:rPr>
          <w:rFonts w:hint="eastAsia" w:ascii="Times New Roman" w:hAnsi="Times New Roman" w:eastAsia="方正小标宋简体" w:cs="Times New Roman"/>
          <w:color w:val="000000"/>
          <w:sz w:val="44"/>
          <w:szCs w:val="44"/>
          <w:lang w:val="en-US" w:eastAsia="zh-CN"/>
        </w:rPr>
        <w:t>4</w:t>
      </w:r>
      <w:r>
        <w:rPr>
          <w:rFonts w:ascii="Times New Roman" w:hAnsi="Times New Roman" w:eastAsia="方正小标宋简体" w:cs="Times New Roman"/>
          <w:color w:val="000000"/>
          <w:sz w:val="44"/>
          <w:szCs w:val="44"/>
        </w:rPr>
        <w:t>年</w:t>
      </w:r>
    </w:p>
    <w:p>
      <w:pPr>
        <w:widowControl w:val="0"/>
        <w:adjustRightInd w:val="0"/>
        <w:snapToGrid w:val="0"/>
        <w:spacing w:line="576" w:lineRule="exact"/>
        <w:ind w:left="0"/>
        <w:jc w:val="center"/>
        <w:textAlignment w:val="center"/>
        <w:rPr>
          <w:rFonts w:hint="default" w:ascii="Times New Roman" w:hAnsi="Times New Roman" w:eastAsia="楷体_GB2312" w:cs="Times New Roman"/>
          <w:b/>
          <w:bCs/>
          <w:color w:val="000000"/>
          <w:sz w:val="32"/>
          <w:szCs w:val="32"/>
        </w:rPr>
      </w:pPr>
      <w:r>
        <w:rPr>
          <w:rFonts w:ascii="Times New Roman" w:hAnsi="Times New Roman" w:eastAsia="方正小标宋简体" w:cs="Times New Roman"/>
          <w:color w:val="000000"/>
          <w:sz w:val="44"/>
          <w:szCs w:val="44"/>
        </w:rPr>
        <w:t>财政预算草案的报告</w:t>
      </w:r>
      <w:bookmarkStart w:id="0" w:name="_GoBack"/>
      <w:bookmarkEnd w:id="0"/>
    </w:p>
    <w:p>
      <w:pPr>
        <w:keepNext w:val="0"/>
        <w:keepLines w:val="0"/>
        <w:pageBreakBefore w:val="0"/>
        <w:widowControl w:val="0"/>
        <w:kinsoku/>
        <w:wordWrap/>
        <w:topLinePunct w:val="0"/>
        <w:autoSpaceDE/>
        <w:autoSpaceDN/>
        <w:bidi w:val="0"/>
        <w:spacing w:line="578" w:lineRule="exact"/>
        <w:ind w:left="0"/>
        <w:jc w:val="center"/>
        <w:textAlignment w:val="center"/>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在松潘县第十五届人民代表大会第</w:t>
      </w:r>
      <w:r>
        <w:rPr>
          <w:rFonts w:hint="eastAsia" w:ascii="Times New Roman" w:hAnsi="Times New Roman" w:eastAsia="楷体_GB2312" w:cs="Times New Roman"/>
          <w:b/>
          <w:bCs/>
          <w:color w:val="000000"/>
          <w:sz w:val="32"/>
          <w:szCs w:val="32"/>
          <w:lang w:val="en-US" w:eastAsia="zh-CN"/>
        </w:rPr>
        <w:t>三</w:t>
      </w:r>
      <w:r>
        <w:rPr>
          <w:rFonts w:hint="default" w:ascii="Times New Roman" w:hAnsi="Times New Roman" w:eastAsia="楷体_GB2312" w:cs="Times New Roman"/>
          <w:b/>
          <w:bCs/>
          <w:color w:val="000000"/>
          <w:sz w:val="32"/>
          <w:szCs w:val="32"/>
        </w:rPr>
        <w:t>次会议上</w:t>
      </w:r>
    </w:p>
    <w:p>
      <w:pPr>
        <w:keepNext w:val="0"/>
        <w:keepLines w:val="0"/>
        <w:pageBreakBefore w:val="0"/>
        <w:widowControl w:val="0"/>
        <w:kinsoku/>
        <w:wordWrap/>
        <w:topLinePunct w:val="0"/>
        <w:autoSpaceDE/>
        <w:autoSpaceDN/>
        <w:bidi w:val="0"/>
        <w:spacing w:line="578" w:lineRule="exact"/>
        <w:jc w:val="center"/>
        <w:textAlignment w:val="center"/>
        <w:rPr>
          <w:rFonts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松潘县财政局局长    刘  宇</w:t>
      </w:r>
    </w:p>
    <w:p>
      <w:pPr>
        <w:widowControl w:val="0"/>
        <w:adjustRightInd w:val="0"/>
        <w:snapToGrid w:val="0"/>
        <w:spacing w:line="576" w:lineRule="exact"/>
        <w:ind w:left="0"/>
        <w:textAlignment w:val="center"/>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各位代表</w:t>
      </w:r>
      <w:r>
        <w:rPr>
          <w:rFonts w:ascii="Times New Roman" w:hAnsi="Times New Roman" w:eastAsia="仿宋_GB2312" w:cs="Times New Roman"/>
          <w:color w:val="000000"/>
          <w:sz w:val="32"/>
          <w:szCs w:val="32"/>
          <w:highlight w:val="none"/>
        </w:rPr>
        <w:t>：</w:t>
      </w:r>
    </w:p>
    <w:p>
      <w:pPr>
        <w:keepNext w:val="0"/>
        <w:keepLines w:val="0"/>
        <w:pageBreakBefore w:val="0"/>
        <w:widowControl w:val="0"/>
        <w:kinsoku/>
        <w:wordWrap/>
        <w:topLinePunct w:val="0"/>
        <w:autoSpaceDE/>
        <w:autoSpaceDN/>
        <w:bidi w:val="0"/>
        <w:spacing w:line="578" w:lineRule="exact"/>
        <w:ind w:left="0" w:firstLine="640" w:firstLineChars="200"/>
        <w:textAlignment w:val="cente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我受县人民政府委托，向大会报告松潘县202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年财政预算执行情况和202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年财政预算草案，请予审议，并请县政协委员和列席会议的同志提出意见和建议。</w:t>
      </w:r>
    </w:p>
    <w:p>
      <w:pPr>
        <w:widowControl w:val="0"/>
        <w:adjustRightInd w:val="0"/>
        <w:snapToGrid w:val="0"/>
        <w:spacing w:line="576" w:lineRule="exact"/>
        <w:ind w:left="0" w:firstLine="640" w:firstLineChars="200"/>
        <w:textAlignment w:val="center"/>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一、202</w:t>
      </w:r>
      <w:r>
        <w:rPr>
          <w:rFonts w:hint="eastAsia" w:ascii="Times New Roman" w:hAnsi="Times New Roman" w:eastAsia="黑体" w:cs="Times New Roman"/>
          <w:color w:val="000000"/>
          <w:sz w:val="32"/>
          <w:szCs w:val="32"/>
          <w:highlight w:val="none"/>
          <w:lang w:val="en-US" w:eastAsia="zh-CN"/>
        </w:rPr>
        <w:t>3</w:t>
      </w:r>
      <w:r>
        <w:rPr>
          <w:rFonts w:ascii="Times New Roman" w:hAnsi="Times New Roman" w:eastAsia="黑体" w:cs="Times New Roman"/>
          <w:color w:val="000000"/>
          <w:sz w:val="32"/>
          <w:szCs w:val="32"/>
          <w:highlight w:val="none"/>
        </w:rPr>
        <w:t>年财政预算执行情况</w:t>
      </w:r>
    </w:p>
    <w:p>
      <w:pPr>
        <w:widowControl w:val="0"/>
        <w:adjustRightInd w:val="0"/>
        <w:snapToGrid w:val="0"/>
        <w:spacing w:line="576" w:lineRule="exact"/>
        <w:ind w:left="0" w:firstLine="640" w:firstLineChars="200"/>
        <w:textAlignment w:val="center"/>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ascii="Times New Roman" w:hAnsi="Times New Roman" w:eastAsia="仿宋_GB2312" w:cs="Times New Roman"/>
          <w:color w:val="000000"/>
          <w:sz w:val="32"/>
          <w:szCs w:val="32"/>
          <w:highlight w:val="none"/>
        </w:rPr>
        <w:t>年，在县委的坚强领导下，在县人大、县政协的监督支持下，财政工作</w:t>
      </w:r>
      <w:r>
        <w:rPr>
          <w:rFonts w:hint="eastAsia" w:ascii="Times New Roman" w:hAnsi="Times New Roman" w:eastAsia="仿宋_GB2312" w:cs="Times New Roman"/>
          <w:color w:val="000000"/>
          <w:sz w:val="32"/>
          <w:szCs w:val="32"/>
          <w:highlight w:val="none"/>
          <w:lang w:val="en-US" w:eastAsia="zh-CN"/>
        </w:rPr>
        <w:t>坚持以习近平新时代中国特色社会主义思想为指导，全面贯彻落实党的二十大精神，</w:t>
      </w:r>
      <w:r>
        <w:rPr>
          <w:rFonts w:hint="default" w:ascii="Times New Roman" w:hAnsi="Times New Roman" w:eastAsia="仿宋_GB2312" w:cs="Times New Roman"/>
          <w:sz w:val="32"/>
          <w:szCs w:val="32"/>
          <w:highlight w:val="none"/>
        </w:rPr>
        <w:t>紧紧围绕深化拓展“一城两心三地”战略新目标和“五个松潘”战略新部署，着力提高财政资金配置效率和使用效益，</w:t>
      </w:r>
      <w:r>
        <w:rPr>
          <w:rFonts w:hint="eastAsia" w:ascii="Times New Roman" w:hAnsi="Times New Roman" w:eastAsia="仿宋_GB2312" w:cs="Times New Roman"/>
          <w:sz w:val="32"/>
          <w:szCs w:val="32"/>
          <w:highlight w:val="none"/>
          <w:lang w:val="en-US" w:eastAsia="zh-CN"/>
        </w:rPr>
        <w:t>全力以赴拼经济搞建设抓发展，有力推动经济承压并行、稳步回升，</w:t>
      </w:r>
      <w:r>
        <w:rPr>
          <w:rFonts w:hint="default" w:ascii="Times New Roman" w:hAnsi="Times New Roman" w:eastAsia="仿宋_GB2312" w:cs="Times New Roman"/>
          <w:sz w:val="32"/>
          <w:szCs w:val="32"/>
          <w:highlight w:val="none"/>
        </w:rPr>
        <w:t>全县</w:t>
      </w:r>
      <w:r>
        <w:rPr>
          <w:rFonts w:hint="eastAsia" w:ascii="Times New Roman" w:hAnsi="Times New Roman" w:eastAsia="仿宋_GB2312" w:cs="Times New Roman"/>
          <w:sz w:val="32"/>
          <w:szCs w:val="32"/>
          <w:highlight w:val="none"/>
          <w:lang w:val="en-US" w:eastAsia="zh-CN"/>
        </w:rPr>
        <w:t>预算执行情况良好。</w:t>
      </w:r>
    </w:p>
    <w:p>
      <w:pPr>
        <w:widowControl w:val="0"/>
        <w:overflowPunct w:val="0"/>
        <w:adjustRightInd w:val="0"/>
        <w:snapToGrid w:val="0"/>
        <w:spacing w:line="576" w:lineRule="exact"/>
        <w:ind w:firstLine="643" w:firstLineChars="200"/>
        <w:jc w:val="both"/>
        <w:textAlignment w:val="baseline"/>
        <w:rPr>
          <w:rFonts w:ascii="Times New Roman" w:hAnsi="Times New Roman" w:eastAsia="楷体_GB2312" w:cs="Times New Roman"/>
          <w:b/>
          <w:bCs/>
          <w:snapToGrid w:val="0"/>
          <w:color w:val="auto"/>
          <w:sz w:val="32"/>
          <w:szCs w:val="32"/>
          <w:highlight w:val="none"/>
          <w:lang w:val="en-US" w:eastAsia="zh-CN" w:bidi="ar-SA"/>
        </w:rPr>
      </w:pPr>
      <w:r>
        <w:rPr>
          <w:rFonts w:ascii="Times New Roman" w:hAnsi="Times New Roman" w:eastAsia="楷体_GB2312" w:cs="Times New Roman"/>
          <w:b/>
          <w:bCs/>
          <w:snapToGrid w:val="0"/>
          <w:color w:val="auto"/>
          <w:sz w:val="32"/>
          <w:szCs w:val="32"/>
          <w:highlight w:val="none"/>
          <w:lang w:val="en-US" w:eastAsia="zh-CN" w:bidi="ar-SA"/>
        </w:rPr>
        <w:t>（一）一般公共预算执行情况。</w:t>
      </w:r>
    </w:p>
    <w:p>
      <w:pPr>
        <w:widowControl w:val="0"/>
        <w:adjustRightInd w:val="0"/>
        <w:snapToGrid w:val="0"/>
        <w:spacing w:line="576" w:lineRule="exact"/>
        <w:ind w:left="0" w:firstLine="643" w:firstLineChars="200"/>
        <w:textAlignment w:val="center"/>
        <w:rPr>
          <w:rFonts w:ascii="Times New Roman" w:hAnsi="Times New Roman" w:eastAsia="仿宋_GB2312" w:cs="Times New Roman"/>
          <w:snapToGrid w:val="0"/>
          <w:sz w:val="32"/>
          <w:szCs w:val="32"/>
          <w:highlight w:val="none"/>
        </w:rPr>
      </w:pPr>
      <w:r>
        <w:rPr>
          <w:rFonts w:ascii="Times New Roman" w:hAnsi="Times New Roman" w:eastAsia="仿宋_GB2312" w:cs="Times New Roman"/>
          <w:b/>
          <w:bCs/>
          <w:snapToGrid w:val="0"/>
          <w:sz w:val="32"/>
          <w:szCs w:val="32"/>
          <w:highlight w:val="none"/>
        </w:rPr>
        <w:t>——地方</w:t>
      </w:r>
      <w:r>
        <w:rPr>
          <w:rFonts w:hint="eastAsia" w:ascii="Times New Roman" w:hAnsi="Times New Roman" w:eastAsia="仿宋_GB2312" w:cs="Times New Roman"/>
          <w:b/>
          <w:bCs/>
          <w:snapToGrid w:val="0"/>
          <w:sz w:val="32"/>
          <w:szCs w:val="32"/>
          <w:highlight w:val="none"/>
          <w:lang w:val="en-US" w:eastAsia="zh-CN"/>
        </w:rPr>
        <w:t>一般公共预算收入</w:t>
      </w:r>
      <w:r>
        <w:rPr>
          <w:rFonts w:hint="default" w:ascii="Times New Roman" w:hAnsi="Times New Roman" w:eastAsia="仿宋_GB2312" w:cs="Times New Roman"/>
          <w:b/>
          <w:bCs/>
          <w:snapToGrid w:val="0"/>
          <w:sz w:val="32"/>
          <w:szCs w:val="32"/>
          <w:highlight w:val="none"/>
          <w:lang w:val="en-US" w:eastAsia="zh-CN"/>
        </w:rPr>
        <w:t>企稳</w:t>
      </w:r>
      <w:r>
        <w:rPr>
          <w:rFonts w:hint="eastAsia" w:ascii="Times New Roman" w:hAnsi="Times New Roman" w:eastAsia="仿宋_GB2312" w:cs="Times New Roman"/>
          <w:b/>
          <w:bCs/>
          <w:snapToGrid w:val="0"/>
          <w:sz w:val="32"/>
          <w:szCs w:val="32"/>
          <w:highlight w:val="none"/>
          <w:lang w:val="en-US" w:eastAsia="zh-CN"/>
        </w:rPr>
        <w:t>回升。</w:t>
      </w:r>
      <w:r>
        <w:rPr>
          <w:rFonts w:hint="eastAsia" w:ascii="Times New Roman" w:hAnsi="Times New Roman" w:eastAsia="仿宋_GB2312" w:cs="Times New Roman"/>
          <w:snapToGrid w:val="0"/>
          <w:sz w:val="32"/>
          <w:szCs w:val="32"/>
          <w:highlight w:val="none"/>
          <w:lang w:val="en-US" w:eastAsia="zh-CN"/>
        </w:rPr>
        <w:t>聚焦组织财政收入攻坚突破，在激活税源、加强征收等方面持续发力、攻坚突破、做到应收尽收。2023年地方一般公共预算收入完成12244</w:t>
      </w:r>
      <w:r>
        <w:rPr>
          <w:rFonts w:ascii="Times New Roman" w:hAnsi="Times New Roman" w:eastAsia="仿宋_GB2312" w:cs="Times New Roman"/>
          <w:snapToGrid w:val="0"/>
          <w:sz w:val="32"/>
          <w:szCs w:val="32"/>
          <w:highlight w:val="none"/>
        </w:rPr>
        <w:t>万元，执行预算的100</w:t>
      </w:r>
      <w:r>
        <w:rPr>
          <w:rFonts w:hint="eastAsia" w:ascii="Times New Roman" w:hAnsi="Times New Roman" w:eastAsia="仿宋_GB2312" w:cs="Times New Roman"/>
          <w:snapToGrid w:val="0"/>
          <w:sz w:val="32"/>
          <w:szCs w:val="32"/>
          <w:highlight w:val="none"/>
          <w:lang w:val="en-US" w:eastAsia="zh-CN"/>
        </w:rPr>
        <w:t>.09</w:t>
      </w:r>
      <w:r>
        <w:rPr>
          <w:rFonts w:ascii="Times New Roman" w:hAnsi="Times New Roman" w:eastAsia="仿宋_GB2312" w:cs="Times New Roman"/>
          <w:snapToGrid w:val="0"/>
          <w:sz w:val="32"/>
          <w:szCs w:val="32"/>
          <w:highlight w:val="none"/>
        </w:rPr>
        <w:t>%，</w:t>
      </w:r>
      <w:r>
        <w:rPr>
          <w:rFonts w:hint="eastAsia" w:ascii="Times New Roman" w:hAnsi="Times New Roman" w:eastAsia="仿宋_GB2312" w:cs="Times New Roman"/>
          <w:snapToGrid w:val="0"/>
          <w:sz w:val="32"/>
          <w:szCs w:val="32"/>
          <w:highlight w:val="none"/>
          <w:lang w:val="en-US" w:eastAsia="zh-CN"/>
        </w:rPr>
        <w:t>增长8.09%，</w:t>
      </w:r>
      <w:r>
        <w:rPr>
          <w:rFonts w:ascii="Times New Roman" w:hAnsi="Times New Roman" w:eastAsia="仿宋_GB2312" w:cs="Times New Roman"/>
          <w:snapToGrid w:val="0"/>
          <w:sz w:val="32"/>
          <w:szCs w:val="32"/>
          <w:highlight w:val="none"/>
        </w:rPr>
        <w:t>其中：税收收入</w:t>
      </w:r>
      <w:r>
        <w:rPr>
          <w:rFonts w:hint="eastAsia" w:ascii="Times New Roman" w:hAnsi="Times New Roman" w:eastAsia="仿宋_GB2312" w:cs="Times New Roman"/>
          <w:snapToGrid w:val="0"/>
          <w:sz w:val="32"/>
          <w:szCs w:val="32"/>
          <w:highlight w:val="none"/>
          <w:lang w:val="en-US" w:eastAsia="zh-CN"/>
        </w:rPr>
        <w:t>6487</w:t>
      </w:r>
      <w:r>
        <w:rPr>
          <w:rFonts w:ascii="Times New Roman" w:hAnsi="Times New Roman" w:eastAsia="仿宋_GB2312" w:cs="Times New Roman"/>
          <w:snapToGrid w:val="0"/>
          <w:sz w:val="32"/>
          <w:szCs w:val="32"/>
          <w:highlight w:val="none"/>
        </w:rPr>
        <w:t>万元</w:t>
      </w:r>
      <w:r>
        <w:rPr>
          <w:rFonts w:hint="eastAsia" w:ascii="Times New Roman" w:hAnsi="Times New Roman" w:eastAsia="仿宋_GB2312" w:cs="Times New Roman"/>
          <w:snapToGrid w:val="0"/>
          <w:sz w:val="32"/>
          <w:szCs w:val="32"/>
          <w:highlight w:val="none"/>
        </w:rPr>
        <w:t>、占比</w:t>
      </w:r>
      <w:r>
        <w:rPr>
          <w:rFonts w:hint="eastAsia" w:ascii="Times New Roman" w:hAnsi="Times New Roman" w:eastAsia="仿宋_GB2312" w:cs="Times New Roman"/>
          <w:snapToGrid w:val="0"/>
          <w:sz w:val="32"/>
          <w:szCs w:val="32"/>
          <w:highlight w:val="none"/>
          <w:lang w:val="en-US" w:eastAsia="zh-CN"/>
        </w:rPr>
        <w:t>52.98</w:t>
      </w:r>
      <w:r>
        <w:rPr>
          <w:rFonts w:hint="eastAsia" w:ascii="Times New Roman" w:hAnsi="Times New Roman" w:eastAsia="仿宋_GB2312" w:cs="Times New Roman"/>
          <w:snapToGrid w:val="0"/>
          <w:sz w:val="32"/>
          <w:szCs w:val="32"/>
          <w:highlight w:val="none"/>
        </w:rPr>
        <w:t>%，</w:t>
      </w:r>
      <w:r>
        <w:rPr>
          <w:rFonts w:ascii="Times New Roman" w:hAnsi="Times New Roman" w:eastAsia="仿宋_GB2312" w:cs="Times New Roman"/>
          <w:snapToGrid w:val="0"/>
          <w:sz w:val="32"/>
          <w:szCs w:val="32"/>
          <w:highlight w:val="none"/>
        </w:rPr>
        <w:t>非税收入</w:t>
      </w:r>
      <w:r>
        <w:rPr>
          <w:rFonts w:hint="eastAsia" w:ascii="Times New Roman" w:hAnsi="Times New Roman" w:eastAsia="仿宋_GB2312" w:cs="Times New Roman"/>
          <w:snapToGrid w:val="0"/>
          <w:sz w:val="32"/>
          <w:szCs w:val="32"/>
          <w:highlight w:val="none"/>
          <w:lang w:val="en-US" w:eastAsia="zh-CN"/>
        </w:rPr>
        <w:t>5757</w:t>
      </w:r>
      <w:r>
        <w:rPr>
          <w:rFonts w:ascii="Times New Roman" w:hAnsi="Times New Roman" w:eastAsia="仿宋_GB2312" w:cs="Times New Roman"/>
          <w:snapToGrid w:val="0"/>
          <w:sz w:val="32"/>
          <w:szCs w:val="32"/>
          <w:highlight w:val="none"/>
        </w:rPr>
        <w:t>万元</w:t>
      </w:r>
      <w:r>
        <w:rPr>
          <w:rFonts w:hint="eastAsia" w:ascii="Times New Roman" w:hAnsi="Times New Roman" w:eastAsia="仿宋_GB2312" w:cs="Times New Roman"/>
          <w:snapToGrid w:val="0"/>
          <w:sz w:val="32"/>
          <w:szCs w:val="32"/>
          <w:highlight w:val="none"/>
        </w:rPr>
        <w:t>、占比</w:t>
      </w:r>
      <w:r>
        <w:rPr>
          <w:rFonts w:hint="eastAsia" w:ascii="Times New Roman" w:hAnsi="Times New Roman" w:eastAsia="仿宋_GB2312" w:cs="Times New Roman"/>
          <w:snapToGrid w:val="0"/>
          <w:sz w:val="32"/>
          <w:szCs w:val="32"/>
          <w:highlight w:val="none"/>
          <w:lang w:val="en-US" w:eastAsia="zh-CN"/>
        </w:rPr>
        <w:t>47.02</w:t>
      </w:r>
      <w:r>
        <w:rPr>
          <w:rFonts w:hint="eastAsia" w:ascii="Times New Roman" w:hAnsi="Times New Roman" w:eastAsia="仿宋_GB2312" w:cs="Times New Roman"/>
          <w:snapToGrid w:val="0"/>
          <w:sz w:val="32"/>
          <w:szCs w:val="32"/>
          <w:highlight w:val="none"/>
        </w:rPr>
        <w:t>%</w:t>
      </w:r>
      <w:r>
        <w:rPr>
          <w:rFonts w:ascii="Times New Roman" w:hAnsi="Times New Roman" w:eastAsia="仿宋_GB2312" w:cs="Times New Roman"/>
          <w:snapToGrid w:val="0"/>
          <w:sz w:val="32"/>
          <w:szCs w:val="32"/>
          <w:highlight w:val="none"/>
        </w:rPr>
        <w:t>。</w:t>
      </w:r>
    </w:p>
    <w:p>
      <w:pPr>
        <w:widowControl w:val="0"/>
        <w:adjustRightInd w:val="0"/>
        <w:snapToGrid w:val="0"/>
        <w:spacing w:line="576" w:lineRule="exact"/>
        <w:ind w:left="0" w:firstLine="643" w:firstLineChars="200"/>
        <w:textAlignment w:val="center"/>
        <w:rPr>
          <w:rFonts w:ascii="Times New Roman" w:hAnsi="Times New Roman" w:eastAsia="仿宋_GB2312" w:cs="Times New Roman"/>
          <w:color w:val="auto"/>
          <w:sz w:val="32"/>
          <w:szCs w:val="32"/>
          <w:highlight w:val="none"/>
        </w:rPr>
      </w:pPr>
      <w:r>
        <w:rPr>
          <w:rFonts w:ascii="Times New Roman" w:hAnsi="Times New Roman" w:eastAsia="黑体" w:cs="Times New Roman"/>
          <w:b/>
          <w:bCs/>
          <w:color w:val="000000"/>
          <w:sz w:val="32"/>
          <w:szCs w:val="32"/>
          <w:highlight w:val="none"/>
        </w:rPr>
        <w:t>——</w:t>
      </w:r>
      <w:r>
        <w:rPr>
          <w:rFonts w:ascii="Times New Roman" w:hAnsi="Times New Roman" w:eastAsia="仿宋_GB2312" w:cs="Times New Roman"/>
          <w:b/>
          <w:bCs/>
          <w:color w:val="000000"/>
          <w:sz w:val="32"/>
          <w:szCs w:val="32"/>
          <w:highlight w:val="none"/>
        </w:rPr>
        <w:t>一</w:t>
      </w:r>
      <w:r>
        <w:rPr>
          <w:rFonts w:hint="eastAsia" w:ascii="Times New Roman" w:hAnsi="Times New Roman" w:eastAsia="仿宋_GB2312" w:cs="Times New Roman"/>
          <w:b/>
          <w:bCs/>
          <w:sz w:val="32"/>
          <w:szCs w:val="32"/>
          <w:highlight w:val="none"/>
        </w:rPr>
        <w:t>般公共预算支出平稳运行。</w:t>
      </w:r>
      <w:r>
        <w:rPr>
          <w:rFonts w:hint="eastAsia" w:ascii="Times New Roman" w:hAnsi="Times New Roman" w:eastAsia="仿宋_GB2312" w:cs="Times New Roman"/>
          <w:sz w:val="32"/>
          <w:szCs w:val="32"/>
          <w:highlight w:val="none"/>
        </w:rPr>
        <w:t>严把预算支出关口，硬化预算刚性约束，切实兜牢“三保”支出底线，统筹做</w:t>
      </w:r>
      <w:r>
        <w:rPr>
          <w:rFonts w:hint="eastAsia" w:ascii="Times New Roman" w:hAnsi="Times New Roman" w:eastAsia="仿宋_GB2312" w:cs="Times New Roman"/>
          <w:sz w:val="32"/>
          <w:szCs w:val="32"/>
          <w:highlight w:val="none"/>
          <w:lang w:val="en-US" w:eastAsia="zh-CN"/>
        </w:rPr>
        <w:t>好</w:t>
      </w:r>
      <w:r>
        <w:rPr>
          <w:rFonts w:ascii="Times New Roman" w:hAnsi="Times New Roman" w:eastAsia="仿宋_GB2312" w:cs="Times New Roman"/>
          <w:sz w:val="32"/>
          <w:szCs w:val="32"/>
          <w:highlight w:val="none"/>
        </w:rPr>
        <w:t>民生工程、乡村振兴和社会稳定等支出保障，</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w:t>
      </w:r>
      <w:r>
        <w:rPr>
          <w:rFonts w:ascii="Times New Roman" w:hAnsi="Times New Roman" w:eastAsia="仿宋_GB2312" w:cs="Times New Roman"/>
          <w:color w:val="auto"/>
          <w:sz w:val="32"/>
          <w:szCs w:val="32"/>
          <w:highlight w:val="none"/>
        </w:rPr>
        <w:t>一般公共预算支出实现</w:t>
      </w:r>
      <w:r>
        <w:rPr>
          <w:rFonts w:hint="eastAsia" w:ascii="Times New Roman" w:hAnsi="Times New Roman" w:eastAsia="仿宋_GB2312" w:cs="Times New Roman"/>
          <w:color w:val="auto"/>
          <w:sz w:val="32"/>
          <w:szCs w:val="32"/>
          <w:highlight w:val="none"/>
          <w:lang w:val="en-US" w:eastAsia="zh-CN"/>
        </w:rPr>
        <w:t>186671</w:t>
      </w:r>
      <w:r>
        <w:rPr>
          <w:rFonts w:ascii="Times New Roman" w:hAnsi="Times New Roman" w:eastAsia="仿宋_GB2312" w:cs="Times New Roman"/>
          <w:color w:val="auto"/>
          <w:sz w:val="32"/>
          <w:szCs w:val="32"/>
          <w:highlight w:val="none"/>
        </w:rPr>
        <w:t>万元，执行调整预算的</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2.00</w:t>
      </w:r>
      <w:r>
        <w:rPr>
          <w:rFonts w:ascii="Times New Roman" w:hAnsi="Times New Roman" w:eastAsia="仿宋_GB2312" w:cs="Times New Roman"/>
          <w:color w:val="000000" w:themeColor="text1"/>
          <w:sz w:val="32"/>
          <w:szCs w:val="32"/>
          <w:highlight w:val="none"/>
          <w14:textFill>
            <w14:solidFill>
              <w14:schemeClr w14:val="tx1"/>
            </w14:solidFill>
          </w14:textFill>
        </w:rPr>
        <w:t>%（债务还本</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上解支出</w:t>
      </w:r>
      <w:r>
        <w:rPr>
          <w:rFonts w:ascii="Times New Roman" w:hAnsi="Times New Roman" w:eastAsia="仿宋_GB2312" w:cs="Times New Roman"/>
          <w:color w:val="000000" w:themeColor="text1"/>
          <w:sz w:val="32"/>
          <w:szCs w:val="32"/>
          <w:highlight w:val="none"/>
          <w14:textFill>
            <w14:solidFill>
              <w14:schemeClr w14:val="tx1"/>
            </w14:solidFill>
          </w14:textFill>
        </w:rPr>
        <w:t>及结转下年支出等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8.00</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auto"/>
          <w:sz w:val="32"/>
          <w:szCs w:val="32"/>
          <w:highlight w:val="none"/>
        </w:rPr>
        <w:t>。其中：一般公共服务支出2</w:t>
      </w:r>
      <w:r>
        <w:rPr>
          <w:rFonts w:hint="eastAsia" w:ascii="Times New Roman" w:hAnsi="Times New Roman" w:eastAsia="仿宋_GB2312" w:cs="Times New Roman"/>
          <w:color w:val="auto"/>
          <w:sz w:val="32"/>
          <w:szCs w:val="32"/>
          <w:highlight w:val="none"/>
          <w:lang w:val="en-US" w:eastAsia="zh-CN"/>
        </w:rPr>
        <w:t>5945</w:t>
      </w:r>
      <w:r>
        <w:rPr>
          <w:rFonts w:ascii="Times New Roman" w:hAnsi="Times New Roman" w:eastAsia="仿宋_GB2312" w:cs="Times New Roman"/>
          <w:color w:val="auto"/>
          <w:sz w:val="32"/>
          <w:szCs w:val="32"/>
          <w:highlight w:val="none"/>
        </w:rPr>
        <w:t>万元、国防支出</w:t>
      </w:r>
      <w:r>
        <w:rPr>
          <w:rFonts w:hint="eastAsia" w:ascii="Times New Roman" w:hAnsi="Times New Roman" w:eastAsia="仿宋_GB2312" w:cs="Times New Roman"/>
          <w:color w:val="auto"/>
          <w:sz w:val="32"/>
          <w:szCs w:val="32"/>
          <w:highlight w:val="none"/>
          <w:lang w:val="en-US" w:eastAsia="zh-CN"/>
        </w:rPr>
        <w:t>20</w:t>
      </w:r>
      <w:r>
        <w:rPr>
          <w:rFonts w:ascii="Times New Roman" w:hAnsi="Times New Roman" w:eastAsia="仿宋_GB2312" w:cs="Times New Roman"/>
          <w:color w:val="auto"/>
          <w:sz w:val="32"/>
          <w:szCs w:val="32"/>
          <w:highlight w:val="none"/>
        </w:rPr>
        <w:t>万元、公共安全支出7</w:t>
      </w:r>
      <w:r>
        <w:rPr>
          <w:rFonts w:hint="eastAsia" w:ascii="Times New Roman" w:hAnsi="Times New Roman" w:eastAsia="仿宋_GB2312" w:cs="Times New Roman"/>
          <w:color w:val="auto"/>
          <w:sz w:val="32"/>
          <w:szCs w:val="32"/>
          <w:highlight w:val="none"/>
          <w:lang w:val="en-US" w:eastAsia="zh-CN"/>
        </w:rPr>
        <w:t>294</w:t>
      </w:r>
      <w:r>
        <w:rPr>
          <w:rFonts w:ascii="Times New Roman" w:hAnsi="Times New Roman" w:eastAsia="仿宋_GB2312" w:cs="Times New Roman"/>
          <w:color w:val="auto"/>
          <w:sz w:val="32"/>
          <w:szCs w:val="32"/>
          <w:highlight w:val="none"/>
        </w:rPr>
        <w:t>万元、教育支出</w:t>
      </w:r>
      <w:r>
        <w:rPr>
          <w:rFonts w:hint="eastAsia" w:ascii="Times New Roman" w:hAnsi="Times New Roman" w:eastAsia="仿宋_GB2312" w:cs="Times New Roman"/>
          <w:color w:val="auto"/>
          <w:sz w:val="32"/>
          <w:szCs w:val="32"/>
          <w:highlight w:val="none"/>
          <w:lang w:val="en-US" w:eastAsia="zh-CN"/>
        </w:rPr>
        <w:t>36496</w:t>
      </w:r>
      <w:r>
        <w:rPr>
          <w:rFonts w:ascii="Times New Roman" w:hAnsi="Times New Roman" w:eastAsia="仿宋_GB2312" w:cs="Times New Roman"/>
          <w:color w:val="auto"/>
          <w:sz w:val="32"/>
          <w:szCs w:val="32"/>
          <w:highlight w:val="none"/>
        </w:rPr>
        <w:t>万元、科学技术支出3</w:t>
      </w:r>
      <w:r>
        <w:rPr>
          <w:rFonts w:hint="eastAsia" w:ascii="Times New Roman" w:hAnsi="Times New Roman" w:eastAsia="仿宋_GB2312" w:cs="Times New Roman"/>
          <w:color w:val="auto"/>
          <w:sz w:val="32"/>
          <w:szCs w:val="32"/>
          <w:highlight w:val="none"/>
          <w:lang w:val="en-US" w:eastAsia="zh-CN"/>
        </w:rPr>
        <w:t>01</w:t>
      </w:r>
      <w:r>
        <w:rPr>
          <w:rFonts w:ascii="Times New Roman" w:hAnsi="Times New Roman" w:eastAsia="仿宋_GB2312" w:cs="Times New Roman"/>
          <w:color w:val="auto"/>
          <w:sz w:val="32"/>
          <w:szCs w:val="32"/>
          <w:highlight w:val="none"/>
        </w:rPr>
        <w:t>万元、文化旅游体育与传媒支出</w:t>
      </w:r>
      <w:r>
        <w:rPr>
          <w:rFonts w:hint="eastAsia" w:ascii="Times New Roman" w:hAnsi="Times New Roman" w:eastAsia="仿宋_GB2312" w:cs="Times New Roman"/>
          <w:color w:val="auto"/>
          <w:sz w:val="32"/>
          <w:szCs w:val="32"/>
          <w:highlight w:val="none"/>
          <w:lang w:val="en-US" w:eastAsia="zh-CN"/>
        </w:rPr>
        <w:t>3857</w:t>
      </w:r>
      <w:r>
        <w:rPr>
          <w:rFonts w:ascii="Times New Roman" w:hAnsi="Times New Roman" w:eastAsia="仿宋_GB2312" w:cs="Times New Roman"/>
          <w:color w:val="auto"/>
          <w:sz w:val="32"/>
          <w:szCs w:val="32"/>
          <w:highlight w:val="none"/>
        </w:rPr>
        <w:t>万元、社会保障和就业支出</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6555</w:t>
      </w:r>
      <w:r>
        <w:rPr>
          <w:rFonts w:ascii="Times New Roman" w:hAnsi="Times New Roman" w:eastAsia="仿宋_GB2312" w:cs="Times New Roman"/>
          <w:color w:val="auto"/>
          <w:sz w:val="32"/>
          <w:szCs w:val="32"/>
          <w:highlight w:val="none"/>
        </w:rPr>
        <w:t>万元、卫生健康支出1</w:t>
      </w:r>
      <w:r>
        <w:rPr>
          <w:rFonts w:hint="eastAsia" w:ascii="Times New Roman" w:hAnsi="Times New Roman" w:eastAsia="仿宋_GB2312" w:cs="Times New Roman"/>
          <w:color w:val="auto"/>
          <w:sz w:val="32"/>
          <w:szCs w:val="32"/>
          <w:highlight w:val="none"/>
          <w:lang w:val="en-US" w:eastAsia="zh-CN"/>
        </w:rPr>
        <w:t>7628</w:t>
      </w:r>
      <w:r>
        <w:rPr>
          <w:rFonts w:ascii="Times New Roman" w:hAnsi="Times New Roman" w:eastAsia="仿宋_GB2312" w:cs="Times New Roman"/>
          <w:color w:val="auto"/>
          <w:sz w:val="32"/>
          <w:szCs w:val="32"/>
          <w:highlight w:val="none"/>
        </w:rPr>
        <w:t>万元、节能环保支出</w:t>
      </w:r>
      <w:r>
        <w:rPr>
          <w:rFonts w:hint="eastAsia" w:ascii="Times New Roman" w:hAnsi="Times New Roman" w:eastAsia="仿宋_GB2312" w:cs="Times New Roman"/>
          <w:color w:val="auto"/>
          <w:sz w:val="32"/>
          <w:szCs w:val="32"/>
          <w:highlight w:val="none"/>
          <w:lang w:val="en-US" w:eastAsia="zh-CN"/>
        </w:rPr>
        <w:t>4455</w:t>
      </w:r>
      <w:r>
        <w:rPr>
          <w:rFonts w:ascii="Times New Roman" w:hAnsi="Times New Roman" w:eastAsia="仿宋_GB2312" w:cs="Times New Roman"/>
          <w:color w:val="auto"/>
          <w:sz w:val="32"/>
          <w:szCs w:val="32"/>
          <w:highlight w:val="none"/>
        </w:rPr>
        <w:t>万元、城乡社区支出</w:t>
      </w:r>
      <w:r>
        <w:rPr>
          <w:rFonts w:hint="eastAsia" w:ascii="Times New Roman" w:hAnsi="Times New Roman" w:eastAsia="仿宋_GB2312" w:cs="Times New Roman"/>
          <w:color w:val="auto"/>
          <w:sz w:val="32"/>
          <w:szCs w:val="32"/>
          <w:highlight w:val="none"/>
        </w:rPr>
        <w:t>18</w:t>
      </w:r>
      <w:r>
        <w:rPr>
          <w:rFonts w:hint="eastAsia" w:ascii="Times New Roman" w:hAnsi="Times New Roman" w:eastAsia="仿宋_GB2312" w:cs="Times New Roman"/>
          <w:color w:val="auto"/>
          <w:sz w:val="32"/>
          <w:szCs w:val="32"/>
          <w:highlight w:val="none"/>
          <w:lang w:val="en-US" w:eastAsia="zh-CN"/>
        </w:rPr>
        <w:t>61</w:t>
      </w:r>
      <w:r>
        <w:rPr>
          <w:rFonts w:ascii="Times New Roman" w:hAnsi="Times New Roman" w:eastAsia="仿宋_GB2312" w:cs="Times New Roman"/>
          <w:color w:val="auto"/>
          <w:sz w:val="32"/>
          <w:szCs w:val="32"/>
          <w:highlight w:val="none"/>
        </w:rPr>
        <w:t>万元、农林水支出391</w:t>
      </w:r>
      <w:r>
        <w:rPr>
          <w:rFonts w:hint="eastAsia" w:ascii="Times New Roman" w:hAnsi="Times New Roman" w:eastAsia="仿宋_GB2312" w:cs="Times New Roman"/>
          <w:color w:val="auto"/>
          <w:sz w:val="32"/>
          <w:szCs w:val="32"/>
          <w:highlight w:val="none"/>
          <w:lang w:val="en-US" w:eastAsia="zh-CN"/>
        </w:rPr>
        <w:t>56</w:t>
      </w:r>
      <w:r>
        <w:rPr>
          <w:rFonts w:ascii="Times New Roman" w:hAnsi="Times New Roman" w:eastAsia="仿宋_GB2312" w:cs="Times New Roman"/>
          <w:color w:val="auto"/>
          <w:sz w:val="32"/>
          <w:szCs w:val="32"/>
          <w:highlight w:val="none"/>
        </w:rPr>
        <w:t>万元、交通运输支出</w:t>
      </w:r>
      <w:r>
        <w:rPr>
          <w:rFonts w:hint="eastAsia" w:ascii="Times New Roman" w:hAnsi="Times New Roman" w:eastAsia="仿宋_GB2312" w:cs="Times New Roman"/>
          <w:color w:val="auto"/>
          <w:sz w:val="32"/>
          <w:szCs w:val="32"/>
          <w:highlight w:val="none"/>
          <w:lang w:val="en-US" w:eastAsia="zh-CN"/>
        </w:rPr>
        <w:t>6487</w:t>
      </w:r>
      <w:r>
        <w:rPr>
          <w:rFonts w:ascii="Times New Roman" w:hAnsi="Times New Roman" w:eastAsia="仿宋_GB2312" w:cs="Times New Roman"/>
          <w:color w:val="auto"/>
          <w:sz w:val="32"/>
          <w:szCs w:val="32"/>
          <w:highlight w:val="none"/>
        </w:rPr>
        <w:t>万元、资源勘探工业信息等支出</w:t>
      </w:r>
      <w:r>
        <w:rPr>
          <w:rFonts w:hint="eastAsia" w:ascii="Times New Roman" w:hAnsi="Times New Roman" w:eastAsia="仿宋_GB2312" w:cs="Times New Roman"/>
          <w:color w:val="auto"/>
          <w:sz w:val="32"/>
          <w:szCs w:val="32"/>
          <w:highlight w:val="none"/>
          <w:lang w:val="en-US" w:eastAsia="zh-CN"/>
        </w:rPr>
        <w:t>228</w:t>
      </w:r>
      <w:r>
        <w:rPr>
          <w:rFonts w:ascii="Times New Roman" w:hAnsi="Times New Roman" w:eastAsia="仿宋_GB2312" w:cs="Times New Roman"/>
          <w:color w:val="auto"/>
          <w:sz w:val="32"/>
          <w:szCs w:val="32"/>
          <w:highlight w:val="none"/>
        </w:rPr>
        <w:t>万元、商业服务业等支出1</w:t>
      </w:r>
      <w:r>
        <w:rPr>
          <w:rFonts w:hint="eastAsia" w:ascii="Times New Roman" w:hAnsi="Times New Roman" w:eastAsia="仿宋_GB2312" w:cs="Times New Roman"/>
          <w:color w:val="auto"/>
          <w:sz w:val="32"/>
          <w:szCs w:val="32"/>
          <w:highlight w:val="none"/>
          <w:lang w:val="en-US" w:eastAsia="zh-CN"/>
        </w:rPr>
        <w:t>26</w:t>
      </w:r>
      <w:r>
        <w:rPr>
          <w:rFonts w:ascii="Times New Roman" w:hAnsi="Times New Roman" w:eastAsia="仿宋_GB2312" w:cs="Times New Roman"/>
          <w:color w:val="auto"/>
          <w:sz w:val="32"/>
          <w:szCs w:val="32"/>
          <w:highlight w:val="none"/>
        </w:rPr>
        <w:t>万元、金融支出</w:t>
      </w:r>
      <w:r>
        <w:rPr>
          <w:rFonts w:hint="eastAsia" w:ascii="Times New Roman" w:hAnsi="Times New Roman" w:eastAsia="仿宋_GB2312" w:cs="Times New Roman"/>
          <w:color w:val="auto"/>
          <w:sz w:val="32"/>
          <w:szCs w:val="32"/>
          <w:highlight w:val="none"/>
          <w:lang w:val="en-US" w:eastAsia="zh-CN"/>
        </w:rPr>
        <w:t>22</w:t>
      </w:r>
      <w:r>
        <w:rPr>
          <w:rFonts w:ascii="Times New Roman" w:hAnsi="Times New Roman" w:eastAsia="仿宋_GB2312" w:cs="Times New Roman"/>
          <w:color w:val="auto"/>
          <w:sz w:val="32"/>
          <w:szCs w:val="32"/>
          <w:highlight w:val="none"/>
        </w:rPr>
        <w:t>万元、自然资源海洋气象等支出</w:t>
      </w:r>
      <w:r>
        <w:rPr>
          <w:rFonts w:hint="eastAsia" w:ascii="Times New Roman" w:hAnsi="Times New Roman" w:eastAsia="仿宋_GB2312" w:cs="Times New Roman"/>
          <w:color w:val="auto"/>
          <w:sz w:val="32"/>
          <w:szCs w:val="32"/>
          <w:highlight w:val="none"/>
          <w:lang w:val="en-US" w:eastAsia="zh-CN"/>
        </w:rPr>
        <w:t>11393</w:t>
      </w:r>
      <w:r>
        <w:rPr>
          <w:rFonts w:ascii="Times New Roman" w:hAnsi="Times New Roman" w:eastAsia="仿宋_GB2312" w:cs="Times New Roman"/>
          <w:color w:val="auto"/>
          <w:sz w:val="32"/>
          <w:szCs w:val="32"/>
          <w:highlight w:val="none"/>
        </w:rPr>
        <w:t>万元、住房保障支出</w:t>
      </w:r>
      <w:r>
        <w:rPr>
          <w:rFonts w:hint="eastAsia" w:ascii="Times New Roman" w:hAnsi="Times New Roman" w:eastAsia="仿宋_GB2312" w:cs="Times New Roman"/>
          <w:color w:val="auto"/>
          <w:sz w:val="32"/>
          <w:szCs w:val="32"/>
          <w:highlight w:val="none"/>
          <w:lang w:val="en-US" w:eastAsia="zh-CN"/>
        </w:rPr>
        <w:t>4744</w:t>
      </w:r>
      <w:r>
        <w:rPr>
          <w:rFonts w:ascii="Times New Roman" w:hAnsi="Times New Roman" w:eastAsia="仿宋_GB2312" w:cs="Times New Roman"/>
          <w:color w:val="auto"/>
          <w:sz w:val="32"/>
          <w:szCs w:val="32"/>
          <w:highlight w:val="none"/>
        </w:rPr>
        <w:t>万元、粮油物资储备支出</w:t>
      </w:r>
      <w:r>
        <w:rPr>
          <w:rFonts w:hint="eastAsia" w:ascii="Times New Roman" w:hAnsi="Times New Roman" w:eastAsia="仿宋_GB2312" w:cs="Times New Roman"/>
          <w:color w:val="auto"/>
          <w:sz w:val="32"/>
          <w:szCs w:val="32"/>
          <w:highlight w:val="none"/>
          <w:lang w:val="en-US" w:eastAsia="zh-CN"/>
        </w:rPr>
        <w:t>794</w:t>
      </w:r>
      <w:r>
        <w:rPr>
          <w:rFonts w:ascii="Times New Roman" w:hAnsi="Times New Roman" w:eastAsia="仿宋_GB2312" w:cs="Times New Roman"/>
          <w:color w:val="auto"/>
          <w:sz w:val="32"/>
          <w:szCs w:val="32"/>
          <w:highlight w:val="none"/>
        </w:rPr>
        <w:t>万元、灾害防治及应急管理支出</w:t>
      </w:r>
      <w:r>
        <w:rPr>
          <w:rFonts w:hint="eastAsia" w:ascii="Times New Roman" w:hAnsi="Times New Roman" w:eastAsia="仿宋_GB2312" w:cs="Times New Roman"/>
          <w:color w:val="auto"/>
          <w:sz w:val="32"/>
          <w:szCs w:val="32"/>
          <w:highlight w:val="none"/>
          <w:lang w:val="en-US" w:eastAsia="zh-CN"/>
        </w:rPr>
        <w:t>3089</w:t>
      </w:r>
      <w:r>
        <w:rPr>
          <w:rFonts w:ascii="Times New Roman" w:hAnsi="Times New Roman" w:eastAsia="仿宋_GB2312" w:cs="Times New Roman"/>
          <w:color w:val="auto"/>
          <w:sz w:val="32"/>
          <w:szCs w:val="32"/>
          <w:highlight w:val="none"/>
        </w:rPr>
        <w:t>万元、其他支出</w:t>
      </w:r>
      <w:r>
        <w:rPr>
          <w:rFonts w:hint="eastAsia" w:ascii="Times New Roman" w:hAnsi="Times New Roman" w:eastAsia="仿宋_GB2312" w:cs="Times New Roman"/>
          <w:color w:val="auto"/>
          <w:sz w:val="32"/>
          <w:szCs w:val="32"/>
          <w:highlight w:val="none"/>
          <w:lang w:val="en-US" w:eastAsia="zh-CN"/>
        </w:rPr>
        <w:t>4625</w:t>
      </w:r>
      <w:r>
        <w:rPr>
          <w:rFonts w:ascii="Times New Roman" w:hAnsi="Times New Roman" w:eastAsia="仿宋_GB2312" w:cs="Times New Roman"/>
          <w:color w:val="auto"/>
          <w:sz w:val="32"/>
          <w:szCs w:val="32"/>
          <w:highlight w:val="none"/>
        </w:rPr>
        <w:t>万元、债务付息支出1</w:t>
      </w:r>
      <w:r>
        <w:rPr>
          <w:rFonts w:hint="eastAsia" w:ascii="Times New Roman" w:hAnsi="Times New Roman" w:eastAsia="仿宋_GB2312" w:cs="Times New Roman"/>
          <w:color w:val="auto"/>
          <w:sz w:val="32"/>
          <w:szCs w:val="32"/>
          <w:highlight w:val="none"/>
          <w:lang w:val="en-US" w:eastAsia="zh-CN"/>
        </w:rPr>
        <w:t>592</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、债务发行费用支出</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万元</w:t>
      </w:r>
      <w:r>
        <w:rPr>
          <w:rFonts w:ascii="Times New Roman" w:hAnsi="Times New Roman" w:eastAsia="仿宋_GB2312" w:cs="Times New Roman"/>
          <w:color w:val="auto"/>
          <w:sz w:val="32"/>
          <w:szCs w:val="32"/>
          <w:highlight w:val="none"/>
        </w:rPr>
        <w:t>。</w:t>
      </w:r>
    </w:p>
    <w:p>
      <w:pPr>
        <w:widowControl w:val="0"/>
        <w:adjustRightInd w:val="0"/>
        <w:snapToGrid w:val="0"/>
        <w:spacing w:line="576" w:lineRule="exact"/>
        <w:ind w:left="0" w:firstLine="643" w:firstLineChars="200"/>
        <w:textAlignment w:val="center"/>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——一般公共预算平衡情况。</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年地方一般公共预算收入1</w:t>
      </w:r>
      <w:r>
        <w:rPr>
          <w:rFonts w:hint="eastAsia" w:ascii="Times New Roman" w:hAnsi="Times New Roman" w:eastAsia="仿宋_GB2312" w:cs="Times New Roman"/>
          <w:sz w:val="32"/>
          <w:szCs w:val="32"/>
          <w:highlight w:val="none"/>
          <w:lang w:val="en-US" w:eastAsia="zh-CN"/>
        </w:rPr>
        <w:t>2244</w:t>
      </w:r>
      <w:r>
        <w:rPr>
          <w:rFonts w:ascii="Times New Roman" w:hAnsi="Times New Roman" w:eastAsia="仿宋_GB2312" w:cs="Times New Roman"/>
          <w:sz w:val="32"/>
          <w:szCs w:val="32"/>
          <w:highlight w:val="none"/>
        </w:rPr>
        <w:t>万元、返还性收入2396万元、一般性转移支付收入</w:t>
      </w:r>
      <w:r>
        <w:rPr>
          <w:rFonts w:hint="eastAsia" w:ascii="Times New Roman" w:hAnsi="Times New Roman" w:eastAsia="仿宋_GB2312" w:cs="Times New Roman"/>
          <w:sz w:val="32"/>
          <w:szCs w:val="32"/>
          <w:highlight w:val="none"/>
          <w:lang w:val="en-US" w:eastAsia="zh-CN"/>
        </w:rPr>
        <w:t>143030</w:t>
      </w:r>
      <w:r>
        <w:rPr>
          <w:rFonts w:ascii="Times New Roman" w:hAnsi="Times New Roman" w:eastAsia="仿宋_GB2312" w:cs="Times New Roman"/>
          <w:sz w:val="32"/>
          <w:szCs w:val="32"/>
          <w:highlight w:val="none"/>
        </w:rPr>
        <w:t>万元、专项转移支付收入</w:t>
      </w:r>
      <w:r>
        <w:rPr>
          <w:rFonts w:hint="eastAsia" w:ascii="Times New Roman" w:hAnsi="Times New Roman" w:eastAsia="仿宋_GB2312" w:cs="Times New Roman"/>
          <w:sz w:val="32"/>
          <w:szCs w:val="32"/>
          <w:highlight w:val="none"/>
          <w:lang w:val="en-US" w:eastAsia="zh-CN"/>
        </w:rPr>
        <w:t>30449</w:t>
      </w:r>
      <w:r>
        <w:rPr>
          <w:rFonts w:ascii="Times New Roman" w:hAnsi="Times New Roman" w:eastAsia="仿宋_GB2312" w:cs="Times New Roman"/>
          <w:sz w:val="32"/>
          <w:szCs w:val="32"/>
          <w:highlight w:val="none"/>
        </w:rPr>
        <w:t>万元、援助收入</w:t>
      </w:r>
      <w:r>
        <w:rPr>
          <w:rFonts w:hint="eastAsia" w:ascii="Times New Roman" w:hAnsi="Times New Roman" w:eastAsia="仿宋_GB2312" w:cs="Times New Roman"/>
          <w:sz w:val="32"/>
          <w:szCs w:val="32"/>
          <w:highlight w:val="none"/>
          <w:lang w:val="en-US" w:eastAsia="zh-CN"/>
        </w:rPr>
        <w:t>4635</w:t>
      </w:r>
      <w:r>
        <w:rPr>
          <w:rFonts w:ascii="Times New Roman" w:hAnsi="Times New Roman" w:eastAsia="仿宋_GB2312" w:cs="Times New Roman"/>
          <w:sz w:val="32"/>
          <w:szCs w:val="32"/>
          <w:highlight w:val="none"/>
        </w:rPr>
        <w:t>万元、债务转贷收入</w:t>
      </w:r>
      <w:r>
        <w:rPr>
          <w:rFonts w:hint="eastAsia" w:ascii="Times New Roman" w:hAnsi="Times New Roman" w:eastAsia="仿宋_GB2312" w:cs="Times New Roman"/>
          <w:sz w:val="32"/>
          <w:szCs w:val="32"/>
          <w:highlight w:val="none"/>
          <w:lang w:val="en-US" w:eastAsia="zh-CN"/>
        </w:rPr>
        <w:t>6500</w:t>
      </w:r>
      <w:r>
        <w:rPr>
          <w:rFonts w:ascii="Times New Roman" w:hAnsi="Times New Roman" w:eastAsia="仿宋_GB2312" w:cs="Times New Roman"/>
          <w:sz w:val="32"/>
          <w:szCs w:val="32"/>
          <w:highlight w:val="none"/>
        </w:rPr>
        <w:t>万元、动用预算稳定调节基金</w:t>
      </w:r>
      <w:r>
        <w:rPr>
          <w:rFonts w:hint="eastAsia" w:ascii="Times New Roman" w:hAnsi="Times New Roman" w:eastAsia="仿宋_GB2312" w:cs="Times New Roman"/>
          <w:sz w:val="32"/>
          <w:szCs w:val="32"/>
          <w:highlight w:val="none"/>
          <w:lang w:val="en-US" w:eastAsia="zh-CN"/>
        </w:rPr>
        <w:t>39</w:t>
      </w:r>
      <w:r>
        <w:rPr>
          <w:rFonts w:ascii="Times New Roman" w:hAnsi="Times New Roman" w:eastAsia="仿宋_GB2312" w:cs="Times New Roman"/>
          <w:sz w:val="32"/>
          <w:szCs w:val="32"/>
          <w:highlight w:val="none"/>
        </w:rPr>
        <w:t>万元、上年结转</w:t>
      </w:r>
      <w:r>
        <w:rPr>
          <w:rFonts w:hint="eastAsia" w:ascii="Times New Roman" w:hAnsi="Times New Roman" w:eastAsia="仿宋_GB2312" w:cs="Times New Roman"/>
          <w:sz w:val="32"/>
          <w:szCs w:val="32"/>
          <w:highlight w:val="none"/>
          <w:lang w:val="en-US" w:eastAsia="zh-CN"/>
        </w:rPr>
        <w:t>3107</w:t>
      </w:r>
      <w:r>
        <w:rPr>
          <w:rFonts w:ascii="Times New Roman" w:hAnsi="Times New Roman" w:eastAsia="仿宋_GB2312" w:cs="Times New Roman"/>
          <w:sz w:val="32"/>
          <w:szCs w:val="32"/>
          <w:highlight w:val="none"/>
        </w:rPr>
        <w:t>万元、调入资金500万元，构成全年一般公共预算总收入</w:t>
      </w:r>
      <w:r>
        <w:rPr>
          <w:rFonts w:hint="eastAsia" w:ascii="Times New Roman" w:hAnsi="Times New Roman" w:eastAsia="仿宋_GB2312" w:cs="Times New Roman"/>
          <w:sz w:val="32"/>
          <w:szCs w:val="32"/>
          <w:highlight w:val="none"/>
          <w:lang w:val="en-US" w:eastAsia="zh-CN"/>
        </w:rPr>
        <w:t>202900</w:t>
      </w:r>
      <w:r>
        <w:rPr>
          <w:rFonts w:ascii="Times New Roman" w:hAnsi="Times New Roman" w:eastAsia="仿宋_GB2312" w:cs="Times New Roman"/>
          <w:sz w:val="32"/>
          <w:szCs w:val="32"/>
          <w:highlight w:val="none"/>
        </w:rPr>
        <w:t>万元；202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年实现一般公共预算支出</w:t>
      </w:r>
      <w:r>
        <w:rPr>
          <w:rFonts w:hint="eastAsia" w:ascii="Times New Roman" w:hAnsi="Times New Roman" w:eastAsia="仿宋_GB2312" w:cs="Times New Roman"/>
          <w:sz w:val="32"/>
          <w:szCs w:val="32"/>
          <w:highlight w:val="none"/>
          <w:lang w:val="en-US" w:eastAsia="zh-CN"/>
        </w:rPr>
        <w:t>186671</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上解支出3381万元、债务还本支出3500万元、安排预算稳定调节基金11万元、年终结转9337万元</w:t>
      </w:r>
      <w:r>
        <w:rPr>
          <w:rFonts w:ascii="Times New Roman" w:hAnsi="Times New Roman" w:eastAsia="仿宋_GB2312" w:cs="Times New Roman"/>
          <w:sz w:val="32"/>
          <w:szCs w:val="32"/>
          <w:highlight w:val="none"/>
        </w:rPr>
        <w:t>，构成全年一般公共预算总支出</w:t>
      </w:r>
      <w:r>
        <w:rPr>
          <w:rFonts w:hint="eastAsia" w:ascii="Times New Roman" w:hAnsi="Times New Roman" w:eastAsia="仿宋_GB2312" w:cs="Times New Roman"/>
          <w:sz w:val="32"/>
          <w:szCs w:val="32"/>
          <w:highlight w:val="none"/>
          <w:lang w:val="en-US" w:eastAsia="zh-CN"/>
        </w:rPr>
        <w:t>202900</w:t>
      </w:r>
      <w:r>
        <w:rPr>
          <w:rFonts w:ascii="Times New Roman" w:hAnsi="Times New Roman" w:eastAsia="仿宋_GB2312" w:cs="Times New Roman"/>
          <w:sz w:val="32"/>
          <w:szCs w:val="32"/>
          <w:highlight w:val="none"/>
        </w:rPr>
        <w:t>万元，一般公共预算收支平衡。</w:t>
      </w:r>
    </w:p>
    <w:p>
      <w:pPr>
        <w:widowControl w:val="0"/>
        <w:adjustRightInd/>
        <w:snapToGrid/>
        <w:spacing w:line="576" w:lineRule="exact"/>
        <w:ind w:left="0" w:firstLine="643" w:firstLineChars="200"/>
        <w:textAlignment w:val="bottom"/>
        <w:rPr>
          <w:rFonts w:ascii="Times New Roman" w:hAnsi="Times New Roman" w:eastAsia="楷体_GB2312" w:cs="Times New Roman"/>
          <w:b/>
          <w:bCs/>
          <w:sz w:val="32"/>
          <w:szCs w:val="32"/>
          <w:highlight w:val="none"/>
          <w:lang w:val="zh-CN"/>
        </w:rPr>
      </w:pPr>
      <w:r>
        <w:rPr>
          <w:rFonts w:ascii="Times New Roman" w:hAnsi="Times New Roman" w:eastAsia="楷体_GB2312" w:cs="Times New Roman"/>
          <w:b/>
          <w:bCs/>
          <w:sz w:val="32"/>
          <w:szCs w:val="32"/>
          <w:highlight w:val="none"/>
          <w:lang w:val="zh-CN"/>
        </w:rPr>
        <w:t>（二）政府性基金预算执行情况。</w:t>
      </w:r>
    </w:p>
    <w:p>
      <w:pPr>
        <w:widowControl w:val="0"/>
        <w:adjustRightInd w:val="0"/>
        <w:snapToGrid w:val="0"/>
        <w:spacing w:line="576" w:lineRule="exact"/>
        <w:ind w:left="0" w:firstLine="640" w:firstLineChars="200"/>
        <w:textAlignment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全年政府性基金收入</w:t>
      </w:r>
      <w:r>
        <w:rPr>
          <w:rFonts w:hint="eastAsia" w:ascii="Times New Roman" w:hAnsi="Times New Roman" w:eastAsia="仿宋_GB2312" w:cs="Times New Roman"/>
          <w:sz w:val="32"/>
          <w:szCs w:val="32"/>
          <w:highlight w:val="none"/>
          <w:lang w:val="en-US" w:eastAsia="zh-CN"/>
        </w:rPr>
        <w:t>7685</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其中县本级政府性基金收入10万元、</w:t>
      </w:r>
      <w:r>
        <w:rPr>
          <w:rFonts w:ascii="Times New Roman" w:hAnsi="Times New Roman" w:eastAsia="仿宋_GB2312" w:cs="Times New Roman"/>
          <w:sz w:val="32"/>
          <w:szCs w:val="32"/>
          <w:highlight w:val="none"/>
        </w:rPr>
        <w:t>上级专项</w:t>
      </w:r>
      <w:r>
        <w:rPr>
          <w:rFonts w:hint="eastAsia" w:ascii="Times New Roman" w:hAnsi="Times New Roman" w:eastAsia="仿宋_GB2312" w:cs="Times New Roman"/>
          <w:sz w:val="32"/>
          <w:szCs w:val="32"/>
          <w:highlight w:val="none"/>
          <w:lang w:val="en-US" w:eastAsia="zh-CN"/>
        </w:rPr>
        <w:t>补助</w:t>
      </w:r>
      <w:r>
        <w:rPr>
          <w:rFonts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val="en-US" w:eastAsia="zh-CN"/>
        </w:rPr>
        <w:t>50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专项债券4000万元、</w:t>
      </w:r>
      <w:r>
        <w:rPr>
          <w:rFonts w:ascii="Times New Roman" w:hAnsi="Times New Roman" w:eastAsia="仿宋_GB2312" w:cs="Times New Roman"/>
          <w:sz w:val="32"/>
          <w:szCs w:val="32"/>
          <w:highlight w:val="none"/>
        </w:rPr>
        <w:t>调入资金</w:t>
      </w:r>
      <w:r>
        <w:rPr>
          <w:rFonts w:hint="eastAsia" w:ascii="Times New Roman" w:hAnsi="Times New Roman" w:eastAsia="仿宋_GB2312" w:cs="Times New Roman"/>
          <w:sz w:val="32"/>
          <w:szCs w:val="32"/>
          <w:highlight w:val="none"/>
          <w:lang w:val="en-US" w:eastAsia="zh-CN"/>
        </w:rPr>
        <w:t>3225</w:t>
      </w:r>
      <w:r>
        <w:rPr>
          <w:rFonts w:ascii="Times New Roman" w:hAnsi="Times New Roman" w:eastAsia="仿宋_GB2312" w:cs="Times New Roman"/>
          <w:sz w:val="32"/>
          <w:szCs w:val="32"/>
          <w:highlight w:val="none"/>
        </w:rPr>
        <w:t>万元。政府性基金预算支出</w:t>
      </w:r>
      <w:r>
        <w:rPr>
          <w:rFonts w:hint="eastAsia" w:ascii="Times New Roman" w:hAnsi="Times New Roman" w:eastAsia="仿宋_GB2312" w:cs="Times New Roman"/>
          <w:sz w:val="32"/>
          <w:szCs w:val="32"/>
          <w:highlight w:val="none"/>
          <w:lang w:val="en-US" w:eastAsia="zh-CN"/>
        </w:rPr>
        <w:t>7685</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其中债券利息及手续费729万元</w:t>
      </w:r>
      <w:r>
        <w:rPr>
          <w:rFonts w:ascii="Times New Roman" w:hAnsi="Times New Roman" w:eastAsia="仿宋_GB2312" w:cs="Times New Roman"/>
          <w:sz w:val="32"/>
          <w:szCs w:val="32"/>
          <w:highlight w:val="none"/>
        </w:rPr>
        <w:t>。</w:t>
      </w:r>
    </w:p>
    <w:p>
      <w:pPr>
        <w:widowControl w:val="0"/>
        <w:adjustRightInd/>
        <w:snapToGrid/>
        <w:spacing w:line="576" w:lineRule="exact"/>
        <w:ind w:left="0" w:firstLine="643" w:firstLineChars="200"/>
        <w:textAlignment w:val="bottom"/>
        <w:rPr>
          <w:rFonts w:ascii="Times New Roman" w:hAnsi="Times New Roman" w:eastAsia="楷体_GB2312" w:cs="Times New Roman"/>
          <w:b/>
          <w:bCs/>
          <w:sz w:val="32"/>
          <w:szCs w:val="32"/>
          <w:highlight w:val="none"/>
          <w:lang w:val="zh-CN"/>
        </w:rPr>
      </w:pPr>
      <w:r>
        <w:rPr>
          <w:rFonts w:ascii="Times New Roman" w:hAnsi="Times New Roman" w:eastAsia="楷体_GB2312" w:cs="Times New Roman"/>
          <w:b/>
          <w:bCs/>
          <w:sz w:val="32"/>
          <w:szCs w:val="32"/>
          <w:highlight w:val="none"/>
          <w:lang w:val="zh-CN"/>
        </w:rPr>
        <w:t>（</w:t>
      </w:r>
      <w:r>
        <w:rPr>
          <w:rFonts w:hint="eastAsia" w:ascii="Times New Roman" w:hAnsi="Times New Roman" w:eastAsia="楷体_GB2312" w:cs="Times New Roman"/>
          <w:b/>
          <w:bCs/>
          <w:sz w:val="32"/>
          <w:szCs w:val="32"/>
          <w:highlight w:val="none"/>
          <w:lang w:val="en-US" w:eastAsia="zh-CN"/>
        </w:rPr>
        <w:t>三</w:t>
      </w:r>
      <w:r>
        <w:rPr>
          <w:rFonts w:ascii="Times New Roman" w:hAnsi="Times New Roman" w:eastAsia="楷体_GB2312" w:cs="Times New Roman"/>
          <w:b/>
          <w:bCs/>
          <w:sz w:val="32"/>
          <w:szCs w:val="32"/>
          <w:highlight w:val="none"/>
          <w:lang w:val="zh-CN"/>
        </w:rPr>
        <w:t>）国有资本经营预算执行情况。</w:t>
      </w:r>
    </w:p>
    <w:p>
      <w:pPr>
        <w:widowControl w:val="0"/>
        <w:adjustRightInd w:val="0"/>
        <w:snapToGrid w:val="0"/>
        <w:spacing w:line="576" w:lineRule="exact"/>
        <w:ind w:left="0" w:firstLine="640" w:firstLineChars="200"/>
        <w:textAlignment w:val="center"/>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rPr>
        <w:t>全年国有资本经营预算</w:t>
      </w:r>
      <w:r>
        <w:rPr>
          <w:rFonts w:hint="eastAsia" w:ascii="Times New Roman" w:hAnsi="Times New Roman" w:eastAsia="仿宋_GB2312" w:cs="Times New Roman"/>
          <w:sz w:val="32"/>
          <w:szCs w:val="32"/>
          <w:highlight w:val="none"/>
          <w:lang w:eastAsia="zh-CN"/>
        </w:rPr>
        <w:t>收入</w:t>
      </w:r>
      <w:r>
        <w:rPr>
          <w:rFonts w:ascii="Times New Roman" w:hAnsi="Times New Roman" w:eastAsia="仿宋_GB2312" w:cs="Times New Roman"/>
          <w:sz w:val="32"/>
          <w:szCs w:val="32"/>
          <w:highlight w:val="none"/>
        </w:rPr>
        <w:t>完成500万元，</w:t>
      </w:r>
      <w:r>
        <w:rPr>
          <w:rFonts w:hint="eastAsia" w:ascii="Times New Roman" w:hAnsi="Times New Roman" w:eastAsia="仿宋_GB2312" w:cs="Times New Roman"/>
          <w:sz w:val="32"/>
          <w:szCs w:val="32"/>
          <w:highlight w:val="none"/>
          <w:lang w:val="en-US" w:eastAsia="zh-CN"/>
        </w:rPr>
        <w:t>国有资本经营预算调出500万元。</w:t>
      </w:r>
    </w:p>
    <w:p>
      <w:pPr>
        <w:widowControl w:val="0"/>
        <w:adjustRightInd/>
        <w:snapToGrid/>
        <w:spacing w:line="576" w:lineRule="exact"/>
        <w:ind w:left="0" w:firstLine="643" w:firstLineChars="200"/>
        <w:textAlignment w:val="bottom"/>
        <w:rPr>
          <w:rFonts w:ascii="Times New Roman" w:hAnsi="Times New Roman" w:eastAsia="楷体_GB2312" w:cs="Times New Roman"/>
          <w:b/>
          <w:bCs/>
          <w:sz w:val="32"/>
          <w:szCs w:val="32"/>
          <w:highlight w:val="none"/>
          <w:lang w:val="zh-CN"/>
        </w:rPr>
      </w:pPr>
      <w:r>
        <w:rPr>
          <w:rFonts w:ascii="Times New Roman" w:hAnsi="Times New Roman" w:eastAsia="楷体_GB2312" w:cs="Times New Roman"/>
          <w:b/>
          <w:bCs/>
          <w:sz w:val="32"/>
          <w:szCs w:val="32"/>
          <w:highlight w:val="none"/>
          <w:lang w:val="zh-CN"/>
        </w:rPr>
        <w:t>（</w:t>
      </w:r>
      <w:r>
        <w:rPr>
          <w:rFonts w:hint="eastAsia" w:ascii="Times New Roman" w:hAnsi="Times New Roman" w:eastAsia="楷体_GB2312" w:cs="Times New Roman"/>
          <w:b/>
          <w:bCs/>
          <w:sz w:val="32"/>
          <w:szCs w:val="32"/>
          <w:highlight w:val="none"/>
          <w:lang w:val="en-US" w:eastAsia="zh-CN"/>
        </w:rPr>
        <w:t>四</w:t>
      </w:r>
      <w:r>
        <w:rPr>
          <w:rFonts w:ascii="Times New Roman" w:hAnsi="Times New Roman" w:eastAsia="楷体_GB2312" w:cs="Times New Roman"/>
          <w:b/>
          <w:bCs/>
          <w:sz w:val="32"/>
          <w:szCs w:val="32"/>
          <w:highlight w:val="none"/>
          <w:lang w:val="zh-CN"/>
        </w:rPr>
        <w:t>）政府性债务管理情况。</w:t>
      </w:r>
    </w:p>
    <w:p>
      <w:pPr>
        <w:widowControl w:val="0"/>
        <w:adjustRightInd/>
        <w:snapToGrid/>
        <w:spacing w:line="576" w:lineRule="exact"/>
        <w:ind w:left="0" w:firstLine="640" w:firstLineChars="200"/>
        <w:textAlignment w:val="bottom"/>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年末债务余额61831万元，202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年归还到期债券</w:t>
      </w:r>
      <w:r>
        <w:rPr>
          <w:rFonts w:hint="eastAsia" w:ascii="Times New Roman" w:hAnsi="Times New Roman" w:eastAsia="仿宋_GB2312" w:cs="Times New Roman"/>
          <w:sz w:val="32"/>
          <w:szCs w:val="32"/>
          <w:highlight w:val="none"/>
          <w:lang w:val="en-US" w:eastAsia="zh-CN"/>
        </w:rPr>
        <w:t>3500</w:t>
      </w:r>
      <w:r>
        <w:rPr>
          <w:rFonts w:ascii="Times New Roman" w:hAnsi="Times New Roman" w:eastAsia="仿宋_GB2312" w:cs="Times New Roman"/>
          <w:sz w:val="32"/>
          <w:szCs w:val="32"/>
          <w:highlight w:val="none"/>
        </w:rPr>
        <w:t>万元，202</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年新增再融资债券</w:t>
      </w:r>
      <w:r>
        <w:rPr>
          <w:rFonts w:hint="eastAsia" w:ascii="Times New Roman" w:hAnsi="Times New Roman" w:eastAsia="仿宋_GB2312" w:cs="Times New Roman"/>
          <w:sz w:val="32"/>
          <w:szCs w:val="32"/>
          <w:highlight w:val="none"/>
          <w:lang w:val="en-US" w:eastAsia="zh-CN"/>
        </w:rPr>
        <w:t>3500</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新增</w:t>
      </w:r>
      <w:r>
        <w:rPr>
          <w:rFonts w:ascii="Times New Roman" w:hAnsi="Times New Roman" w:eastAsia="仿宋_GB2312" w:cs="Times New Roman"/>
          <w:sz w:val="32"/>
          <w:szCs w:val="32"/>
          <w:highlight w:val="none"/>
        </w:rPr>
        <w:t>县医院优质高效医疗服务体系及综合救治能力提升项目</w:t>
      </w:r>
      <w:r>
        <w:rPr>
          <w:rFonts w:hint="eastAsia" w:ascii="Times New Roman" w:hAnsi="Times New Roman" w:eastAsia="仿宋_GB2312" w:cs="Times New Roman"/>
          <w:sz w:val="32"/>
          <w:szCs w:val="32"/>
          <w:highlight w:val="none"/>
          <w:lang w:val="en-US" w:eastAsia="zh-CN"/>
        </w:rPr>
        <w:t>专项债券4000万元、新增</w:t>
      </w:r>
      <w:r>
        <w:rPr>
          <w:rFonts w:hint="eastAsia" w:ascii="Times New Roman" w:hAnsi="Times New Roman" w:eastAsia="仿宋_GB2312" w:cs="Times New Roman"/>
          <w:sz w:val="32"/>
          <w:szCs w:val="32"/>
          <w:highlight w:val="none"/>
          <w:lang w:val="zh-CN"/>
        </w:rPr>
        <w:t>川青铁路松潘站站前广场配套设施建设项目</w:t>
      </w:r>
      <w:r>
        <w:rPr>
          <w:rFonts w:hint="eastAsia" w:ascii="Times New Roman" w:hAnsi="Times New Roman" w:eastAsia="仿宋_GB2312" w:cs="Times New Roman"/>
          <w:sz w:val="32"/>
          <w:szCs w:val="32"/>
          <w:highlight w:val="none"/>
          <w:lang w:val="en-US" w:eastAsia="zh-CN"/>
        </w:rPr>
        <w:t>一般债券3000万元，</w:t>
      </w:r>
      <w:r>
        <w:rPr>
          <w:rFonts w:ascii="Times New Roman" w:hAnsi="Times New Roman" w:eastAsia="仿宋_GB2312" w:cs="Times New Roman"/>
          <w:sz w:val="32"/>
          <w:szCs w:val="32"/>
          <w:highlight w:val="none"/>
        </w:rPr>
        <w:t>目前地方政府性债务余额6</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831万元（一般债券4</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743万元、专项债券</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088万元）。核定我县政府性债务限额为10</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938万元，目前尚未突破债务限额。</w:t>
      </w:r>
    </w:p>
    <w:p>
      <w:pPr>
        <w:widowControl w:val="0"/>
        <w:adjustRightInd w:val="0"/>
        <w:snapToGrid w:val="0"/>
        <w:spacing w:line="576" w:lineRule="exact"/>
        <w:ind w:left="0"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需要说明的是：</w:t>
      </w:r>
      <w:r>
        <w:rPr>
          <w:rFonts w:ascii="Times New Roman" w:hAnsi="Times New Roman" w:eastAsia="仿宋_GB2312" w:cs="Times New Roman"/>
          <w:sz w:val="32"/>
          <w:szCs w:val="32"/>
          <w:highlight w:val="none"/>
        </w:rPr>
        <w:t>上述一般公共预算、政府性基金预算和</w:t>
      </w:r>
      <w:r>
        <w:rPr>
          <w:rFonts w:hint="eastAsia" w:ascii="Times New Roman" w:hAnsi="Times New Roman" w:eastAsia="仿宋_GB2312" w:cs="Times New Roman"/>
          <w:sz w:val="32"/>
          <w:szCs w:val="32"/>
          <w:highlight w:val="none"/>
          <w:lang w:val="en-US" w:eastAsia="zh-CN"/>
        </w:rPr>
        <w:t>国有资本经营预算</w:t>
      </w:r>
      <w:r>
        <w:rPr>
          <w:rFonts w:ascii="Times New Roman" w:hAnsi="Times New Roman" w:eastAsia="仿宋_GB2312" w:cs="Times New Roman"/>
          <w:sz w:val="32"/>
          <w:szCs w:val="32"/>
          <w:highlight w:val="none"/>
        </w:rPr>
        <w:t>执行及平衡情况在决算审查汇总后会有一些变化，待州级财政决算批复后，届时再向县人大常委会报告。</w:t>
      </w:r>
    </w:p>
    <w:p>
      <w:pPr>
        <w:widowControl w:val="0"/>
        <w:adjustRightInd w:val="0"/>
        <w:snapToGrid w:val="0"/>
        <w:spacing w:line="576" w:lineRule="exact"/>
        <w:ind w:left="0" w:firstLine="640" w:firstLineChars="200"/>
        <w:textAlignment w:val="center"/>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二、202</w:t>
      </w:r>
      <w:r>
        <w:rPr>
          <w:rFonts w:hint="eastAsia" w:ascii="Times New Roman" w:hAnsi="Times New Roman" w:eastAsia="黑体" w:cs="Times New Roman"/>
          <w:color w:val="000000"/>
          <w:sz w:val="32"/>
          <w:szCs w:val="32"/>
          <w:highlight w:val="none"/>
          <w:lang w:val="en-US" w:eastAsia="zh-CN"/>
        </w:rPr>
        <w:t>3</w:t>
      </w:r>
      <w:r>
        <w:rPr>
          <w:rFonts w:ascii="Times New Roman" w:hAnsi="Times New Roman" w:eastAsia="黑体" w:cs="Times New Roman"/>
          <w:color w:val="000000"/>
          <w:sz w:val="32"/>
          <w:szCs w:val="32"/>
          <w:highlight w:val="none"/>
        </w:rPr>
        <w:t>年</w:t>
      </w:r>
      <w:r>
        <w:rPr>
          <w:rFonts w:ascii="Times New Roman" w:hAnsi="Times New Roman" w:eastAsia="黑体" w:cs="Times New Roman"/>
          <w:sz w:val="32"/>
          <w:szCs w:val="32"/>
          <w:highlight w:val="none"/>
        </w:rPr>
        <w:t>落实县人大预算决议和财政重点工作情况</w:t>
      </w:r>
    </w:p>
    <w:p>
      <w:pPr>
        <w:widowControl w:val="0"/>
        <w:adjustRightInd w:val="0"/>
        <w:snapToGrid w:val="0"/>
        <w:spacing w:line="576" w:lineRule="exact"/>
        <w:ind w:left="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ascii="Times New Roman" w:hAnsi="Times New Roman" w:eastAsia="仿宋_GB2312" w:cs="Times New Roman"/>
          <w:color w:val="000000"/>
          <w:sz w:val="32"/>
          <w:szCs w:val="32"/>
          <w:highlight w:val="none"/>
        </w:rPr>
        <w:t>年</w:t>
      </w:r>
      <w:r>
        <w:rPr>
          <w:rFonts w:ascii="Times New Roman" w:hAnsi="Times New Roman" w:eastAsia="仿宋_GB2312" w:cs="Times New Roman"/>
          <w:sz w:val="32"/>
          <w:szCs w:val="32"/>
          <w:highlight w:val="none"/>
        </w:rPr>
        <w:t>财政工作始终坚持稳中求进工作总基调，</w:t>
      </w:r>
      <w:r>
        <w:rPr>
          <w:rFonts w:hint="default" w:ascii="Times New Roman" w:hAnsi="Times New Roman" w:eastAsia="仿宋_GB2312" w:cs="Times New Roman"/>
          <w:sz w:val="32"/>
          <w:szCs w:val="32"/>
          <w:highlight w:val="none"/>
        </w:rPr>
        <w:t>牢固树立“以政领财、以财辅政”的理念，切实履行新时代新征程财政工作的历史使命和时代担当，</w:t>
      </w:r>
      <w:r>
        <w:rPr>
          <w:rFonts w:hint="eastAsia" w:ascii="Times New Roman" w:hAnsi="Times New Roman" w:eastAsia="仿宋_GB2312" w:cs="Times New Roman"/>
          <w:snapToGrid w:val="0"/>
          <w:sz w:val="32"/>
          <w:szCs w:val="32"/>
          <w:highlight w:val="none"/>
          <w:lang w:val="en-US" w:eastAsia="zh-CN"/>
        </w:rPr>
        <w:t>全力以赴实现财政收支提质增效，</w:t>
      </w:r>
      <w:r>
        <w:rPr>
          <w:rFonts w:hint="default" w:ascii="Times New Roman" w:hAnsi="Times New Roman" w:eastAsia="仿宋_GB2312" w:cs="Times New Roman"/>
          <w:sz w:val="32"/>
          <w:szCs w:val="32"/>
          <w:highlight w:val="none"/>
        </w:rPr>
        <w:t>着力巩固经济恢复基础，保持经济运行在合理区间</w:t>
      </w:r>
      <w:r>
        <w:rPr>
          <w:rFonts w:hint="default" w:ascii="Times New Roman" w:hAnsi="Times New Roman" w:eastAsia="仿宋_GB2312" w:cs="Times New Roman"/>
          <w:sz w:val="32"/>
          <w:szCs w:val="32"/>
          <w:highlight w:val="none"/>
          <w:lang w:val="zh-TW"/>
        </w:rPr>
        <w:t>，</w:t>
      </w:r>
      <w:r>
        <w:rPr>
          <w:rFonts w:hint="default" w:ascii="Times New Roman" w:hAnsi="Times New Roman" w:eastAsia="仿宋_GB2312" w:cs="Times New Roman"/>
          <w:sz w:val="32"/>
          <w:szCs w:val="32"/>
          <w:highlight w:val="none"/>
        </w:rPr>
        <w:t>为全县经济社会持续健康发展提供坚实的财力保障</w:t>
      </w:r>
      <w:r>
        <w:rPr>
          <w:rFonts w:ascii="Times New Roman" w:hAnsi="Times New Roman" w:eastAsia="仿宋_GB2312" w:cs="Times New Roman"/>
          <w:sz w:val="32"/>
          <w:szCs w:val="32"/>
          <w:highlight w:val="none"/>
        </w:rPr>
        <w:t>（以下重点方面的财政投入统计，部分项目存在归类口径交叉）。</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楷体_GB2312" w:cs="Times New Roman"/>
          <w:b/>
          <w:bCs/>
          <w:sz w:val="32"/>
          <w:szCs w:val="32"/>
          <w:highlight w:val="none"/>
          <w:lang w:val="en-US" w:eastAsia="zh-CN"/>
        </w:rPr>
      </w:pPr>
      <w:r>
        <w:rPr>
          <w:rFonts w:hint="eastAsia" w:ascii="楷体_GB2312" w:hAnsi="楷体_GB2312" w:eastAsia="楷体_GB2312" w:cs="楷体_GB2312"/>
          <w:b/>
          <w:bCs/>
          <w:sz w:val="32"/>
          <w:szCs w:val="32"/>
          <w:highlight w:val="none"/>
        </w:rPr>
        <w:t>（一）严征细管、科学理财，</w:t>
      </w:r>
      <w:r>
        <w:rPr>
          <w:rFonts w:ascii="Times New Roman" w:hAnsi="Times New Roman" w:eastAsia="楷体_GB2312" w:cs="Times New Roman"/>
          <w:b/>
          <w:bCs/>
          <w:sz w:val="32"/>
          <w:szCs w:val="32"/>
          <w:highlight w:val="none"/>
        </w:rPr>
        <w:t>实现财政收入</w:t>
      </w:r>
      <w:r>
        <w:rPr>
          <w:rFonts w:hint="eastAsia" w:ascii="Times New Roman" w:hAnsi="Times New Roman" w:eastAsia="楷体_GB2312" w:cs="Times New Roman"/>
          <w:b/>
          <w:bCs/>
          <w:sz w:val="32"/>
          <w:szCs w:val="32"/>
          <w:highlight w:val="none"/>
          <w:lang w:val="en-US" w:eastAsia="zh-CN"/>
        </w:rPr>
        <w:t>稳中趋增。</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——努力提升征管能力。</w:t>
      </w:r>
      <w:r>
        <w:rPr>
          <w:rFonts w:hint="default" w:ascii="Times New Roman" w:hAnsi="Times New Roman" w:eastAsia="仿宋_GB2312" w:cs="Times New Roman"/>
          <w:sz w:val="32"/>
          <w:szCs w:val="32"/>
          <w:highlight w:val="none"/>
          <w:lang w:val="en-US" w:eastAsia="zh-CN"/>
        </w:rPr>
        <w:t>完善财税协同机制，主动作为，努力挖潜增收，进一步加强重点区域、重点行业、重点企业税源管控，把经济发展优势转化为税收收入增势。坚持依法理财，严禁坐收坐支，违规调库、混库，坚决防止隐瞒和截留财政收入，充分挖掘非税收入潜力，圆满完成</w:t>
      </w:r>
      <w:r>
        <w:rPr>
          <w:rFonts w:hint="eastAsia" w:ascii="Times New Roman" w:hAnsi="Times New Roman" w:eastAsia="仿宋_GB2312" w:cs="Times New Roman"/>
          <w:sz w:val="32"/>
          <w:szCs w:val="32"/>
          <w:highlight w:val="none"/>
          <w:lang w:val="en-US" w:eastAsia="zh-CN"/>
        </w:rPr>
        <w:t>全年</w:t>
      </w:r>
      <w:r>
        <w:rPr>
          <w:rFonts w:hint="default" w:ascii="Times New Roman" w:hAnsi="Times New Roman" w:eastAsia="仿宋_GB2312" w:cs="Times New Roman"/>
          <w:sz w:val="32"/>
          <w:szCs w:val="32"/>
          <w:highlight w:val="none"/>
          <w:lang w:val="en-US" w:eastAsia="zh-CN"/>
        </w:rPr>
        <w:t>收入</w:t>
      </w:r>
      <w:r>
        <w:rPr>
          <w:rFonts w:hint="eastAsia" w:ascii="Times New Roman" w:hAnsi="Times New Roman" w:eastAsia="仿宋_GB2312" w:cs="Times New Roman"/>
          <w:sz w:val="32"/>
          <w:szCs w:val="32"/>
          <w:highlight w:val="none"/>
          <w:lang w:val="en-US" w:eastAsia="zh-CN"/>
        </w:rPr>
        <w:t>既定</w:t>
      </w:r>
      <w:r>
        <w:rPr>
          <w:rFonts w:hint="default" w:ascii="Times New Roman" w:hAnsi="Times New Roman" w:eastAsia="仿宋_GB2312" w:cs="Times New Roman"/>
          <w:sz w:val="32"/>
          <w:szCs w:val="32"/>
          <w:highlight w:val="none"/>
          <w:lang w:val="en-US" w:eastAsia="zh-CN"/>
        </w:rPr>
        <w:t>目标。</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——积极争取上级专项。</w:t>
      </w:r>
      <w:r>
        <w:rPr>
          <w:rFonts w:hint="default" w:ascii="Times New Roman" w:hAnsi="Times New Roman" w:eastAsia="仿宋_GB2312" w:cs="Times New Roman"/>
          <w:sz w:val="32"/>
          <w:szCs w:val="32"/>
          <w:highlight w:val="none"/>
          <w:lang w:val="en-US" w:eastAsia="zh-CN"/>
        </w:rPr>
        <w:t>认真研究国家、省州重点产业和重点领域资金投入政策，积极争取债券</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000万元，重点生态功能区资金</w:t>
      </w:r>
      <w:r>
        <w:rPr>
          <w:rFonts w:hint="eastAsia" w:ascii="Times New Roman" w:hAnsi="Times New Roman" w:eastAsia="仿宋_GB2312" w:cs="Times New Roman"/>
          <w:sz w:val="32"/>
          <w:szCs w:val="32"/>
          <w:highlight w:val="none"/>
          <w:lang w:val="en-US" w:eastAsia="zh-CN"/>
        </w:rPr>
        <w:t>10771</w:t>
      </w:r>
      <w:r>
        <w:rPr>
          <w:rFonts w:hint="default" w:ascii="Times New Roman" w:hAnsi="Times New Roman" w:eastAsia="仿宋_GB2312" w:cs="Times New Roman"/>
          <w:sz w:val="32"/>
          <w:szCs w:val="32"/>
          <w:highlight w:val="none"/>
          <w:lang w:val="en-US" w:eastAsia="zh-CN"/>
        </w:rPr>
        <w:t>万元、山水林田湖草沙奖补资金10654万元、衔接推进乡村振兴补助资金</w:t>
      </w:r>
      <w:r>
        <w:rPr>
          <w:rFonts w:hint="eastAsia" w:ascii="Times New Roman" w:hAnsi="Times New Roman" w:eastAsia="仿宋_GB2312" w:cs="Times New Roman"/>
          <w:sz w:val="32"/>
          <w:szCs w:val="32"/>
          <w:highlight w:val="none"/>
          <w:lang w:val="en-US" w:eastAsia="zh-CN"/>
        </w:rPr>
        <w:t>10672</w:t>
      </w:r>
      <w:r>
        <w:rPr>
          <w:rFonts w:hint="default" w:ascii="Times New Roman" w:hAnsi="Times New Roman" w:eastAsia="仿宋_GB2312" w:cs="Times New Roman"/>
          <w:sz w:val="32"/>
          <w:szCs w:val="32"/>
          <w:highlight w:val="none"/>
          <w:lang w:val="en-US" w:eastAsia="zh-CN"/>
        </w:rPr>
        <w:t>万元、低温粮库建设资金950万元</w:t>
      </w:r>
      <w:r>
        <w:rPr>
          <w:rFonts w:hint="eastAsia" w:ascii="Times New Roman" w:hAnsi="Times New Roman" w:eastAsia="仿宋_GB2312" w:cs="Times New Roman"/>
          <w:sz w:val="32"/>
          <w:szCs w:val="32"/>
          <w:highlight w:val="none"/>
          <w:lang w:val="en-US" w:eastAsia="zh-CN"/>
        </w:rPr>
        <w:t>、岷江川主寺镇至青云段水污染综合治理项目2500万元</w:t>
      </w:r>
      <w:r>
        <w:rPr>
          <w:rFonts w:hint="default" w:ascii="Times New Roman" w:hAnsi="Times New Roman" w:eastAsia="仿宋_GB2312" w:cs="Times New Roman"/>
          <w:sz w:val="32"/>
          <w:szCs w:val="32"/>
          <w:highlight w:val="none"/>
          <w:lang w:val="en-US" w:eastAsia="zh-CN"/>
        </w:rPr>
        <w:t>等各类上级转移支付</w:t>
      </w:r>
      <w:r>
        <w:rPr>
          <w:rFonts w:hint="eastAsia" w:ascii="Times New Roman" w:hAnsi="Times New Roman" w:eastAsia="仿宋_GB2312" w:cs="Times New Roman"/>
          <w:sz w:val="32"/>
          <w:szCs w:val="32"/>
          <w:highlight w:val="none"/>
          <w:lang w:val="en-US" w:eastAsia="zh-CN"/>
        </w:rPr>
        <w:t>173479</w:t>
      </w:r>
      <w:r>
        <w:rPr>
          <w:rFonts w:hint="default"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color w:val="auto"/>
          <w:sz w:val="32"/>
          <w:szCs w:val="32"/>
          <w:highlight w:val="none"/>
          <w:lang w:val="en-US" w:eastAsia="zh-CN"/>
        </w:rPr>
        <w:t>元，</w:t>
      </w:r>
      <w:r>
        <w:rPr>
          <w:rFonts w:hint="default" w:ascii="Times New Roman" w:hAnsi="Times New Roman" w:eastAsia="仿宋_GB2312" w:cs="Times New Roman"/>
          <w:sz w:val="32"/>
          <w:szCs w:val="32"/>
          <w:highlight w:val="none"/>
          <w:lang w:val="en-US" w:eastAsia="zh-CN"/>
        </w:rPr>
        <w:t>进一步充实保障财力。</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——切实优化支出结构。</w:t>
      </w:r>
      <w:r>
        <w:rPr>
          <w:rFonts w:hint="default" w:ascii="Times New Roman" w:hAnsi="Times New Roman" w:eastAsia="仿宋_GB2312" w:cs="Times New Roman"/>
          <w:sz w:val="32"/>
          <w:szCs w:val="32"/>
          <w:highlight w:val="none"/>
          <w:lang w:val="en-US" w:eastAsia="zh-CN"/>
        </w:rPr>
        <w:t>坚决兜住“保</w:t>
      </w:r>
      <w:r>
        <w:rPr>
          <w:rFonts w:hint="eastAsia" w:ascii="Times New Roman" w:hAnsi="Times New Roman" w:eastAsia="仿宋_GB2312" w:cs="Times New Roman"/>
          <w:sz w:val="32"/>
          <w:szCs w:val="32"/>
          <w:highlight w:val="none"/>
          <w:lang w:val="en-US" w:eastAsia="zh-CN"/>
        </w:rPr>
        <w:t>基本</w:t>
      </w:r>
      <w:r>
        <w:rPr>
          <w:rFonts w:hint="default" w:ascii="Times New Roman" w:hAnsi="Times New Roman" w:eastAsia="仿宋_GB2312" w:cs="Times New Roman"/>
          <w:sz w:val="32"/>
          <w:szCs w:val="32"/>
          <w:highlight w:val="none"/>
          <w:lang w:val="en-US" w:eastAsia="zh-CN"/>
        </w:rPr>
        <w:t>民生</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保工资、保运转”底线，确保“三保”支出不留缺口，在“谋”字上做文章、在“管”字上下功夫、在“干”字上求实效，严格按照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过紧日子</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思想的要求，不断提高民生支出占比和基本公共服务均等化水平，坚持做到节用为民，确保民生支出比始终保持70%以上</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——支持中小企业发展。</w:t>
      </w:r>
      <w:r>
        <w:rPr>
          <w:rFonts w:hint="default" w:ascii="Times New Roman" w:hAnsi="Times New Roman" w:eastAsia="仿宋_GB2312" w:cs="Times New Roman"/>
          <w:sz w:val="32"/>
          <w:szCs w:val="32"/>
          <w:highlight w:val="none"/>
          <w:lang w:val="en-US" w:eastAsia="zh-CN"/>
        </w:rPr>
        <w:t>严格执行政府采购促进中小企业发展的相关政策，面向中小企业采购预留项目</w:t>
      </w:r>
      <w:r>
        <w:rPr>
          <w:rFonts w:hint="eastAsia" w:ascii="Times New Roman" w:hAnsi="Times New Roman" w:eastAsia="仿宋_GB2312" w:cs="Times New Roman"/>
          <w:sz w:val="32"/>
          <w:szCs w:val="32"/>
          <w:highlight w:val="none"/>
          <w:lang w:val="en-US" w:eastAsia="zh-CN"/>
        </w:rPr>
        <w:t>63</w:t>
      </w:r>
      <w:r>
        <w:rPr>
          <w:rFonts w:hint="default" w:ascii="Times New Roman" w:hAnsi="Times New Roman" w:eastAsia="仿宋_GB2312" w:cs="Times New Roman"/>
          <w:sz w:val="32"/>
          <w:szCs w:val="32"/>
          <w:highlight w:val="none"/>
          <w:lang w:val="en-US" w:eastAsia="zh-CN"/>
        </w:rPr>
        <w:t>个，预算资金</w:t>
      </w:r>
      <w:r>
        <w:rPr>
          <w:rFonts w:hint="eastAsia" w:ascii="Times New Roman" w:hAnsi="Times New Roman" w:eastAsia="仿宋_GB2312" w:cs="Times New Roman"/>
          <w:sz w:val="32"/>
          <w:szCs w:val="32"/>
          <w:highlight w:val="none"/>
          <w:lang w:val="en-US" w:eastAsia="zh-CN"/>
        </w:rPr>
        <w:t>6853</w:t>
      </w:r>
      <w:r>
        <w:rPr>
          <w:rFonts w:hint="default" w:ascii="Times New Roman" w:hAnsi="Times New Roman" w:eastAsia="仿宋_GB2312" w:cs="Times New Roman"/>
          <w:sz w:val="32"/>
          <w:szCs w:val="32"/>
          <w:highlight w:val="none"/>
          <w:lang w:val="en-US" w:eastAsia="zh-CN"/>
        </w:rPr>
        <w:t>万元，中标金额</w:t>
      </w:r>
      <w:r>
        <w:rPr>
          <w:rFonts w:hint="eastAsia" w:ascii="Times New Roman" w:hAnsi="Times New Roman" w:eastAsia="仿宋_GB2312" w:cs="Times New Roman"/>
          <w:sz w:val="32"/>
          <w:szCs w:val="32"/>
          <w:highlight w:val="none"/>
          <w:lang w:val="en-US" w:eastAsia="zh-CN"/>
        </w:rPr>
        <w:t>6205</w:t>
      </w:r>
      <w:r>
        <w:rPr>
          <w:rFonts w:hint="default" w:ascii="Times New Roman" w:hAnsi="Times New Roman" w:eastAsia="仿宋_GB2312" w:cs="Times New Roman"/>
          <w:sz w:val="32"/>
          <w:szCs w:val="32"/>
          <w:highlight w:val="none"/>
          <w:lang w:val="en-US" w:eastAsia="zh-CN"/>
        </w:rPr>
        <w:t>万元；县级财政安排资金</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万元，开展“助困纾企·助商惠民·乐购松潘”消费券发放活动，带动个体工商户交易金额200余万元，助推民营经济高质量发展。</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（二）聚焦重点、精准施策，推动民生福祉落地生花。</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sz w:val="32"/>
          <w:szCs w:val="32"/>
          <w:highlight w:val="none"/>
          <w:lang w:val="en-US" w:eastAsia="zh-CN"/>
        </w:rPr>
        <w:t>——乡村振兴蓄势赋能</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严格落实“四不摘”政策，一以贯之把农业农村作为财政优先保障领域，</w:t>
      </w:r>
      <w:r>
        <w:rPr>
          <w:rFonts w:hint="default" w:ascii="Times New Roman" w:hAnsi="Times New Roman" w:eastAsia="仿宋_GB2312" w:cs="Times New Roman"/>
          <w:sz w:val="32"/>
          <w:szCs w:val="32"/>
          <w:highlight w:val="none"/>
          <w:lang w:val="en-US" w:eastAsia="zh-CN"/>
        </w:rPr>
        <w:t>整合</w:t>
      </w:r>
      <w:r>
        <w:rPr>
          <w:rFonts w:hint="eastAsia" w:ascii="Times New Roman" w:hAnsi="Times New Roman" w:eastAsia="仿宋_GB2312" w:cs="Times New Roman"/>
          <w:sz w:val="32"/>
          <w:szCs w:val="32"/>
          <w:highlight w:val="none"/>
          <w:lang w:val="en-US" w:eastAsia="zh-CN"/>
        </w:rPr>
        <w:t>涉农</w:t>
      </w:r>
      <w:r>
        <w:rPr>
          <w:rFonts w:hint="default" w:ascii="Times New Roman" w:hAnsi="Times New Roman" w:eastAsia="仿宋_GB2312" w:cs="Times New Roman"/>
          <w:sz w:val="32"/>
          <w:szCs w:val="32"/>
          <w:highlight w:val="none"/>
          <w:lang w:val="en-US" w:eastAsia="zh-CN"/>
        </w:rPr>
        <w:t>资金</w:t>
      </w:r>
      <w:r>
        <w:rPr>
          <w:rFonts w:hint="eastAsia" w:ascii="Times New Roman" w:hAnsi="Times New Roman" w:eastAsia="仿宋_GB2312" w:cs="Times New Roman"/>
          <w:sz w:val="32"/>
          <w:szCs w:val="32"/>
          <w:highlight w:val="none"/>
          <w:lang w:val="en-US" w:eastAsia="zh-CN"/>
        </w:rPr>
        <w:t>11212</w:t>
      </w:r>
      <w:r>
        <w:rPr>
          <w:rFonts w:hint="default" w:ascii="Times New Roman" w:hAnsi="Times New Roman" w:eastAsia="仿宋_GB2312" w:cs="Times New Roman"/>
          <w:sz w:val="32"/>
          <w:szCs w:val="32"/>
          <w:highlight w:val="none"/>
          <w:lang w:val="en-US" w:eastAsia="zh-CN"/>
        </w:rPr>
        <w:t>万元，实施项目</w:t>
      </w:r>
      <w:r>
        <w:rPr>
          <w:rFonts w:hint="eastAsia" w:ascii="Times New Roman" w:hAnsi="Times New Roman" w:eastAsia="仿宋_GB2312" w:cs="Times New Roman"/>
          <w:sz w:val="32"/>
          <w:szCs w:val="32"/>
          <w:highlight w:val="none"/>
          <w:lang w:val="en-US" w:eastAsia="zh-CN"/>
        </w:rPr>
        <w:t>51</w:t>
      </w:r>
      <w:r>
        <w:rPr>
          <w:rFonts w:hint="default" w:ascii="Times New Roman" w:hAnsi="Times New Roman" w:eastAsia="仿宋_GB2312" w:cs="Times New Roman"/>
          <w:sz w:val="32"/>
          <w:szCs w:val="32"/>
          <w:highlight w:val="none"/>
          <w:lang w:val="en-US" w:eastAsia="zh-CN"/>
        </w:rPr>
        <w:t>个，全力提升“五网”建设水平</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推进“5+N”现代农</w:t>
      </w:r>
      <w:r>
        <w:rPr>
          <w:rFonts w:hint="eastAsia" w:ascii="Times New Roman" w:hAnsi="Times New Roman" w:eastAsia="仿宋_GB2312" w:cs="Times New Roman"/>
          <w:sz w:val="32"/>
          <w:szCs w:val="32"/>
          <w:highlight w:val="none"/>
          <w:lang w:val="en-US" w:eastAsia="zh-CN"/>
        </w:rPr>
        <w:t>牧</w:t>
      </w:r>
      <w:r>
        <w:rPr>
          <w:rFonts w:hint="default" w:ascii="Times New Roman" w:hAnsi="Times New Roman" w:eastAsia="仿宋_GB2312" w:cs="Times New Roman"/>
          <w:sz w:val="32"/>
          <w:szCs w:val="32"/>
          <w:highlight w:val="none"/>
          <w:lang w:val="en-US" w:eastAsia="zh-CN"/>
        </w:rPr>
        <w:t>业产业体系发展，</w:t>
      </w:r>
      <w:r>
        <w:rPr>
          <w:rFonts w:hint="eastAsia"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lang w:val="en-US" w:eastAsia="zh-CN"/>
        </w:rPr>
        <w:t>藏红花椒现代农业园区</w:t>
      </w:r>
      <w:r>
        <w:rPr>
          <w:rFonts w:hint="eastAsia" w:ascii="Times New Roman" w:hAnsi="Times New Roman" w:eastAsia="仿宋_GB2312" w:cs="Times New Roman"/>
          <w:sz w:val="32"/>
          <w:szCs w:val="32"/>
          <w:highlight w:val="none"/>
          <w:lang w:val="en-US" w:eastAsia="zh-CN"/>
        </w:rPr>
        <w:t>和松潘县</w:t>
      </w:r>
      <w:r>
        <w:rPr>
          <w:rFonts w:hint="default" w:ascii="Times New Roman" w:hAnsi="Times New Roman" w:eastAsia="仿宋_GB2312" w:cs="Times New Roman"/>
          <w:sz w:val="32"/>
          <w:szCs w:val="32"/>
          <w:highlight w:val="none"/>
          <w:lang w:val="en-US" w:eastAsia="zh-CN"/>
        </w:rPr>
        <w:t>高原蔬菜现代农业园区</w:t>
      </w:r>
      <w:r>
        <w:rPr>
          <w:rFonts w:hint="eastAsia" w:ascii="Times New Roman" w:hAnsi="Times New Roman" w:eastAsia="仿宋_GB2312" w:cs="Times New Roman"/>
          <w:sz w:val="32"/>
          <w:szCs w:val="32"/>
          <w:highlight w:val="none"/>
          <w:lang w:val="en-US" w:eastAsia="zh-CN"/>
        </w:rPr>
        <w:t>创建成为阿坝州4星级现代</w:t>
      </w:r>
      <w:r>
        <w:rPr>
          <w:rFonts w:hint="eastAsia" w:ascii="Times New Roman" w:hAnsi="Times New Roman" w:eastAsia="仿宋_GB2312" w:cs="Times New Roman"/>
          <w:color w:val="auto"/>
          <w:sz w:val="32"/>
          <w:szCs w:val="32"/>
          <w:highlight w:val="none"/>
          <w:lang w:val="en-US" w:eastAsia="zh-CN"/>
        </w:rPr>
        <w:t>农业园区。</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全面推进政策性农业保险，</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完成</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0.8</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万亩高标准农田建设，加快“菜篮子”工程冷链设施建设示范县项目</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建设</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——生态建设持续推进。</w:t>
      </w:r>
      <w:r>
        <w:rPr>
          <w:rFonts w:hint="eastAsia" w:ascii="Times New Roman" w:hAnsi="Times New Roman" w:eastAsia="仿宋_GB2312" w:cs="Times New Roman"/>
          <w:sz w:val="32"/>
          <w:szCs w:val="32"/>
          <w:highlight w:val="none"/>
          <w:lang w:val="en-US" w:eastAsia="zh-CN"/>
        </w:rPr>
        <w:t>积极统筹资金18848万元，</w:t>
      </w:r>
      <w:r>
        <w:rPr>
          <w:rFonts w:hint="default" w:ascii="Times New Roman" w:hAnsi="Times New Roman" w:eastAsia="仿宋_GB2312" w:cs="Times New Roman"/>
          <w:sz w:val="32"/>
          <w:szCs w:val="32"/>
          <w:highlight w:val="none"/>
          <w:lang w:val="en-US" w:eastAsia="zh-CN"/>
        </w:rPr>
        <w:t>扛牢上游责任，严格执行“三线一单”，全力巩固国家生态文明建设示范区创建成果。</w:t>
      </w:r>
      <w:r>
        <w:rPr>
          <w:rFonts w:hint="eastAsia" w:ascii="Times New Roman" w:hAnsi="Times New Roman" w:eastAsia="仿宋_GB2312" w:cs="Times New Roman"/>
          <w:sz w:val="32"/>
          <w:szCs w:val="32"/>
          <w:highlight w:val="none"/>
          <w:lang w:val="en-US" w:eastAsia="zh-CN"/>
        </w:rPr>
        <w:t>加快</w:t>
      </w:r>
      <w:r>
        <w:rPr>
          <w:rFonts w:hint="default" w:ascii="Times New Roman" w:hAnsi="Times New Roman" w:eastAsia="仿宋_GB2312" w:cs="Times New Roman"/>
          <w:sz w:val="32"/>
          <w:szCs w:val="32"/>
          <w:highlight w:val="none"/>
          <w:lang w:val="en-US" w:eastAsia="zh-CN"/>
        </w:rPr>
        <w:t>森林抚育、沙化治理、退化林草地修复、地灾治理，严格黄河上游水源涵养生态综合治理和安全饮水提升改造，综合运用财政资金引导、着力推动“山水林田湖草沙冰一体化”生态修复，有序推进旧堡子电站退出，促进生态环境持续改善，加快松潘“高原生态家园”建设步伐。</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——项目</w:t>
      </w:r>
      <w:r>
        <w:rPr>
          <w:rFonts w:hint="eastAsia" w:ascii="Times New Roman" w:hAnsi="Times New Roman" w:eastAsia="仿宋_GB2312" w:cs="Times New Roman"/>
          <w:b/>
          <w:bCs/>
          <w:sz w:val="32"/>
          <w:szCs w:val="32"/>
          <w:highlight w:val="none"/>
          <w:lang w:val="en-US" w:eastAsia="zh-CN"/>
        </w:rPr>
        <w:t>保障有力有度</w:t>
      </w: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积极统筹资金，稳步推进政府性投资项目建设，</w:t>
      </w:r>
      <w:r>
        <w:rPr>
          <w:rFonts w:hint="default" w:ascii="Times New Roman" w:hAnsi="Times New Roman" w:eastAsia="仿宋_GB2312" w:cs="Times New Roman"/>
          <w:sz w:val="32"/>
          <w:szCs w:val="32"/>
          <w:highlight w:val="none"/>
          <w:lang w:val="en-US" w:eastAsia="zh-CN"/>
        </w:rPr>
        <w:t>实施古城提升工程，升级古城历史文化街区，加快镇江关镇、红土镇等5个中心镇“六大提升工程”，川主寺镇</w:t>
      </w:r>
      <w:r>
        <w:rPr>
          <w:rFonts w:hint="eastAsia" w:ascii="Times New Roman" w:hAnsi="Times New Roman" w:eastAsia="仿宋_GB2312" w:cs="Times New Roman"/>
          <w:sz w:val="32"/>
          <w:szCs w:val="32"/>
          <w:highlight w:val="none"/>
          <w:lang w:val="en-US" w:eastAsia="zh-CN"/>
        </w:rPr>
        <w:t>命名省级百强中心镇</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提升口岸物流、冷链物流、仓储物流能力，</w:t>
      </w:r>
      <w:r>
        <w:rPr>
          <w:rFonts w:hint="default" w:ascii="Times New Roman" w:hAnsi="Times New Roman" w:eastAsia="仿宋_GB2312" w:cs="Times New Roman"/>
          <w:sz w:val="32"/>
          <w:szCs w:val="32"/>
          <w:highlight w:val="none"/>
          <w:lang w:val="en-US" w:eastAsia="zh-CN"/>
        </w:rPr>
        <w:t>加快构建“内畅外联互通”的综合交通体系，</w:t>
      </w:r>
      <w:r>
        <w:rPr>
          <w:rFonts w:hint="eastAsia" w:ascii="Times New Roman" w:hAnsi="Times New Roman" w:eastAsia="仿宋_GB2312" w:cs="Times New Roman"/>
          <w:sz w:val="32"/>
          <w:szCs w:val="32"/>
          <w:highlight w:val="none"/>
          <w:lang w:val="en-US" w:eastAsia="zh-CN"/>
        </w:rPr>
        <w:t>争取债券资金同步加快松潘站站前广场建设，国道213松潘县城过境段改线工程、川青铁路青白江东至镇江关段建成使用。</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——文旅产业</w:t>
      </w:r>
      <w:r>
        <w:rPr>
          <w:rFonts w:hint="eastAsia" w:ascii="Times New Roman" w:hAnsi="Times New Roman" w:eastAsia="仿宋_GB2312" w:cs="Times New Roman"/>
          <w:b/>
          <w:bCs/>
          <w:color w:val="auto"/>
          <w:sz w:val="32"/>
          <w:szCs w:val="32"/>
          <w:highlight w:val="none"/>
          <w:lang w:val="en-US" w:eastAsia="zh-CN"/>
        </w:rPr>
        <w:t>提档升级</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积极统筹资金4884万元，</w:t>
      </w:r>
      <w:r>
        <w:rPr>
          <w:rFonts w:hint="default" w:ascii="Times New Roman" w:hAnsi="Times New Roman" w:eastAsia="仿宋_GB2312" w:cs="Times New Roman"/>
          <w:color w:val="auto"/>
          <w:sz w:val="32"/>
          <w:szCs w:val="32"/>
          <w:highlight w:val="none"/>
          <w:lang w:val="en-US" w:eastAsia="zh-CN"/>
        </w:rPr>
        <w:t>主动融入成渝地区双城经济圈建设，围绕“天府旅游名县”“国家历史文化名城”申创，“川</w:t>
      </w:r>
      <w:r>
        <w:rPr>
          <w:rFonts w:hint="default" w:ascii="Times New Roman" w:hAnsi="Times New Roman" w:eastAsia="仿宋_GB2312" w:cs="Times New Roman"/>
          <w:color w:val="auto"/>
          <w:spacing w:val="-6"/>
          <w:sz w:val="32"/>
          <w:szCs w:val="32"/>
          <w:highlight w:val="none"/>
          <w:lang w:val="en-US" w:eastAsia="zh-CN"/>
        </w:rPr>
        <w:t>甘青物流中心和文化旅游集散中心”“长征国家文化公园”建设，高质量举办“黄龙极限耐力赛”“岷山雪宝顶冰雪登山节”</w:t>
      </w:r>
      <w:r>
        <w:rPr>
          <w:rFonts w:hint="eastAsia" w:ascii="Times New Roman" w:hAnsi="Times New Roman" w:eastAsia="仿宋_GB2312" w:cs="Times New Roman"/>
          <w:color w:val="auto"/>
          <w:spacing w:val="-6"/>
          <w:sz w:val="32"/>
          <w:szCs w:val="32"/>
          <w:highlight w:val="none"/>
          <w:lang w:val="en-US" w:eastAsia="zh-CN"/>
        </w:rPr>
        <w:t>“2023年四川红叶生态旅游节子活动暨松潘县第七届古城花灯红叶节和岷江源音乐季”系列活动，进一步拉动消费“乘数效应”。</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（三）统筹兼顾、持续发力，促进社会事业更上台阶。</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——支持教育优质均衡发展。</w:t>
      </w:r>
      <w:r>
        <w:rPr>
          <w:rFonts w:hint="default" w:ascii="Times New Roman" w:hAnsi="Times New Roman" w:eastAsia="仿宋_GB2312" w:cs="Times New Roman"/>
          <w:color w:val="auto"/>
          <w:sz w:val="32"/>
          <w:szCs w:val="32"/>
          <w:highlight w:val="none"/>
          <w:lang w:val="en-US" w:eastAsia="zh-CN"/>
        </w:rPr>
        <w:t>投入教育资金</w:t>
      </w:r>
      <w:r>
        <w:rPr>
          <w:rFonts w:hint="eastAsia" w:ascii="Times New Roman" w:hAnsi="Times New Roman" w:eastAsia="仿宋_GB2312" w:cs="Times New Roman"/>
          <w:color w:val="auto"/>
          <w:sz w:val="32"/>
          <w:szCs w:val="32"/>
          <w:highlight w:val="none"/>
          <w:lang w:val="en-US" w:eastAsia="zh-CN"/>
        </w:rPr>
        <w:t>36496</w:t>
      </w:r>
      <w:r>
        <w:rPr>
          <w:rFonts w:hint="default" w:ascii="Times New Roman" w:hAnsi="Times New Roman" w:eastAsia="仿宋_GB2312" w:cs="Times New Roman"/>
          <w:color w:val="auto"/>
          <w:sz w:val="32"/>
          <w:szCs w:val="32"/>
          <w:highlight w:val="none"/>
          <w:lang w:val="en-US" w:eastAsia="zh-CN"/>
        </w:rPr>
        <w:t>万元，全面落实教育惠民政策，推动十五年免费教育事业健康发展，持续加强农村义务教育薄弱环节建设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加快</w:t>
      </w:r>
      <w:r>
        <w:rPr>
          <w:rFonts w:hint="eastAsia" w:ascii="Times New Roman" w:hAnsi="Times New Roman" w:eastAsia="仿宋_GB2312" w:cs="Times New Roman"/>
          <w:color w:val="auto"/>
          <w:sz w:val="32"/>
          <w:szCs w:val="32"/>
          <w:highlight w:val="none"/>
          <w:lang w:val="en-US" w:eastAsia="zh-CN"/>
        </w:rPr>
        <w:t>实施十里乡中心幼儿园建设、川主寺镇第二小学综合楼</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深入推进教师“县管校聘”体制改革，</w:t>
      </w:r>
      <w:r>
        <w:rPr>
          <w:rFonts w:hint="default" w:ascii="Times New Roman" w:hAnsi="Times New Roman" w:eastAsia="仿宋_GB2312" w:cs="Times New Roman"/>
          <w:color w:val="auto"/>
          <w:sz w:val="32"/>
          <w:szCs w:val="32"/>
          <w:highlight w:val="none"/>
          <w:lang w:val="en-US" w:eastAsia="zh-CN"/>
        </w:rPr>
        <w:t>全面促进学前教育普惠化、义务教育均衡化、高中教育特色化发展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促进教育公平和质量提升。</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——支持全民健康共建共享。</w:t>
      </w:r>
      <w:r>
        <w:rPr>
          <w:rFonts w:hint="default" w:ascii="Times New Roman" w:hAnsi="Times New Roman" w:eastAsia="仿宋_GB2312" w:cs="Times New Roman"/>
          <w:color w:val="auto"/>
          <w:sz w:val="32"/>
          <w:szCs w:val="32"/>
          <w:highlight w:val="none"/>
          <w:lang w:val="en-US" w:eastAsia="zh-CN"/>
        </w:rPr>
        <w:t>安排卫生健康资金</w:t>
      </w:r>
      <w:r>
        <w:rPr>
          <w:rFonts w:hint="eastAsia" w:ascii="Times New Roman" w:hAnsi="Times New Roman" w:eastAsia="仿宋_GB2312" w:cs="Times New Roman"/>
          <w:color w:val="auto"/>
          <w:sz w:val="32"/>
          <w:szCs w:val="32"/>
          <w:highlight w:val="none"/>
          <w:lang w:val="en-US" w:eastAsia="zh-CN"/>
        </w:rPr>
        <w:t>17628</w:t>
      </w:r>
      <w:r>
        <w:rPr>
          <w:rFonts w:hint="default" w:ascii="Times New Roman" w:hAnsi="Times New Roman" w:eastAsia="仿宋_GB2312" w:cs="Times New Roman"/>
          <w:color w:val="auto"/>
          <w:sz w:val="32"/>
          <w:szCs w:val="32"/>
          <w:highlight w:val="none"/>
          <w:lang w:val="en-US" w:eastAsia="zh-CN"/>
        </w:rPr>
        <w:t>万元，加大对医疗卫生</w:t>
      </w:r>
      <w:r>
        <w:rPr>
          <w:rFonts w:hint="eastAsia" w:ascii="Times New Roman" w:hAnsi="Times New Roman" w:eastAsia="仿宋_GB2312" w:cs="Times New Roman"/>
          <w:color w:val="auto"/>
          <w:sz w:val="32"/>
          <w:szCs w:val="32"/>
          <w:highlight w:val="none"/>
          <w:lang w:val="en-US" w:eastAsia="zh-CN"/>
        </w:rPr>
        <w:t>事业</w:t>
      </w:r>
      <w:r>
        <w:rPr>
          <w:rFonts w:hint="default" w:ascii="Times New Roman" w:hAnsi="Times New Roman" w:eastAsia="仿宋_GB2312" w:cs="Times New Roman"/>
          <w:color w:val="auto"/>
          <w:sz w:val="32"/>
          <w:szCs w:val="32"/>
          <w:highlight w:val="none"/>
          <w:lang w:val="en-US" w:eastAsia="zh-CN"/>
        </w:rPr>
        <w:t>的投入，全面推开公立医院综合改革，健全重大</w:t>
      </w:r>
      <w:r>
        <w:rPr>
          <w:rFonts w:hint="eastAsia" w:ascii="Times New Roman" w:hAnsi="Times New Roman" w:eastAsia="仿宋_GB2312" w:cs="Times New Roman"/>
          <w:color w:val="auto"/>
          <w:sz w:val="32"/>
          <w:szCs w:val="32"/>
          <w:highlight w:val="none"/>
          <w:lang w:val="en-US" w:eastAsia="zh-CN"/>
        </w:rPr>
        <w:t>公共卫生服务</w:t>
      </w:r>
      <w:r>
        <w:rPr>
          <w:rFonts w:hint="default" w:ascii="Times New Roman" w:hAnsi="Times New Roman" w:eastAsia="仿宋_GB2312" w:cs="Times New Roman"/>
          <w:color w:val="auto"/>
          <w:sz w:val="32"/>
          <w:szCs w:val="32"/>
          <w:highlight w:val="none"/>
          <w:lang w:val="en-US" w:eastAsia="zh-CN"/>
        </w:rPr>
        <w:t>和应急物资保障体系，</w:t>
      </w:r>
      <w:r>
        <w:rPr>
          <w:rFonts w:hint="eastAsia" w:ascii="Times New Roman" w:hAnsi="Times New Roman" w:eastAsia="仿宋_GB2312" w:cs="Times New Roman"/>
          <w:color w:val="auto"/>
          <w:sz w:val="32"/>
          <w:szCs w:val="32"/>
          <w:highlight w:val="none"/>
          <w:lang w:val="en-US" w:eastAsia="zh-CN"/>
        </w:rPr>
        <w:t>成功创建省级慢性病综合防控示范区</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争取</w:t>
      </w:r>
      <w:r>
        <w:rPr>
          <w:rFonts w:hint="default" w:ascii="Times New Roman" w:hAnsi="Times New Roman" w:eastAsia="仿宋_GB2312" w:cs="Times New Roman"/>
          <w:color w:val="auto"/>
          <w:sz w:val="32"/>
          <w:szCs w:val="32"/>
          <w:highlight w:val="none"/>
          <w:lang w:val="en-US" w:eastAsia="zh-CN"/>
        </w:rPr>
        <w:t>县人民医院优质高效医疗服务体系及综合救治能力提升项目</w:t>
      </w:r>
      <w:r>
        <w:rPr>
          <w:rFonts w:hint="eastAsia" w:ascii="Times New Roman" w:hAnsi="Times New Roman" w:eastAsia="仿宋_GB2312" w:cs="Times New Roman"/>
          <w:color w:val="auto"/>
          <w:sz w:val="32"/>
          <w:szCs w:val="32"/>
          <w:highlight w:val="none"/>
          <w:lang w:val="en-US" w:eastAsia="zh-CN"/>
        </w:rPr>
        <w:t>建设专项债券资金</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进一步提升医疗救治能力水平，</w:t>
      </w:r>
      <w:r>
        <w:rPr>
          <w:rFonts w:hint="default" w:ascii="Times New Roman" w:hAnsi="Times New Roman" w:eastAsia="仿宋_GB2312" w:cs="Times New Roman"/>
          <w:color w:val="auto"/>
          <w:sz w:val="32"/>
          <w:szCs w:val="32"/>
          <w:highlight w:val="none"/>
          <w:lang w:val="en-US" w:eastAsia="zh-CN"/>
        </w:rPr>
        <w:t>持续深入推进健康松潘建设</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——支持社会保障</w:t>
      </w:r>
      <w:r>
        <w:rPr>
          <w:rFonts w:hint="eastAsia" w:ascii="Times New Roman" w:hAnsi="Times New Roman" w:eastAsia="仿宋_GB2312" w:cs="Times New Roman"/>
          <w:b/>
          <w:bCs/>
          <w:color w:val="auto"/>
          <w:sz w:val="32"/>
          <w:szCs w:val="32"/>
          <w:highlight w:val="none"/>
          <w:lang w:val="en-US" w:eastAsia="zh-CN"/>
        </w:rPr>
        <w:t>逐步提升</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安排资金</w:t>
      </w:r>
      <w:r>
        <w:rPr>
          <w:rFonts w:hint="eastAsia" w:ascii="Times New Roman" w:hAnsi="Times New Roman" w:eastAsia="仿宋_GB2312" w:cs="Times New Roman"/>
          <w:color w:val="auto"/>
          <w:sz w:val="32"/>
          <w:szCs w:val="32"/>
          <w:highlight w:val="none"/>
          <w:lang w:val="en-US" w:eastAsia="zh-CN"/>
        </w:rPr>
        <w:t>16555</w:t>
      </w:r>
      <w:r>
        <w:rPr>
          <w:rFonts w:hint="default" w:ascii="Times New Roman" w:hAnsi="Times New Roman" w:eastAsia="仿宋_GB2312" w:cs="Times New Roman"/>
          <w:color w:val="auto"/>
          <w:sz w:val="32"/>
          <w:szCs w:val="32"/>
          <w:highlight w:val="none"/>
          <w:lang w:val="en-US" w:eastAsia="zh-CN"/>
        </w:rPr>
        <w:t>万元，按照兜底线、织密网、建机制的要求，支持全面落实各项社会保障政策；深入实施职业技能提升行动，不断健全公共就业服务体系，持续加大投入做实就业创业保障，推动稳住就业基本盘。健全社会救助体系，对遇困人员及时给予帮扶，坚决兜住困难群众基本生活保障网。</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支持社会治理</w:t>
      </w:r>
      <w:r>
        <w:rPr>
          <w:rFonts w:hint="default" w:ascii="Times New Roman" w:hAnsi="Times New Roman" w:eastAsia="仿宋_GB2312" w:cs="Times New Roman"/>
          <w:b/>
          <w:bCs/>
          <w:color w:val="auto"/>
          <w:sz w:val="32"/>
          <w:szCs w:val="32"/>
          <w:highlight w:val="none"/>
          <w:lang w:val="en-US" w:eastAsia="zh-CN"/>
        </w:rPr>
        <w:t>共治共建。</w:t>
      </w:r>
      <w:r>
        <w:rPr>
          <w:rFonts w:hint="default" w:ascii="Times New Roman" w:hAnsi="Times New Roman" w:eastAsia="仿宋_GB2312" w:cs="Times New Roman"/>
          <w:color w:val="auto"/>
          <w:sz w:val="32"/>
          <w:szCs w:val="32"/>
          <w:highlight w:val="none"/>
          <w:lang w:val="en-US" w:eastAsia="zh-CN"/>
        </w:rPr>
        <w:t>安排资金</w:t>
      </w:r>
      <w:r>
        <w:rPr>
          <w:rFonts w:hint="eastAsia" w:ascii="Times New Roman" w:hAnsi="Times New Roman" w:eastAsia="仿宋_GB2312" w:cs="Times New Roman"/>
          <w:color w:val="auto"/>
          <w:sz w:val="32"/>
          <w:szCs w:val="32"/>
          <w:highlight w:val="none"/>
          <w:lang w:val="en-US" w:eastAsia="zh-CN"/>
        </w:rPr>
        <w:t>1857</w:t>
      </w:r>
      <w:r>
        <w:rPr>
          <w:rFonts w:hint="default" w:ascii="Times New Roman" w:hAnsi="Times New Roman" w:eastAsia="仿宋_GB2312" w:cs="Times New Roman"/>
          <w:color w:val="auto"/>
          <w:sz w:val="32"/>
          <w:szCs w:val="32"/>
          <w:highlight w:val="none"/>
          <w:lang w:val="en-US" w:eastAsia="zh-CN"/>
        </w:rPr>
        <w:t>万元，支持提高安全生产监管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应急处置能力</w:t>
      </w:r>
      <w:r>
        <w:rPr>
          <w:rFonts w:hint="eastAsia" w:ascii="Times New Roman" w:hAnsi="Times New Roman" w:eastAsia="仿宋_GB2312" w:cs="Times New Roman"/>
          <w:color w:val="auto"/>
          <w:sz w:val="32"/>
          <w:szCs w:val="32"/>
          <w:highlight w:val="none"/>
          <w:lang w:val="en-US" w:eastAsia="zh-CN"/>
        </w:rPr>
        <w:t>和“5.8”青云镇雄山村G213滑坡地质灾害治理</w:t>
      </w:r>
      <w:r>
        <w:rPr>
          <w:rFonts w:hint="default" w:ascii="Times New Roman" w:hAnsi="Times New Roman" w:eastAsia="仿宋_GB2312" w:cs="Times New Roman"/>
          <w:color w:val="auto"/>
          <w:sz w:val="32"/>
          <w:szCs w:val="32"/>
          <w:highlight w:val="none"/>
          <w:lang w:val="en-US" w:eastAsia="zh-CN"/>
        </w:rPr>
        <w:t>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安排资金</w:t>
      </w:r>
      <w:r>
        <w:rPr>
          <w:rFonts w:hint="eastAsia" w:ascii="Times New Roman" w:hAnsi="Times New Roman" w:eastAsia="仿宋_GB2312" w:cs="Times New Roman"/>
          <w:color w:val="auto"/>
          <w:sz w:val="32"/>
          <w:szCs w:val="32"/>
          <w:highlight w:val="none"/>
          <w:lang w:val="en-US" w:eastAsia="zh-CN"/>
        </w:rPr>
        <w:t>468</w:t>
      </w:r>
      <w:r>
        <w:rPr>
          <w:rFonts w:hint="default" w:ascii="Times New Roman" w:hAnsi="Times New Roman" w:eastAsia="仿宋_GB2312" w:cs="Times New Roman"/>
          <w:color w:val="auto"/>
          <w:sz w:val="32"/>
          <w:szCs w:val="32"/>
          <w:highlight w:val="none"/>
          <w:lang w:val="en-US" w:eastAsia="zh-CN"/>
        </w:rPr>
        <w:t>万元，用于常态维稳、寺庙基础设施建设等；安排资金</w:t>
      </w:r>
      <w:r>
        <w:rPr>
          <w:rFonts w:hint="eastAsia" w:ascii="Times New Roman" w:hAnsi="Times New Roman" w:eastAsia="仿宋_GB2312" w:cs="Times New Roman"/>
          <w:color w:val="auto"/>
          <w:sz w:val="32"/>
          <w:szCs w:val="32"/>
          <w:highlight w:val="none"/>
          <w:lang w:val="en-US" w:eastAsia="zh-CN"/>
        </w:rPr>
        <w:t>2003</w:t>
      </w:r>
      <w:r>
        <w:rPr>
          <w:rFonts w:hint="default" w:ascii="Times New Roman" w:hAnsi="Times New Roman" w:eastAsia="仿宋_GB2312" w:cs="Times New Roman"/>
          <w:color w:val="auto"/>
          <w:sz w:val="32"/>
          <w:szCs w:val="32"/>
          <w:highlight w:val="none"/>
          <w:lang w:val="en-US" w:eastAsia="zh-CN"/>
        </w:rPr>
        <w:t>万元，用于县域感知源建设、</w:t>
      </w:r>
      <w:r>
        <w:rPr>
          <w:rFonts w:hint="eastAsia" w:ascii="Times New Roman" w:hAnsi="Times New Roman" w:eastAsia="仿宋_GB2312" w:cs="Times New Roman"/>
          <w:color w:val="auto"/>
          <w:sz w:val="32"/>
          <w:szCs w:val="32"/>
          <w:highlight w:val="none"/>
          <w:lang w:val="en-US" w:eastAsia="zh-CN"/>
        </w:rPr>
        <w:t>综治维稳、</w:t>
      </w:r>
      <w:r>
        <w:rPr>
          <w:rFonts w:hint="default" w:ascii="Times New Roman" w:hAnsi="Times New Roman" w:eastAsia="仿宋_GB2312" w:cs="Times New Roman"/>
          <w:color w:val="auto"/>
          <w:sz w:val="32"/>
          <w:szCs w:val="32"/>
          <w:highlight w:val="none"/>
          <w:lang w:val="en-US" w:eastAsia="zh-CN"/>
        </w:rPr>
        <w:t>网格化服务管理、寺庙5G公共安全视频监控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“平安松潘”视频监控项目</w:t>
      </w:r>
      <w:r>
        <w:rPr>
          <w:rFonts w:hint="eastAsia" w:ascii="Times New Roman" w:hAnsi="Times New Roman" w:eastAsia="仿宋_GB2312" w:cs="Times New Roman"/>
          <w:color w:val="auto"/>
          <w:sz w:val="32"/>
          <w:szCs w:val="32"/>
          <w:highlight w:val="none"/>
          <w:lang w:val="en-US" w:eastAsia="zh-CN"/>
        </w:rPr>
        <w:t>、天网工程建设</w:t>
      </w:r>
      <w:r>
        <w:rPr>
          <w:rFonts w:hint="default" w:ascii="Times New Roman" w:hAnsi="Times New Roman" w:eastAsia="仿宋_GB2312" w:cs="Times New Roman"/>
          <w:color w:val="auto"/>
          <w:sz w:val="32"/>
          <w:szCs w:val="32"/>
          <w:highlight w:val="none"/>
          <w:lang w:val="en-US" w:eastAsia="zh-CN"/>
        </w:rPr>
        <w:t>等，形成有效的社会治理</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（四）踔厉奋发、攻坚克难，推动财政改革砥砺前行。</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——全面推</w:t>
      </w:r>
      <w:r>
        <w:rPr>
          <w:rFonts w:hint="eastAsia" w:ascii="Times New Roman" w:hAnsi="Times New Roman" w:eastAsia="仿宋_GB2312" w:cs="Times New Roman"/>
          <w:b/>
          <w:bCs/>
          <w:sz w:val="32"/>
          <w:szCs w:val="32"/>
          <w:highlight w:val="none"/>
          <w:lang w:val="en-US" w:eastAsia="zh-CN"/>
        </w:rPr>
        <w:t>进</w:t>
      </w:r>
      <w:r>
        <w:rPr>
          <w:rFonts w:hint="default" w:ascii="Times New Roman" w:hAnsi="Times New Roman" w:eastAsia="仿宋_GB2312" w:cs="Times New Roman"/>
          <w:b/>
          <w:bCs/>
          <w:sz w:val="32"/>
          <w:szCs w:val="32"/>
          <w:highlight w:val="none"/>
          <w:lang w:val="en-US" w:eastAsia="zh-CN"/>
        </w:rPr>
        <w:t>预算一体化</w:t>
      </w:r>
      <w:r>
        <w:rPr>
          <w:rFonts w:hint="eastAsia"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聚焦财政可持续发展和高效配置财政资源，以改革创新为动力，</w:t>
      </w:r>
      <w:r>
        <w:rPr>
          <w:rFonts w:hint="default" w:ascii="Times New Roman" w:hAnsi="Times New Roman" w:eastAsia="仿宋_GB2312" w:cs="Times New Roman"/>
          <w:sz w:val="32"/>
          <w:szCs w:val="32"/>
          <w:highlight w:val="none"/>
          <w:lang w:val="en-US" w:eastAsia="zh-CN"/>
        </w:rPr>
        <w:t>建立涵盖预算编制、执行、采购、绩效等核心业务的信息化支撑体系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推行国库集中支付标准化运行管理，全面规范资金支付岗位设置、操作流程和要素保障</w:t>
      </w:r>
      <w:r>
        <w:rPr>
          <w:rFonts w:hint="eastAsia" w:ascii="Times New Roman" w:hAnsi="Times New Roman" w:eastAsia="仿宋_GB2312" w:cs="Times New Roman"/>
          <w:sz w:val="32"/>
          <w:szCs w:val="32"/>
          <w:highlight w:val="none"/>
          <w:lang w:val="en-US" w:eastAsia="zh-CN"/>
        </w:rPr>
        <w:t>。建立“三个机制”全面深化推进财政电子票据改革。</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——持续</w:t>
      </w:r>
      <w:r>
        <w:rPr>
          <w:rFonts w:hint="eastAsia" w:ascii="Times New Roman" w:hAnsi="Times New Roman" w:eastAsia="仿宋_GB2312" w:cs="Times New Roman"/>
          <w:b/>
          <w:bCs/>
          <w:sz w:val="32"/>
          <w:szCs w:val="32"/>
          <w:highlight w:val="none"/>
          <w:lang w:val="en-US" w:eastAsia="zh-CN"/>
        </w:rPr>
        <w:t>推进</w:t>
      </w:r>
      <w:r>
        <w:rPr>
          <w:rFonts w:hint="default" w:ascii="Times New Roman" w:hAnsi="Times New Roman" w:eastAsia="仿宋_GB2312" w:cs="Times New Roman"/>
          <w:b/>
          <w:bCs/>
          <w:sz w:val="32"/>
          <w:szCs w:val="32"/>
          <w:highlight w:val="none"/>
          <w:lang w:val="en-US" w:eastAsia="zh-CN"/>
        </w:rPr>
        <w:t>预算绩效管理。</w:t>
      </w:r>
      <w:r>
        <w:rPr>
          <w:rFonts w:hint="default" w:ascii="Times New Roman" w:hAnsi="Times New Roman" w:eastAsia="仿宋_GB2312" w:cs="Times New Roman"/>
          <w:sz w:val="32"/>
          <w:szCs w:val="32"/>
          <w:highlight w:val="none"/>
          <w:lang w:val="en-US" w:eastAsia="zh-CN"/>
        </w:rPr>
        <w:t>建立职能股室“1+3+N”组织架构</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印发《松潘县财政局关于开展2023年财政重点绩效评价工作的通知》《松潘县财政局关于开展2023年度预算绩效运行监控管理工作的通知》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zh-CN" w:eastAsia="zh-CN"/>
        </w:rPr>
        <w:t>对16个重点部门整体支出，8项政策支出、94项专项项目支出、16项绩效运行重点监控项目情况实施重点绩效评价，涉及资金75506万元，其中：县级94个、涉及部门28个，州级53个、涉及部门17个</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严格财政投资评审程序。</w:t>
      </w:r>
      <w:r>
        <w:rPr>
          <w:rFonts w:hint="default" w:ascii="Times New Roman" w:hAnsi="Times New Roman" w:eastAsia="仿宋_GB2312" w:cs="Times New Roman"/>
          <w:sz w:val="32"/>
          <w:szCs w:val="32"/>
          <w:highlight w:val="none"/>
          <w:lang w:val="en-US" w:eastAsia="zh-CN"/>
        </w:rPr>
        <w:t>启动重大项目评审应急处理机制，建立评审业务定期报告制，落实项目建设事前监督，控制项目建设事中变更，服务项目建设事后管理。</w:t>
      </w:r>
      <w:r>
        <w:rPr>
          <w:rFonts w:hint="eastAsia" w:ascii="Times New Roman" w:hAnsi="Times New Roman" w:eastAsia="仿宋_GB2312" w:cs="Times New Roman"/>
          <w:sz w:val="32"/>
          <w:szCs w:val="32"/>
          <w:highlight w:val="none"/>
          <w:lang w:val="en-US" w:eastAsia="zh-CN"/>
        </w:rPr>
        <w:t>全</w:t>
      </w:r>
      <w:r>
        <w:rPr>
          <w:rFonts w:hint="default" w:ascii="Times New Roman" w:hAnsi="Times New Roman" w:eastAsia="仿宋_GB2312" w:cs="Times New Roman"/>
          <w:sz w:val="32"/>
          <w:szCs w:val="32"/>
          <w:highlight w:val="none"/>
          <w:lang w:val="en-US" w:eastAsia="zh-CN"/>
        </w:rPr>
        <w:t>年完成</w:t>
      </w:r>
      <w:r>
        <w:rPr>
          <w:rFonts w:hint="eastAsia" w:ascii="Times New Roman" w:hAnsi="Times New Roman" w:eastAsia="仿宋_GB2312" w:cs="Times New Roman"/>
          <w:sz w:val="32"/>
          <w:szCs w:val="32"/>
          <w:highlight w:val="none"/>
          <w:lang w:val="en-US" w:eastAsia="zh-CN"/>
        </w:rPr>
        <w:t>财政评审业主单位确认定案项目128个，</w:t>
      </w:r>
      <w:r>
        <w:rPr>
          <w:rFonts w:hint="default" w:ascii="Times New Roman" w:hAnsi="Times New Roman" w:eastAsia="仿宋_GB2312" w:cs="Times New Roman"/>
          <w:sz w:val="32"/>
          <w:szCs w:val="32"/>
          <w:highlight w:val="none"/>
          <w:lang w:val="en-US" w:eastAsia="zh-CN"/>
        </w:rPr>
        <w:t>送审301</w:t>
      </w:r>
      <w:r>
        <w:rPr>
          <w:rFonts w:hint="eastAsia"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万元，审定2741</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万元，审减272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万元，审减率为9.04%；项目结算审核业主单位确认定案项目19个，送审12283万元，审定11565万元，审减718万元，审减率为5.8</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w:t>
      </w:r>
      <w:r>
        <w:rPr>
          <w:rFonts w:hint="eastAsia" w:ascii="Times New Roman" w:hAnsi="Times New Roman" w:eastAsia="仿宋_GB2312" w:cs="Times New Roman"/>
          <w:b/>
          <w:bCs/>
          <w:sz w:val="32"/>
          <w:szCs w:val="32"/>
          <w:highlight w:val="none"/>
          <w:lang w:val="en-US" w:eastAsia="zh-CN"/>
        </w:rPr>
        <w:t>深化</w:t>
      </w:r>
      <w:r>
        <w:rPr>
          <w:rFonts w:hint="default" w:ascii="Times New Roman" w:hAnsi="Times New Roman" w:eastAsia="仿宋_GB2312" w:cs="Times New Roman"/>
          <w:b/>
          <w:bCs/>
          <w:sz w:val="32"/>
          <w:szCs w:val="32"/>
          <w:highlight w:val="none"/>
          <w:lang w:val="en-US" w:eastAsia="zh-CN"/>
        </w:rPr>
        <w:t>推进国资国企改革。</w:t>
      </w:r>
      <w:r>
        <w:rPr>
          <w:rFonts w:hint="eastAsia" w:ascii="Times New Roman" w:hAnsi="Times New Roman" w:eastAsia="仿宋_GB2312" w:cs="Times New Roman"/>
          <w:sz w:val="32"/>
          <w:szCs w:val="32"/>
          <w:highlight w:val="none"/>
          <w:lang w:val="en-US" w:eastAsia="zh-CN"/>
        </w:rPr>
        <w:t>深化资产清产核实“放管服”改革，开展了128个行政事业单位固定资产清产核资工作，优化资产配置和处置。制定实施《松潘县深化县属国有企业改革实施方案》，全面摸排产业布局、产权架构、资金资产、项目人事等基本情况，搭建“1+5+N”产权架构模式，开展企业之间资产、债权债务清理，推动县属国有企业健康发展。</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（五）问题导向、源头治理，筑牢财政资金监管防线。</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——严格财政资金监管。</w:t>
      </w:r>
      <w:r>
        <w:rPr>
          <w:rFonts w:hint="default" w:ascii="Times New Roman" w:hAnsi="Times New Roman" w:eastAsia="仿宋_GB2312" w:cs="Times New Roman"/>
          <w:color w:val="auto"/>
          <w:sz w:val="32"/>
          <w:szCs w:val="32"/>
          <w:highlight w:val="none"/>
          <w:lang w:val="en-US" w:eastAsia="zh-CN"/>
        </w:rPr>
        <w:t>制定《松潘县</w:t>
      </w:r>
      <w:r>
        <w:rPr>
          <w:rFonts w:hint="eastAsia" w:ascii="Times New Roman" w:hAnsi="Times New Roman" w:eastAsia="仿宋_GB2312" w:cs="Times New Roman"/>
          <w:color w:val="auto"/>
          <w:sz w:val="32"/>
          <w:szCs w:val="32"/>
          <w:highlight w:val="none"/>
          <w:lang w:val="en-US" w:eastAsia="zh-CN"/>
        </w:rPr>
        <w:t>地方财经纪律重点问题专项整治</w:t>
      </w:r>
      <w:r>
        <w:rPr>
          <w:rFonts w:hint="default" w:ascii="Times New Roman" w:hAnsi="Times New Roman" w:eastAsia="仿宋_GB2312" w:cs="Times New Roman"/>
          <w:color w:val="auto"/>
          <w:sz w:val="32"/>
          <w:szCs w:val="32"/>
          <w:highlight w:val="none"/>
          <w:lang w:val="en-US" w:eastAsia="zh-CN"/>
        </w:rPr>
        <w:t>工作方案》，根据专项整治</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个方面的内容，开展自查自纠、复查整改等阶段性工作，并同步着手完善相关制度办法、建立长效机制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持续深入开展</w:t>
      </w:r>
      <w:r>
        <w:rPr>
          <w:rFonts w:hint="eastAsia" w:ascii="Times New Roman" w:hAnsi="Times New Roman" w:eastAsia="仿宋_GB2312" w:cs="Times New Roman"/>
          <w:color w:val="auto"/>
          <w:sz w:val="32"/>
          <w:szCs w:val="32"/>
          <w:highlight w:val="none"/>
          <w:lang w:val="en-US" w:eastAsia="zh-CN"/>
        </w:rPr>
        <w:t>采购人政府采购内控制度建设、</w:t>
      </w:r>
      <w:r>
        <w:rPr>
          <w:rFonts w:hint="default" w:ascii="Times New Roman" w:hAnsi="Times New Roman" w:eastAsia="仿宋_GB2312" w:cs="Times New Roman"/>
          <w:color w:val="auto"/>
          <w:sz w:val="32"/>
          <w:szCs w:val="32"/>
          <w:highlight w:val="none"/>
          <w:lang w:val="en-US" w:eastAsia="zh-CN"/>
        </w:rPr>
        <w:t>会计信息质量检查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乡（镇）村财政资金专项检查、预决算公开专项检查等</w:t>
      </w:r>
      <w:r>
        <w:rPr>
          <w:rFonts w:hint="eastAsia" w:ascii="Times New Roman" w:hAnsi="Times New Roman" w:eastAsia="仿宋_GB2312" w:cs="Times New Roman"/>
          <w:color w:val="auto"/>
          <w:sz w:val="32"/>
          <w:szCs w:val="32"/>
          <w:highlight w:val="none"/>
          <w:lang w:val="en-US" w:eastAsia="zh-CN"/>
        </w:rPr>
        <w:t>。做好全县财会人员反电信网络诈骗宣传工作，</w:t>
      </w:r>
      <w:r>
        <w:rPr>
          <w:rFonts w:hint="default" w:ascii="Times New Roman" w:hAnsi="Times New Roman" w:eastAsia="仿宋_GB2312" w:cs="Times New Roman"/>
          <w:color w:val="auto"/>
          <w:sz w:val="32"/>
          <w:szCs w:val="32"/>
          <w:highlight w:val="none"/>
          <w:lang w:val="en-US" w:eastAsia="zh-CN"/>
        </w:rPr>
        <w:t>推进建立全面规范透明的预算管理</w:t>
      </w:r>
      <w:r>
        <w:rPr>
          <w:rFonts w:hint="eastAsia" w:ascii="Times New Roman" w:hAnsi="Times New Roman" w:eastAsia="仿宋_GB2312" w:cs="Times New Roman"/>
          <w:color w:val="auto"/>
          <w:sz w:val="32"/>
          <w:szCs w:val="32"/>
          <w:highlight w:val="none"/>
          <w:lang w:val="en-US" w:eastAsia="zh-CN"/>
        </w:rPr>
        <w:t>及财会监督</w:t>
      </w:r>
      <w:r>
        <w:rPr>
          <w:rFonts w:hint="default" w:ascii="Times New Roman" w:hAnsi="Times New Roman" w:eastAsia="仿宋_GB2312" w:cs="Times New Roman"/>
          <w:color w:val="auto"/>
          <w:sz w:val="32"/>
          <w:szCs w:val="32"/>
          <w:highlight w:val="none"/>
          <w:lang w:val="en-US" w:eastAsia="zh-CN"/>
        </w:rPr>
        <w:t>制度。</w:t>
      </w:r>
      <w:r>
        <w:rPr>
          <w:rFonts w:hint="eastAsia"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bCs/>
          <w:color w:val="auto"/>
          <w:sz w:val="32"/>
          <w:szCs w:val="32"/>
          <w:highlight w:val="none"/>
          <w:lang w:val="en-US" w:eastAsia="zh-CN"/>
        </w:rPr>
        <w:t>夯实</w:t>
      </w:r>
      <w:r>
        <w:rPr>
          <w:rFonts w:hint="default" w:ascii="Times New Roman" w:hAnsi="Times New Roman" w:eastAsia="仿宋_GB2312" w:cs="Times New Roman"/>
          <w:b/>
          <w:bCs/>
          <w:color w:val="auto"/>
          <w:sz w:val="32"/>
          <w:szCs w:val="32"/>
          <w:highlight w:val="none"/>
          <w:lang w:val="en-US" w:eastAsia="zh-CN"/>
        </w:rPr>
        <w:t>财政基础管理。</w:t>
      </w:r>
      <w:r>
        <w:rPr>
          <w:rFonts w:hint="default" w:ascii="Times New Roman" w:hAnsi="Times New Roman" w:eastAsia="仿宋_GB2312" w:cs="Times New Roman"/>
          <w:color w:val="auto"/>
          <w:sz w:val="32"/>
          <w:szCs w:val="32"/>
          <w:highlight w:val="none"/>
          <w:lang w:val="en-US" w:eastAsia="zh-CN"/>
        </w:rPr>
        <w:t>严格按照《中央财政实行直达机制资金监督管理办法》要求，确保中央新增财政资金直达基层、直达民生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严格执行《党政机关厉行节约反对浪费条例》，严格控制“三公经费”开支范围、开支标准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建立健全政府综合财务报告编制制度，加大政府购买服务力度，</w:t>
      </w:r>
      <w:r>
        <w:rPr>
          <w:rFonts w:hint="eastAsia" w:ascii="Times New Roman" w:hAnsi="Times New Roman" w:eastAsia="仿宋_GB2312" w:cs="Times New Roman"/>
          <w:color w:val="auto"/>
          <w:sz w:val="32"/>
          <w:szCs w:val="32"/>
          <w:highlight w:val="none"/>
          <w:lang w:val="en-US" w:eastAsia="zh-CN"/>
        </w:rPr>
        <w:t>开展政府购买服务专项整治工作，</w:t>
      </w:r>
      <w:r>
        <w:rPr>
          <w:rFonts w:hint="default" w:ascii="Times New Roman" w:hAnsi="Times New Roman" w:eastAsia="仿宋_GB2312" w:cs="Times New Roman"/>
          <w:color w:val="auto"/>
          <w:sz w:val="32"/>
          <w:szCs w:val="32"/>
          <w:highlight w:val="none"/>
          <w:lang w:val="en-US" w:eastAsia="zh-CN"/>
        </w:rPr>
        <w:t>实施政府购买服务项目</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个涉及资金</w:t>
      </w:r>
      <w:r>
        <w:rPr>
          <w:rFonts w:hint="eastAsia" w:ascii="Times New Roman" w:hAnsi="Times New Roman" w:eastAsia="仿宋_GB2312" w:cs="Times New Roman"/>
          <w:color w:val="auto"/>
          <w:sz w:val="32"/>
          <w:szCs w:val="32"/>
          <w:highlight w:val="none"/>
          <w:lang w:val="en-US" w:eastAsia="zh-CN"/>
        </w:rPr>
        <w:t>4948</w:t>
      </w:r>
      <w:r>
        <w:rPr>
          <w:rFonts w:hint="default" w:ascii="Times New Roman" w:hAnsi="Times New Roman" w:eastAsia="仿宋_GB2312" w:cs="Times New Roman"/>
          <w:color w:val="auto"/>
          <w:sz w:val="32"/>
          <w:szCs w:val="32"/>
          <w:highlight w:val="none"/>
          <w:lang w:val="en-US" w:eastAsia="zh-CN"/>
        </w:rPr>
        <w:t>万元。</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——严控政府债务风险。</w:t>
      </w:r>
      <w:r>
        <w:rPr>
          <w:rFonts w:hint="default" w:ascii="Times New Roman" w:hAnsi="Times New Roman" w:eastAsia="仿宋_GB2312" w:cs="Times New Roman"/>
          <w:sz w:val="32"/>
          <w:szCs w:val="32"/>
          <w:highlight w:val="none"/>
          <w:lang w:val="en-US" w:eastAsia="zh-CN"/>
        </w:rPr>
        <w:t>完善债务风险应急处置机制，严控政府性债务限额，坚决杜绝违法违规担保承诺和变相举债等行为发生，始终把防范化解风险贯穿到各项财政工作中，按照财政承受能力评估妥善争取新增债券。防范国有企业债务风险，规范融资行为，开展县属国企财务专项调研，</w:t>
      </w:r>
      <w:r>
        <w:rPr>
          <w:rFonts w:hint="eastAsia" w:ascii="Times New Roman" w:hAnsi="Times New Roman" w:eastAsia="仿宋_GB2312" w:cs="Times New Roman"/>
          <w:sz w:val="32"/>
          <w:szCs w:val="32"/>
          <w:highlight w:val="none"/>
          <w:lang w:val="en-US" w:eastAsia="zh-CN"/>
        </w:rPr>
        <w:t>积极开展企业拖欠欠款工作，</w:t>
      </w:r>
      <w:r>
        <w:rPr>
          <w:rFonts w:hint="default" w:ascii="Times New Roman" w:hAnsi="Times New Roman" w:eastAsia="仿宋_GB2312" w:cs="Times New Roman"/>
          <w:sz w:val="32"/>
          <w:szCs w:val="32"/>
          <w:highlight w:val="none"/>
          <w:lang w:val="en-US" w:eastAsia="zh-CN"/>
        </w:rPr>
        <w:t>避免国企债务风险向政府传导</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——主动接受</w:t>
      </w:r>
      <w:r>
        <w:rPr>
          <w:rFonts w:hint="eastAsia" w:ascii="Times New Roman" w:hAnsi="Times New Roman" w:eastAsia="仿宋_GB2312" w:cs="Times New Roman"/>
          <w:b/>
          <w:bCs/>
          <w:sz w:val="32"/>
          <w:szCs w:val="32"/>
          <w:highlight w:val="none"/>
          <w:lang w:val="en-US" w:eastAsia="zh-CN"/>
        </w:rPr>
        <w:t>人大</w:t>
      </w:r>
      <w:r>
        <w:rPr>
          <w:rFonts w:hint="default" w:ascii="Times New Roman" w:hAnsi="Times New Roman" w:eastAsia="仿宋_GB2312" w:cs="Times New Roman"/>
          <w:b/>
          <w:bCs/>
          <w:sz w:val="32"/>
          <w:szCs w:val="32"/>
          <w:highlight w:val="none"/>
          <w:lang w:val="en-US" w:eastAsia="zh-CN"/>
        </w:rPr>
        <w:t>监督。</w:t>
      </w:r>
      <w:r>
        <w:rPr>
          <w:rFonts w:hint="default" w:ascii="Times New Roman" w:hAnsi="Times New Roman" w:eastAsia="仿宋_GB2312" w:cs="Times New Roman"/>
          <w:sz w:val="32"/>
          <w:szCs w:val="32"/>
          <w:highlight w:val="none"/>
          <w:lang w:val="en-US" w:eastAsia="zh-CN"/>
        </w:rPr>
        <w:t>落实县人大深化预算联网监督，支持人大预算审查监督重点向支出预算和政策拓展，自觉接受预算决算审查监督；积极主动听取吸纳人大代表、政协委员和社会各界意见建议，坚决落实人大及其常委会有关预算决议和决算决议。继续深入推进预决算公开，继续向县人大报告年度国有资产管理情况</w:t>
      </w:r>
      <w:r>
        <w:rPr>
          <w:rFonts w:hint="eastAsia" w:ascii="Times New Roman" w:hAnsi="Times New Roman" w:eastAsia="仿宋_GB2312" w:cs="Times New Roman"/>
          <w:sz w:val="32"/>
          <w:szCs w:val="32"/>
          <w:highlight w:val="none"/>
          <w:lang w:val="en-US" w:eastAsia="zh-CN"/>
        </w:rPr>
        <w:t>和债务管理情况</w:t>
      </w:r>
      <w:r>
        <w:rPr>
          <w:rFonts w:hint="default" w:ascii="Times New Roman" w:hAnsi="Times New Roman" w:eastAsia="仿宋_GB2312" w:cs="Times New Roman"/>
          <w:sz w:val="32"/>
          <w:szCs w:val="32"/>
          <w:highlight w:val="none"/>
          <w:lang w:val="en-US" w:eastAsia="zh-CN"/>
        </w:rPr>
        <w:t>，落实人大监督管理意见。</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黑体" w:hAnsi="黑体" w:eastAsia="黑体" w:cs="黑体"/>
          <w:b w:val="0"/>
          <w:bCs w:val="0"/>
          <w:sz w:val="32"/>
          <w:szCs w:val="32"/>
          <w:highlight w:val="none"/>
          <w:lang w:val="en-US" w:eastAsia="zh-CN"/>
        </w:rPr>
        <w:t>各位代表：</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年我县财政工作取得了一定成绩，得益于县委、县政府统揽全局、坚强领导，得益于县人大及其常委会监督指导、支持关心，在肯定成绩的同时，我们也清醒地认识到：我县经济正处于转型升级的关键期，支柱性产业经济尚未形成，税收主要靠固定资产投资带动和旅游相关产业贡献，保证税收收入持续稳定增长的财源支撑薄弱，税收收入增长乏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加之财政改革全面推开，保障“三保”支出、落实乡村振兴、债务还</w:t>
      </w:r>
      <w:r>
        <w:rPr>
          <w:rFonts w:hint="eastAsia" w:ascii="Times New Roman" w:hAnsi="Times New Roman" w:eastAsia="仿宋_GB2312" w:cs="Times New Roman"/>
          <w:sz w:val="32"/>
          <w:szCs w:val="32"/>
          <w:highlight w:val="none"/>
          <w:lang w:val="en-US" w:eastAsia="zh-CN"/>
        </w:rPr>
        <w:t>本</w:t>
      </w:r>
      <w:r>
        <w:rPr>
          <w:rFonts w:hint="default" w:ascii="Times New Roman" w:hAnsi="Times New Roman" w:eastAsia="仿宋_GB2312" w:cs="Times New Roman"/>
          <w:sz w:val="32"/>
          <w:szCs w:val="32"/>
          <w:highlight w:val="none"/>
          <w:lang w:val="en-US" w:eastAsia="zh-CN"/>
        </w:rPr>
        <w:t>付息等支出强度逐步增大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财政</w:t>
      </w:r>
      <w:r>
        <w:rPr>
          <w:rFonts w:hint="eastAsia" w:ascii="Times New Roman" w:hAnsi="Times New Roman" w:eastAsia="仿宋_GB2312" w:cs="Times New Roman"/>
          <w:sz w:val="32"/>
          <w:szCs w:val="32"/>
          <w:highlight w:val="none"/>
          <w:lang w:val="en-US" w:eastAsia="zh-CN"/>
        </w:rPr>
        <w:t>收支运行持续紧平衡。</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0" w:firstLineChars="200"/>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三、202</w:t>
      </w:r>
      <w:r>
        <w:rPr>
          <w:rFonts w:hint="eastAsia" w:ascii="Times New Roman" w:hAnsi="Times New Roman" w:eastAsia="黑体" w:cs="Times New Roman"/>
          <w:color w:val="000000"/>
          <w:sz w:val="32"/>
          <w:szCs w:val="32"/>
          <w:highlight w:val="none"/>
          <w:lang w:val="en-US" w:eastAsia="zh-CN"/>
        </w:rPr>
        <w:t>4</w:t>
      </w:r>
      <w:r>
        <w:rPr>
          <w:rFonts w:ascii="Times New Roman" w:hAnsi="Times New Roman" w:eastAsia="黑体" w:cs="Times New Roman"/>
          <w:color w:val="000000"/>
          <w:sz w:val="32"/>
          <w:szCs w:val="32"/>
          <w:highlight w:val="none"/>
        </w:rPr>
        <w:t>年财政预算草案</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0" w:firstLineChars="200"/>
        <w:textAlignment w:val="auto"/>
        <w:rPr>
          <w:rFonts w:hint="eastAsia" w:ascii="Tahoma" w:hAnsi="Tahoma"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年预算编制</w:t>
      </w:r>
      <w:r>
        <w:rPr>
          <w:rFonts w:ascii="Times New Roman" w:hAnsi="Times New Roman" w:eastAsia="仿宋_GB2312" w:cs="Times New Roman"/>
          <w:color w:val="000000"/>
          <w:sz w:val="32"/>
          <w:szCs w:val="32"/>
          <w:highlight w:val="none"/>
        </w:rPr>
        <w:t>按照</w:t>
      </w:r>
      <w:r>
        <w:rPr>
          <w:rFonts w:ascii="Times New Roman" w:hAnsi="Times New Roman" w:eastAsia="仿宋_GB2312" w:cs="Times New Roman"/>
          <w:sz w:val="32"/>
          <w:szCs w:val="32"/>
          <w:highlight w:val="none"/>
        </w:rPr>
        <w:t>“保基本民生</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保工资、保运转”的预算保障原则，</w:t>
      </w:r>
      <w:r>
        <w:rPr>
          <w:rFonts w:ascii="Times New Roman" w:hAnsi="Times New Roman" w:eastAsia="仿宋_GB2312" w:cs="Times New Roman"/>
          <w:color w:val="000000"/>
          <w:sz w:val="32"/>
          <w:szCs w:val="32"/>
          <w:highlight w:val="none"/>
        </w:rPr>
        <w:t>牢固树立勤俭节约过“紧日子”的思想，持之以恒做好一般性支出管理。</w:t>
      </w:r>
      <w:r>
        <w:rPr>
          <w:rFonts w:ascii="Times New Roman" w:hAnsi="Times New Roman" w:eastAsia="仿宋_GB2312" w:cs="Times New Roman"/>
          <w:sz w:val="32"/>
          <w:szCs w:val="32"/>
          <w:highlight w:val="none"/>
        </w:rPr>
        <w:t>综合考虑财政可承受能力、民生实际需要等因素，加强政策评估，确保民生政策与经济社会发展阶段相适应、与财力实际相匹配，</w:t>
      </w:r>
      <w:r>
        <w:rPr>
          <w:rFonts w:ascii="Tahoma" w:hAnsi="Tahoma" w:eastAsia="仿宋_GB2312" w:cs="Times New Roman"/>
          <w:sz w:val="32"/>
          <w:szCs w:val="32"/>
          <w:highlight w:val="none"/>
        </w:rPr>
        <w:t>科学合理、积极稳妥</w:t>
      </w:r>
      <w:r>
        <w:rPr>
          <w:rFonts w:hint="eastAsia" w:ascii="Tahoma" w:hAnsi="Tahoma" w:eastAsia="仿宋_GB2312" w:cs="Times New Roman"/>
          <w:sz w:val="32"/>
          <w:szCs w:val="32"/>
          <w:highlight w:val="none"/>
        </w:rPr>
        <w:t>安排各类支出。</w:t>
      </w:r>
      <w:r>
        <w:rPr>
          <w:rFonts w:hint="eastAsia" w:ascii="Tahoma" w:hAnsi="Tahoma" w:eastAsia="仿宋_GB2312" w:cs="Times New Roman"/>
          <w:sz w:val="32"/>
          <w:szCs w:val="32"/>
          <w:highlight w:val="none"/>
          <w:lang w:val="en-US" w:eastAsia="zh-CN"/>
        </w:rPr>
        <w:t xml:space="preserve">  </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3" w:firstLineChars="200"/>
        <w:textAlignment w:val="auto"/>
        <w:rPr>
          <w:rFonts w:ascii="Times New Roman" w:hAnsi="Times New Roman" w:eastAsia="楷体_GB2312" w:cs="Times New Roman"/>
          <w:b/>
          <w:bCs/>
          <w:color w:val="000000"/>
          <w:sz w:val="32"/>
          <w:szCs w:val="32"/>
          <w:highlight w:val="none"/>
        </w:rPr>
      </w:pPr>
      <w:r>
        <w:rPr>
          <w:rFonts w:ascii="Times New Roman" w:hAnsi="Times New Roman" w:eastAsia="楷体_GB2312" w:cs="Times New Roman"/>
          <w:b/>
          <w:bCs/>
          <w:color w:val="000000"/>
          <w:sz w:val="32"/>
          <w:szCs w:val="32"/>
          <w:highlight w:val="none"/>
        </w:rPr>
        <w:t>（一）一般公共预算。</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0" w:firstLineChars="200"/>
        <w:textAlignment w:val="auto"/>
        <w:rPr>
          <w:rFonts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年地方一般公共预算收入</w:t>
      </w:r>
      <w:r>
        <w:rPr>
          <w:rFonts w:hint="eastAsia" w:ascii="Times New Roman" w:hAnsi="Times New Roman" w:eastAsia="仿宋_GB2312" w:cs="Times New Roman"/>
          <w:sz w:val="32"/>
          <w:szCs w:val="32"/>
          <w:highlight w:val="none"/>
          <w:lang w:val="en-US" w:eastAsia="zh-CN"/>
        </w:rPr>
        <w:t>预算目标安排为13211</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、同比增长7.90%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加上预通知上级转移支付补助94105</w:t>
      </w:r>
      <w:r>
        <w:rPr>
          <w:rFonts w:hint="default" w:ascii="Times New Roman" w:hAnsi="Times New Roman" w:eastAsia="仿宋_GB2312" w:cs="Times New Roman"/>
          <w:sz w:val="32"/>
          <w:szCs w:val="32"/>
          <w:highlight w:val="none"/>
          <w:lang w:val="en-US" w:eastAsia="zh-CN"/>
        </w:rPr>
        <w:t>万元，调入国有资本经营预算500万元</w:t>
      </w:r>
      <w:r>
        <w:rPr>
          <w:rFonts w:hint="eastAsia" w:ascii="Times New Roman" w:hAnsi="Times New Roman" w:eastAsia="仿宋_GB2312" w:cs="Times New Roman"/>
          <w:sz w:val="32"/>
          <w:szCs w:val="32"/>
          <w:highlight w:val="none"/>
          <w:lang w:val="en-US" w:eastAsia="zh-CN"/>
        </w:rPr>
        <w:t>，构成</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年可安排财力</w:t>
      </w:r>
      <w:r>
        <w:rPr>
          <w:rFonts w:hint="eastAsia" w:ascii="Times New Roman" w:hAnsi="Times New Roman" w:eastAsia="仿宋_GB2312" w:cs="Times New Roman"/>
          <w:sz w:val="32"/>
          <w:szCs w:val="32"/>
          <w:highlight w:val="none"/>
          <w:lang w:val="en-US" w:eastAsia="zh-CN"/>
        </w:rPr>
        <w:t>107816</w:t>
      </w:r>
      <w:r>
        <w:rPr>
          <w:rFonts w:hint="default" w:ascii="Times New Roman" w:hAnsi="Times New Roman" w:eastAsia="仿宋_GB2312" w:cs="Times New Roman"/>
          <w:sz w:val="32"/>
          <w:szCs w:val="32"/>
          <w:highlight w:val="none"/>
          <w:lang w:val="en-US" w:eastAsia="zh-CN"/>
        </w:rPr>
        <w:t>万元，扣除上解支出350万元</w:t>
      </w:r>
      <w:r>
        <w:rPr>
          <w:rFonts w:hint="eastAsia" w:ascii="Times New Roman" w:hAnsi="Times New Roman" w:eastAsia="仿宋_GB2312" w:cs="Times New Roman"/>
          <w:sz w:val="32"/>
          <w:szCs w:val="32"/>
          <w:highlight w:val="none"/>
          <w:lang w:val="en-US" w:eastAsia="zh-CN"/>
        </w:rPr>
        <w:t>、债务还本支出430万元，</w:t>
      </w:r>
      <w:r>
        <w:rPr>
          <w:rFonts w:hint="default" w:ascii="Times New Roman" w:hAnsi="Times New Roman" w:eastAsia="仿宋_GB2312" w:cs="Times New Roman"/>
          <w:sz w:val="32"/>
          <w:szCs w:val="32"/>
          <w:highlight w:val="none"/>
          <w:lang w:val="en-US" w:eastAsia="zh-CN"/>
        </w:rPr>
        <w:t>实际可安排财力</w:t>
      </w:r>
      <w:r>
        <w:rPr>
          <w:rFonts w:hint="eastAsia" w:ascii="Times New Roman" w:hAnsi="Times New Roman" w:eastAsia="仿宋_GB2312" w:cs="Times New Roman"/>
          <w:sz w:val="32"/>
          <w:szCs w:val="32"/>
          <w:highlight w:val="none"/>
          <w:lang w:val="en-US" w:eastAsia="zh-CN"/>
        </w:rPr>
        <w:t>107036</w:t>
      </w:r>
      <w:r>
        <w:rPr>
          <w:rFonts w:hint="default" w:ascii="Times New Roman" w:hAnsi="Times New Roman" w:eastAsia="仿宋_GB2312" w:cs="Times New Roman"/>
          <w:sz w:val="32"/>
          <w:szCs w:val="32"/>
          <w:highlight w:val="none"/>
          <w:lang w:val="en-US" w:eastAsia="zh-CN"/>
        </w:rPr>
        <w:t>万元。按照收支平衡的预算编制原则，全县地方一般公共预算支出相应安排为</w:t>
      </w:r>
      <w:r>
        <w:rPr>
          <w:rFonts w:hint="eastAsia" w:ascii="Times New Roman" w:hAnsi="Times New Roman" w:eastAsia="仿宋_GB2312" w:cs="Times New Roman"/>
          <w:sz w:val="32"/>
          <w:szCs w:val="32"/>
          <w:highlight w:val="none"/>
          <w:lang w:val="en-US" w:eastAsia="zh-CN"/>
        </w:rPr>
        <w:t>107036</w:t>
      </w:r>
      <w:r>
        <w:rPr>
          <w:rFonts w:hint="default" w:ascii="Times New Roman" w:hAnsi="Times New Roman" w:eastAsia="仿宋_GB2312" w:cs="Times New Roman"/>
          <w:sz w:val="32"/>
          <w:szCs w:val="32"/>
          <w:highlight w:val="none"/>
          <w:lang w:val="en-US" w:eastAsia="zh-CN"/>
        </w:rPr>
        <w:t>万元，其中：一般公共服务支出2</w:t>
      </w:r>
      <w:r>
        <w:rPr>
          <w:rFonts w:hint="eastAsia" w:ascii="Times New Roman" w:hAnsi="Times New Roman" w:eastAsia="仿宋_GB2312" w:cs="Times New Roman"/>
          <w:sz w:val="32"/>
          <w:szCs w:val="32"/>
          <w:highlight w:val="none"/>
          <w:lang w:val="en-US" w:eastAsia="zh-CN"/>
        </w:rPr>
        <w:t>3012</w:t>
      </w:r>
      <w:r>
        <w:rPr>
          <w:rFonts w:hint="default" w:ascii="Times New Roman" w:hAnsi="Times New Roman" w:eastAsia="仿宋_GB2312" w:cs="Times New Roman"/>
          <w:sz w:val="32"/>
          <w:szCs w:val="32"/>
          <w:highlight w:val="none"/>
          <w:lang w:val="en-US" w:eastAsia="zh-CN"/>
        </w:rPr>
        <w:t>万元、国防支出7</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lang w:val="zh-CN" w:eastAsia="zh-CN"/>
        </w:rPr>
        <w:t>、公共安</w:t>
      </w:r>
      <w:r>
        <w:rPr>
          <w:rFonts w:ascii="Times New Roman" w:hAnsi="Times New Roman" w:eastAsia="仿宋_GB2312" w:cs="Times New Roman"/>
          <w:color w:val="auto"/>
          <w:sz w:val="32"/>
          <w:szCs w:val="32"/>
          <w:highlight w:val="none"/>
          <w:lang w:val="zh-CN"/>
        </w:rPr>
        <w:t>全支出</w:t>
      </w:r>
      <w:r>
        <w:rPr>
          <w:rFonts w:ascii="Times New Roman" w:hAnsi="Times New Roman" w:eastAsia="仿宋_GB2312" w:cs="Times New Roman"/>
          <w:color w:val="auto"/>
          <w:sz w:val="32"/>
          <w:szCs w:val="32"/>
          <w:highlight w:val="none"/>
        </w:rPr>
        <w:t>50</w:t>
      </w:r>
      <w:r>
        <w:rPr>
          <w:rFonts w:hint="eastAsia" w:ascii="Times New Roman" w:hAnsi="Times New Roman" w:eastAsia="仿宋_GB2312" w:cs="Times New Roman"/>
          <w:color w:val="auto"/>
          <w:sz w:val="32"/>
          <w:szCs w:val="32"/>
          <w:highlight w:val="none"/>
          <w:lang w:eastAsia="zh-CN"/>
        </w:rPr>
        <w:t>7</w:t>
      </w: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lang w:val="zh-CN"/>
        </w:rPr>
        <w:t>万元、教育支出</w:t>
      </w:r>
      <w:r>
        <w:rPr>
          <w:rFonts w:hint="eastAsia" w:ascii="Times New Roman" w:hAnsi="Times New Roman" w:eastAsia="仿宋_GB2312" w:cs="Times New Roman"/>
          <w:color w:val="auto"/>
          <w:sz w:val="32"/>
          <w:szCs w:val="32"/>
          <w:highlight w:val="none"/>
          <w:lang w:val="zh-CN"/>
        </w:rPr>
        <w:t>19141</w:t>
      </w:r>
      <w:r>
        <w:rPr>
          <w:rFonts w:ascii="Times New Roman" w:hAnsi="Times New Roman" w:eastAsia="仿宋_GB2312" w:cs="Times New Roman"/>
          <w:color w:val="auto"/>
          <w:sz w:val="32"/>
          <w:szCs w:val="32"/>
          <w:highlight w:val="none"/>
          <w:lang w:val="zh-CN"/>
        </w:rPr>
        <w:t>万元、科学技术支出</w:t>
      </w:r>
      <w:r>
        <w:rPr>
          <w:rFonts w:hint="eastAsia" w:ascii="Times New Roman" w:hAnsi="Times New Roman" w:eastAsia="仿宋_GB2312" w:cs="Times New Roman"/>
          <w:color w:val="auto"/>
          <w:sz w:val="32"/>
          <w:szCs w:val="32"/>
          <w:highlight w:val="none"/>
          <w:lang w:val="zh-CN"/>
        </w:rPr>
        <w:t>203</w:t>
      </w:r>
      <w:r>
        <w:rPr>
          <w:rFonts w:ascii="Times New Roman" w:hAnsi="Times New Roman" w:eastAsia="仿宋_GB2312" w:cs="Times New Roman"/>
          <w:color w:val="auto"/>
          <w:sz w:val="32"/>
          <w:szCs w:val="32"/>
          <w:highlight w:val="none"/>
          <w:lang w:val="zh-CN"/>
        </w:rPr>
        <w:t>万元、</w:t>
      </w:r>
      <w:r>
        <w:rPr>
          <w:rFonts w:ascii="Times New Roman" w:hAnsi="Times New Roman" w:eastAsia="仿宋_GB2312" w:cs="Times New Roman"/>
          <w:color w:val="auto"/>
          <w:sz w:val="32"/>
          <w:szCs w:val="32"/>
          <w:highlight w:val="none"/>
        </w:rPr>
        <w:t>文化旅游体育与传媒</w:t>
      </w:r>
      <w:r>
        <w:rPr>
          <w:rFonts w:ascii="Times New Roman" w:hAnsi="Times New Roman" w:eastAsia="仿宋_GB2312" w:cs="Times New Roman"/>
          <w:color w:val="auto"/>
          <w:sz w:val="32"/>
          <w:szCs w:val="32"/>
          <w:highlight w:val="none"/>
          <w:lang w:val="zh-CN"/>
        </w:rPr>
        <w:t>支出</w:t>
      </w:r>
      <w:r>
        <w:rPr>
          <w:rFonts w:hint="eastAsia" w:ascii="Times New Roman" w:hAnsi="Times New Roman" w:eastAsia="仿宋_GB2312" w:cs="Times New Roman"/>
          <w:color w:val="auto"/>
          <w:sz w:val="32"/>
          <w:szCs w:val="32"/>
          <w:highlight w:val="none"/>
          <w:lang w:val="zh-CN"/>
        </w:rPr>
        <w:t>1037</w:t>
      </w:r>
      <w:r>
        <w:rPr>
          <w:rFonts w:ascii="Times New Roman" w:hAnsi="Times New Roman" w:eastAsia="仿宋_GB2312" w:cs="Times New Roman"/>
          <w:color w:val="auto"/>
          <w:sz w:val="32"/>
          <w:szCs w:val="32"/>
          <w:highlight w:val="none"/>
          <w:lang w:val="zh-CN"/>
        </w:rPr>
        <w:t>万元、社会保障和就业支出</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7614</w:t>
      </w:r>
      <w:r>
        <w:rPr>
          <w:rFonts w:ascii="Times New Roman" w:hAnsi="Times New Roman" w:eastAsia="仿宋_GB2312" w:cs="Times New Roman"/>
          <w:color w:val="auto"/>
          <w:sz w:val="32"/>
          <w:szCs w:val="32"/>
          <w:highlight w:val="none"/>
          <w:lang w:val="zh-CN"/>
        </w:rPr>
        <w:t>万元、卫生健康支出</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5048</w:t>
      </w:r>
      <w:r>
        <w:rPr>
          <w:rFonts w:ascii="Times New Roman" w:hAnsi="Times New Roman" w:eastAsia="仿宋_GB2312" w:cs="Times New Roman"/>
          <w:color w:val="auto"/>
          <w:sz w:val="32"/>
          <w:szCs w:val="32"/>
          <w:highlight w:val="none"/>
          <w:lang w:val="zh-CN"/>
        </w:rPr>
        <w:t>万元、城乡社区支出</w:t>
      </w:r>
      <w:r>
        <w:rPr>
          <w:rFonts w:hint="eastAsia" w:ascii="Times New Roman" w:hAnsi="Times New Roman" w:eastAsia="仿宋_GB2312" w:cs="Times New Roman"/>
          <w:color w:val="auto"/>
          <w:sz w:val="32"/>
          <w:szCs w:val="32"/>
          <w:highlight w:val="none"/>
          <w:lang w:val="zh-CN"/>
        </w:rPr>
        <w:t>1048</w:t>
      </w:r>
      <w:r>
        <w:rPr>
          <w:rFonts w:ascii="Times New Roman" w:hAnsi="Times New Roman" w:eastAsia="仿宋_GB2312" w:cs="Times New Roman"/>
          <w:color w:val="auto"/>
          <w:sz w:val="32"/>
          <w:szCs w:val="32"/>
          <w:highlight w:val="none"/>
          <w:lang w:val="zh-CN"/>
        </w:rPr>
        <w:t>万元、农林水支出</w:t>
      </w:r>
      <w:r>
        <w:rPr>
          <w:rFonts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lang w:eastAsia="zh-CN"/>
        </w:rPr>
        <w:t>484</w:t>
      </w:r>
      <w:r>
        <w:rPr>
          <w:rFonts w:ascii="Times New Roman" w:hAnsi="Times New Roman" w:eastAsia="仿宋_GB2312" w:cs="Times New Roman"/>
          <w:color w:val="auto"/>
          <w:sz w:val="32"/>
          <w:szCs w:val="32"/>
          <w:highlight w:val="none"/>
          <w:lang w:val="zh-CN"/>
        </w:rPr>
        <w:t>万元、交通运输支出</w:t>
      </w:r>
      <w:r>
        <w:rPr>
          <w:rFonts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94</w:t>
      </w:r>
      <w:r>
        <w:rPr>
          <w:rFonts w:ascii="Times New Roman" w:hAnsi="Times New Roman" w:eastAsia="仿宋_GB2312" w:cs="Times New Roman"/>
          <w:color w:val="auto"/>
          <w:sz w:val="32"/>
          <w:szCs w:val="32"/>
          <w:highlight w:val="none"/>
          <w:lang w:val="zh-CN"/>
        </w:rPr>
        <w:t>万元、资源勘探工业信息等支出</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77</w:t>
      </w:r>
      <w:r>
        <w:rPr>
          <w:rFonts w:ascii="Times New Roman" w:hAnsi="Times New Roman" w:eastAsia="仿宋_GB2312" w:cs="Times New Roman"/>
          <w:color w:val="auto"/>
          <w:sz w:val="32"/>
          <w:szCs w:val="32"/>
          <w:highlight w:val="none"/>
          <w:lang w:val="zh-CN"/>
        </w:rPr>
        <w:t>万元、商业服务业等支出</w:t>
      </w:r>
      <w:r>
        <w:rPr>
          <w:rFonts w:ascii="Times New Roman" w:hAnsi="Times New Roman" w:eastAsia="仿宋_GB2312" w:cs="Times New Roman"/>
          <w:color w:val="auto"/>
          <w:sz w:val="32"/>
          <w:szCs w:val="32"/>
          <w:highlight w:val="none"/>
        </w:rPr>
        <w:t>7</w:t>
      </w:r>
      <w:r>
        <w:rPr>
          <w:rFonts w:hint="eastAsia" w:ascii="Times New Roman" w:hAnsi="Times New Roman" w:eastAsia="仿宋_GB2312" w:cs="Times New Roman"/>
          <w:color w:val="auto"/>
          <w:sz w:val="32"/>
          <w:szCs w:val="32"/>
          <w:highlight w:val="none"/>
          <w:lang w:eastAsia="zh-CN"/>
        </w:rPr>
        <w:t>0</w:t>
      </w:r>
      <w:r>
        <w:rPr>
          <w:rFonts w:ascii="Times New Roman" w:hAnsi="Times New Roman" w:eastAsia="仿宋_GB2312" w:cs="Times New Roman"/>
          <w:color w:val="auto"/>
          <w:sz w:val="32"/>
          <w:szCs w:val="32"/>
          <w:highlight w:val="none"/>
          <w:lang w:val="zh-CN"/>
        </w:rPr>
        <w:t>万元、</w:t>
      </w:r>
      <w:r>
        <w:rPr>
          <w:rFonts w:ascii="Times New Roman" w:hAnsi="Times New Roman" w:eastAsia="仿宋_GB2312" w:cs="Times New Roman"/>
          <w:color w:val="auto"/>
          <w:sz w:val="32"/>
          <w:szCs w:val="32"/>
          <w:highlight w:val="none"/>
        </w:rPr>
        <w:t>自然资源</w:t>
      </w:r>
      <w:r>
        <w:rPr>
          <w:rFonts w:ascii="Times New Roman" w:hAnsi="Times New Roman" w:eastAsia="仿宋_GB2312" w:cs="Times New Roman"/>
          <w:color w:val="auto"/>
          <w:sz w:val="32"/>
          <w:szCs w:val="32"/>
          <w:highlight w:val="none"/>
          <w:lang w:val="zh-CN"/>
        </w:rPr>
        <w:t>海洋气象等支出</w:t>
      </w:r>
      <w:r>
        <w:rPr>
          <w:rFonts w:ascii="Times New Roman" w:hAnsi="Times New Roman" w:eastAsia="仿宋_GB2312" w:cs="Times New Roman"/>
          <w:color w:val="auto"/>
          <w:sz w:val="32"/>
          <w:szCs w:val="32"/>
          <w:highlight w:val="none"/>
        </w:rPr>
        <w:t>3</w:t>
      </w:r>
      <w:r>
        <w:rPr>
          <w:rFonts w:hint="eastAsia" w:ascii="Times New Roman" w:hAnsi="Times New Roman" w:eastAsia="仿宋_GB2312" w:cs="Times New Roman"/>
          <w:color w:val="auto"/>
          <w:sz w:val="32"/>
          <w:szCs w:val="32"/>
          <w:highlight w:val="none"/>
          <w:lang w:eastAsia="zh-CN"/>
        </w:rPr>
        <w:t>59</w:t>
      </w:r>
      <w:r>
        <w:rPr>
          <w:rFonts w:ascii="Times New Roman" w:hAnsi="Times New Roman" w:eastAsia="仿宋_GB2312" w:cs="Times New Roman"/>
          <w:color w:val="auto"/>
          <w:sz w:val="32"/>
          <w:szCs w:val="32"/>
          <w:highlight w:val="none"/>
          <w:lang w:val="zh-CN"/>
        </w:rPr>
        <w:t>万元、住房保障支出</w:t>
      </w:r>
      <w:r>
        <w:rPr>
          <w:rFonts w:hint="eastAsia" w:ascii="Times New Roman" w:hAnsi="Times New Roman" w:eastAsia="仿宋_GB2312" w:cs="Times New Roman"/>
          <w:color w:val="auto"/>
          <w:sz w:val="32"/>
          <w:szCs w:val="32"/>
          <w:highlight w:val="none"/>
          <w:lang w:val="zh-CN"/>
        </w:rPr>
        <w:t>72</w:t>
      </w:r>
      <w:r>
        <w:rPr>
          <w:rFonts w:hint="eastAsia" w:ascii="Times New Roman" w:hAnsi="Times New Roman" w:eastAsia="仿宋_GB2312" w:cs="Times New Roman"/>
          <w:color w:val="auto"/>
          <w:sz w:val="32"/>
          <w:szCs w:val="32"/>
          <w:highlight w:val="none"/>
          <w:lang w:val="en-US" w:eastAsia="zh-CN"/>
        </w:rPr>
        <w:t>00</w:t>
      </w:r>
      <w:r>
        <w:rPr>
          <w:rFonts w:ascii="Times New Roman" w:hAnsi="Times New Roman" w:eastAsia="仿宋_GB2312" w:cs="Times New Roman"/>
          <w:color w:val="auto"/>
          <w:sz w:val="32"/>
          <w:szCs w:val="32"/>
          <w:highlight w:val="none"/>
          <w:lang w:val="zh-CN"/>
        </w:rPr>
        <w:t>万元、粮油物资储备支出1</w:t>
      </w:r>
      <w:r>
        <w:rPr>
          <w:rFonts w:hint="eastAsia" w:ascii="Times New Roman" w:hAnsi="Times New Roman" w:eastAsia="仿宋_GB2312" w:cs="Times New Roman"/>
          <w:color w:val="auto"/>
          <w:sz w:val="32"/>
          <w:szCs w:val="32"/>
          <w:highlight w:val="none"/>
          <w:lang w:val="zh-CN" w:eastAsia="zh-CN"/>
        </w:rPr>
        <w:t>40</w:t>
      </w:r>
      <w:r>
        <w:rPr>
          <w:rFonts w:ascii="Times New Roman" w:hAnsi="Times New Roman" w:eastAsia="仿宋_GB2312" w:cs="Times New Roman"/>
          <w:color w:val="auto"/>
          <w:sz w:val="32"/>
          <w:szCs w:val="32"/>
          <w:highlight w:val="none"/>
          <w:lang w:val="zh-CN"/>
        </w:rPr>
        <w:t>万元、灾害防治及应急管理支出</w:t>
      </w:r>
      <w:r>
        <w:rPr>
          <w:rFonts w:hint="eastAsia" w:ascii="Times New Roman" w:hAnsi="Times New Roman" w:eastAsia="仿宋_GB2312" w:cs="Times New Roman"/>
          <w:color w:val="auto"/>
          <w:sz w:val="32"/>
          <w:szCs w:val="32"/>
          <w:highlight w:val="none"/>
          <w:lang w:val="zh-CN"/>
        </w:rPr>
        <w:t>1031</w:t>
      </w:r>
      <w:r>
        <w:rPr>
          <w:rFonts w:ascii="Times New Roman" w:hAnsi="Times New Roman" w:eastAsia="仿宋_GB2312" w:cs="Times New Roman"/>
          <w:color w:val="auto"/>
          <w:sz w:val="32"/>
          <w:szCs w:val="32"/>
          <w:highlight w:val="none"/>
          <w:lang w:val="zh-CN"/>
        </w:rPr>
        <w:t>万元、</w:t>
      </w:r>
      <w:r>
        <w:rPr>
          <w:rFonts w:ascii="Times New Roman" w:hAnsi="Times New Roman" w:eastAsia="仿宋_GB2312" w:cs="Times New Roman"/>
          <w:color w:val="auto"/>
          <w:sz w:val="32"/>
          <w:szCs w:val="32"/>
          <w:highlight w:val="none"/>
        </w:rPr>
        <w:t>债务付息支出</w:t>
      </w:r>
      <w:r>
        <w:rPr>
          <w:rFonts w:hint="eastAsia" w:ascii="Times New Roman" w:hAnsi="Times New Roman" w:eastAsia="仿宋_GB2312" w:cs="Times New Roman"/>
          <w:color w:val="auto"/>
          <w:sz w:val="32"/>
          <w:szCs w:val="32"/>
          <w:highlight w:val="none"/>
          <w:lang w:val="en-US" w:eastAsia="zh-CN"/>
        </w:rPr>
        <w:t>1535</w:t>
      </w:r>
      <w:r>
        <w:rPr>
          <w:rFonts w:ascii="Times New Roman" w:hAnsi="Times New Roman" w:eastAsia="仿宋_GB2312" w:cs="Times New Roman"/>
          <w:color w:val="auto"/>
          <w:sz w:val="32"/>
          <w:szCs w:val="32"/>
          <w:highlight w:val="none"/>
        </w:rPr>
        <w:t>万元、其他支出3</w:t>
      </w:r>
      <w:r>
        <w:rPr>
          <w:rFonts w:hint="eastAsia"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lang w:eastAsia="zh-CN"/>
        </w:rPr>
        <w:t>93</w:t>
      </w:r>
      <w:r>
        <w:rPr>
          <w:rFonts w:ascii="Times New Roman" w:hAnsi="Times New Roman" w:eastAsia="仿宋_GB2312" w:cs="Times New Roman"/>
          <w:color w:val="auto"/>
          <w:sz w:val="32"/>
          <w:szCs w:val="32"/>
          <w:highlight w:val="none"/>
        </w:rPr>
        <w:t>万元、</w:t>
      </w:r>
      <w:r>
        <w:rPr>
          <w:rFonts w:ascii="Times New Roman" w:hAnsi="Times New Roman" w:eastAsia="仿宋_GB2312" w:cs="Times New Roman"/>
          <w:color w:val="auto"/>
          <w:sz w:val="32"/>
          <w:szCs w:val="32"/>
          <w:highlight w:val="none"/>
          <w:lang w:val="zh-CN"/>
        </w:rPr>
        <w:t>预备费1</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lang w:val="zh-CN"/>
        </w:rPr>
        <w:t>00万元。</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60" w:lineRule="exact"/>
        <w:ind w:left="0" w:right="0" w:rightChars="0" w:firstLine="643" w:firstLineChars="200"/>
        <w:textAlignment w:val="auto"/>
        <w:rPr>
          <w:rFonts w:ascii="Times New Roman" w:hAnsi="Times New Roman" w:eastAsia="楷体_GB2312" w:cs="Times New Roman"/>
          <w:b/>
          <w:bCs/>
          <w:color w:val="000000"/>
          <w:sz w:val="32"/>
          <w:szCs w:val="32"/>
          <w:highlight w:val="none"/>
        </w:rPr>
      </w:pPr>
      <w:r>
        <w:rPr>
          <w:rFonts w:ascii="Times New Roman" w:hAnsi="Times New Roman" w:eastAsia="楷体_GB2312" w:cs="Times New Roman"/>
          <w:b/>
          <w:bCs/>
          <w:color w:val="000000"/>
          <w:sz w:val="32"/>
          <w:szCs w:val="32"/>
          <w:highlight w:val="none"/>
        </w:rPr>
        <w:t>（二）政府性基金预算。</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年安排政府性基金预算收入</w:t>
      </w:r>
      <w:r>
        <w:rPr>
          <w:rFonts w:hint="eastAsia" w:ascii="Times New Roman" w:hAnsi="Times New Roman" w:eastAsia="仿宋_GB2312" w:cs="Times New Roman"/>
          <w:sz w:val="32"/>
          <w:szCs w:val="32"/>
          <w:highlight w:val="none"/>
          <w:lang w:val="en-US" w:eastAsia="zh-CN"/>
        </w:rPr>
        <w:t>1100</w:t>
      </w:r>
      <w:r>
        <w:rPr>
          <w:rFonts w:hint="default" w:ascii="Times New Roman" w:hAnsi="Times New Roman" w:eastAsia="仿宋_GB2312" w:cs="Times New Roman"/>
          <w:sz w:val="32"/>
          <w:szCs w:val="32"/>
          <w:highlight w:val="none"/>
          <w:lang w:val="en-US" w:eastAsia="zh-CN"/>
        </w:rPr>
        <w:t>万元，政府性基金预算支出</w:t>
      </w:r>
      <w:r>
        <w:rPr>
          <w:rFonts w:hint="eastAsia" w:ascii="Times New Roman" w:hAnsi="Times New Roman" w:eastAsia="仿宋_GB2312" w:cs="Times New Roman"/>
          <w:sz w:val="32"/>
          <w:szCs w:val="32"/>
          <w:highlight w:val="none"/>
          <w:lang w:val="en-US" w:eastAsia="zh-CN"/>
        </w:rPr>
        <w:t>250</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专项</w:t>
      </w:r>
      <w:r>
        <w:rPr>
          <w:rFonts w:hint="default" w:ascii="Times New Roman" w:hAnsi="Times New Roman" w:eastAsia="仿宋_GB2312" w:cs="Times New Roman"/>
          <w:sz w:val="32"/>
          <w:szCs w:val="32"/>
          <w:highlight w:val="none"/>
          <w:lang w:val="en-US" w:eastAsia="zh-CN"/>
        </w:rPr>
        <w:t>债务</w:t>
      </w:r>
      <w:r>
        <w:rPr>
          <w:rFonts w:hint="eastAsia" w:ascii="Times New Roman" w:hAnsi="Times New Roman" w:eastAsia="仿宋_GB2312" w:cs="Times New Roman"/>
          <w:sz w:val="32"/>
          <w:szCs w:val="32"/>
          <w:highlight w:val="none"/>
          <w:lang w:val="en-US" w:eastAsia="zh-CN"/>
        </w:rPr>
        <w:t>还本支出60万元、债务发行费用1万元、</w:t>
      </w:r>
      <w:r>
        <w:rPr>
          <w:rFonts w:hint="default" w:ascii="Times New Roman" w:hAnsi="Times New Roman" w:eastAsia="仿宋_GB2312" w:cs="Times New Roman"/>
          <w:sz w:val="32"/>
          <w:szCs w:val="32"/>
          <w:highlight w:val="none"/>
          <w:lang w:val="en-US" w:eastAsia="zh-CN"/>
        </w:rPr>
        <w:t>债务付息支出</w:t>
      </w:r>
      <w:r>
        <w:rPr>
          <w:rFonts w:hint="eastAsia" w:ascii="Times New Roman" w:hAnsi="Times New Roman" w:eastAsia="仿宋_GB2312" w:cs="Times New Roman"/>
          <w:sz w:val="32"/>
          <w:szCs w:val="32"/>
          <w:highlight w:val="none"/>
          <w:lang w:val="en-US" w:eastAsia="zh-CN"/>
        </w:rPr>
        <w:t>789</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ascii="Times New Roman" w:hAnsi="Times New Roman" w:eastAsia="楷体_GB2312" w:cs="Times New Roman"/>
          <w:b/>
          <w:bCs/>
          <w:color w:val="000000"/>
          <w:sz w:val="32"/>
          <w:szCs w:val="32"/>
          <w:highlight w:val="none"/>
        </w:rPr>
      </w:pPr>
      <w:r>
        <w:rPr>
          <w:rFonts w:ascii="Times New Roman" w:hAnsi="Times New Roman" w:eastAsia="楷体_GB2312" w:cs="Times New Roman"/>
          <w:b/>
          <w:bCs/>
          <w:color w:val="000000"/>
          <w:sz w:val="32"/>
          <w:szCs w:val="32"/>
          <w:highlight w:val="none"/>
        </w:rPr>
        <w:t>（三）国有资本经营预算。</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2024</w:t>
      </w:r>
      <w:r>
        <w:rPr>
          <w:rFonts w:hint="default" w:ascii="Times New Roman" w:hAnsi="Times New Roman" w:eastAsia="仿宋_GB2312" w:cs="Times New Roman"/>
          <w:sz w:val="32"/>
          <w:szCs w:val="32"/>
          <w:highlight w:val="none"/>
          <w:lang w:val="en-US" w:eastAsia="zh-CN"/>
        </w:rPr>
        <w:t>年安排国有资本经营预算收入500万元，国有资本经营预算</w:t>
      </w:r>
      <w:r>
        <w:rPr>
          <w:rFonts w:hint="eastAsia" w:ascii="Times New Roman" w:hAnsi="Times New Roman" w:eastAsia="仿宋_GB2312" w:cs="Times New Roman"/>
          <w:sz w:val="32"/>
          <w:szCs w:val="32"/>
          <w:highlight w:val="none"/>
          <w:lang w:val="en-US" w:eastAsia="zh-CN"/>
        </w:rPr>
        <w:t>调出</w:t>
      </w:r>
      <w:r>
        <w:rPr>
          <w:rFonts w:hint="default" w:ascii="Times New Roman" w:hAnsi="Times New Roman" w:eastAsia="仿宋_GB2312" w:cs="Times New Roman"/>
          <w:sz w:val="32"/>
          <w:szCs w:val="32"/>
          <w:highlight w:val="none"/>
          <w:lang w:val="en-US" w:eastAsia="zh-CN"/>
        </w:rPr>
        <w:t>500万元。</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0" w:firstLineChars="200"/>
        <w:textAlignment w:val="auto"/>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四、202</w:t>
      </w:r>
      <w:r>
        <w:rPr>
          <w:rFonts w:hint="eastAsia" w:ascii="Times New Roman" w:hAnsi="Times New Roman" w:eastAsia="黑体" w:cs="Times New Roman"/>
          <w:color w:val="000000"/>
          <w:sz w:val="32"/>
          <w:szCs w:val="32"/>
          <w:highlight w:val="none"/>
          <w:lang w:val="en-US" w:eastAsia="zh-CN"/>
        </w:rPr>
        <w:t>4</w:t>
      </w:r>
      <w:r>
        <w:rPr>
          <w:rFonts w:ascii="Times New Roman" w:hAnsi="Times New Roman" w:eastAsia="黑体" w:cs="Times New Roman"/>
          <w:color w:val="000000"/>
          <w:sz w:val="32"/>
          <w:szCs w:val="32"/>
          <w:highlight w:val="none"/>
        </w:rPr>
        <w:t>年财政重点工作</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0" w:firstLineChars="200"/>
        <w:textAlignment w:val="auto"/>
        <w:rPr>
          <w:rFonts w:hint="eastAsia" w:ascii="Tahoma" w:hAnsi="Tahoma" w:eastAsia="仿宋_GB2312" w:cs="Times New Roman"/>
          <w:sz w:val="32"/>
          <w:szCs w:val="32"/>
          <w:lang w:eastAsia="zh-CN"/>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是实现十四五规划目标任务的关键一年，</w:t>
      </w:r>
      <w:r>
        <w:rPr>
          <w:rFonts w:ascii="Times New Roman" w:hAnsi="Times New Roman" w:eastAsia="仿宋_GB2312" w:cs="Times New Roman"/>
          <w:sz w:val="32"/>
          <w:szCs w:val="32"/>
          <w:highlight w:val="none"/>
        </w:rPr>
        <w:t>财政工作坚持以习近平新时代中国特色社会</w:t>
      </w:r>
      <w:r>
        <w:rPr>
          <w:rFonts w:ascii="Times New Roman" w:hAnsi="Times New Roman" w:eastAsia="仿宋_GB2312" w:cs="Times New Roman"/>
          <w:sz w:val="32"/>
          <w:szCs w:val="32"/>
        </w:rPr>
        <w:t>主义思想为指导，</w:t>
      </w:r>
      <w:r>
        <w:rPr>
          <w:rFonts w:hint="eastAsia" w:ascii="Times New Roman" w:hAnsi="Times New Roman" w:eastAsia="仿宋_GB2312" w:cs="Times New Roman"/>
          <w:sz w:val="32"/>
          <w:szCs w:val="32"/>
          <w:lang w:val="en-US" w:eastAsia="zh-CN"/>
        </w:rPr>
        <w:t>全面贯彻党的二十大和二十届二中全会精神，继续实施积极的财政政策，适度加力、提质增效，坚持稳中求进、以进促稳、先立后破，巩固和增强经济回升向好态势</w:t>
      </w:r>
      <w:r>
        <w:rPr>
          <w:rFonts w:hint="eastAsia" w:ascii="Tahoma" w:hAnsi="Tahoma" w:eastAsia="仿宋_GB2312" w:cs="Times New Roman"/>
          <w:sz w:val="32"/>
          <w:szCs w:val="32"/>
          <w:lang w:eastAsia="zh-CN"/>
        </w:rPr>
        <w:t>。</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楷体_GB2312" w:cs="Times New Roman"/>
          <w:b/>
          <w:bCs/>
          <w:sz w:val="32"/>
          <w:szCs w:val="32"/>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在做大财政蛋糕上下功夫，全力确保收支平稳健康。</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ascii="Times New Roman" w:hAnsi="Times New Roman" w:eastAsia="楷体_GB2312" w:cs="Times New Roman"/>
          <w:b/>
          <w:bCs/>
          <w:color w:val="000000"/>
          <w:sz w:val="32"/>
          <w:szCs w:val="32"/>
        </w:rPr>
      </w:pPr>
      <w:r>
        <w:rPr>
          <w:rFonts w:hint="default" w:ascii="Times New Roman" w:hAnsi="Times New Roman" w:eastAsia="仿宋_GB2312" w:cs="Times New Roman"/>
          <w:b/>
          <w:bCs/>
          <w:sz w:val="32"/>
          <w:szCs w:val="32"/>
        </w:rPr>
        <w:t>一是突出“实”字抓重点。</w:t>
      </w:r>
      <w:r>
        <w:rPr>
          <w:rFonts w:hint="default" w:ascii="Times New Roman" w:hAnsi="Times New Roman" w:eastAsia="仿宋_GB2312" w:cs="Times New Roman"/>
          <w:sz w:val="32"/>
          <w:szCs w:val="32"/>
        </w:rPr>
        <w:t>紧扣县委、县政府重大决策部署，充分发挥财政资源统筹职能，进</w:t>
      </w:r>
      <w:r>
        <w:rPr>
          <w:rFonts w:hint="default" w:ascii="Times New Roman" w:hAnsi="Times New Roman" w:eastAsia="仿宋_GB2312" w:cs="Times New Roman"/>
          <w:sz w:val="32"/>
          <w:szCs w:val="32"/>
          <w:lang w:val="en-US" w:eastAsia="zh-CN"/>
        </w:rPr>
        <w:t>一步强化重点项目、重点企业、重点税种的管控应对，确保完成</w:t>
      </w:r>
      <w:r>
        <w:rPr>
          <w:rFonts w:hint="eastAsia" w:ascii="Times New Roman" w:hAnsi="Times New Roman" w:eastAsia="仿宋_GB2312" w:cs="Times New Roman"/>
          <w:sz w:val="32"/>
          <w:szCs w:val="32"/>
          <w:lang w:val="en-US" w:eastAsia="zh-CN"/>
        </w:rPr>
        <w:t>13211</w:t>
      </w:r>
      <w:r>
        <w:rPr>
          <w:rFonts w:hint="default" w:ascii="Times New Roman" w:hAnsi="Times New Roman" w:eastAsia="仿宋_GB2312" w:cs="Times New Roman"/>
          <w:sz w:val="32"/>
          <w:szCs w:val="32"/>
          <w:lang w:val="en-US" w:eastAsia="zh-CN"/>
        </w:rPr>
        <w:t>万元预期目标。强化重点领域、重点项目资金监管，以“项目快推进”促</w:t>
      </w:r>
      <w:r>
        <w:rPr>
          <w:rFonts w:hint="default" w:ascii="Times New Roman" w:hAnsi="Times New Roman" w:eastAsia="仿宋_GB2312" w:cs="Times New Roman"/>
          <w:sz w:val="32"/>
          <w:szCs w:val="32"/>
        </w:rPr>
        <w:t>“资金快拨付”倒排时间节点，尽早形成实物工作量，确保资金达到序时进度。</w:t>
      </w:r>
      <w:r>
        <w:rPr>
          <w:rFonts w:hint="default" w:ascii="Times New Roman" w:hAnsi="Times New Roman" w:eastAsia="仿宋_GB2312" w:cs="Times New Roman"/>
          <w:b/>
          <w:bCs/>
          <w:sz w:val="32"/>
          <w:szCs w:val="32"/>
        </w:rPr>
        <w:t>二是突出“严”字抓统筹。</w:t>
      </w:r>
      <w:r>
        <w:rPr>
          <w:rFonts w:hint="default" w:ascii="Times New Roman" w:hAnsi="Times New Roman" w:eastAsia="仿宋_GB2312" w:cs="Times New Roman"/>
          <w:sz w:val="32"/>
          <w:szCs w:val="32"/>
        </w:rPr>
        <w:t>硬化预算约束，</w:t>
      </w:r>
      <w:r>
        <w:rPr>
          <w:rFonts w:hint="eastAsia" w:ascii="Times New Roman" w:hAnsi="Times New Roman" w:eastAsia="仿宋_GB2312" w:cs="Times New Roman"/>
          <w:sz w:val="32"/>
          <w:szCs w:val="32"/>
          <w:lang w:val="en-US" w:eastAsia="zh-CN"/>
        </w:rPr>
        <w:t>坚决兜实“三保”底线，严格政府债务管理</w:t>
      </w:r>
      <w:r>
        <w:rPr>
          <w:rFonts w:hint="default" w:ascii="Times New Roman" w:hAnsi="Times New Roman" w:eastAsia="仿宋_GB2312" w:cs="Times New Roman"/>
          <w:sz w:val="32"/>
          <w:szCs w:val="32"/>
        </w:rPr>
        <w:t>，深化预算绩效管理改革，推进政府采购标准化建设，狠抓财政评审、工程财务决算、结算审核等管理，搭建财政资金安全屏障。</w:t>
      </w:r>
      <w:r>
        <w:rPr>
          <w:rFonts w:hint="default" w:ascii="Times New Roman" w:hAnsi="Times New Roman" w:eastAsia="仿宋_GB2312" w:cs="Times New Roman"/>
          <w:b/>
          <w:bCs/>
          <w:sz w:val="32"/>
          <w:szCs w:val="32"/>
        </w:rPr>
        <w:t>三是突出“优”字抓改革。</w:t>
      </w:r>
      <w:r>
        <w:rPr>
          <w:rFonts w:hint="default" w:ascii="Times New Roman" w:hAnsi="Times New Roman" w:eastAsia="仿宋_GB2312" w:cs="Times New Roman"/>
          <w:color w:val="auto"/>
          <w:sz w:val="32"/>
          <w:szCs w:val="32"/>
          <w:lang w:val="en-US" w:eastAsia="zh-CN"/>
        </w:rPr>
        <w:t>加快建立现代财政制度，</w:t>
      </w:r>
      <w:r>
        <w:rPr>
          <w:rFonts w:hint="default" w:ascii="Times New Roman" w:hAnsi="Times New Roman" w:eastAsia="仿宋_GB2312" w:cs="Times New Roman"/>
          <w:color w:val="auto"/>
          <w:sz w:val="32"/>
          <w:szCs w:val="32"/>
        </w:rPr>
        <w:t>聚焦</w:t>
      </w:r>
      <w:r>
        <w:rPr>
          <w:rFonts w:hint="default" w:ascii="Times New Roman" w:hAnsi="Times New Roman" w:eastAsia="仿宋_GB2312" w:cs="Times New Roman"/>
          <w:color w:val="auto"/>
          <w:sz w:val="32"/>
          <w:szCs w:val="32"/>
          <w:lang w:val="en-US" w:eastAsia="zh-CN"/>
        </w:rPr>
        <w:t>预算一体化改革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财政电子票据</w:t>
      </w:r>
      <w:r>
        <w:rPr>
          <w:rFonts w:hint="default" w:ascii="Times New Roman" w:hAnsi="Times New Roman" w:eastAsia="仿宋_GB2312" w:cs="Times New Roman"/>
          <w:color w:val="auto"/>
          <w:sz w:val="32"/>
          <w:szCs w:val="32"/>
          <w:lang w:val="en-US" w:eastAsia="zh-CN"/>
        </w:rPr>
        <w:t>改革、</w:t>
      </w:r>
      <w:r>
        <w:rPr>
          <w:rFonts w:hint="default" w:ascii="Times New Roman" w:hAnsi="Times New Roman" w:eastAsia="仿宋_GB2312" w:cs="Times New Roman"/>
          <w:color w:val="auto"/>
          <w:sz w:val="32"/>
          <w:szCs w:val="32"/>
        </w:rPr>
        <w:t>预算绩效管理改革等</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lang w:val="en-US" w:eastAsia="zh-CN"/>
        </w:rPr>
        <w:t>建立“绩效导向显著、财务报告全面、控制体系完整、资金运转高效、单位权责清晰”的财政预算管理一体化运行机制</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sz w:val="32"/>
          <w:szCs w:val="32"/>
          <w:lang w:val="en-US" w:eastAsia="zh-CN"/>
        </w:rPr>
        <w:t>实现业务和预算系统深度融合。</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（二）在优化支出结构上下功夫，夯实共同富裕物质基础。</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一是点面共进增进民生福祉。</w:t>
      </w:r>
      <w:r>
        <w:rPr>
          <w:rFonts w:ascii="Times New Roman" w:hAnsi="Times New Roman" w:eastAsia="仿宋_GB2312" w:cs="Times New Roman"/>
          <w:sz w:val="32"/>
          <w:szCs w:val="32"/>
        </w:rPr>
        <w:t>在发展中保障和改善民生</w:t>
      </w:r>
      <w:r>
        <w:rPr>
          <w:rFonts w:hint="default" w:ascii="Times New Roman" w:hAnsi="Times New Roman" w:eastAsia="仿宋_GB2312" w:cs="Times New Roman"/>
          <w:sz w:val="32"/>
          <w:szCs w:val="32"/>
        </w:rPr>
        <w:t>落实好城乡最低生活保障、城乡居民医保、社保等社会保障制度，</w:t>
      </w:r>
      <w:r>
        <w:rPr>
          <w:rFonts w:hint="default" w:ascii="Times New Roman" w:hAnsi="Times New Roman" w:eastAsia="仿宋_GB2312" w:cs="Times New Roman"/>
          <w:kern w:val="2"/>
          <w:sz w:val="32"/>
          <w:szCs w:val="32"/>
        </w:rPr>
        <w:t>继续优化基础设施，着力提升“五网”建设水平，</w:t>
      </w:r>
      <w:r>
        <w:rPr>
          <w:rFonts w:hint="default" w:ascii="Times New Roman" w:hAnsi="Times New Roman" w:eastAsia="仿宋_GB2312" w:cs="Times New Roman"/>
          <w:sz w:val="32"/>
          <w:szCs w:val="32"/>
        </w:rPr>
        <w:t>加速推</w:t>
      </w:r>
      <w:r>
        <w:rPr>
          <w:rFonts w:hint="default" w:ascii="Times New Roman" w:hAnsi="Times New Roman" w:eastAsia="仿宋_GB2312" w:cs="Times New Roman"/>
          <w:spacing w:val="-11"/>
          <w:sz w:val="32"/>
          <w:szCs w:val="32"/>
        </w:rPr>
        <w:t>进民生实事，持续释放教育、医疗、低保、社保等惠民红利。</w:t>
      </w:r>
      <w:r>
        <w:rPr>
          <w:rFonts w:hint="default" w:ascii="Times New Roman" w:hAnsi="Times New Roman" w:eastAsia="仿宋_GB2312" w:cs="Times New Roman"/>
          <w:b/>
          <w:bCs/>
          <w:sz w:val="32"/>
          <w:szCs w:val="32"/>
        </w:rPr>
        <w:t>二是</w:t>
      </w:r>
      <w:r>
        <w:rPr>
          <w:rFonts w:hint="eastAsia" w:ascii="Times New Roman" w:hAnsi="Times New Roman" w:eastAsia="仿宋_GB2312" w:cs="Times New Roman"/>
          <w:b/>
          <w:bCs/>
          <w:sz w:val="32"/>
          <w:szCs w:val="32"/>
          <w:highlight w:val="none"/>
          <w:lang w:val="en-US" w:eastAsia="zh-CN"/>
        </w:rPr>
        <w:t>协同发展推进城乡融合发展。</w:t>
      </w:r>
      <w:r>
        <w:rPr>
          <w:rFonts w:ascii="Times New Roman" w:hAnsi="Times New Roman" w:eastAsia="仿宋_GB2312" w:cs="Times New Roman"/>
          <w:sz w:val="32"/>
          <w:szCs w:val="32"/>
        </w:rPr>
        <w:t>全力构建优势突出、特色鲜明、功能互补的“四片”发展布局，</w:t>
      </w:r>
      <w:r>
        <w:rPr>
          <w:rFonts w:ascii="Times New Roman" w:hAnsi="Times New Roman" w:eastAsia="仿宋_GB2312" w:cs="Times New Roman"/>
          <w:sz w:val="32"/>
          <w:szCs w:val="32"/>
          <w:highlight w:val="none"/>
        </w:rPr>
        <w:t>紧扣乡村振兴战略规划，持续加大涉农资金</w:t>
      </w:r>
      <w:r>
        <w:rPr>
          <w:rFonts w:ascii="Times New Roman" w:hAnsi="Times New Roman" w:eastAsia="仿宋_GB2312" w:cs="Times New Roman"/>
          <w:sz w:val="32"/>
          <w:szCs w:val="32"/>
        </w:rPr>
        <w:t>统筹整合力度，加强财政政策、金融政策、产业政策协同联动，</w:t>
      </w:r>
      <w:r>
        <w:rPr>
          <w:rFonts w:hint="eastAsia" w:ascii="Times New Roman" w:hAnsi="Times New Roman" w:eastAsia="仿宋_GB2312" w:cs="Times New Roman"/>
          <w:sz w:val="32"/>
          <w:szCs w:val="32"/>
          <w:highlight w:val="none"/>
          <w:lang w:val="en-US" w:eastAsia="zh-CN"/>
        </w:rPr>
        <w:t>统筹新型城镇化和乡村全面振兴</w:t>
      </w:r>
      <w:r>
        <w:rPr>
          <w:rFonts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三是持续发展壮大农业经济。</w:t>
      </w:r>
      <w:r>
        <w:rPr>
          <w:rFonts w:hint="default" w:ascii="Times New Roman" w:hAnsi="Times New Roman" w:eastAsia="仿宋_GB2312" w:cs="Times New Roman"/>
          <w:sz w:val="32"/>
          <w:szCs w:val="32"/>
        </w:rPr>
        <w:t>持续壮大“藏红花椒、高原蔬菜、川西道地中药材、特色养殖、高原食用菌”五大主导农牧产业。加强耕地保护和地力提升，加强高标准农田建设，提升国家粮食安全保障能力，坚决扛稳粮食安全、畜禽保供责任，促进可持续发展。</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（三）在创新体制上下功夫，全面提升财政监管水平。</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一是发挥绩效管理的导向作用。</w:t>
      </w:r>
      <w:r>
        <w:rPr>
          <w:rFonts w:hint="default" w:ascii="Times New Roman" w:hAnsi="Times New Roman" w:eastAsia="仿宋_GB2312" w:cs="Times New Roman"/>
          <w:sz w:val="32"/>
          <w:szCs w:val="32"/>
        </w:rPr>
        <w:t>根据“预算管理一体化系统”运作模式，逐步从预算项目拓展到财政政策、转</w:t>
      </w:r>
      <w:r>
        <w:rPr>
          <w:rFonts w:hint="default" w:ascii="Times New Roman" w:hAnsi="Times New Roman" w:eastAsia="仿宋_GB2312" w:cs="Times New Roman"/>
          <w:sz w:val="32"/>
          <w:szCs w:val="32"/>
          <w:lang w:val="en-US" w:eastAsia="zh-CN"/>
        </w:rPr>
        <w:t>移支付、</w:t>
      </w:r>
      <w:r>
        <w:rPr>
          <w:rFonts w:hint="eastAsia" w:ascii="Times New Roman" w:hAnsi="Times New Roman" w:eastAsia="仿宋_GB2312" w:cs="Times New Roman"/>
          <w:sz w:val="32"/>
          <w:szCs w:val="32"/>
          <w:lang w:val="en-US" w:eastAsia="zh-CN"/>
        </w:rPr>
        <w:t>债券</w:t>
      </w:r>
      <w:r>
        <w:rPr>
          <w:rFonts w:hint="default" w:ascii="Times New Roman" w:hAnsi="Times New Roman" w:eastAsia="仿宋_GB2312" w:cs="Times New Roman"/>
          <w:sz w:val="32"/>
          <w:szCs w:val="32"/>
          <w:lang w:val="en-US" w:eastAsia="zh-CN"/>
        </w:rPr>
        <w:t>资金、国有资本经营预算等类型，构建“三位一体”的绩效管理闭环系统，</w:t>
      </w:r>
      <w:r>
        <w:rPr>
          <w:rFonts w:hint="default" w:ascii="Times New Roman" w:hAnsi="Times New Roman" w:eastAsia="仿宋_GB2312" w:cs="Times New Roman"/>
          <w:sz w:val="32"/>
          <w:szCs w:val="32"/>
        </w:rPr>
        <w:t>实现预算执行与绩效运行“双监控”的常态化管理格局，提高预算绩效管理效率。</w:t>
      </w:r>
      <w:r>
        <w:rPr>
          <w:rFonts w:ascii="Times New Roman" w:hAnsi="Times New Roman" w:eastAsia="仿宋_GB2312" w:cs="Times New Roman"/>
          <w:b/>
          <w:bCs/>
          <w:color w:val="000000"/>
          <w:sz w:val="32"/>
          <w:szCs w:val="32"/>
        </w:rPr>
        <w:t>二是增强国企投融资运营能力突破</w:t>
      </w:r>
      <w:r>
        <w:rPr>
          <w:rFonts w:ascii="Times New Roman" w:hAnsi="Times New Roman" w:eastAsia="仿宋_GB2312" w:cs="Times New Roman"/>
          <w:color w:val="000000"/>
          <w:sz w:val="32"/>
          <w:szCs w:val="32"/>
        </w:rPr>
        <w:t>。压实县属国企防范化解债务风险责任和目标任务，做好融资项目储备和转化，完善国资报告机制，强化成果统筹运用。围绕城市运营、开发建设、产业发展、园区开发、文旅融合“五大板块”，进一步提升国企专业化、产业化运营能力，强化“自我造血能力”</w:t>
      </w:r>
      <w:r>
        <w:rPr>
          <w:rFonts w:ascii="Tahoma" w:hAnsi="Tahoma" w:eastAsia="仿宋_GB2312" w:cs="Times New Roman"/>
          <w:sz w:val="32"/>
          <w:szCs w:val="32"/>
        </w:rPr>
        <w:t>。</w:t>
      </w:r>
      <w:r>
        <w:rPr>
          <w:rFonts w:hint="default" w:ascii="Times New Roman" w:hAnsi="Times New Roman" w:eastAsia="仿宋_GB2312" w:cs="Times New Roman"/>
          <w:b/>
          <w:bCs/>
          <w:sz w:val="32"/>
          <w:szCs w:val="32"/>
        </w:rPr>
        <w:t>三是发挥财会监督的</w:t>
      </w:r>
      <w:r>
        <w:rPr>
          <w:rFonts w:hint="default" w:ascii="Times New Roman" w:hAnsi="Times New Roman" w:eastAsia="仿宋_GB2312" w:cs="Times New Roman"/>
          <w:b/>
          <w:bCs/>
          <w:sz w:val="32"/>
          <w:szCs w:val="32"/>
          <w:lang w:eastAsia="zh-CN"/>
        </w:rPr>
        <w:t>约束</w:t>
      </w:r>
      <w:r>
        <w:rPr>
          <w:rFonts w:hint="default" w:ascii="Times New Roman" w:hAnsi="Times New Roman" w:eastAsia="仿宋_GB2312" w:cs="Times New Roman"/>
          <w:b/>
          <w:bCs/>
          <w:sz w:val="32"/>
          <w:szCs w:val="32"/>
        </w:rPr>
        <w:t>作用。</w:t>
      </w:r>
      <w:r>
        <w:rPr>
          <w:rFonts w:hint="default" w:ascii="Times New Roman" w:hAnsi="Times New Roman" w:eastAsia="仿宋_GB2312" w:cs="Times New Roman"/>
          <w:sz w:val="32"/>
          <w:szCs w:val="32"/>
        </w:rPr>
        <w:t>依托“1+8+X”内控制度体系，建立常态化财政廉政风险机制，借助巡查、审计、第三方中介机构力量，为多维协同监管提供坚实支撑，充分运用财会监督成果，与绩效管理联动，与预算管理挂钩，与司法办案协同，严肃财经纪律、维护财经秩序。</w:t>
      </w:r>
      <w:r>
        <w:rPr>
          <w:rFonts w:hint="eastAsia" w:ascii="Times New Roman" w:hAnsi="Times New Roman" w:eastAsia="仿宋_GB2312" w:cs="Times New Roman"/>
          <w:sz w:val="32"/>
          <w:szCs w:val="32"/>
        </w:rPr>
        <w:t xml:space="preserve">  </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（四）在培植财源上下功夫，增强县域经济发展后劲。</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3" w:firstLineChars="200"/>
        <w:textAlignment w:val="auto"/>
        <w:rPr>
          <w:rFonts w:hint="eastAsia" w:ascii="仿宋_GB2312" w:hAnsi="Tahoma" w:eastAsia="仿宋_GB2312" w:cs="Times New Roman"/>
          <w:color w:val="333333"/>
          <w:sz w:val="32"/>
          <w:szCs w:val="32"/>
        </w:rPr>
      </w:pPr>
      <w:r>
        <w:rPr>
          <w:rFonts w:hint="eastAsia" w:ascii="Times New Roman" w:hAnsi="Times New Roman" w:eastAsia="仿宋_GB2312" w:cs="Times New Roman"/>
          <w:b/>
          <w:bCs/>
          <w:kern w:val="0"/>
          <w:sz w:val="32"/>
          <w:szCs w:val="32"/>
          <w:lang w:val="en-US" w:eastAsia="zh-CN"/>
        </w:rPr>
        <w:t>一是把握推动旅游业高质量发展新机遇。</w:t>
      </w:r>
      <w:r>
        <w:rPr>
          <w:rFonts w:hint="eastAsia" w:ascii="Times New Roman" w:hAnsi="Times New Roman" w:eastAsia="仿宋_GB2312" w:cs="Times New Roman"/>
          <w:kern w:val="0"/>
          <w:sz w:val="32"/>
          <w:szCs w:val="32"/>
          <w:lang w:val="en-US" w:eastAsia="zh-CN"/>
        </w:rPr>
        <w:t>进一步增强机遇意识和使命意识，</w:t>
      </w:r>
      <w:r>
        <w:rPr>
          <w:rFonts w:hint="eastAsia" w:ascii="Times New Roman" w:hAnsi="Times New Roman" w:eastAsia="仿宋_GB2312" w:cs="Times New Roman"/>
          <w:sz w:val="32"/>
          <w:szCs w:val="32"/>
          <w:lang w:val="en-US" w:eastAsia="zh-CN"/>
        </w:rPr>
        <w:t>主动对接发改等部门做好项目储备，</w:t>
      </w:r>
      <w:r>
        <w:rPr>
          <w:rFonts w:hint="eastAsia" w:ascii="Times New Roman" w:hAnsi="Times New Roman" w:eastAsia="仿宋_GB2312" w:cs="Times New Roman"/>
          <w:kern w:val="0"/>
          <w:sz w:val="32"/>
          <w:szCs w:val="32"/>
          <w:lang w:val="en-US" w:eastAsia="zh-CN"/>
        </w:rPr>
        <w:t>强化政策保障，拓宽融资渠道，用好各有关渠道财政资金，全力争取旅游领域符合条件的专项债券项目，提升旅游基础设施。</w:t>
      </w:r>
      <w:r>
        <w:rPr>
          <w:rFonts w:hint="eastAsia" w:ascii="Times New Roman" w:hAnsi="Times New Roman" w:eastAsia="仿宋_GB2312" w:cs="Times New Roman"/>
          <w:b/>
          <w:bCs/>
          <w:kern w:val="0"/>
          <w:sz w:val="32"/>
          <w:szCs w:val="32"/>
          <w:lang w:val="en-US" w:eastAsia="zh-CN"/>
        </w:rPr>
        <w:t>二是把握打造世界重要旅游目的地新机遇。</w:t>
      </w:r>
      <w:r>
        <w:rPr>
          <w:rFonts w:hint="default" w:ascii="Times New Roman" w:hAnsi="Times New Roman" w:eastAsia="仿宋_GB2312" w:cs="Times New Roman"/>
          <w:sz w:val="32"/>
          <w:szCs w:val="32"/>
          <w:lang w:val="en-US" w:eastAsia="zh-CN"/>
        </w:rPr>
        <w:t>全力聚焦精品文旅产业发展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加强文旅资金统筹，全面推动文旅、体旅、农旅、交旅深度融合，</w:t>
      </w:r>
      <w:r>
        <w:rPr>
          <w:rFonts w:hint="eastAsia" w:ascii="Times New Roman" w:hAnsi="Times New Roman" w:eastAsia="仿宋_GB2312" w:cs="Times New Roman"/>
          <w:sz w:val="32"/>
          <w:szCs w:val="32"/>
          <w:lang w:val="en-US" w:eastAsia="zh-CN"/>
        </w:rPr>
        <w:t>持续推进国家全域旅游示范区创建，办好2024年四川省第五届旅游生态博览会暨第八届古城花灯会、岷山雪宝顶登山节等活动，</w:t>
      </w:r>
      <w:r>
        <w:rPr>
          <w:rFonts w:hint="default" w:ascii="Times New Roman" w:hAnsi="Times New Roman" w:eastAsia="仿宋_GB2312" w:cs="Times New Roman"/>
          <w:sz w:val="32"/>
          <w:szCs w:val="32"/>
          <w:lang w:val="en-US" w:eastAsia="zh-CN"/>
        </w:rPr>
        <w:t>助力全域旅游“食、住、行、游、乐、购”供给侧升级。</w:t>
      </w:r>
      <w:r>
        <w:rPr>
          <w:rFonts w:hint="eastAsia" w:ascii="Times New Roman" w:hAnsi="Times New Roman" w:eastAsia="仿宋_GB2312" w:cs="Times New Roman"/>
          <w:b/>
          <w:bCs/>
          <w:sz w:val="32"/>
          <w:szCs w:val="32"/>
          <w:lang w:val="en-US" w:eastAsia="zh-CN"/>
        </w:rPr>
        <w:t>三是把握建设川甘青物流和文化旅游集散中心新机遇。</w:t>
      </w:r>
      <w:r>
        <w:rPr>
          <w:rFonts w:hint="eastAsia" w:ascii="仿宋_GB2312" w:hAnsi="仿宋_GB2312" w:eastAsia="仿宋_GB2312" w:cs="仿宋_GB2312"/>
          <w:b w:val="0"/>
          <w:bCs w:val="0"/>
          <w:sz w:val="32"/>
          <w:szCs w:val="32"/>
          <w:lang w:val="en-US" w:eastAsia="zh-CN"/>
        </w:rPr>
        <w:t>立足全域化发展，积极发挥财政资金引领撬动作用，</w:t>
      </w:r>
      <w:r>
        <w:rPr>
          <w:rFonts w:hint="eastAsia" w:ascii="仿宋_GB2312" w:hAnsi="黑体" w:eastAsia="仿宋_GB2312" w:cs="Times New Roman"/>
          <w:sz w:val="32"/>
          <w:szCs w:val="32"/>
        </w:rPr>
        <w:t>重点支出向财源培植转变，</w:t>
      </w:r>
      <w:r>
        <w:rPr>
          <w:rFonts w:hint="eastAsia" w:ascii="仿宋_GB2312" w:hAnsi="仿宋_GB2312" w:eastAsia="仿宋_GB2312" w:cs="仿宋_GB2312"/>
          <w:b w:val="0"/>
          <w:bCs w:val="0"/>
          <w:sz w:val="32"/>
          <w:szCs w:val="32"/>
          <w:lang w:val="en-US" w:eastAsia="zh-CN"/>
        </w:rPr>
        <w:t>合理布局区域性物流节点，招引培育一批运输代理、装卸搬运、仓储物流等规上企业，</w:t>
      </w:r>
      <w:r>
        <w:rPr>
          <w:rFonts w:hint="eastAsia" w:ascii="仿宋_GB2312" w:hAnsi="Arial" w:eastAsia="仿宋_GB2312" w:cs="Arial"/>
          <w:sz w:val="32"/>
          <w:szCs w:val="32"/>
        </w:rPr>
        <w:t>培植新的税源点，壮大地方财政实力</w:t>
      </w:r>
      <w:r>
        <w:rPr>
          <w:rFonts w:hint="eastAsia" w:ascii="仿宋_GB2312" w:hAnsi="宋体" w:eastAsia="仿宋_GB2312" w:cs="宋体"/>
          <w:sz w:val="32"/>
          <w:szCs w:val="32"/>
        </w:rPr>
        <w:t>。</w:t>
      </w:r>
      <w:r>
        <w:rPr>
          <w:rFonts w:hint="eastAsia" w:ascii="仿宋_GB2312" w:hAnsi="Tahoma" w:eastAsia="仿宋_GB2312" w:cs="Times New Roman"/>
          <w:color w:val="333333"/>
          <w:sz w:val="32"/>
          <w:szCs w:val="32"/>
        </w:rPr>
        <w:t xml:space="preserve"> </w:t>
      </w:r>
    </w:p>
    <w:p>
      <w:pPr>
        <w:keepNext w:val="0"/>
        <w:keepLines w:val="0"/>
        <w:pageBreakBefore w:val="0"/>
        <w:widowControl w:val="0"/>
        <w:pBdr>
          <w:bottom w:val="single" w:color="FFFFFF" w:sz="4" w:space="13"/>
        </w:pBdr>
        <w:kinsoku/>
        <w:wordWrap/>
        <w:overflowPunct/>
        <w:topLinePunct w:val="0"/>
        <w:autoSpaceDE/>
        <w:autoSpaceDN/>
        <w:bidi w:val="0"/>
        <w:adjustRightInd w:val="0"/>
        <w:snapToGrid w:val="0"/>
        <w:spacing w:line="576" w:lineRule="exact"/>
        <w:ind w:left="0" w:right="0" w:rightChars="0"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color w:val="000000"/>
          <w:sz w:val="32"/>
          <w:szCs w:val="32"/>
        </w:rPr>
        <w:t>各位代表：</w:t>
      </w:r>
      <w:r>
        <w:rPr>
          <w:rFonts w:hint="eastAsia" w:ascii="楷体_GB2312" w:hAnsi="楷体_GB2312" w:eastAsia="楷体_GB2312" w:cs="楷体_GB2312"/>
          <w:b/>
          <w:bCs/>
          <w:sz w:val="32"/>
          <w:szCs w:val="32"/>
          <w:lang w:val="en-US" w:eastAsia="zh-CN"/>
        </w:rPr>
        <w:t>抚今追昔、继往开来</w:t>
      </w:r>
      <w:r>
        <w:rPr>
          <w:rFonts w:hint="eastAsia" w:ascii="楷体_GB2312" w:hAnsi="楷体_GB2312" w:eastAsia="楷体_GB2312" w:cs="楷体_GB2312"/>
          <w:b/>
          <w:bCs/>
          <w:sz w:val="32"/>
          <w:szCs w:val="32"/>
        </w:rPr>
        <w:t>。</w:t>
      </w:r>
      <w:r>
        <w:rPr>
          <w:rFonts w:ascii="Times New Roman" w:hAnsi="Times New Roman" w:eastAsia="仿宋_GB2312" w:cs="Times New Roman"/>
          <w:sz w:val="32"/>
          <w:szCs w:val="32"/>
        </w:rPr>
        <w:t>要全面完成202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年财政工作任务艰巨、使命光荣，我们将继续在县委的坚强领导下，在县人大及其常委会、县政协的监督指导下，牢记嘱托开新局、笃行不怠出新绩，以奋进的姿态躬身实践、以攻坚的精神破解难题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奋力谱写</w:t>
      </w:r>
      <w:r>
        <w:rPr>
          <w:rFonts w:ascii="Times New Roman" w:hAnsi="Times New Roman" w:eastAsia="仿宋_GB2312" w:cs="Times New Roman"/>
          <w:sz w:val="32"/>
          <w:szCs w:val="32"/>
        </w:rPr>
        <w:t>以财政高质量发展服务</w:t>
      </w:r>
      <w:r>
        <w:rPr>
          <w:rFonts w:hint="eastAsia" w:ascii="Times New Roman" w:hAnsi="Times New Roman" w:eastAsia="仿宋_GB2312" w:cs="Times New Roman"/>
          <w:sz w:val="32"/>
          <w:szCs w:val="32"/>
          <w:lang w:val="en-US" w:eastAsia="zh-CN"/>
        </w:rPr>
        <w:t>松潘县</w:t>
      </w:r>
      <w:r>
        <w:rPr>
          <w:rFonts w:ascii="Times New Roman" w:hAnsi="Times New Roman" w:eastAsia="仿宋_GB2312" w:cs="Times New Roman"/>
          <w:sz w:val="32"/>
          <w:szCs w:val="32"/>
        </w:rPr>
        <w:t>现代化建设发展新篇章！</w:t>
      </w:r>
    </w:p>
    <w:p>
      <w:pPr>
        <w:rPr>
          <w:rFonts w:ascii="Times New Roman" w:hAnsi="Times New Roman"/>
        </w:rPr>
      </w:pPr>
    </w:p>
    <w:p>
      <w:pPr>
        <w:tabs>
          <w:tab w:val="left" w:pos="721"/>
        </w:tabs>
        <w:bidi w:val="0"/>
        <w:ind w:left="0" w:leftChars="0" w:firstLine="0" w:firstLineChars="0"/>
        <w:jc w:val="left"/>
        <w:rPr>
          <w:rFonts w:hint="eastAsia"/>
          <w:lang w:val="en-US" w:eastAsia="zh-CN"/>
        </w:rPr>
      </w:pPr>
    </w:p>
    <w:sectPr>
      <w:headerReference r:id="rId3" w:type="default"/>
      <w:footerReference r:id="rId4" w:type="default"/>
      <w:footnotePr>
        <w:numFmt w:val="decimalHalfWidth"/>
      </w:footnotePr>
      <w:endnotePr>
        <w:numFmt w:val="chineseCounting"/>
      </w:endnotePr>
      <w:pgSz w:w="11850" w:h="16784"/>
      <w:pgMar w:top="2098" w:right="1474" w:bottom="1984" w:left="1587" w:header="851" w:footer="1474"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jc w:val="both"/>
      <w:rPr>
        <w:rFonts w:ascii="Times New Roman" w:hAnsi="Times New Roman"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ZTlhNTE1MTgwYWRlMzdkOGE4NzM2OTgwMDBhMjAifQ=="/>
  </w:docVars>
  <w:rsids>
    <w:rsidRoot w:val="00172A27"/>
    <w:rsid w:val="02FC5EF6"/>
    <w:rsid w:val="0ABD652D"/>
    <w:rsid w:val="0EE43109"/>
    <w:rsid w:val="15D7145F"/>
    <w:rsid w:val="1A7D5698"/>
    <w:rsid w:val="1AE85ADC"/>
    <w:rsid w:val="26F0486F"/>
    <w:rsid w:val="2B3202B6"/>
    <w:rsid w:val="2DB749AD"/>
    <w:rsid w:val="2E0918FB"/>
    <w:rsid w:val="2E224612"/>
    <w:rsid w:val="2E366AC7"/>
    <w:rsid w:val="2F8B57FD"/>
    <w:rsid w:val="30A97976"/>
    <w:rsid w:val="3203475A"/>
    <w:rsid w:val="32935ADE"/>
    <w:rsid w:val="329B0E37"/>
    <w:rsid w:val="359D7745"/>
    <w:rsid w:val="3647730B"/>
    <w:rsid w:val="37F23808"/>
    <w:rsid w:val="40714F85"/>
    <w:rsid w:val="40F6456B"/>
    <w:rsid w:val="43AC148E"/>
    <w:rsid w:val="4A6E64BD"/>
    <w:rsid w:val="4C2F1B26"/>
    <w:rsid w:val="51CA111A"/>
    <w:rsid w:val="54A93E96"/>
    <w:rsid w:val="562468CA"/>
    <w:rsid w:val="5FD71B98"/>
    <w:rsid w:val="639C2F7E"/>
    <w:rsid w:val="66EA1B9C"/>
    <w:rsid w:val="6B157539"/>
    <w:rsid w:val="6D812EEB"/>
    <w:rsid w:val="6FF41E3B"/>
    <w:rsid w:val="74C44DC5"/>
    <w:rsid w:val="75C13CDD"/>
    <w:rsid w:val="7A0C4884"/>
    <w:rsid w:val="7B2E5971"/>
    <w:rsid w:val="7C647F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Calibri" w:hAnsi="Calibri" w:eastAsia="宋体" w:cs="Times New Roman"/>
      <w:lang w:val="en-US" w:eastAsia="zh-CN" w:bidi="ar-SA"/>
    </w:rPr>
  </w:style>
  <w:style w:type="character" w:default="1" w:styleId="14">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next w:val="4"/>
    <w:qFormat/>
    <w:uiPriority w:val="0"/>
    <w:pPr>
      <w:spacing w:line="240" w:lineRule="auto"/>
      <w:ind w:left="0" w:right="-334" w:rightChars="-159" w:firstLine="640" w:firstLineChars="200"/>
      <w:jc w:val="left"/>
      <w:textAlignment w:val="auto"/>
    </w:pPr>
    <w:rPr>
      <w:rFonts w:ascii="仿宋_GB2312" w:hAnsi="仿宋_GB2312" w:eastAsia="仿宋_GB2312"/>
      <w:kern w:val="2"/>
      <w:sz w:val="32"/>
      <w:szCs w:val="32"/>
    </w:rPr>
  </w:style>
  <w:style w:type="paragraph" w:styleId="4">
    <w:name w:val="Body Text First Indent 2"/>
    <w:basedOn w:val="3"/>
    <w:next w:val="1"/>
    <w:unhideWhenUsed/>
    <w:qFormat/>
    <w:uiPriority w:val="99"/>
    <w:pPr>
      <w:ind w:firstLine="420"/>
    </w:pPr>
  </w:style>
  <w:style w:type="paragraph" w:styleId="5">
    <w:name w:val="Balloon Text"/>
    <w:basedOn w:val="1"/>
    <w:link w:val="15"/>
    <w:qFormat/>
    <w:uiPriority w:val="0"/>
    <w:pPr>
      <w:spacing w:line="240" w:lineRule="auto"/>
    </w:pPr>
    <w:rPr>
      <w:sz w:val="18"/>
      <w:szCs w:val="18"/>
    </w:rPr>
  </w:style>
  <w:style w:type="paragraph" w:styleId="6">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4"/>
    <w:basedOn w:val="1"/>
    <w:next w:val="1"/>
    <w:qFormat/>
    <w:uiPriority w:val="0"/>
    <w:pPr>
      <w:spacing w:line="306" w:lineRule="auto"/>
      <w:ind w:left="419" w:firstLine="629"/>
    </w:pPr>
  </w:style>
  <w:style w:type="paragraph" w:styleId="9">
    <w:name w:val="footnote text"/>
    <w:basedOn w:val="1"/>
    <w:qFormat/>
    <w:uiPriority w:val="0"/>
    <w:pPr>
      <w:snapToGrid w:val="0"/>
      <w:jc w:val="left"/>
    </w:pPr>
    <w:rPr>
      <w:sz w:val="18"/>
      <w:szCs w:val="18"/>
    </w:rPr>
  </w:style>
  <w:style w:type="paragraph" w:styleId="10">
    <w:name w:val="table of figures"/>
    <w:basedOn w:val="1"/>
    <w:next w:val="1"/>
    <w:qFormat/>
    <w:uiPriority w:val="0"/>
    <w:pPr>
      <w:ind w:left="200" w:leftChars="200" w:hanging="200" w:hangingChars="200"/>
    </w:pPr>
  </w:style>
  <w:style w:type="paragraph" w:styleId="11">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2">
    <w:name w:val="Body Text First Indent"/>
    <w:basedOn w:val="2"/>
    <w:qFormat/>
    <w:uiPriority w:val="0"/>
    <w:pPr>
      <w:ind w:firstLine="100" w:firstLineChars="100"/>
    </w:pPr>
  </w:style>
  <w:style w:type="character" w:customStyle="1" w:styleId="15">
    <w:name w:val="批注框文本 Char"/>
    <w:basedOn w:val="14"/>
    <w:link w:val="5"/>
    <w:qFormat/>
    <w:uiPriority w:val="0"/>
    <w:rPr>
      <w:rFonts w:ascii="Calibri" w:hAnsi="Calibri" w:eastAsia="宋体" w:cs="Times New Roman"/>
      <w:sz w:val="18"/>
      <w:szCs w:val="18"/>
    </w:rPr>
  </w:style>
  <w:style w:type="character" w:customStyle="1" w:styleId="16">
    <w:name w:val="font181"/>
    <w:basedOn w:val="14"/>
    <w:qFormat/>
    <w:uiPriority w:val="0"/>
    <w:rPr>
      <w:rFonts w:hint="default" w:ascii="Times New Roman" w:hAnsi="Times New Roman" w:cs="Times New Roman"/>
      <w:color w:val="000000"/>
      <w:sz w:val="28"/>
      <w:szCs w:val="28"/>
      <w:u w:val="none"/>
    </w:rPr>
  </w:style>
  <w:style w:type="character" w:customStyle="1" w:styleId="17">
    <w:name w:val="font41"/>
    <w:basedOn w:val="14"/>
    <w:qFormat/>
    <w:uiPriority w:val="0"/>
    <w:rPr>
      <w:rFonts w:hint="eastAsia" w:ascii="方正小标宋简体" w:hAnsi="方正小标宋简体" w:eastAsia="方正小标宋简体" w:cs="方正小标宋简体"/>
      <w:color w:val="000000"/>
      <w:sz w:val="28"/>
      <w:szCs w:val="28"/>
      <w:u w:val="none"/>
    </w:rPr>
  </w:style>
  <w:style w:type="character" w:customStyle="1" w:styleId="18">
    <w:name w:val="font191"/>
    <w:basedOn w:val="14"/>
    <w:qFormat/>
    <w:uiPriority w:val="0"/>
    <w:rPr>
      <w:rFonts w:hint="eastAsia" w:ascii="仿宋_GB2312" w:eastAsia="仿宋_GB2312" w:cs="仿宋_GB2312"/>
      <w:b/>
      <w:bCs/>
      <w:color w:val="000000"/>
      <w:sz w:val="18"/>
      <w:szCs w:val="18"/>
      <w:u w:val="none"/>
    </w:rPr>
  </w:style>
  <w:style w:type="character" w:customStyle="1" w:styleId="19">
    <w:name w:val="font71"/>
    <w:basedOn w:val="14"/>
    <w:qFormat/>
    <w:uiPriority w:val="0"/>
    <w:rPr>
      <w:rFonts w:hint="eastAsia" w:ascii="仿宋_GB2312" w:eastAsia="仿宋_GB2312" w:cs="仿宋_GB2312"/>
      <w:b/>
      <w:bCs/>
      <w:color w:val="000000"/>
      <w:sz w:val="18"/>
      <w:szCs w:val="18"/>
      <w:u w:val="none"/>
    </w:rPr>
  </w:style>
  <w:style w:type="character" w:customStyle="1" w:styleId="20">
    <w:name w:val="font201"/>
    <w:basedOn w:val="14"/>
    <w:qFormat/>
    <w:uiPriority w:val="0"/>
    <w:rPr>
      <w:rFonts w:hint="eastAsia" w:ascii="仿宋_GB2312" w:eastAsia="仿宋_GB2312" w:cs="仿宋_GB2312"/>
      <w:color w:val="000000"/>
      <w:sz w:val="12"/>
      <w:szCs w:val="12"/>
      <w:u w:val="none"/>
    </w:rPr>
  </w:style>
  <w:style w:type="character" w:customStyle="1" w:styleId="21">
    <w:name w:val="font112"/>
    <w:basedOn w:val="14"/>
    <w:qFormat/>
    <w:uiPriority w:val="0"/>
    <w:rPr>
      <w:rFonts w:hint="eastAsia" w:ascii="仿宋_GB2312" w:eastAsia="仿宋_GB2312" w:cs="仿宋_GB2312"/>
      <w:color w:val="000000"/>
      <w:sz w:val="12"/>
      <w:szCs w:val="12"/>
      <w:u w:val="none"/>
    </w:rPr>
  </w:style>
  <w:style w:type="character" w:customStyle="1" w:styleId="22">
    <w:name w:val="font161"/>
    <w:basedOn w:val="14"/>
    <w:qFormat/>
    <w:uiPriority w:val="0"/>
    <w:rPr>
      <w:rFonts w:hint="eastAsia" w:ascii="仿宋_GB2312" w:eastAsia="仿宋_GB2312" w:cs="仿宋_GB2312"/>
      <w:b/>
      <w:bCs/>
      <w:color w:val="000000"/>
      <w:sz w:val="18"/>
      <w:szCs w:val="18"/>
      <w:u w:val="none"/>
    </w:rPr>
  </w:style>
  <w:style w:type="character" w:customStyle="1" w:styleId="23">
    <w:name w:val="font51"/>
    <w:basedOn w:val="14"/>
    <w:qFormat/>
    <w:uiPriority w:val="0"/>
    <w:rPr>
      <w:rFonts w:hint="eastAsia" w:ascii="仿宋_GB2312" w:eastAsia="仿宋_GB2312" w:cs="仿宋_GB2312"/>
      <w:b/>
      <w:bCs/>
      <w:color w:val="000000"/>
      <w:sz w:val="18"/>
      <w:szCs w:val="18"/>
      <w:u w:val="none"/>
    </w:rPr>
  </w:style>
  <w:style w:type="character" w:customStyle="1" w:styleId="24">
    <w:name w:val="font171"/>
    <w:basedOn w:val="14"/>
    <w:qFormat/>
    <w:uiPriority w:val="0"/>
    <w:rPr>
      <w:rFonts w:hint="eastAsia" w:ascii="仿宋_GB2312" w:eastAsia="仿宋_GB2312" w:cs="仿宋_GB2312"/>
      <w:color w:val="000000"/>
      <w:sz w:val="12"/>
      <w:szCs w:val="12"/>
      <w:u w:val="none"/>
    </w:rPr>
  </w:style>
  <w:style w:type="character" w:customStyle="1" w:styleId="25">
    <w:name w:val="font91"/>
    <w:basedOn w:val="14"/>
    <w:qFormat/>
    <w:uiPriority w:val="0"/>
    <w:rPr>
      <w:rFonts w:hint="eastAsia" w:ascii="仿宋_GB2312" w:eastAsia="仿宋_GB2312" w:cs="仿宋_GB2312"/>
      <w:color w:val="000000"/>
      <w:sz w:val="12"/>
      <w:szCs w:val="12"/>
      <w:u w:val="none"/>
    </w:rPr>
  </w:style>
  <w:style w:type="paragraph" w:customStyle="1" w:styleId="26">
    <w:name w:val="No Spacing"/>
    <w:qFormat/>
    <w:uiPriority w:val="0"/>
    <w:pPr>
      <w:spacing w:line="856" w:lineRule="atLeast"/>
      <w:ind w:firstLine="22"/>
      <w:jc w:val="both"/>
      <w:textAlignment w:val="baseline"/>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9062</Words>
  <Characters>9786</Characters>
  <Lines>34</Lines>
  <Paragraphs>9</Paragraphs>
  <TotalTime>33</TotalTime>
  <ScaleCrop>false</ScaleCrop>
  <LinksUpToDate>false</LinksUpToDate>
  <CharactersWithSpaces>9998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2022-12-13T15:02:00Z</dcterms:created>
  <dc:creator>文档存本地丢失不负责</dc:creator>
  <cp:lastModifiedBy>Administrator</cp:lastModifiedBy>
  <cp:lastPrinted>2023-12-25T09:52:00Z</cp:lastPrinted>
  <dcterms:modified xsi:type="dcterms:W3CDTF">2024-09-05T02:45:24Z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95281D3E402A4FA49C711CE37CD6987B_13</vt:lpwstr>
  </property>
</Properties>
</file>