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7"/>
        <w:rPr>
          <w:rFonts w:ascii="Times New Roman" w:hAnsi="Times New Roman" w:cs="Times New Roman" w:eastAsiaTheme="minorEastAsia"/>
          <w:color w:val="auto"/>
          <w:sz w:val="44"/>
          <w:szCs w:val="44"/>
        </w:rPr>
      </w:pPr>
    </w:p>
    <w:p>
      <w:pPr>
        <w:pStyle w:val="47"/>
        <w:rPr>
          <w:rFonts w:ascii="Times New Roman" w:hAnsi="Times New Roman" w:cs="Times New Roman" w:eastAsiaTheme="minorEastAsia"/>
          <w:color w:val="auto"/>
          <w:sz w:val="44"/>
          <w:szCs w:val="44"/>
        </w:rPr>
      </w:pPr>
      <w:r>
        <w:rPr>
          <w:rFonts w:ascii="Times New Roman" w:hAnsi="Times New Roman" w:cs="Times New Roman" w:eastAsiaTheme="minorEastAsia"/>
          <w:color w:val="auto"/>
          <w:sz w:val="44"/>
          <w:szCs w:val="44"/>
        </w:rPr>
        <w:t>建设项目环境影响报告表</w:t>
      </w:r>
    </w:p>
    <w:p>
      <w:pPr>
        <w:pStyle w:val="91"/>
        <w:spacing w:before="624" w:beforeLines="200"/>
        <w:rPr>
          <w:rFonts w:eastAsiaTheme="minorEastAsia"/>
          <w:color w:val="auto"/>
          <w:szCs w:val="36"/>
        </w:rPr>
      </w:pPr>
      <w:r>
        <w:rPr>
          <w:rFonts w:eastAsiaTheme="minorEastAsia"/>
          <w:color w:val="auto"/>
          <w:szCs w:val="36"/>
        </w:rPr>
        <w:t>（</w:t>
      </w:r>
      <w:r>
        <w:rPr>
          <w:rFonts w:hint="eastAsia" w:eastAsiaTheme="minorEastAsia"/>
          <w:color w:val="auto"/>
          <w:szCs w:val="36"/>
          <w:lang w:val="en-US" w:eastAsia="zh-CN"/>
        </w:rPr>
        <w:t>公示</w:t>
      </w:r>
      <w:r>
        <w:rPr>
          <w:rFonts w:hint="eastAsia" w:eastAsiaTheme="minorEastAsia"/>
          <w:color w:val="auto"/>
          <w:szCs w:val="36"/>
        </w:rPr>
        <w:t>本</w:t>
      </w:r>
      <w:r>
        <w:rPr>
          <w:rFonts w:eastAsiaTheme="minorEastAsia"/>
          <w:color w:val="auto"/>
          <w:szCs w:val="36"/>
        </w:rPr>
        <w:t>）</w:t>
      </w:r>
    </w:p>
    <w:p>
      <w:pPr>
        <w:pStyle w:val="91"/>
        <w:rPr>
          <w:rFonts w:eastAsiaTheme="minorEastAsia"/>
          <w:color w:val="auto"/>
          <w:szCs w:val="36"/>
        </w:rPr>
      </w:pPr>
    </w:p>
    <w:p>
      <w:pPr>
        <w:pStyle w:val="91"/>
        <w:rPr>
          <w:rFonts w:eastAsiaTheme="minorEastAsia"/>
          <w:color w:val="auto"/>
        </w:rPr>
      </w:pPr>
    </w:p>
    <w:p>
      <w:pPr>
        <w:pStyle w:val="91"/>
        <w:rPr>
          <w:rFonts w:eastAsiaTheme="minorEastAsia"/>
          <w:color w:val="auto"/>
        </w:rPr>
      </w:pPr>
      <w:bookmarkStart w:id="30" w:name="_GoBack"/>
      <w:bookmarkEnd w:id="30"/>
    </w:p>
    <w:p>
      <w:pPr>
        <w:pStyle w:val="91"/>
        <w:rPr>
          <w:rFonts w:eastAsiaTheme="minorEastAsia"/>
          <w:color w:val="auto"/>
        </w:rPr>
      </w:pPr>
    </w:p>
    <w:p>
      <w:pPr>
        <w:pStyle w:val="91"/>
        <w:rPr>
          <w:rFonts w:eastAsiaTheme="minorEastAsia"/>
          <w:color w:val="auto"/>
        </w:rPr>
      </w:pPr>
    </w:p>
    <w:p>
      <w:pPr>
        <w:pStyle w:val="91"/>
        <w:rPr>
          <w:rFonts w:eastAsiaTheme="minorEastAsia"/>
          <w:color w:val="auto"/>
        </w:rPr>
      </w:pPr>
    </w:p>
    <w:p>
      <w:pPr>
        <w:spacing w:line="480" w:lineRule="auto"/>
        <w:ind w:left="1770" w:leftChars="136" w:hanging="1485" w:hangingChars="495"/>
        <w:jc w:val="center"/>
        <w:rPr>
          <w:rFonts w:hint="eastAsia" w:ascii="Times New Roman" w:hAnsi="Times New Roman" w:eastAsia="宋体" w:cs="Times New Roman"/>
          <w:b/>
          <w:color w:val="auto"/>
          <w:sz w:val="30"/>
          <w:szCs w:val="30"/>
          <w:u w:val="thick"/>
          <w:lang w:eastAsia="zh-CN"/>
        </w:rPr>
      </w:pPr>
      <w:r>
        <w:rPr>
          <w:rFonts w:ascii="Times New Roman" w:hAnsi="Times New Roman" w:cs="Times New Roman"/>
          <w:b/>
          <w:color w:val="auto"/>
          <w:sz w:val="30"/>
          <w:szCs w:val="30"/>
        </w:rPr>
        <w:t>项目名称:</w:t>
      </w:r>
      <w:r>
        <w:rPr>
          <w:rFonts w:hint="eastAsia" w:ascii="宋体" w:hAnsi="宋体" w:eastAsia="宋体" w:cs="Times New Roman"/>
          <w:color w:val="auto"/>
          <w:kern w:val="0"/>
          <w:sz w:val="30"/>
          <w:szCs w:val="30"/>
        </w:rPr>
        <w:t xml:space="preserve"> </w:t>
      </w:r>
      <w:r>
        <w:rPr>
          <w:rFonts w:hint="eastAsia" w:ascii="Times New Roman" w:hAnsi="Times New Roman" w:eastAsia="宋体" w:cs="Times New Roman"/>
          <w:b/>
          <w:color w:val="auto"/>
          <w:sz w:val="30"/>
          <w:szCs w:val="30"/>
          <w:u w:val="thick"/>
          <w:lang w:eastAsia="zh-CN"/>
        </w:rPr>
        <w:t>松潘县白羊乡茶园坪村璜环沟泥石流治理工程</w:t>
      </w:r>
    </w:p>
    <w:p>
      <w:pPr>
        <w:spacing w:line="480" w:lineRule="auto"/>
        <w:ind w:left="1770" w:leftChars="136" w:hanging="1485" w:hangingChars="495"/>
        <w:jc w:val="center"/>
        <w:rPr>
          <w:rFonts w:ascii="Times New Roman" w:hAnsi="Times New Roman" w:cs="Times New Roman"/>
          <w:b/>
          <w:color w:val="auto"/>
          <w:sz w:val="30"/>
          <w:szCs w:val="30"/>
          <w:u w:val="thick"/>
        </w:rPr>
      </w:pPr>
    </w:p>
    <w:p>
      <w:pPr>
        <w:spacing w:line="480" w:lineRule="auto"/>
        <w:ind w:firstLine="300" w:firstLineChars="100"/>
        <w:jc w:val="center"/>
        <w:rPr>
          <w:rFonts w:ascii="Times New Roman" w:hAnsi="Times New Roman" w:cs="Times New Roman"/>
          <w:color w:val="auto"/>
          <w:sz w:val="30"/>
          <w:szCs w:val="30"/>
          <w:u w:val="single"/>
        </w:rPr>
      </w:pPr>
      <w:r>
        <w:rPr>
          <w:rFonts w:ascii="Times New Roman" w:hAnsi="Times New Roman" w:cs="Times New Roman"/>
          <w:b/>
          <w:color w:val="auto"/>
          <w:sz w:val="30"/>
          <w:szCs w:val="30"/>
        </w:rPr>
        <w:t>建设单位（盖章）:</w:t>
      </w:r>
      <w:r>
        <w:rPr>
          <w:rFonts w:hint="eastAsia" w:ascii="Times New Roman" w:hAnsi="Times New Roman" w:cs="Times New Roman"/>
          <w:b/>
          <w:color w:val="auto"/>
          <w:sz w:val="30"/>
          <w:szCs w:val="30"/>
          <w:u w:val="thick"/>
        </w:rPr>
        <w:t>松潘县</w:t>
      </w:r>
      <w:r>
        <w:rPr>
          <w:rFonts w:hint="eastAsia" w:ascii="Times New Roman" w:hAnsi="Times New Roman" w:cs="Times New Roman"/>
          <w:b/>
          <w:color w:val="auto"/>
          <w:sz w:val="30"/>
          <w:szCs w:val="30"/>
          <w:u w:val="thick"/>
          <w:lang w:eastAsia="zh-CN"/>
        </w:rPr>
        <w:t>自然资源</w:t>
      </w:r>
      <w:r>
        <w:rPr>
          <w:rFonts w:hint="eastAsia" w:ascii="Times New Roman" w:hAnsi="Times New Roman" w:cs="Times New Roman"/>
          <w:b/>
          <w:color w:val="auto"/>
          <w:sz w:val="30"/>
          <w:szCs w:val="30"/>
          <w:u w:val="thick"/>
        </w:rPr>
        <w:t>局</w:t>
      </w:r>
    </w:p>
    <w:p>
      <w:pPr>
        <w:rPr>
          <w:rFonts w:ascii="Times New Roman" w:hAnsi="Times New Roman" w:cs="Times New Roman"/>
          <w:color w:val="auto"/>
          <w:sz w:val="30"/>
          <w:szCs w:val="30"/>
        </w:rPr>
      </w:pPr>
    </w:p>
    <w:p>
      <w:pPr>
        <w:rPr>
          <w:rFonts w:ascii="Times New Roman" w:hAnsi="Times New Roman" w:cs="Times New Roman"/>
          <w:color w:val="auto"/>
          <w:sz w:val="30"/>
          <w:szCs w:val="30"/>
        </w:rPr>
      </w:pPr>
    </w:p>
    <w:p>
      <w:pPr>
        <w:rPr>
          <w:rFonts w:ascii="Times New Roman" w:hAnsi="Times New Roman" w:cs="Times New Roman"/>
          <w:color w:val="auto"/>
          <w:sz w:val="30"/>
          <w:szCs w:val="30"/>
        </w:rPr>
      </w:pPr>
    </w:p>
    <w:p>
      <w:pPr>
        <w:rPr>
          <w:rFonts w:ascii="Times New Roman" w:hAnsi="Times New Roman" w:cs="Times New Roman"/>
          <w:color w:val="auto"/>
          <w:sz w:val="30"/>
          <w:szCs w:val="30"/>
        </w:rPr>
      </w:pPr>
    </w:p>
    <w:p>
      <w:pPr>
        <w:rPr>
          <w:rFonts w:ascii="Times New Roman" w:hAnsi="Times New Roman" w:cs="Times New Roman"/>
          <w:color w:val="auto"/>
          <w:sz w:val="30"/>
          <w:szCs w:val="30"/>
        </w:rPr>
      </w:pPr>
    </w:p>
    <w:p>
      <w:pPr>
        <w:jc w:val="center"/>
        <w:rPr>
          <w:rFonts w:ascii="Times New Roman" w:hAnsi="Times New Roman" w:cs="Times New Roman"/>
          <w:b/>
          <w:color w:val="auto"/>
          <w:sz w:val="30"/>
          <w:szCs w:val="30"/>
        </w:rPr>
      </w:pPr>
      <w:r>
        <w:rPr>
          <w:rFonts w:hint="eastAsia" w:ascii="Times New Roman" w:hAnsi="Times New Roman" w:cs="Times New Roman"/>
          <w:b/>
          <w:color w:val="auto"/>
          <w:sz w:val="30"/>
          <w:szCs w:val="30"/>
        </w:rPr>
        <w:t>编制单位：</w:t>
      </w:r>
      <w:r>
        <w:rPr>
          <w:rFonts w:hint="eastAsia" w:ascii="Times New Roman" w:hAnsi="Times New Roman" w:cs="Times New Roman"/>
          <w:b/>
          <w:color w:val="auto"/>
          <w:sz w:val="30"/>
          <w:szCs w:val="30"/>
          <w:lang w:val="en-US" w:eastAsia="zh-CN"/>
        </w:rPr>
        <w:t>四川省新尚昇环保咨询</w:t>
      </w:r>
      <w:r>
        <w:rPr>
          <w:rFonts w:hint="eastAsia" w:ascii="Times New Roman" w:hAnsi="Times New Roman" w:cs="Times New Roman"/>
          <w:b/>
          <w:color w:val="auto"/>
          <w:sz w:val="30"/>
          <w:szCs w:val="30"/>
        </w:rPr>
        <w:t>有限公司</w:t>
      </w:r>
    </w:p>
    <w:p>
      <w:pPr>
        <w:spacing w:line="360" w:lineRule="auto"/>
        <w:jc w:val="center"/>
        <w:rPr>
          <w:rFonts w:ascii="Times New Roman" w:hAnsi="Times New Roman" w:cs="Times New Roman"/>
          <w:b/>
          <w:color w:val="auto"/>
          <w:sz w:val="30"/>
          <w:szCs w:val="30"/>
        </w:rPr>
      </w:pPr>
      <w:r>
        <w:rPr>
          <w:rFonts w:ascii="Times New Roman" w:hAnsi="Times New Roman" w:cs="Times New Roman"/>
          <w:b/>
          <w:color w:val="auto"/>
          <w:sz w:val="30"/>
          <w:szCs w:val="30"/>
        </w:rPr>
        <w:t>编制日期：20</w:t>
      </w:r>
      <w:r>
        <w:rPr>
          <w:rFonts w:hint="eastAsia" w:ascii="Times New Roman" w:hAnsi="Times New Roman" w:cs="Times New Roman"/>
          <w:b/>
          <w:color w:val="auto"/>
          <w:sz w:val="30"/>
          <w:szCs w:val="30"/>
          <w:lang w:val="en-US" w:eastAsia="zh-CN"/>
        </w:rPr>
        <w:t>20</w:t>
      </w:r>
      <w:r>
        <w:rPr>
          <w:rFonts w:ascii="Times New Roman" w:hAnsi="Times New Roman" w:cs="Times New Roman"/>
          <w:b/>
          <w:color w:val="auto"/>
          <w:sz w:val="30"/>
          <w:szCs w:val="30"/>
        </w:rPr>
        <w:t>年</w:t>
      </w:r>
      <w:r>
        <w:rPr>
          <w:rFonts w:hint="eastAsia" w:ascii="Times New Roman" w:hAnsi="Times New Roman" w:cs="Times New Roman"/>
          <w:b/>
          <w:color w:val="auto"/>
          <w:sz w:val="30"/>
          <w:szCs w:val="30"/>
          <w:lang w:val="en-US" w:eastAsia="zh-CN"/>
        </w:rPr>
        <w:t>8</w:t>
      </w:r>
      <w:r>
        <w:rPr>
          <w:rFonts w:ascii="Times New Roman" w:hAnsi="Times New Roman" w:cs="Times New Roman"/>
          <w:b/>
          <w:color w:val="auto"/>
          <w:sz w:val="30"/>
          <w:szCs w:val="30"/>
        </w:rPr>
        <w:t>月</w:t>
      </w:r>
    </w:p>
    <w:p>
      <w:pPr>
        <w:widowControl/>
        <w:jc w:val="left"/>
        <w:rPr>
          <w:rFonts w:ascii="Times New Roman" w:hAnsi="Times New Roman" w:cs="Times New Roman"/>
          <w:b/>
          <w:color w:val="auto"/>
          <w:sz w:val="32"/>
          <w:szCs w:val="32"/>
        </w:rPr>
      </w:pPr>
      <w:r>
        <w:rPr>
          <w:rFonts w:ascii="Times New Roman" w:hAnsi="Times New Roman" w:cs="Times New Roman"/>
          <w:b/>
          <w:color w:val="auto"/>
          <w:sz w:val="32"/>
          <w:szCs w:val="32"/>
        </w:rPr>
        <w:br w:type="page"/>
      </w:r>
    </w:p>
    <w:p>
      <w:pPr>
        <w:pStyle w:val="4"/>
        <w:jc w:val="center"/>
        <w:rPr>
          <w:color w:val="auto"/>
        </w:rPr>
      </w:pPr>
      <w:r>
        <w:rPr>
          <w:rFonts w:hint="eastAsia"/>
          <w:color w:val="auto"/>
        </w:rPr>
        <w:t>《建设项目环境影响报告表》编制说明</w:t>
      </w:r>
    </w:p>
    <w:p>
      <w:pPr>
        <w:ind w:firstLine="560"/>
        <w:rPr>
          <w:color w:val="auto"/>
          <w:sz w:val="28"/>
          <w:szCs w:val="28"/>
        </w:rPr>
      </w:pPr>
      <w:r>
        <w:rPr>
          <w:rFonts w:hint="eastAsia"/>
          <w:color w:val="auto"/>
          <w:sz w:val="28"/>
          <w:szCs w:val="28"/>
        </w:rPr>
        <w:t>《建设项目环境影响报告表》由具有从事环境影响评价工作资质的单位编制。</w:t>
      </w:r>
    </w:p>
    <w:p>
      <w:pPr>
        <w:ind w:firstLine="560"/>
        <w:rPr>
          <w:color w:val="auto"/>
          <w:sz w:val="28"/>
          <w:szCs w:val="28"/>
        </w:rPr>
      </w:pPr>
      <w:r>
        <w:rPr>
          <w:color w:val="auto"/>
          <w:sz w:val="28"/>
          <w:szCs w:val="28"/>
        </w:rPr>
        <w:t>1.</w:t>
      </w:r>
      <w:r>
        <w:rPr>
          <w:rFonts w:hint="eastAsia"/>
          <w:color w:val="auto"/>
          <w:sz w:val="28"/>
          <w:szCs w:val="28"/>
        </w:rPr>
        <w:t>项目名称</w:t>
      </w:r>
      <w:r>
        <w:rPr>
          <w:color w:val="auto"/>
          <w:sz w:val="28"/>
          <w:szCs w:val="28"/>
        </w:rPr>
        <w:t>----</w:t>
      </w:r>
      <w:r>
        <w:rPr>
          <w:rFonts w:hint="eastAsia"/>
          <w:color w:val="auto"/>
          <w:sz w:val="28"/>
          <w:szCs w:val="28"/>
        </w:rPr>
        <w:t>指项目立项批复时的名称，应不超过</w:t>
      </w:r>
      <w:r>
        <w:rPr>
          <w:color w:val="auto"/>
          <w:sz w:val="28"/>
          <w:szCs w:val="28"/>
        </w:rPr>
        <w:t>30</w:t>
      </w:r>
      <w:r>
        <w:rPr>
          <w:rFonts w:hint="eastAsia"/>
          <w:color w:val="auto"/>
          <w:sz w:val="28"/>
          <w:szCs w:val="28"/>
        </w:rPr>
        <w:t>个字（两个英文字段作一个汉字）。</w:t>
      </w:r>
    </w:p>
    <w:p>
      <w:pPr>
        <w:ind w:firstLine="560"/>
        <w:rPr>
          <w:color w:val="auto"/>
          <w:sz w:val="28"/>
          <w:szCs w:val="28"/>
        </w:rPr>
      </w:pPr>
      <w:r>
        <w:rPr>
          <w:color w:val="auto"/>
          <w:sz w:val="28"/>
          <w:szCs w:val="28"/>
        </w:rPr>
        <w:t>2.</w:t>
      </w:r>
      <w:r>
        <w:rPr>
          <w:rFonts w:hint="eastAsia"/>
          <w:color w:val="auto"/>
          <w:sz w:val="28"/>
          <w:szCs w:val="28"/>
        </w:rPr>
        <w:t>建设地点</w:t>
      </w:r>
      <w:r>
        <w:rPr>
          <w:color w:val="auto"/>
          <w:sz w:val="28"/>
          <w:szCs w:val="28"/>
        </w:rPr>
        <w:t>----</w:t>
      </w:r>
      <w:r>
        <w:rPr>
          <w:rFonts w:hint="eastAsia"/>
          <w:color w:val="auto"/>
          <w:sz w:val="28"/>
          <w:szCs w:val="28"/>
        </w:rPr>
        <w:t>指项目所在地详细地址、公路、铁路应填写起止地点。</w:t>
      </w:r>
    </w:p>
    <w:p>
      <w:pPr>
        <w:ind w:firstLine="560"/>
        <w:rPr>
          <w:color w:val="auto"/>
          <w:sz w:val="28"/>
          <w:szCs w:val="28"/>
        </w:rPr>
      </w:pPr>
      <w:r>
        <w:rPr>
          <w:color w:val="auto"/>
          <w:sz w:val="28"/>
          <w:szCs w:val="28"/>
        </w:rPr>
        <w:t>3.</w:t>
      </w:r>
      <w:r>
        <w:rPr>
          <w:rFonts w:hint="eastAsia"/>
          <w:color w:val="auto"/>
          <w:sz w:val="28"/>
          <w:szCs w:val="28"/>
        </w:rPr>
        <w:t>行业类别</w:t>
      </w:r>
      <w:r>
        <w:rPr>
          <w:color w:val="auto"/>
          <w:sz w:val="28"/>
          <w:szCs w:val="28"/>
        </w:rPr>
        <w:t>----</w:t>
      </w:r>
      <w:r>
        <w:rPr>
          <w:rFonts w:hint="eastAsia"/>
          <w:color w:val="auto"/>
          <w:sz w:val="28"/>
          <w:szCs w:val="28"/>
        </w:rPr>
        <w:t>按国标填写。</w:t>
      </w:r>
    </w:p>
    <w:p>
      <w:pPr>
        <w:ind w:firstLine="560"/>
        <w:rPr>
          <w:color w:val="auto"/>
          <w:sz w:val="28"/>
          <w:szCs w:val="28"/>
        </w:rPr>
      </w:pPr>
      <w:r>
        <w:rPr>
          <w:color w:val="auto"/>
          <w:sz w:val="28"/>
          <w:szCs w:val="28"/>
        </w:rPr>
        <w:t>4.</w:t>
      </w:r>
      <w:r>
        <w:rPr>
          <w:rFonts w:hint="eastAsia"/>
          <w:color w:val="auto"/>
          <w:sz w:val="28"/>
          <w:szCs w:val="28"/>
        </w:rPr>
        <w:t>总投资</w:t>
      </w:r>
      <w:r>
        <w:rPr>
          <w:color w:val="auto"/>
          <w:sz w:val="28"/>
          <w:szCs w:val="28"/>
        </w:rPr>
        <w:t>----</w:t>
      </w:r>
      <w:r>
        <w:rPr>
          <w:rFonts w:hint="eastAsia"/>
          <w:color w:val="auto"/>
          <w:sz w:val="28"/>
          <w:szCs w:val="28"/>
        </w:rPr>
        <w:t>指项目投资总额。</w:t>
      </w:r>
    </w:p>
    <w:p>
      <w:pPr>
        <w:ind w:firstLine="560"/>
        <w:rPr>
          <w:color w:val="auto"/>
          <w:sz w:val="28"/>
          <w:szCs w:val="28"/>
        </w:rPr>
      </w:pPr>
      <w:r>
        <w:rPr>
          <w:color w:val="auto"/>
          <w:sz w:val="28"/>
          <w:szCs w:val="28"/>
        </w:rPr>
        <w:t>5.</w:t>
      </w:r>
      <w:r>
        <w:rPr>
          <w:rFonts w:hint="eastAsia"/>
          <w:color w:val="auto"/>
          <w:sz w:val="28"/>
          <w:szCs w:val="28"/>
        </w:rPr>
        <w:t>主要环境保护目标</w:t>
      </w:r>
      <w:r>
        <w:rPr>
          <w:color w:val="auto"/>
          <w:sz w:val="28"/>
          <w:szCs w:val="28"/>
        </w:rPr>
        <w:t>----</w:t>
      </w:r>
      <w:r>
        <w:rPr>
          <w:rFonts w:hint="eastAsia"/>
          <w:color w:val="auto"/>
          <w:sz w:val="28"/>
          <w:szCs w:val="28"/>
        </w:rPr>
        <w:t>指项目区周围一定范围内集中居民住宅、学校、医院、保护文物、风景名胜区、水源地和生态敏感点等，应尽可能给出保护目标、性质、规模和距</w:t>
      </w:r>
      <w:r>
        <w:rPr>
          <w:rFonts w:hint="eastAsia"/>
          <w:color w:val="auto"/>
          <w:sz w:val="28"/>
          <w:szCs w:val="28"/>
          <w:lang w:eastAsia="zh-CN"/>
        </w:rPr>
        <w:t>项目</w:t>
      </w:r>
      <w:r>
        <w:rPr>
          <w:rFonts w:hint="eastAsia"/>
          <w:color w:val="auto"/>
          <w:sz w:val="28"/>
          <w:szCs w:val="28"/>
        </w:rPr>
        <w:t>距离等。</w:t>
      </w:r>
    </w:p>
    <w:p>
      <w:pPr>
        <w:ind w:firstLine="560"/>
        <w:rPr>
          <w:color w:val="auto"/>
          <w:sz w:val="28"/>
          <w:szCs w:val="28"/>
        </w:rPr>
      </w:pPr>
      <w:r>
        <w:rPr>
          <w:color w:val="auto"/>
          <w:sz w:val="28"/>
          <w:szCs w:val="28"/>
        </w:rPr>
        <w:t>6.</w:t>
      </w:r>
      <w:r>
        <w:rPr>
          <w:rFonts w:hint="eastAsia"/>
          <w:color w:val="auto"/>
          <w:sz w:val="28"/>
          <w:szCs w:val="28"/>
        </w:rPr>
        <w:t>结论与建议</w:t>
      </w:r>
      <w:r>
        <w:rPr>
          <w:color w:val="auto"/>
          <w:sz w:val="28"/>
          <w:szCs w:val="28"/>
        </w:rPr>
        <w:t>----</w:t>
      </w:r>
      <w:r>
        <w:rPr>
          <w:rFonts w:hint="eastAsia"/>
          <w:color w:val="auto"/>
          <w:sz w:val="28"/>
          <w:szCs w:val="28"/>
        </w:rPr>
        <w:t>给出本项目清洁生产、达标排放和总量控制的分析结论，确定污染防治措施的有效性，说明本项目对环境造成的影响，给出建设项目环境可行性的明确结论。同时提出减少环境影响的其它建议。</w:t>
      </w:r>
    </w:p>
    <w:p>
      <w:pPr>
        <w:ind w:firstLine="560"/>
        <w:rPr>
          <w:color w:val="auto"/>
          <w:sz w:val="28"/>
          <w:szCs w:val="28"/>
        </w:rPr>
      </w:pPr>
      <w:r>
        <w:rPr>
          <w:color w:val="auto"/>
          <w:sz w:val="28"/>
          <w:szCs w:val="28"/>
        </w:rPr>
        <w:t>7.</w:t>
      </w:r>
      <w:r>
        <w:rPr>
          <w:rFonts w:hint="eastAsia"/>
          <w:color w:val="auto"/>
          <w:sz w:val="28"/>
          <w:szCs w:val="28"/>
        </w:rPr>
        <w:t>预审意见</w:t>
      </w:r>
      <w:r>
        <w:rPr>
          <w:color w:val="auto"/>
          <w:sz w:val="28"/>
          <w:szCs w:val="28"/>
        </w:rPr>
        <w:t>----</w:t>
      </w:r>
      <w:r>
        <w:rPr>
          <w:rFonts w:hint="eastAsia"/>
          <w:color w:val="auto"/>
          <w:sz w:val="28"/>
          <w:szCs w:val="28"/>
        </w:rPr>
        <w:t>由行业主管部门填写答复意见，无主管部门项目，可不填。</w:t>
      </w:r>
    </w:p>
    <w:p>
      <w:pPr>
        <w:ind w:firstLine="560"/>
        <w:rPr>
          <w:color w:val="auto"/>
          <w:sz w:val="28"/>
          <w:szCs w:val="28"/>
        </w:rPr>
      </w:pPr>
      <w:r>
        <w:rPr>
          <w:color w:val="auto"/>
          <w:sz w:val="28"/>
          <w:szCs w:val="28"/>
        </w:rPr>
        <w:t>8.</w:t>
      </w:r>
      <w:r>
        <w:rPr>
          <w:rFonts w:hint="eastAsia"/>
          <w:color w:val="auto"/>
          <w:sz w:val="28"/>
          <w:szCs w:val="28"/>
        </w:rPr>
        <w:t>审批意见</w:t>
      </w:r>
      <w:r>
        <w:rPr>
          <w:color w:val="auto"/>
          <w:sz w:val="28"/>
          <w:szCs w:val="28"/>
        </w:rPr>
        <w:t>----</w:t>
      </w:r>
      <w:r>
        <w:rPr>
          <w:rFonts w:hint="eastAsia"/>
          <w:color w:val="auto"/>
          <w:sz w:val="28"/>
          <w:szCs w:val="28"/>
        </w:rPr>
        <w:t>由负责审批该项目的环境保护行政主管部门批复。</w:t>
      </w:r>
    </w:p>
    <w:p>
      <w:pPr>
        <w:ind w:firstLine="480"/>
        <w:rPr>
          <w:color w:val="auto"/>
        </w:rPr>
      </w:pPr>
    </w:p>
    <w:p>
      <w:pPr>
        <w:spacing w:line="360" w:lineRule="auto"/>
        <w:jc w:val="center"/>
        <w:rPr>
          <w:rFonts w:ascii="Times New Roman" w:hAnsi="Times New Roman" w:cs="Times New Roman"/>
          <w:color w:val="auto"/>
        </w:rPr>
      </w:pPr>
    </w:p>
    <w:p>
      <w:pPr>
        <w:pStyle w:val="90"/>
        <w:ind w:firstLine="320" w:firstLineChars="100"/>
        <w:jc w:val="center"/>
        <w:rPr>
          <w:rFonts w:eastAsiaTheme="minorEastAsia"/>
          <w:color w:val="auto"/>
          <w:szCs w:val="32"/>
          <w:u w:val="none"/>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auto"/>
          <w:sz w:val="30"/>
          <w:szCs w:val="30"/>
          <w:vertAlign w:val="subscript"/>
        </w:rPr>
      </w:pPr>
      <w:r>
        <w:rPr>
          <w:rFonts w:hint="eastAsia" w:ascii="Times New Roman" w:hAnsi="Times New Roman" w:cs="Times New Roman"/>
          <w:b/>
          <w:color w:val="auto"/>
          <w:sz w:val="30"/>
          <w:szCs w:val="30"/>
        </w:rPr>
        <w:t>建设项目基本情况</w:t>
      </w:r>
      <w:r>
        <w:rPr>
          <w:rFonts w:ascii="Times New Roman" w:hAnsi="Times New Roman" w:cs="Times New Roman"/>
          <w:b/>
          <w:color w:val="auto"/>
          <w:sz w:val="30"/>
          <w:szCs w:val="30"/>
        </w:rPr>
        <w:t xml:space="preserve">  </w:t>
      </w:r>
      <w:r>
        <w:rPr>
          <w:rFonts w:hint="eastAsia" w:ascii="Times New Roman" w:hAnsi="Times New Roman" w:cs="Times New Roman"/>
          <w:b/>
          <w:color w:val="auto"/>
          <w:sz w:val="30"/>
          <w:szCs w:val="30"/>
        </w:rPr>
        <w:t xml:space="preserve">                                   (</w:t>
      </w:r>
      <w:r>
        <w:rPr>
          <w:rFonts w:hint="eastAsia" w:ascii="Times New Roman" w:hAnsi="Times New Roman" w:cs="Times New Roman"/>
          <w:b/>
          <w:snapToGrid w:val="0"/>
          <w:color w:val="auto"/>
          <w:kern w:val="0"/>
          <w:sz w:val="30"/>
          <w:szCs w:val="30"/>
        </w:rPr>
        <w:t>表一)</w:t>
      </w:r>
    </w:p>
    <w:tbl>
      <w:tblPr>
        <w:tblStyle w:val="51"/>
        <w:tblW w:w="92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88"/>
        <w:gridCol w:w="831"/>
        <w:gridCol w:w="1582"/>
        <w:gridCol w:w="786"/>
        <w:gridCol w:w="1251"/>
        <w:gridCol w:w="773"/>
        <w:gridCol w:w="943"/>
        <w:gridCol w:w="337"/>
        <w:gridCol w:w="12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8" w:hRule="atLeast"/>
          <w:jc w:val="center"/>
        </w:trPr>
        <w:tc>
          <w:tcPr>
            <w:tcW w:w="1488" w:type="dxa"/>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项目名称</w:t>
            </w:r>
          </w:p>
        </w:tc>
        <w:tc>
          <w:tcPr>
            <w:tcW w:w="7798" w:type="dxa"/>
            <w:gridSpan w:val="8"/>
            <w:vAlign w:val="center"/>
          </w:tcPr>
          <w:p>
            <w:pPr>
              <w:snapToGrid w:val="0"/>
              <w:jc w:val="center"/>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lang w:eastAsia="zh-CN"/>
              </w:rPr>
              <w:t>松潘县白羊乡茶园坪村璜环沟泥石流治理工程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7"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建设单位</w:t>
            </w:r>
          </w:p>
        </w:tc>
        <w:tc>
          <w:tcPr>
            <w:tcW w:w="7798" w:type="dxa"/>
            <w:gridSpan w:val="8"/>
            <w:vAlign w:val="center"/>
          </w:tcPr>
          <w:p>
            <w:pPr>
              <w:snapToGrid w:val="0"/>
              <w:jc w:val="center"/>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lang w:eastAsia="zh-CN"/>
              </w:rPr>
              <w:t>松潘县自然资源局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9"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法人代表</w:t>
            </w:r>
          </w:p>
        </w:tc>
        <w:tc>
          <w:tcPr>
            <w:tcW w:w="3199" w:type="dxa"/>
            <w:gridSpan w:val="3"/>
            <w:vAlign w:val="center"/>
          </w:tcPr>
          <w:p>
            <w:pPr>
              <w:snapToGrid w:val="0"/>
              <w:jc w:val="center"/>
              <w:rPr>
                <w:rFonts w:hint="eastAsia"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王亮</w:t>
            </w:r>
          </w:p>
        </w:tc>
        <w:tc>
          <w:tcPr>
            <w:tcW w:w="2967" w:type="dxa"/>
            <w:gridSpan w:val="3"/>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联系人</w:t>
            </w:r>
          </w:p>
        </w:tc>
        <w:tc>
          <w:tcPr>
            <w:tcW w:w="1632" w:type="dxa"/>
            <w:gridSpan w:val="2"/>
            <w:vAlign w:val="center"/>
          </w:tcPr>
          <w:p>
            <w:pPr>
              <w:snapToGrid w:val="0"/>
              <w:jc w:val="center"/>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lang w:eastAsia="zh-CN"/>
              </w:rPr>
              <w:t>余海波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通讯地址</w:t>
            </w:r>
          </w:p>
        </w:tc>
        <w:tc>
          <w:tcPr>
            <w:tcW w:w="7798" w:type="dxa"/>
            <w:gridSpan w:val="8"/>
            <w:vAlign w:val="center"/>
          </w:tcPr>
          <w:p>
            <w:pPr>
              <w:snapToGrid w:val="0"/>
              <w:jc w:val="center"/>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rPr>
              <w:t>松潘县</w:t>
            </w:r>
            <w:r>
              <w:rPr>
                <w:rFonts w:hint="eastAsia" w:ascii="Times New Roman" w:hAnsi="Times New Roman" w:cs="Times New Roman"/>
                <w:color w:val="auto"/>
                <w:sz w:val="24"/>
                <w:lang w:eastAsia="zh-CN"/>
              </w:rPr>
              <w:t>自然资源局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联系电话</w:t>
            </w:r>
          </w:p>
        </w:tc>
        <w:tc>
          <w:tcPr>
            <w:tcW w:w="3199" w:type="dxa"/>
            <w:gridSpan w:val="3"/>
            <w:vAlign w:val="center"/>
          </w:tcPr>
          <w:p>
            <w:pPr>
              <w:snapToGrid w:val="0"/>
              <w:jc w:val="center"/>
              <w:rPr>
                <w:rFonts w:ascii="Times New Roman" w:hAnsi="Times New Roman" w:cs="Times New Roman"/>
                <w:color w:val="auto"/>
                <w:sz w:val="24"/>
              </w:rPr>
            </w:pPr>
            <w:r>
              <w:rPr>
                <w:rFonts w:hint="eastAsia" w:ascii="Times New Roman" w:hAnsi="Times New Roman" w:eastAsia="宋体" w:cs="Times New Roman"/>
                <w:color w:val="auto"/>
                <w:lang w:val="en-US" w:eastAsia="zh-CN"/>
              </w:rPr>
              <w:t>13548397983</w:t>
            </w:r>
            <w:r>
              <w:rPr>
                <w:rFonts w:ascii="Times New Roman" w:hAnsi="Times New Roman" w:eastAsia="宋体" w:cs="Times New Roman"/>
                <w:color w:val="auto"/>
              </w:rPr>
              <w:t xml:space="preserve"> </w:t>
            </w:r>
          </w:p>
        </w:tc>
        <w:tc>
          <w:tcPr>
            <w:tcW w:w="1251" w:type="dxa"/>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传真</w:t>
            </w:r>
          </w:p>
        </w:tc>
        <w:tc>
          <w:tcPr>
            <w:tcW w:w="773"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w:t>
            </w:r>
          </w:p>
        </w:tc>
        <w:tc>
          <w:tcPr>
            <w:tcW w:w="1280" w:type="dxa"/>
            <w:gridSpan w:val="2"/>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邮政编码</w:t>
            </w:r>
          </w:p>
        </w:tc>
        <w:tc>
          <w:tcPr>
            <w:tcW w:w="1295" w:type="dxa"/>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623300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5"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建设地点</w:t>
            </w:r>
          </w:p>
        </w:tc>
        <w:tc>
          <w:tcPr>
            <w:tcW w:w="7798" w:type="dxa"/>
            <w:gridSpan w:val="8"/>
            <w:vAlign w:val="center"/>
          </w:tcPr>
          <w:p>
            <w:pPr>
              <w:snapToGrid w:val="0"/>
              <w:jc w:val="center"/>
              <w:rPr>
                <w:rFonts w:hint="eastAsia" w:ascii="Times New Roman" w:hAnsi="Times New Roman" w:cs="Times New Roman" w:eastAsiaTheme="minorEastAsia"/>
                <w:color w:val="auto"/>
                <w:sz w:val="24"/>
                <w:lang w:eastAsia="zh-CN"/>
              </w:rPr>
            </w:pPr>
            <w:r>
              <w:rPr>
                <w:rFonts w:hint="eastAsia" w:ascii="Times New Roman" w:hAnsi="Times New Roman" w:cs="Times New Roman"/>
                <w:color w:val="auto"/>
                <w:sz w:val="24"/>
              </w:rPr>
              <w:t>松潘县</w:t>
            </w:r>
            <w:r>
              <w:rPr>
                <w:rFonts w:hint="eastAsia" w:ascii="Times New Roman" w:hAnsi="Times New Roman" w:cs="Times New Roman"/>
                <w:color w:val="auto"/>
                <w:sz w:val="24"/>
                <w:lang w:val="en-US" w:eastAsia="zh-CN"/>
              </w:rPr>
              <w:t>白羊</w:t>
            </w:r>
            <w:r>
              <w:rPr>
                <w:rFonts w:hint="eastAsia" w:ascii="Times New Roman" w:hAnsi="Times New Roman" w:cs="Times New Roman"/>
                <w:color w:val="auto"/>
                <w:sz w:val="24"/>
                <w:lang w:eastAsia="zh-CN"/>
              </w:rPr>
              <w:t>乡</w:t>
            </w:r>
            <w:r>
              <w:rPr>
                <w:rFonts w:hint="eastAsia" w:ascii="Times New Roman" w:hAnsi="Times New Roman" w:cs="Times New Roman"/>
                <w:color w:val="auto"/>
                <w:sz w:val="24"/>
                <w:lang w:val="en-US" w:eastAsia="zh-CN"/>
              </w:rPr>
              <w:t>茶园坪</w:t>
            </w:r>
            <w:r>
              <w:rPr>
                <w:rFonts w:hint="eastAsia" w:ascii="Times New Roman" w:hAnsi="Times New Roman" w:cs="Times New Roman"/>
                <w:color w:val="auto"/>
                <w:sz w:val="24"/>
                <w:lang w:eastAsia="zh-CN"/>
              </w:rPr>
              <w:t>村璜环沟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7" w:hRule="atLeast"/>
          <w:jc w:val="center"/>
        </w:trPr>
        <w:tc>
          <w:tcPr>
            <w:tcW w:w="1488" w:type="dxa"/>
            <w:vAlign w:val="center"/>
          </w:tcPr>
          <w:p>
            <w:pPr>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立项审批</w:t>
            </w:r>
          </w:p>
          <w:p>
            <w:pPr>
              <w:adjustRightInd w:val="0"/>
              <w:snapToGrid w:val="0"/>
              <w:jc w:val="center"/>
              <w:rPr>
                <w:rFonts w:ascii="Times New Roman" w:hAnsi="Times New Roman" w:cs="Times New Roman"/>
                <w:color w:val="auto"/>
                <w:sz w:val="24"/>
              </w:rPr>
            </w:pPr>
            <w:r>
              <w:rPr>
                <w:rFonts w:hint="eastAsia" w:ascii="Times New Roman" w:hAnsi="Times New Roman" w:cs="Times New Roman"/>
                <w:color w:val="auto"/>
                <w:sz w:val="24"/>
              </w:rPr>
              <w:t>部门</w:t>
            </w:r>
          </w:p>
        </w:tc>
        <w:tc>
          <w:tcPr>
            <w:tcW w:w="3199" w:type="dxa"/>
            <w:gridSpan w:val="3"/>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松潘县发展和改革局</w:t>
            </w:r>
          </w:p>
        </w:tc>
        <w:tc>
          <w:tcPr>
            <w:tcW w:w="2024" w:type="dxa"/>
            <w:gridSpan w:val="2"/>
            <w:vAlign w:val="center"/>
          </w:tcPr>
          <w:p>
            <w:pPr>
              <w:adjustRightInd w:val="0"/>
              <w:snapToGrid w:val="0"/>
              <w:jc w:val="center"/>
              <w:rPr>
                <w:rFonts w:ascii="Times New Roman" w:hAnsi="Times New Roman" w:cs="Times New Roman"/>
                <w:color w:val="auto"/>
                <w:sz w:val="24"/>
              </w:rPr>
            </w:pPr>
            <w:r>
              <w:rPr>
                <w:rFonts w:hint="eastAsia" w:ascii="Times New Roman" w:hAnsi="Times New Roman" w:cs="Times New Roman"/>
                <w:color w:val="auto"/>
                <w:sz w:val="24"/>
              </w:rPr>
              <w:t>批准文号</w:t>
            </w:r>
          </w:p>
        </w:tc>
        <w:tc>
          <w:tcPr>
            <w:tcW w:w="2575" w:type="dxa"/>
            <w:gridSpan w:val="3"/>
            <w:vAlign w:val="center"/>
          </w:tcPr>
          <w:p>
            <w:pPr>
              <w:adjustRightInd w:val="0"/>
              <w:snapToGrid w:val="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松发改行审[2020]8号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3" w:hRule="atLeast"/>
          <w:jc w:val="center"/>
        </w:trPr>
        <w:tc>
          <w:tcPr>
            <w:tcW w:w="1488" w:type="dxa"/>
            <w:vAlign w:val="center"/>
          </w:tcPr>
          <w:p>
            <w:pPr>
              <w:snapToGrid w:val="0"/>
              <w:spacing w:before="156" w:beforeLines="50"/>
              <w:jc w:val="center"/>
              <w:rPr>
                <w:rFonts w:ascii="Times New Roman" w:hAnsi="Times New Roman" w:cs="Times New Roman"/>
                <w:color w:val="auto"/>
                <w:sz w:val="24"/>
              </w:rPr>
            </w:pPr>
            <w:r>
              <w:rPr>
                <w:rFonts w:ascii="Times New Roman" w:hAnsi="Times New Roman" w:cs="Times New Roman"/>
                <w:color w:val="auto"/>
                <w:sz w:val="24"/>
              </w:rPr>
              <w:t>建设性质</w:t>
            </w:r>
          </w:p>
        </w:tc>
        <w:tc>
          <w:tcPr>
            <w:tcW w:w="3199" w:type="dxa"/>
            <w:gridSpan w:val="3"/>
            <w:vAlign w:val="center"/>
          </w:tcPr>
          <w:p>
            <w:pPr>
              <w:snapToGrid w:val="0"/>
              <w:spacing w:before="156" w:beforeLines="50"/>
              <w:jc w:val="center"/>
              <w:rPr>
                <w:rFonts w:ascii="Times New Roman" w:hAnsi="Times New Roman" w:cs="Times New Roman"/>
                <w:color w:val="auto"/>
                <w:sz w:val="24"/>
              </w:rPr>
            </w:pPr>
            <w:r>
              <w:rPr>
                <w:rFonts w:hint="eastAsia" w:ascii="Times New Roman" w:hAnsi="Times New Roman" w:cs="Times New Roman"/>
                <w:color w:val="auto"/>
                <w:sz w:val="24"/>
              </w:rPr>
              <w:t>新建</w:t>
            </w:r>
          </w:p>
        </w:tc>
        <w:tc>
          <w:tcPr>
            <w:tcW w:w="2024" w:type="dxa"/>
            <w:gridSpan w:val="2"/>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行业类别及代码</w:t>
            </w:r>
          </w:p>
        </w:tc>
        <w:tc>
          <w:tcPr>
            <w:tcW w:w="2575" w:type="dxa"/>
            <w:gridSpan w:val="3"/>
            <w:vAlign w:val="center"/>
          </w:tcPr>
          <w:p>
            <w:pPr>
              <w:adjustRightInd w:val="0"/>
              <w:snapToGrid w:val="0"/>
              <w:jc w:val="center"/>
              <w:rPr>
                <w:rFonts w:hint="eastAsia" w:asciiTheme="minorEastAsia" w:hAnsiTheme="minorEastAsia" w:eastAsiaTheme="minorEastAsia" w:cstheme="minorEastAsia"/>
                <w:color w:val="auto"/>
                <w:sz w:val="24"/>
              </w:rPr>
            </w:pPr>
            <w:r>
              <w:rPr>
                <w:rFonts w:hint="eastAsia" w:ascii="Times New Roman" w:hAnsi="Times New Roman" w:cs="Times New Roman"/>
                <w:color w:val="auto"/>
                <w:sz w:val="24"/>
                <w:lang w:val="en-US" w:eastAsia="zh-CN"/>
              </w:rPr>
              <w:t>N7610 防洪除涝设施管理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5"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占地面积</w:t>
            </w:r>
          </w:p>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（平方米）</w:t>
            </w:r>
          </w:p>
        </w:tc>
        <w:tc>
          <w:tcPr>
            <w:tcW w:w="3199" w:type="dxa"/>
            <w:gridSpan w:val="3"/>
            <w:vAlign w:val="center"/>
          </w:tcPr>
          <w:p>
            <w:pPr>
              <w:snapToGrid w:val="0"/>
              <w:ind w:firstLine="240" w:firstLineChars="10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300</w:t>
            </w:r>
          </w:p>
        </w:tc>
        <w:tc>
          <w:tcPr>
            <w:tcW w:w="2024" w:type="dxa"/>
            <w:gridSpan w:val="2"/>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绿化面积</w:t>
            </w:r>
          </w:p>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（平方米）</w:t>
            </w:r>
          </w:p>
        </w:tc>
        <w:tc>
          <w:tcPr>
            <w:tcW w:w="2575" w:type="dxa"/>
            <w:gridSpan w:val="3"/>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65"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总投资</w:t>
            </w:r>
          </w:p>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（万元）</w:t>
            </w:r>
          </w:p>
        </w:tc>
        <w:tc>
          <w:tcPr>
            <w:tcW w:w="831" w:type="dxa"/>
            <w:vAlign w:val="center"/>
          </w:tcPr>
          <w:p>
            <w:pPr>
              <w:snapToGrid w:val="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95.82</w:t>
            </w:r>
          </w:p>
        </w:tc>
        <w:tc>
          <w:tcPr>
            <w:tcW w:w="1582" w:type="dxa"/>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其中：环保投资（万元）</w:t>
            </w:r>
          </w:p>
        </w:tc>
        <w:tc>
          <w:tcPr>
            <w:tcW w:w="786" w:type="dxa"/>
            <w:vAlign w:val="center"/>
          </w:tcPr>
          <w:p>
            <w:pPr>
              <w:snapToGrid w:val="0"/>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15.5</w:t>
            </w:r>
          </w:p>
        </w:tc>
        <w:tc>
          <w:tcPr>
            <w:tcW w:w="2024" w:type="dxa"/>
            <w:gridSpan w:val="2"/>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环保投资占总投资比例</w:t>
            </w:r>
          </w:p>
        </w:tc>
        <w:tc>
          <w:tcPr>
            <w:tcW w:w="2575" w:type="dxa"/>
            <w:gridSpan w:val="3"/>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1</w:t>
            </w:r>
            <w:r>
              <w:rPr>
                <w:rFonts w:hint="eastAsia" w:ascii="Times New Roman" w:hAnsi="Times New Roman" w:cs="Times New Roman"/>
                <w:color w:val="auto"/>
                <w:sz w:val="24"/>
                <w:lang w:val="en-US" w:eastAsia="zh-CN"/>
              </w:rPr>
              <w:t>6.18</w:t>
            </w:r>
            <w:r>
              <w:rPr>
                <w:rFonts w:ascii="Times New Roman" w:hAnsi="Times New Roman" w:cs="Times New Roman"/>
                <w:color w:val="auto"/>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15" w:hRule="atLeast"/>
          <w:jc w:val="center"/>
        </w:trPr>
        <w:tc>
          <w:tcPr>
            <w:tcW w:w="1488" w:type="dxa"/>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评价经费</w:t>
            </w:r>
          </w:p>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（万元）</w:t>
            </w:r>
          </w:p>
        </w:tc>
        <w:tc>
          <w:tcPr>
            <w:tcW w:w="3199" w:type="dxa"/>
            <w:gridSpan w:val="3"/>
            <w:vAlign w:val="center"/>
          </w:tcPr>
          <w:p>
            <w:pPr>
              <w:snapToGrid w:val="0"/>
              <w:spacing w:before="156" w:beforeLines="50"/>
              <w:jc w:val="center"/>
              <w:rPr>
                <w:rFonts w:ascii="Times New Roman" w:hAnsi="Times New Roman" w:cs="Times New Roman"/>
                <w:color w:val="auto"/>
                <w:sz w:val="24"/>
              </w:rPr>
            </w:pPr>
            <w:r>
              <w:rPr>
                <w:rFonts w:ascii="Times New Roman" w:hAnsi="Times New Roman" w:cs="Times New Roman"/>
                <w:color w:val="auto"/>
                <w:sz w:val="24"/>
              </w:rPr>
              <w:t>/</w:t>
            </w:r>
          </w:p>
        </w:tc>
        <w:tc>
          <w:tcPr>
            <w:tcW w:w="2024" w:type="dxa"/>
            <w:gridSpan w:val="2"/>
            <w:vAlign w:val="center"/>
          </w:tcPr>
          <w:p>
            <w:pPr>
              <w:snapToGrid w:val="0"/>
              <w:jc w:val="center"/>
              <w:rPr>
                <w:rFonts w:ascii="Times New Roman" w:hAnsi="Times New Roman" w:cs="Times New Roman"/>
                <w:color w:val="auto"/>
                <w:sz w:val="24"/>
              </w:rPr>
            </w:pPr>
            <w:r>
              <w:rPr>
                <w:rFonts w:hint="eastAsia" w:ascii="Times New Roman" w:hAnsi="Times New Roman" w:cs="Times New Roman"/>
                <w:color w:val="auto"/>
                <w:sz w:val="24"/>
              </w:rPr>
              <w:t>投产日期</w:t>
            </w:r>
          </w:p>
        </w:tc>
        <w:tc>
          <w:tcPr>
            <w:tcW w:w="2575" w:type="dxa"/>
            <w:gridSpan w:val="3"/>
            <w:vAlign w:val="center"/>
          </w:tcPr>
          <w:p>
            <w:pPr>
              <w:snapToGrid w:val="0"/>
              <w:jc w:val="center"/>
              <w:rPr>
                <w:rFonts w:ascii="Times New Roman" w:hAnsi="Times New Roman" w:cs="Times New Roman"/>
                <w:color w:val="auto"/>
                <w:sz w:val="24"/>
              </w:rPr>
            </w:pPr>
            <w:r>
              <w:rPr>
                <w:rFonts w:ascii="Times New Roman" w:hAnsi="Times New Roman" w:cs="Times New Roman"/>
                <w:color w:val="auto"/>
                <w:sz w:val="24"/>
              </w:rPr>
              <w:t>20</w:t>
            </w:r>
            <w:r>
              <w:rPr>
                <w:rFonts w:hint="eastAsia" w:ascii="Times New Roman" w:hAnsi="Times New Roman" w:cs="Times New Roman"/>
                <w:color w:val="auto"/>
                <w:sz w:val="24"/>
                <w:lang w:val="en-US" w:eastAsia="zh-CN"/>
              </w:rPr>
              <w:t>20</w:t>
            </w:r>
            <w:r>
              <w:rPr>
                <w:rFonts w:hint="eastAsia" w:ascii="Times New Roman" w:hAnsi="Times New Roman" w:cs="Times New Roman"/>
                <w:color w:val="auto"/>
                <w:sz w:val="24"/>
              </w:rPr>
              <w:t>年</w:t>
            </w:r>
            <w:r>
              <w:rPr>
                <w:rFonts w:hint="eastAsia" w:ascii="Times New Roman" w:hAnsi="Times New Roman" w:cs="Times New Roman"/>
                <w:color w:val="auto"/>
                <w:sz w:val="24"/>
                <w:lang w:val="en-US" w:eastAsia="zh-CN"/>
              </w:rPr>
              <w:t>7</w:t>
            </w:r>
            <w:r>
              <w:rPr>
                <w:rFonts w:hint="eastAsia" w:ascii="Times New Roman" w:hAnsi="Times New Roman" w:cs="Times New Roman"/>
                <w:color w:val="auto"/>
                <w:sz w:val="24"/>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17" w:hRule="atLeast"/>
          <w:jc w:val="center"/>
        </w:trPr>
        <w:tc>
          <w:tcPr>
            <w:tcW w:w="9286" w:type="dxa"/>
            <w:gridSpan w:val="9"/>
            <w:tcBorders>
              <w:bottom w:val="single" w:color="auto" w:sz="4" w:space="0"/>
            </w:tcBorders>
          </w:tcPr>
          <w:p>
            <w:pPr>
              <w:spacing w:line="360" w:lineRule="auto"/>
              <w:rPr>
                <w:rFonts w:ascii="Times New Roman" w:hAnsi="Times New Roman" w:cs="Times New Roman"/>
                <w:b/>
                <w:color w:val="auto"/>
                <w:sz w:val="28"/>
                <w:szCs w:val="28"/>
              </w:rPr>
            </w:pPr>
            <w:r>
              <w:rPr>
                <w:rFonts w:ascii="Times New Roman" w:hAnsi="Times New Roman" w:cs="Times New Roman"/>
                <w:b/>
                <w:color w:val="auto"/>
                <w:sz w:val="28"/>
                <w:szCs w:val="28"/>
              </w:rPr>
              <w:t>项目内容及规模：</w:t>
            </w:r>
          </w:p>
          <w:p>
            <w:pPr>
              <w:spacing w:line="360" w:lineRule="auto"/>
              <w:rPr>
                <w:rFonts w:ascii="Times New Roman" w:hAnsi="Times New Roman" w:cs="Times New Roman"/>
                <w:b/>
                <w:color w:val="auto"/>
                <w:sz w:val="28"/>
                <w:szCs w:val="28"/>
              </w:rPr>
            </w:pPr>
            <w:r>
              <w:rPr>
                <w:rFonts w:hint="eastAsia" w:ascii="Times New Roman" w:hAnsi="Times New Roman" w:cs="Times New Roman"/>
                <w:b/>
                <w:color w:val="auto"/>
                <w:sz w:val="28"/>
                <w:szCs w:val="28"/>
              </w:rPr>
              <w:t>一、建设项目由来</w:t>
            </w:r>
          </w:p>
          <w:p>
            <w:pPr>
              <w:spacing w:line="360" w:lineRule="auto"/>
              <w:ind w:firstLine="480" w:firstLineChars="200"/>
              <w:rPr>
                <w:rFonts w:hint="default" w:ascii="宋体" w:hAnsi="宋体" w:eastAsiaTheme="minorEastAsia"/>
                <w:b/>
                <w:bCs/>
                <w:color w:val="auto"/>
                <w:sz w:val="24"/>
                <w:lang w:val="en-US" w:eastAsia="zh-CN"/>
              </w:rPr>
            </w:pPr>
            <w:r>
              <w:rPr>
                <w:rFonts w:hint="eastAsia" w:ascii="宋体" w:hAnsi="宋体"/>
                <w:b/>
                <w:bCs/>
                <w:color w:val="auto"/>
                <w:sz w:val="24"/>
                <w:lang w:val="en-US" w:eastAsia="zh-CN"/>
              </w:rPr>
              <w:t>1、项目由来</w:t>
            </w:r>
          </w:p>
          <w:p>
            <w:pPr>
              <w:spacing w:line="360" w:lineRule="auto"/>
              <w:ind w:firstLine="480" w:firstLineChars="200"/>
              <w:rPr>
                <w:rFonts w:hint="eastAsia" w:eastAsiaTheme="minorEastAsia"/>
                <w:color w:val="auto"/>
                <w:sz w:val="24"/>
                <w:lang w:val="en-US" w:eastAsia="zh-CN"/>
              </w:rPr>
            </w:pPr>
            <w:r>
              <w:rPr>
                <w:rFonts w:hint="eastAsia" w:ascii="宋体" w:hAnsi="宋体"/>
                <w:color w:val="auto"/>
                <w:sz w:val="24"/>
              </w:rPr>
              <w:t>璜环沟泥石流位于阿坝州松潘县白羊乡茶园坪村，中心地理位置坐标为：东经104°08′3″，北纬32°09′45″，位于茶园坪村居民安置点后山，与白羊乡政府隔河相望，距白羊乡政府约1.6km，距松潘县城（进安镇）289km，距绵阳市约140km，距省会成都约230.5km。璜环沟沟域形态呈“漏斗”形。后缘至山体分水岭，前缘沟口与白草河交汇，两侧至山脊，流域汇水面积约0.2km</w:t>
            </w:r>
            <w:r>
              <w:rPr>
                <w:rFonts w:hint="eastAsia" w:ascii="宋体" w:hAnsi="宋体"/>
                <w:color w:val="auto"/>
                <w:sz w:val="24"/>
                <w:vertAlign w:val="superscript"/>
              </w:rPr>
              <w:t>2</w:t>
            </w:r>
            <w:r>
              <w:rPr>
                <w:rFonts w:hint="eastAsia" w:ascii="宋体" w:hAnsi="宋体"/>
                <w:color w:val="auto"/>
                <w:sz w:val="24"/>
              </w:rPr>
              <w:t>，沟域最高点高程1360</w:t>
            </w:r>
            <w:r>
              <w:rPr>
                <w:rFonts w:ascii="宋体" w:hAnsi="宋体"/>
                <w:color w:val="auto"/>
                <w:sz w:val="24"/>
              </w:rPr>
              <w:t>m</w:t>
            </w:r>
            <w:r>
              <w:rPr>
                <w:rFonts w:hint="eastAsia" w:ascii="宋体" w:hAnsi="宋体"/>
                <w:color w:val="auto"/>
                <w:sz w:val="24"/>
              </w:rPr>
              <w:t>，最低点位于沟口与白草河交汇处，高程1070</w:t>
            </w:r>
            <w:r>
              <w:rPr>
                <w:rFonts w:ascii="宋体" w:hAnsi="宋体"/>
                <w:color w:val="auto"/>
                <w:sz w:val="24"/>
              </w:rPr>
              <w:t>m</w:t>
            </w:r>
            <w:r>
              <w:rPr>
                <w:rFonts w:hint="eastAsia" w:ascii="宋体" w:hAnsi="宋体"/>
                <w:color w:val="auto"/>
                <w:sz w:val="24"/>
              </w:rPr>
              <w:t>，相对高差290</w:t>
            </w:r>
            <w:r>
              <w:rPr>
                <w:rFonts w:ascii="宋体" w:hAnsi="宋体"/>
                <w:color w:val="auto"/>
                <w:sz w:val="24"/>
              </w:rPr>
              <w:t>m。</w:t>
            </w:r>
            <w:r>
              <w:rPr>
                <w:rFonts w:hint="eastAsia" w:ascii="宋体" w:hAnsi="宋体"/>
                <w:color w:val="auto"/>
                <w:sz w:val="24"/>
              </w:rPr>
              <w:t>发育1条坡面主沟，沟道长度约0.65km；沟道上下缓，中部陡，整体坡降448.2‰。</w:t>
            </w:r>
            <w:r>
              <w:rPr>
                <w:rFonts w:hint="eastAsia"/>
                <w:color w:val="auto"/>
                <w:sz w:val="24"/>
              </w:rPr>
              <w:t>璜环沟泥石流的松散固体物源主要</w:t>
            </w:r>
            <w:r>
              <w:rPr>
                <w:rFonts w:hint="eastAsia" w:ascii="宋体" w:hAnsi="宋体"/>
                <w:color w:val="auto"/>
                <w:sz w:val="24"/>
              </w:rPr>
              <w:t>分布于坡面、主沟处附近，主要有三类物源：崩滑堆积物源、沟床堆积物源及坡面侵蚀物源，物源总量为1.04×</w:t>
            </w:r>
            <w:r>
              <w:rPr>
                <w:rFonts w:ascii="宋体" w:hAnsi="宋体"/>
                <w:color w:val="auto"/>
                <w:sz w:val="24"/>
              </w:rPr>
              <w:t>10</w:t>
            </w:r>
            <w:r>
              <w:rPr>
                <w:rFonts w:ascii="宋体" w:hAnsi="宋体"/>
                <w:color w:val="auto"/>
                <w:sz w:val="24"/>
                <w:vertAlign w:val="superscript"/>
              </w:rPr>
              <w:t>4</w:t>
            </w:r>
            <w:r>
              <w:rPr>
                <w:rFonts w:ascii="宋体" w:hAnsi="宋体"/>
                <w:color w:val="auto"/>
                <w:sz w:val="24"/>
              </w:rPr>
              <w:t>m</w:t>
            </w:r>
            <w:r>
              <w:rPr>
                <w:rFonts w:ascii="宋体" w:hAnsi="宋体"/>
                <w:color w:val="auto"/>
                <w:sz w:val="24"/>
                <w:vertAlign w:val="superscript"/>
              </w:rPr>
              <w:t>3</w:t>
            </w:r>
            <w:r>
              <w:rPr>
                <w:rFonts w:hint="eastAsia" w:ascii="宋体" w:hAnsi="宋体"/>
                <w:color w:val="auto"/>
                <w:sz w:val="24"/>
              </w:rPr>
              <w:t>，其中可参与泥石流活动的动储量为0.212×</w:t>
            </w:r>
            <w:r>
              <w:rPr>
                <w:rFonts w:ascii="宋体" w:hAnsi="宋体"/>
                <w:color w:val="auto"/>
                <w:sz w:val="24"/>
              </w:rPr>
              <w:t>10</w:t>
            </w:r>
            <w:r>
              <w:rPr>
                <w:rFonts w:ascii="宋体" w:hAnsi="宋体"/>
                <w:color w:val="auto"/>
                <w:sz w:val="24"/>
                <w:vertAlign w:val="superscript"/>
              </w:rPr>
              <w:t>4</w:t>
            </w:r>
            <w:r>
              <w:rPr>
                <w:rFonts w:ascii="宋体" w:hAnsi="宋体"/>
                <w:color w:val="auto"/>
                <w:sz w:val="24"/>
              </w:rPr>
              <w:t>m</w:t>
            </w:r>
            <w:r>
              <w:rPr>
                <w:rFonts w:ascii="宋体" w:hAnsi="宋体"/>
                <w:color w:val="auto"/>
                <w:sz w:val="24"/>
                <w:vertAlign w:val="superscript"/>
              </w:rPr>
              <w:t>3</w:t>
            </w:r>
            <w:r>
              <w:rPr>
                <w:rFonts w:hint="eastAsia" w:ascii="宋体" w:hAnsi="宋体"/>
                <w:color w:val="auto"/>
                <w:sz w:val="24"/>
              </w:rPr>
              <w:t>。</w:t>
            </w:r>
            <w:r>
              <w:rPr>
                <w:rFonts w:hint="eastAsia" w:ascii="宋体" w:hAnsi="宋体" w:cs="宋体"/>
                <w:color w:val="auto"/>
                <w:sz w:val="24"/>
              </w:rPr>
              <w:t>璜环沟泥石流威胁对象主要为沟道中游左岸</w:t>
            </w:r>
            <w:r>
              <w:rPr>
                <w:rFonts w:ascii="宋体" w:hAnsi="宋体" w:cs="宋体"/>
                <w:color w:val="auto"/>
                <w:sz w:val="24"/>
              </w:rPr>
              <w:t>2</w:t>
            </w:r>
            <w:r>
              <w:rPr>
                <w:rFonts w:hint="eastAsia" w:ascii="宋体" w:hAnsi="宋体" w:cs="宋体"/>
                <w:color w:val="auto"/>
                <w:sz w:val="24"/>
              </w:rPr>
              <w:t>户百姓房屋、</w:t>
            </w:r>
            <w:r>
              <w:rPr>
                <w:rFonts w:ascii="宋体" w:hAnsi="宋体" w:cs="宋体"/>
                <w:color w:val="auto"/>
                <w:sz w:val="24"/>
              </w:rPr>
              <w:t>40</w:t>
            </w:r>
            <w:r>
              <w:rPr>
                <w:rFonts w:hint="eastAsia" w:ascii="宋体" w:hAnsi="宋体" w:cs="宋体"/>
                <w:color w:val="auto"/>
                <w:sz w:val="24"/>
              </w:rPr>
              <w:t>余亩耕地、</w:t>
            </w:r>
            <w:r>
              <w:rPr>
                <w:rFonts w:ascii="宋体" w:hAnsi="宋体" w:cs="宋体"/>
                <w:color w:val="auto"/>
                <w:sz w:val="24"/>
              </w:rPr>
              <w:t>30</w:t>
            </w:r>
            <w:r>
              <w:rPr>
                <w:rFonts w:hint="eastAsia" w:ascii="宋体" w:hAnsi="宋体" w:cs="宋体"/>
                <w:color w:val="auto"/>
                <w:sz w:val="24"/>
              </w:rPr>
              <w:t>余亩林地及沟口茶园坪村和白羊乡的交通要道，威胁资产约300万元</w:t>
            </w:r>
            <w:r>
              <w:rPr>
                <w:rFonts w:hint="eastAsia" w:ascii="宋体" w:hAnsi="宋体" w:cs="宋体"/>
                <w:color w:val="auto"/>
                <w:sz w:val="24"/>
                <w:lang w:eastAsia="zh-CN"/>
              </w:rPr>
              <w:t>。</w:t>
            </w:r>
          </w:p>
          <w:p>
            <w:pPr>
              <w:snapToGrid w:val="0"/>
              <w:spacing w:line="360" w:lineRule="auto"/>
              <w:ind w:firstLine="480" w:firstLineChars="200"/>
              <w:rPr>
                <w:rFonts w:hint="eastAsia" w:ascii="Times New Roman" w:hAnsi="Times New Roman" w:cs="Times New Roman"/>
                <w:color w:val="auto"/>
                <w:sz w:val="24"/>
              </w:rPr>
            </w:pPr>
            <w:r>
              <w:rPr>
                <w:rFonts w:hint="eastAsia" w:ascii="Times New Roman" w:hAnsi="Times New Roman" w:cs="Times New Roman"/>
                <w:color w:val="auto"/>
                <w:sz w:val="24"/>
                <w:lang w:val="en-US" w:eastAsia="zh-CN"/>
              </w:rPr>
              <w:t>为</w:t>
            </w:r>
            <w:r>
              <w:rPr>
                <w:rFonts w:hint="eastAsia" w:ascii="Times New Roman" w:hAnsi="Times New Roman" w:cs="Times New Roman"/>
                <w:color w:val="auto"/>
                <w:sz w:val="24"/>
                <w:lang w:eastAsia="zh-CN"/>
              </w:rPr>
              <w:t>此，松潘县自然资源局组织对</w:t>
            </w:r>
            <w:r>
              <w:rPr>
                <w:rFonts w:hint="eastAsia" w:ascii="Times New Roman" w:hAnsi="Times New Roman" w:cs="Times New Roman"/>
                <w:color w:val="auto"/>
                <w:sz w:val="24"/>
                <w:lang w:val="en-US" w:eastAsia="zh-CN"/>
              </w:rPr>
              <w:t>松潘县</w:t>
            </w:r>
            <w:r>
              <w:rPr>
                <w:rFonts w:hint="eastAsia" w:ascii="Times New Roman" w:hAnsi="Times New Roman" w:cs="Times New Roman"/>
                <w:color w:val="auto"/>
                <w:sz w:val="24"/>
                <w:lang w:eastAsia="zh-CN"/>
              </w:rPr>
              <w:t>白羊乡茶园坪村璜环沟进行泥石流整治</w:t>
            </w:r>
            <w:r>
              <w:rPr>
                <w:rFonts w:hint="eastAsia" w:ascii="Times New Roman" w:hAnsi="Times New Roman" w:cs="Times New Roman"/>
                <w:color w:val="auto"/>
                <w:sz w:val="24"/>
              </w:rPr>
              <w:t>。</w:t>
            </w:r>
            <w:r>
              <w:rPr>
                <w:rFonts w:hint="eastAsia"/>
                <w:color w:val="auto"/>
                <w:sz w:val="24"/>
                <w:szCs w:val="24"/>
                <w:lang w:eastAsia="zh-CN"/>
              </w:rPr>
              <w:t>松潘县发展和改革局于</w:t>
            </w:r>
            <w:r>
              <w:rPr>
                <w:rFonts w:hint="eastAsia"/>
                <w:color w:val="auto"/>
                <w:sz w:val="24"/>
                <w:szCs w:val="24"/>
                <w:lang w:val="en-US" w:eastAsia="zh-CN"/>
              </w:rPr>
              <w:t>2020年3月4日出具了《关于</w:t>
            </w:r>
            <w:r>
              <w:rPr>
                <w:rFonts w:hint="eastAsia" w:ascii="Times New Roman" w:hAnsi="Times New Roman" w:cs="Times New Roman"/>
                <w:color w:val="auto"/>
                <w:sz w:val="24"/>
                <w:szCs w:val="24"/>
                <w:lang w:eastAsia="zh-CN"/>
              </w:rPr>
              <w:t>松潘县白羊乡茶园坪村璜环沟泥石流治理工程可研报告批复</w:t>
            </w:r>
            <w:r>
              <w:rPr>
                <w:rFonts w:hint="eastAsia"/>
                <w:color w:val="auto"/>
                <w:sz w:val="24"/>
                <w:szCs w:val="24"/>
                <w:lang w:val="en-US" w:eastAsia="zh-CN"/>
              </w:rPr>
              <w:t>》（文号为：</w:t>
            </w:r>
            <w:r>
              <w:rPr>
                <w:rFonts w:hint="eastAsia" w:ascii="Times New Roman" w:hAnsi="Times New Roman" w:cs="Times New Roman"/>
                <w:color w:val="auto"/>
                <w:sz w:val="24"/>
                <w:lang w:val="en-US" w:eastAsia="zh-CN"/>
              </w:rPr>
              <w:t>松发改行审[2020]8号</w:t>
            </w:r>
            <w:r>
              <w:rPr>
                <w:rFonts w:hint="eastAsia"/>
                <w:color w:val="auto"/>
                <w:sz w:val="24"/>
                <w:szCs w:val="24"/>
                <w:lang w:val="en-US" w:eastAsia="zh-CN"/>
              </w:rPr>
              <w:t>，详见附件2），项目建设内容为新建1座拦挡坝及防护堤27米。</w:t>
            </w:r>
          </w:p>
          <w:p>
            <w:pPr>
              <w:snapToGrid w:val="0"/>
              <w:spacing w:line="360" w:lineRule="auto"/>
              <w:ind w:firstLine="480" w:firstLineChars="200"/>
              <w:rPr>
                <w:rFonts w:hint="eastAsia" w:ascii="t" w:hAnsi="t"/>
                <w:color w:val="auto"/>
                <w:sz w:val="24"/>
              </w:rPr>
            </w:pPr>
            <w:r>
              <w:rPr>
                <w:rFonts w:ascii="t" w:hAnsi="t"/>
                <w:color w:val="auto"/>
                <w:sz w:val="24"/>
              </w:rPr>
              <w:t>根据《中华人民共和国环境保护法》、《中华人民共和国环境影响评价法》和国务院令第682号《建设项目环境保护管理办法》</w:t>
            </w:r>
            <w:r>
              <w:rPr>
                <w:rFonts w:hint="eastAsia" w:ascii="t" w:hAnsi="t"/>
                <w:color w:val="auto"/>
                <w:sz w:val="24"/>
                <w:lang w:val="en-US" w:eastAsia="zh-CN"/>
              </w:rPr>
              <w:t>的要求</w:t>
            </w:r>
            <w:r>
              <w:rPr>
                <w:rFonts w:ascii="t" w:hAnsi="t"/>
                <w:color w:val="auto"/>
                <w:sz w:val="24"/>
              </w:rPr>
              <w:t>，该项目需进行环境影响评价工作</w:t>
            </w:r>
            <w:r>
              <w:rPr>
                <w:rFonts w:hint="eastAsia" w:ascii="t" w:hAnsi="t"/>
                <w:color w:val="auto"/>
                <w:sz w:val="24"/>
              </w:rPr>
              <w:t>。</w:t>
            </w:r>
            <w:r>
              <w:rPr>
                <w:b/>
                <w:color w:val="auto"/>
                <w:sz w:val="24"/>
              </w:rPr>
              <w:t>依据</w:t>
            </w:r>
            <w:r>
              <w:rPr>
                <w:rFonts w:hint="eastAsia"/>
                <w:b/>
                <w:color w:val="auto"/>
                <w:sz w:val="24"/>
              </w:rPr>
              <w:t>国家环境保护部令第 44 号《建设项目环境影响评价分类管理名录》及国家</w:t>
            </w:r>
            <w:r>
              <w:rPr>
                <w:b/>
                <w:color w:val="auto"/>
                <w:sz w:val="24"/>
              </w:rPr>
              <w:t>生态环境部1号令关于修改《建设项目环境影响评价分类管理名录》部分内容的决定</w:t>
            </w:r>
            <w:r>
              <w:rPr>
                <w:rFonts w:hint="eastAsia"/>
                <w:b/>
                <w:color w:val="auto"/>
                <w:sz w:val="24"/>
              </w:rPr>
              <w:t>（2018年）</w:t>
            </w:r>
            <w:r>
              <w:rPr>
                <w:color w:val="auto"/>
                <w:sz w:val="24"/>
                <w:szCs w:val="24"/>
              </w:rPr>
              <w:t>的要求，</w:t>
            </w:r>
            <w:r>
              <w:rPr>
                <w:rFonts w:ascii="Times New Roman" w:hAnsi="Times New Roman"/>
                <w:b/>
                <w:color w:val="auto"/>
                <w:sz w:val="24"/>
              </w:rPr>
              <w:t>拟建</w:t>
            </w:r>
            <w:r>
              <w:rPr>
                <w:rFonts w:ascii="Times New Roman" w:hAnsi="Times New Roman"/>
                <w:b/>
                <w:bCs/>
                <w:color w:val="auto"/>
                <w:sz w:val="24"/>
              </w:rPr>
              <w:t>项目属于“</w:t>
            </w:r>
            <w:r>
              <w:rPr>
                <w:rFonts w:hint="eastAsia" w:ascii="Times New Roman" w:hAnsi="Times New Roman"/>
                <w:b/>
                <w:bCs/>
                <w:color w:val="auto"/>
                <w:sz w:val="24"/>
              </w:rPr>
              <w:t>四十六、水利</w:t>
            </w:r>
            <w:r>
              <w:rPr>
                <w:rFonts w:ascii="Times New Roman" w:hAnsi="Times New Roman"/>
                <w:b/>
                <w:bCs/>
                <w:color w:val="auto"/>
                <w:sz w:val="24"/>
              </w:rPr>
              <w:t>：</w:t>
            </w:r>
            <w:r>
              <w:rPr>
                <w:rFonts w:hint="eastAsia" w:ascii="Times New Roman" w:hAnsi="Times New Roman"/>
                <w:b/>
                <w:bCs/>
                <w:color w:val="auto"/>
                <w:sz w:val="24"/>
              </w:rPr>
              <w:t>144防洪治涝工程</w:t>
            </w:r>
            <w:r>
              <w:rPr>
                <w:rFonts w:ascii="Times New Roman" w:hAnsi="Times New Roman"/>
                <w:b/>
                <w:bCs/>
                <w:color w:val="auto"/>
                <w:sz w:val="24"/>
              </w:rPr>
              <w:t>”</w:t>
            </w:r>
            <w:r>
              <w:rPr>
                <w:rFonts w:hint="eastAsia" w:ascii="Times New Roman" w:hAnsi="Times New Roman"/>
                <w:b/>
                <w:bCs/>
                <w:color w:val="auto"/>
                <w:sz w:val="24"/>
              </w:rPr>
              <w:t>中的</w:t>
            </w:r>
            <w:r>
              <w:rPr>
                <w:rFonts w:hint="eastAsia" w:ascii="Times New Roman" w:hAnsi="Times New Roman"/>
                <w:b w:val="0"/>
                <w:bCs w:val="0"/>
                <w:color w:val="auto"/>
                <w:sz w:val="24"/>
              </w:rPr>
              <w:t>“其他（小型沟渠的护坡除外）”类型</w:t>
            </w:r>
            <w:r>
              <w:rPr>
                <w:rFonts w:ascii="Times New Roman" w:hAnsi="Times New Roman"/>
                <w:color w:val="auto"/>
                <w:sz w:val="24"/>
              </w:rPr>
              <w:t>，</w:t>
            </w:r>
            <w:r>
              <w:rPr>
                <w:rFonts w:hint="eastAsia" w:ascii="Times New Roman" w:hAnsi="Times New Roman"/>
                <w:color w:val="auto"/>
                <w:sz w:val="24"/>
              </w:rPr>
              <w:t>因此拟建项目</w:t>
            </w:r>
            <w:r>
              <w:rPr>
                <w:rFonts w:ascii="t" w:hAnsi="t"/>
                <w:color w:val="auto"/>
                <w:sz w:val="24"/>
              </w:rPr>
              <w:t>应编制环境影响报告表。建设单位委托</w:t>
            </w:r>
            <w:r>
              <w:rPr>
                <w:rFonts w:hint="eastAsia" w:ascii="t" w:hAnsi="t"/>
                <w:color w:val="auto"/>
                <w:sz w:val="24"/>
              </w:rPr>
              <w:t>四川省新尚昇环保咨询有限公司</w:t>
            </w:r>
            <w:r>
              <w:rPr>
                <w:rFonts w:ascii="t" w:hAnsi="t"/>
                <w:color w:val="auto"/>
                <w:sz w:val="24"/>
              </w:rPr>
              <w:t>承担该项目的环境影响报告表编制。接受委托后，我司组织人员进行现场踏勘、收集资料，根</w:t>
            </w:r>
            <w:r>
              <w:rPr>
                <w:rFonts w:hint="eastAsia" w:ascii="t" w:hAnsi="t"/>
                <w:color w:val="auto"/>
                <w:sz w:val="24"/>
              </w:rPr>
              <w:t>据国家有关法律法规和环境影响评价技术导则，编制了《</w:t>
            </w:r>
            <w:r>
              <w:rPr>
                <w:rFonts w:hint="eastAsia" w:ascii="Times New Roman" w:hAnsi="Times New Roman" w:cs="Times New Roman"/>
                <w:color w:val="auto"/>
                <w:sz w:val="24"/>
                <w:lang w:eastAsia="zh-CN"/>
              </w:rPr>
              <w:t>松潘县白羊乡茶园坪村璜环沟泥石流治理工程</w:t>
            </w:r>
            <w:r>
              <w:rPr>
                <w:rFonts w:hint="eastAsia" w:ascii="t" w:hAnsi="t"/>
                <w:color w:val="auto"/>
                <w:sz w:val="24"/>
              </w:rPr>
              <w:t>环境影晌报告表》，现上报审查。</w:t>
            </w:r>
          </w:p>
          <w:p>
            <w:pPr>
              <w:snapToGrid w:val="0"/>
              <w:spacing w:line="360" w:lineRule="auto"/>
              <w:ind w:firstLine="480" w:firstLineChars="200"/>
              <w:rPr>
                <w:rFonts w:hint="default" w:ascii="t" w:hAnsi="t"/>
                <w:b/>
                <w:bCs/>
                <w:color w:val="auto"/>
                <w:sz w:val="24"/>
                <w:lang w:val="en-US" w:eastAsia="zh-CN"/>
              </w:rPr>
            </w:pPr>
            <w:r>
              <w:rPr>
                <w:rFonts w:hint="eastAsia" w:ascii="t" w:hAnsi="t"/>
                <w:b/>
                <w:bCs/>
                <w:color w:val="auto"/>
                <w:sz w:val="24"/>
                <w:lang w:val="en-US" w:eastAsia="zh-CN"/>
              </w:rPr>
              <w:t>2、评价依据</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1）法律、法规依据及规范性文件</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（1）《中华人民共和国环境保护法》，2014年修订，2015年1月1日施行；</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（2）《中华人民共和国环境影响评价法》，2018年修订版；</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（3）《中华人民共和国固体废物污染环境防治法》，2016年11月7日修订施行；</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（4）《中华人民共和国大气污染防治法》，中华人民共和国主席令第十六号，2018.10.26修订；</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（5）《中华人民共和国水污染防治法》，2017年8月29日修订，2018年1月1日起施行；</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（6）《中华人民共和国环境噪声污染防治法》，2018年12月29日修订；</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（7）《中华人民共和国水土保持法》，2011年3月1日起施行；</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（8）《中华人民共和国水法》，2016年7月修订；</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（9）《中华人民共和国土地管理法实施条例》，2018年修订；</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（10）《建设项目环境保护管理条例》，2017年10月1日修订实施；</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（11）《中华人民共和国水生野生动物保护实施条例》（2013年12月7日修订并施行）；</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（12）《中华人民共和国河道管理条例》，2018年修正版；</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（13）《重点流域水污染防治规划(2016-2020年)》；</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（14）《建设项目环境影响评价分类管理名录》（2019年本），以及《关于修改〈建设项目环境影响评价分类管理名录〉部分内容的决定》，生态环境部令1号；</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（15）《产业结构调整指导目录（2019年本）》，2020年1月1日实施；</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（16）《危险废物污染防治技术政策》，国家环保总局，环发[2001]199号；</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（17）《关于加强资源开发生态环境保护监管工作的意见》，原国家环境保护总局，环发[2004]24号，2004年2月；</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（18）《国务院关于印发大气污染防治行动计划的通知》，国发〔2013〕37号，以及《国务院关于印发&lt;打赢蓝天保卫战三年行动计划&gt;》的通知，2018年6月27日；</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（19）《国务院关于印发水污染防治行动计划的通知》，国发[2015]17号；</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（20）《国务院关于印发土壤污染防治行动计划的通知》，国发[2016]31号；</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（21）《关于印发&lt;四川省生态保护红线实施意见&gt;的通知》（川府发〔2016〕45号）；</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（22）《饮用水水源保护区污染防治管理规定》（2010 年 12 月 22 日修正）；；</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2）技术依据</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（1）《建设项目环境影响评价技术导则总纲》（HJ2.1-2016）；</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（2）《环境影响评价技术导则大气环境》（HJ2.2-2018）；</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（3）《环境影响评价技术导则地表水环境》（HJ/T2.3-2018）；</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（4）《环境影响评价技术导则地下水环境》（HJ610-2016）；</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（5）《环境影响评价技术导则声环境》（HJ2.4-2009）；</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（6）《环境影响评价技术导则生态影响》（HJ19-2011）；</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（7）《水土保持综合治理技术规范》（GB/T16453.1~6-2008）；</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（8）《建设项目环境风险评价技术导则》（HJ/169-2018）；</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（9）《危险化学品重大危险源辩识》（GB18218-2009）；</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（10）《建设项目危险废物环境影响评价指南》（2017年10月1日实施）。</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3）项目依据</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（1）环评委托书</w:t>
            </w:r>
            <w:r>
              <w:rPr>
                <w:rFonts w:hint="eastAsia"/>
                <w:lang w:eastAsia="zh-CN"/>
              </w:rPr>
              <w:t>（</w:t>
            </w:r>
            <w:r>
              <w:rPr>
                <w:rFonts w:hint="eastAsia"/>
                <w:lang w:val="en-US" w:eastAsia="zh-CN"/>
              </w:rPr>
              <w:t>见附件1</w:t>
            </w:r>
            <w:r>
              <w:rPr>
                <w:rFonts w:hint="eastAsia"/>
                <w:lang w:eastAsia="zh-CN"/>
              </w:rPr>
              <w:t>）</w:t>
            </w:r>
            <w:r>
              <w:rPr>
                <w:rFonts w:hint="eastAsia" w:ascii="t" w:hAnsi="t"/>
                <w:color w:val="auto"/>
                <w:sz w:val="24"/>
                <w:lang w:val="en-US" w:eastAsia="zh-CN"/>
              </w:rPr>
              <w:t>；</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（2）《关于松潘县白羊乡茶园坪村璜环沟泥石流治理工程可研报告的批复》（松发改行审([2020]8号）；</w:t>
            </w:r>
          </w:p>
          <w:p>
            <w:pPr>
              <w:snapToGrid w:val="0"/>
              <w:spacing w:line="360" w:lineRule="auto"/>
              <w:ind w:firstLine="480" w:firstLineChars="200"/>
              <w:rPr>
                <w:rFonts w:hint="eastAsia" w:ascii="t" w:hAnsi="t"/>
                <w:color w:val="auto"/>
                <w:sz w:val="24"/>
                <w:lang w:val="en-US" w:eastAsia="zh-CN"/>
              </w:rPr>
            </w:pPr>
            <w:r>
              <w:rPr>
                <w:rFonts w:hint="eastAsia" w:ascii="t" w:hAnsi="t"/>
                <w:color w:val="auto"/>
                <w:sz w:val="24"/>
                <w:lang w:val="en-US" w:eastAsia="zh-CN"/>
              </w:rPr>
              <w:t>（3）与项目有关的其他资料。</w:t>
            </w:r>
          </w:p>
          <w:p>
            <w:pPr>
              <w:spacing w:line="360" w:lineRule="auto"/>
              <w:rPr>
                <w:rFonts w:ascii="Times New Roman" w:hAnsi="Times New Roman" w:cs="Times New Roman"/>
                <w:b/>
                <w:color w:val="auto"/>
                <w:sz w:val="28"/>
                <w:szCs w:val="28"/>
              </w:rPr>
            </w:pPr>
            <w:r>
              <w:rPr>
                <w:rFonts w:hint="eastAsia" w:ascii="Times New Roman" w:hAnsi="Times New Roman" w:cs="Times New Roman"/>
                <w:b/>
                <w:color w:val="auto"/>
                <w:sz w:val="28"/>
                <w:szCs w:val="28"/>
              </w:rPr>
              <w:t>二、产业政策的符合性分析</w:t>
            </w:r>
          </w:p>
          <w:p>
            <w:pPr>
              <w:pStyle w:val="309"/>
              <w:numPr>
                <w:ilvl w:val="0"/>
                <w:numId w:val="1"/>
              </w:numPr>
              <w:ind w:firstLine="480"/>
              <w:rPr>
                <w:color w:val="auto"/>
              </w:rPr>
            </w:pPr>
            <w:r>
              <w:rPr>
                <w:rFonts w:hint="eastAsia"/>
                <w:color w:val="auto"/>
                <w:sz w:val="24"/>
              </w:rPr>
              <w:t>根据《国民经济行业分类》（GB/T 4754</w:t>
            </w:r>
            <w:r>
              <w:rPr>
                <w:rFonts w:hint="eastAsia"/>
                <w:color w:val="auto"/>
                <w:sz w:val="24"/>
                <w:lang w:val="en-US" w:eastAsia="zh-CN"/>
              </w:rPr>
              <w:t>-</w:t>
            </w:r>
            <w:r>
              <w:rPr>
                <w:rFonts w:hint="eastAsia"/>
                <w:color w:val="auto"/>
                <w:sz w:val="24"/>
              </w:rPr>
              <w:t>2017)，拟建项目属于“</w:t>
            </w:r>
            <w:r>
              <w:rPr>
                <w:rFonts w:hint="eastAsia"/>
                <w:color w:val="auto"/>
                <w:sz w:val="24"/>
                <w:lang w:val="en-US" w:eastAsia="zh-CN"/>
              </w:rPr>
              <w:t>水利、环境和公共设施管理业水利管理业</w:t>
            </w:r>
            <w:r>
              <w:rPr>
                <w:rFonts w:hint="eastAsia"/>
                <w:color w:val="auto"/>
                <w:sz w:val="24"/>
              </w:rPr>
              <w:t>——</w:t>
            </w:r>
            <w:r>
              <w:rPr>
                <w:rFonts w:hint="eastAsia"/>
                <w:color w:val="auto"/>
                <w:sz w:val="24"/>
                <w:lang w:val="en-US" w:eastAsia="zh-CN"/>
              </w:rPr>
              <w:t>防洪除涝设施管理</w:t>
            </w:r>
            <w:r>
              <w:rPr>
                <w:rFonts w:hint="eastAsia"/>
                <w:color w:val="auto"/>
                <w:sz w:val="24"/>
              </w:rPr>
              <w:t xml:space="preserve">”，行业代码为 </w:t>
            </w:r>
            <w:r>
              <w:rPr>
                <w:rFonts w:hint="eastAsia"/>
                <w:color w:val="auto"/>
                <w:sz w:val="24"/>
                <w:lang w:val="en-US" w:eastAsia="zh-CN"/>
              </w:rPr>
              <w:t>N7910</w:t>
            </w:r>
            <w:r>
              <w:rPr>
                <w:rFonts w:hint="eastAsia"/>
                <w:color w:val="auto"/>
                <w:sz w:val="24"/>
              </w:rPr>
              <w:t>。</w:t>
            </w:r>
            <w:r>
              <w:rPr>
                <w:rFonts w:hint="eastAsia"/>
                <w:color w:val="auto"/>
              </w:rPr>
              <w:t xml:space="preserve"> </w:t>
            </w:r>
          </w:p>
          <w:p>
            <w:pPr>
              <w:pStyle w:val="309"/>
              <w:numPr>
                <w:ilvl w:val="0"/>
                <w:numId w:val="1"/>
              </w:numPr>
              <w:ind w:firstLine="480"/>
              <w:rPr>
                <w:color w:val="auto"/>
              </w:rPr>
            </w:pPr>
            <w:r>
              <w:rPr>
                <w:rFonts w:hint="eastAsia"/>
                <w:color w:val="auto"/>
              </w:rPr>
              <w:t>根据《产业结构调整指导目录（201</w:t>
            </w:r>
            <w:r>
              <w:rPr>
                <w:rFonts w:hint="eastAsia"/>
                <w:color w:val="auto"/>
                <w:lang w:val="en-US" w:eastAsia="zh-CN"/>
              </w:rPr>
              <w:t>9</w:t>
            </w:r>
            <w:r>
              <w:rPr>
                <w:rFonts w:hint="eastAsia"/>
                <w:color w:val="auto"/>
              </w:rPr>
              <w:t xml:space="preserve"> 年本）》的要求，本项目建设属于</w:t>
            </w:r>
            <w:r>
              <w:rPr>
                <w:rFonts w:hint="eastAsia"/>
                <w:color w:val="auto"/>
                <w:lang w:eastAsia="zh-CN"/>
              </w:rPr>
              <w:t>“鼓励类”</w:t>
            </w:r>
            <w:r>
              <w:rPr>
                <w:rFonts w:hint="eastAsia"/>
                <w:color w:val="auto"/>
              </w:rPr>
              <w:t>第</w:t>
            </w:r>
            <w:r>
              <w:rPr>
                <w:rFonts w:hint="eastAsia"/>
                <w:color w:val="auto"/>
                <w:lang w:eastAsia="zh-CN"/>
              </w:rPr>
              <w:t>二条水利</w:t>
            </w:r>
            <w:r>
              <w:rPr>
                <w:rFonts w:hint="eastAsia"/>
                <w:color w:val="auto"/>
                <w:lang w:val="en-US" w:eastAsia="zh-CN"/>
              </w:rPr>
              <w:t>18款“山洪地质灾害防治工程（山洪地质灾害防治区监测预报预警体系建设及山洪沟、泥石流沟和滑坡治理等）”的内容，本项目属于鼓励发展的产业，项目的实施符合产业政策的要求。项目建设符合国家现行的产业政策。</w:t>
            </w:r>
          </w:p>
          <w:p>
            <w:pPr>
              <w:spacing w:line="360" w:lineRule="auto"/>
              <w:ind w:firstLine="480" w:firstLineChars="200"/>
              <w:rPr>
                <w:rFonts w:hint="default"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3</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松潘县自然资源</w:t>
            </w:r>
            <w:r>
              <w:rPr>
                <w:rFonts w:hint="eastAsia" w:ascii="Times New Roman" w:hAnsi="Times New Roman" w:eastAsia="宋体" w:cs="Times New Roman"/>
                <w:color w:val="auto"/>
                <w:sz w:val="24"/>
                <w:szCs w:val="21"/>
                <w:lang w:eastAsia="zh-CN"/>
              </w:rPr>
              <w:t>局出具了</w:t>
            </w:r>
            <w:r>
              <w:rPr>
                <w:rFonts w:hint="eastAsia" w:ascii="Times New Roman" w:hAnsi="Times New Roman" w:eastAsia="宋体" w:cs="Times New Roman"/>
                <w:color w:val="auto"/>
                <w:sz w:val="24"/>
                <w:szCs w:val="21"/>
                <w:lang w:val="en-US" w:eastAsia="zh-CN"/>
              </w:rPr>
              <w:t>关于松潘县白羊乡茶园坪村璜环沟泥石流治理工程项目建设用地审查意见的函（松自然资源函[2020]28号）（</w:t>
            </w:r>
            <w:r>
              <w:rPr>
                <w:rFonts w:hint="eastAsia" w:ascii="Times New Roman" w:hAnsi="Times New Roman" w:eastAsia="宋体" w:cs="Times New Roman"/>
                <w:color w:val="auto"/>
                <w:sz w:val="24"/>
                <w:szCs w:val="21"/>
                <w:lang w:eastAsia="zh-CN"/>
              </w:rPr>
              <w:t>详见附件</w:t>
            </w:r>
            <w:r>
              <w:rPr>
                <w:rFonts w:hint="eastAsia" w:ascii="Times New Roman" w:hAnsi="Times New Roman" w:eastAsia="宋体" w:cs="Times New Roman"/>
                <w:color w:val="auto"/>
                <w:sz w:val="24"/>
                <w:szCs w:val="21"/>
                <w:lang w:val="en-US" w:eastAsia="zh-CN"/>
              </w:rPr>
              <w:t>3）</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明确本项目为生态修复项目，项目性质符合国家产业政策和供地政策，不涉及占用基本农田，不涉及农用地专用，不改变土地用途。</w:t>
            </w:r>
          </w:p>
          <w:p>
            <w:pPr>
              <w:spacing w:line="360" w:lineRule="auto"/>
              <w:ind w:firstLine="480" w:firstLineChars="200"/>
              <w:rPr>
                <w:rFonts w:ascii="Times New Roman" w:hAnsi="Times New Roman" w:cs="Times New Roman"/>
                <w:color w:val="auto"/>
                <w:sz w:val="24"/>
              </w:rPr>
            </w:pPr>
            <w:r>
              <w:rPr>
                <w:rFonts w:hint="eastAsia" w:ascii="Times New Roman" w:hAnsi="Times New Roman" w:eastAsia="宋体" w:cs="Times New Roman"/>
                <w:color w:val="auto"/>
                <w:sz w:val="24"/>
                <w:szCs w:val="21"/>
              </w:rPr>
              <w:t>根据以上分析，拟建项目属于鼓励发展的产业，同时拟建项目建设符合有关法律法规要求及当地环保部门的要求，故拟建项目的建设是符合国家和地方产业政策要求的。</w:t>
            </w:r>
          </w:p>
          <w:p>
            <w:pPr>
              <w:spacing w:line="360" w:lineRule="auto"/>
              <w:rPr>
                <w:rFonts w:ascii="Times New Roman" w:hAnsi="Times New Roman" w:cs="Times New Roman"/>
                <w:b/>
                <w:color w:val="auto"/>
                <w:sz w:val="24"/>
              </w:rPr>
            </w:pPr>
            <w:r>
              <w:rPr>
                <w:rFonts w:ascii="Times New Roman" w:hAnsi="Times New Roman" w:cs="Times New Roman"/>
                <w:b/>
                <w:color w:val="auto"/>
                <w:sz w:val="24"/>
              </w:rPr>
              <w:t>三</w:t>
            </w:r>
            <w:r>
              <w:rPr>
                <w:rFonts w:hint="eastAsia" w:ascii="Times New Roman" w:hAnsi="Times New Roman" w:cs="Times New Roman"/>
                <w:b/>
                <w:color w:val="auto"/>
                <w:sz w:val="24"/>
              </w:rPr>
              <w:t>、</w:t>
            </w:r>
            <w:r>
              <w:rPr>
                <w:rFonts w:ascii="Times New Roman" w:hAnsi="Times New Roman" w:cs="Times New Roman"/>
                <w:b/>
                <w:color w:val="auto"/>
                <w:sz w:val="24"/>
              </w:rPr>
              <w:t>规划符合性分析</w:t>
            </w:r>
          </w:p>
          <w:p>
            <w:pPr>
              <w:spacing w:line="360" w:lineRule="auto"/>
              <w:ind w:firstLine="480" w:firstLineChars="200"/>
              <w:rPr>
                <w:rFonts w:hint="default" w:ascii="Times New Roman" w:hAnsi="Times New Roman" w:eastAsia="宋体" w:cs="Times New Roman"/>
                <w:b/>
                <w:bCs/>
                <w:kern w:val="2"/>
                <w:sz w:val="24"/>
                <w:szCs w:val="21"/>
                <w:lang w:val="en-US" w:eastAsia="zh-CN" w:bidi="ar-SA"/>
              </w:rPr>
            </w:pPr>
            <w:r>
              <w:rPr>
                <w:rFonts w:hint="eastAsia" w:ascii="Times New Roman" w:hAnsi="Times New Roman" w:eastAsia="宋体" w:cs="Times New Roman"/>
                <w:b/>
                <w:bCs/>
                <w:color w:val="auto"/>
                <w:sz w:val="24"/>
                <w:szCs w:val="21"/>
                <w:lang w:eastAsia="zh-CN"/>
              </w:rPr>
              <w:t>（</w:t>
            </w:r>
            <w:r>
              <w:rPr>
                <w:rFonts w:hint="eastAsia" w:ascii="Times New Roman" w:hAnsi="Times New Roman" w:eastAsia="宋体" w:cs="Times New Roman"/>
                <w:b/>
                <w:bCs/>
                <w:color w:val="auto"/>
                <w:sz w:val="24"/>
                <w:szCs w:val="21"/>
                <w:lang w:val="en-US" w:eastAsia="zh-CN"/>
              </w:rPr>
              <w:t>1</w:t>
            </w:r>
            <w:r>
              <w:rPr>
                <w:rFonts w:hint="eastAsia" w:ascii="Times New Roman" w:hAnsi="Times New Roman" w:eastAsia="宋体" w:cs="Times New Roman"/>
                <w:b/>
                <w:bCs/>
                <w:color w:val="auto"/>
                <w:sz w:val="24"/>
                <w:szCs w:val="21"/>
                <w:lang w:eastAsia="zh-CN"/>
              </w:rPr>
              <w:t>）</w:t>
            </w:r>
            <w:r>
              <w:rPr>
                <w:rFonts w:hint="eastAsia" w:ascii="Times New Roman" w:hAnsi="Times New Roman" w:cs="Times New Roman"/>
                <w:b/>
                <w:bCs/>
                <w:kern w:val="2"/>
                <w:sz w:val="24"/>
                <w:szCs w:val="21"/>
                <w:lang w:val="en-US" w:eastAsia="zh-CN" w:bidi="ar-SA"/>
              </w:rPr>
              <w:t>与《四川省十三五水利规划》的符合性</w:t>
            </w:r>
            <w:r>
              <w:rPr>
                <w:rFonts w:hint="eastAsia" w:cs="Times New Roman"/>
                <w:b/>
                <w:bCs/>
                <w:kern w:val="2"/>
                <w:sz w:val="24"/>
                <w:szCs w:val="21"/>
                <w:lang w:val="en-US" w:eastAsia="zh-CN" w:bidi="ar-SA"/>
              </w:rPr>
              <w:t>分析</w:t>
            </w:r>
          </w:p>
          <w:p>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《四川省十三五水利规划》指出要“</w:t>
            </w:r>
            <w:r>
              <w:rPr>
                <w:rFonts w:hint="default" w:ascii="Times New Roman" w:hAnsi="Times New Roman" w:eastAsia="宋体" w:cs="Times New Roman"/>
                <w:kern w:val="2"/>
                <w:sz w:val="24"/>
                <w:szCs w:val="24"/>
                <w:lang w:val="en-US" w:eastAsia="zh-CN" w:bidi="ar-SA"/>
              </w:rPr>
              <w:t>加快完善水利基础设施网络</w:t>
            </w:r>
            <w:r>
              <w:rPr>
                <w:rFonts w:hint="eastAsia" w:ascii="Times New Roman" w:hAnsi="Times New Roman" w:eastAsia="宋体" w:cs="Times New Roman"/>
                <w:kern w:val="2"/>
                <w:sz w:val="24"/>
                <w:szCs w:val="24"/>
                <w:lang w:val="en-US" w:eastAsia="zh-CN" w:bidi="ar-SA"/>
              </w:rPr>
              <w:t>，完善防洪排涝体系</w:t>
            </w:r>
            <w:r>
              <w:rPr>
                <w:rFonts w:hint="eastAsia" w:ascii="Times New Roman" w:hAnsi="Times New Roman"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主要江河和中小河流防洪治理。继续推进中小河流治理，采取综合措施提高防御洪水能力</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改善河流生态环境。加快完善城市防洪排涝设施，建设“海绵城市”，健全城市洪涝预报预警、指挥调度、应急抢险等措施，提高防洪减灾能力。”</w:t>
            </w:r>
          </w:p>
          <w:p>
            <w:pPr>
              <w:spacing w:line="360" w:lineRule="auto"/>
              <w:ind w:firstLine="480" w:firstLineChars="200"/>
              <w:rPr>
                <w:rFonts w:hint="eastAsia" w:ascii="Times New Roman" w:hAnsi="Times New Roman" w:eastAsia="宋体" w:cs="Times New Roman"/>
                <w:b/>
                <w:bCs/>
                <w:color w:val="auto"/>
                <w:sz w:val="24"/>
                <w:szCs w:val="24"/>
                <w:lang w:eastAsia="zh-CN"/>
              </w:rPr>
            </w:pPr>
            <w:r>
              <w:rPr>
                <w:rFonts w:hint="eastAsia"/>
                <w:sz w:val="24"/>
                <w:szCs w:val="24"/>
                <w:lang w:val="en-US" w:eastAsia="zh-CN"/>
              </w:rPr>
              <w:t>本项目为“</w:t>
            </w:r>
            <w:r>
              <w:rPr>
                <w:rFonts w:hint="eastAsia" w:ascii="Times New Roman" w:hAnsi="宋体"/>
                <w:bCs/>
                <w:color w:val="auto"/>
                <w:kern w:val="2"/>
                <w:sz w:val="24"/>
                <w:szCs w:val="24"/>
                <w:lang w:eastAsia="zh-CN"/>
              </w:rPr>
              <w:t>松潘县</w:t>
            </w:r>
            <w:r>
              <w:rPr>
                <w:rFonts w:hint="eastAsia" w:ascii="Times New Roman" w:hAnsi="宋体"/>
                <w:bCs/>
                <w:color w:val="auto"/>
                <w:kern w:val="2"/>
                <w:sz w:val="24"/>
                <w:szCs w:val="24"/>
                <w:lang w:val="en-US" w:eastAsia="zh-CN"/>
              </w:rPr>
              <w:t>白羊乡</w:t>
            </w:r>
            <w:r>
              <w:rPr>
                <w:rFonts w:hint="eastAsia" w:ascii="Times New Roman" w:hAnsi="Times New Roman" w:eastAsia="宋体" w:cs="Times New Roman"/>
                <w:color w:val="auto"/>
                <w:sz w:val="24"/>
                <w:szCs w:val="21"/>
                <w:lang w:val="en-US" w:eastAsia="zh-CN"/>
              </w:rPr>
              <w:t>茶园坪村璜环沟</w:t>
            </w:r>
            <w:r>
              <w:rPr>
                <w:rFonts w:hint="eastAsia" w:ascii="Times New Roman" w:hAnsi="宋体"/>
                <w:bCs/>
                <w:color w:val="auto"/>
                <w:kern w:val="2"/>
                <w:sz w:val="24"/>
                <w:szCs w:val="24"/>
                <w:lang w:eastAsia="zh-CN"/>
              </w:rPr>
              <w:t>泥石流治理工程</w:t>
            </w:r>
            <w:r>
              <w:rPr>
                <w:rFonts w:hint="eastAsia"/>
                <w:sz w:val="24"/>
                <w:szCs w:val="24"/>
                <w:lang w:val="en-US" w:eastAsia="zh-CN"/>
              </w:rPr>
              <w:t>”，是为了加快推进松潘县“</w:t>
            </w:r>
            <w:r>
              <w:rPr>
                <w:rFonts w:hint="default" w:ascii="Times New Roman" w:hAnsi="Times New Roman" w:cs="Times New Roman"/>
                <w:sz w:val="24"/>
                <w:szCs w:val="24"/>
                <w:lang w:val="en-US" w:eastAsia="zh-CN"/>
              </w:rPr>
              <w:t>8.20</w:t>
            </w:r>
            <w:r>
              <w:rPr>
                <w:rFonts w:hint="eastAsia"/>
                <w:sz w:val="24"/>
                <w:szCs w:val="24"/>
                <w:lang w:val="en-US" w:eastAsia="zh-CN"/>
              </w:rPr>
              <w:t>”强降雨特大山洪泥石流灾后恢复重建地质灾害治理项目建设进度，属于《四川省十三五水利规划》中的“</w:t>
            </w:r>
            <w:r>
              <w:rPr>
                <w:rFonts w:hint="eastAsia" w:ascii="Times New Roman" w:hAnsi="Times New Roman" w:eastAsia="宋体" w:cs="Times New Roman"/>
                <w:kern w:val="2"/>
                <w:sz w:val="24"/>
                <w:szCs w:val="24"/>
                <w:lang w:val="en-US" w:eastAsia="zh-CN" w:bidi="ar-SA"/>
              </w:rPr>
              <w:t>中小河流防洪治理</w:t>
            </w:r>
            <w:r>
              <w:rPr>
                <w:rFonts w:hint="eastAsia"/>
                <w:sz w:val="24"/>
                <w:szCs w:val="24"/>
                <w:lang w:val="en-US" w:eastAsia="zh-CN"/>
              </w:rPr>
              <w:t>”。本项目符合《四川省十三五水利规划》。</w:t>
            </w:r>
          </w:p>
          <w:p>
            <w:pPr>
              <w:spacing w:line="360" w:lineRule="auto"/>
              <w:ind w:firstLine="480" w:firstLineChars="200"/>
              <w:rPr>
                <w:rFonts w:hint="eastAsia" w:ascii="Times New Roman" w:hAnsi="Times New Roman" w:cs="Times New Roman"/>
                <w:b/>
                <w:bCs/>
                <w:kern w:val="2"/>
                <w:sz w:val="24"/>
                <w:szCs w:val="21"/>
                <w:lang w:val="en-US" w:eastAsia="zh-CN" w:bidi="ar-SA"/>
              </w:rPr>
            </w:pPr>
            <w:r>
              <w:rPr>
                <w:rFonts w:hint="eastAsia" w:ascii="Times New Roman" w:hAnsi="Times New Roman" w:eastAsia="宋体" w:cs="Times New Roman"/>
                <w:b/>
                <w:bCs/>
                <w:color w:val="auto"/>
                <w:sz w:val="24"/>
                <w:szCs w:val="21"/>
                <w:lang w:eastAsia="zh-CN"/>
              </w:rPr>
              <w:t>（</w:t>
            </w:r>
            <w:r>
              <w:rPr>
                <w:rFonts w:hint="eastAsia" w:ascii="Times New Roman" w:hAnsi="Times New Roman" w:eastAsia="宋体" w:cs="Times New Roman"/>
                <w:b/>
                <w:bCs/>
                <w:color w:val="auto"/>
                <w:sz w:val="24"/>
                <w:szCs w:val="21"/>
                <w:lang w:val="en-US" w:eastAsia="zh-CN"/>
              </w:rPr>
              <w:t>2</w:t>
            </w:r>
            <w:r>
              <w:rPr>
                <w:rFonts w:hint="eastAsia" w:ascii="Times New Roman" w:hAnsi="Times New Roman" w:eastAsia="宋体" w:cs="Times New Roman"/>
                <w:b/>
                <w:bCs/>
                <w:color w:val="auto"/>
                <w:sz w:val="24"/>
                <w:szCs w:val="21"/>
                <w:lang w:eastAsia="zh-CN"/>
              </w:rPr>
              <w:t>）</w:t>
            </w:r>
            <w:r>
              <w:rPr>
                <w:rFonts w:hint="eastAsia" w:ascii="Times New Roman" w:hAnsi="Times New Roman" w:eastAsia="宋体" w:cs="Times New Roman"/>
                <w:b/>
                <w:bCs/>
                <w:color w:val="auto"/>
                <w:sz w:val="24"/>
                <w:szCs w:val="21"/>
                <w:lang w:val="en-US" w:eastAsia="zh-CN"/>
              </w:rPr>
              <w:t>与</w:t>
            </w:r>
            <w:r>
              <w:rPr>
                <w:rFonts w:hint="eastAsia" w:ascii="Times New Roman" w:hAnsi="Times New Roman" w:cs="Times New Roman"/>
                <w:b/>
                <w:bCs/>
                <w:kern w:val="2"/>
                <w:sz w:val="24"/>
                <w:szCs w:val="21"/>
                <w:lang w:val="en-US" w:eastAsia="zh-CN" w:bidi="ar-SA"/>
              </w:rPr>
              <w:t>《阿坝州水利发展“十三五”规划》的符合性</w:t>
            </w:r>
            <w:r>
              <w:rPr>
                <w:rFonts w:hint="eastAsia" w:cs="Times New Roman"/>
                <w:b/>
                <w:bCs/>
                <w:kern w:val="2"/>
                <w:sz w:val="24"/>
                <w:szCs w:val="21"/>
                <w:lang w:val="en-US" w:eastAsia="zh-CN" w:bidi="ar-SA"/>
              </w:rPr>
              <w:t>分析</w:t>
            </w:r>
          </w:p>
          <w:p>
            <w:pPr>
              <w:spacing w:line="360" w:lineRule="auto"/>
              <w:ind w:firstLine="480" w:firstLineChars="200"/>
              <w:rPr>
                <w:rFonts w:hint="eastAsia" w:ascii="Times New Roman" w:hAnsi="Times New Roman" w:eastAsia="宋体" w:cs="Times New Roman"/>
                <w:kern w:val="2"/>
                <w:sz w:val="24"/>
                <w:szCs w:val="21"/>
                <w:lang w:val="en-US" w:eastAsia="zh-CN" w:bidi="ar-SA"/>
              </w:rPr>
            </w:pPr>
            <w:r>
              <w:rPr>
                <w:rFonts w:hint="eastAsia" w:cs="Times New Roman"/>
                <w:kern w:val="2"/>
                <w:sz w:val="24"/>
                <w:szCs w:val="21"/>
                <w:lang w:val="en-US" w:eastAsia="zh-CN" w:bidi="ar-SA"/>
              </w:rPr>
              <w:t>“</w:t>
            </w:r>
            <w:r>
              <w:rPr>
                <w:rFonts w:hint="eastAsia" w:ascii="Times New Roman" w:hAnsi="Times New Roman" w:eastAsia="宋体" w:cs="Times New Roman"/>
                <w:kern w:val="2"/>
                <w:sz w:val="24"/>
                <w:szCs w:val="21"/>
                <w:lang w:val="en-US" w:eastAsia="zh-CN" w:bidi="ar-SA"/>
              </w:rPr>
              <w:t xml:space="preserve">十三五”期间，《阿坝州水利发展“十三五”规划》涉及水利基础设施、民生水利、水生态、行业能力建设四大类，防洪工程、中型水利工程、水土保持工程、水利信息化等34个小类730个项目。规划总投资241亿元，其中“十三五”期间投资111亿元，投资实现历史性增长，将为全州水利建设打下坚实基础。 </w:t>
            </w:r>
          </w:p>
          <w:p>
            <w:pPr>
              <w:spacing w:line="360" w:lineRule="auto"/>
              <w:ind w:firstLine="480" w:firstLineChars="200"/>
              <w:rPr>
                <w:rFonts w:hint="eastAsia" w:ascii="Times New Roman" w:hAnsi="Times New Roman" w:eastAsia="宋体" w:cs="Times New Roman"/>
                <w:b/>
                <w:bCs/>
                <w:color w:val="auto"/>
                <w:sz w:val="24"/>
                <w:szCs w:val="21"/>
                <w:lang w:eastAsia="zh-CN"/>
              </w:rPr>
            </w:pPr>
            <w:r>
              <w:rPr>
                <w:rFonts w:hint="eastAsia" w:ascii="Times New Roman" w:cs="Times New Roman"/>
                <w:kern w:val="2"/>
                <w:sz w:val="24"/>
                <w:szCs w:val="21"/>
                <w:lang w:val="en-US" w:eastAsia="zh-CN" w:bidi="ar-SA"/>
              </w:rPr>
              <w:t>本项目为松潘县</w:t>
            </w:r>
            <w:r>
              <w:rPr>
                <w:rFonts w:hint="eastAsia" w:ascii="Times New Roman" w:hAnsi="宋体"/>
                <w:bCs/>
                <w:color w:val="auto"/>
                <w:kern w:val="2"/>
                <w:sz w:val="24"/>
                <w:szCs w:val="24"/>
                <w:lang w:val="en-US" w:eastAsia="zh-CN"/>
              </w:rPr>
              <w:t>白羊乡</w:t>
            </w:r>
            <w:r>
              <w:rPr>
                <w:rFonts w:hint="eastAsia" w:ascii="Times New Roman" w:hAnsi="Times New Roman" w:eastAsia="宋体" w:cs="Times New Roman"/>
                <w:color w:val="auto"/>
                <w:sz w:val="24"/>
                <w:szCs w:val="21"/>
                <w:lang w:val="en-US" w:eastAsia="zh-CN"/>
              </w:rPr>
              <w:t>茶园坪村璜环沟</w:t>
            </w:r>
            <w:r>
              <w:rPr>
                <w:rFonts w:hint="eastAsia" w:ascii="Times New Roman" w:cs="Times New Roman"/>
                <w:kern w:val="2"/>
                <w:sz w:val="24"/>
                <w:szCs w:val="21"/>
                <w:lang w:val="en-US" w:eastAsia="zh-CN" w:bidi="ar-SA"/>
              </w:rPr>
              <w:t>泥石流治理工程，属于《阿坝州水利发展“十三五”规划》中防洪工程，因此本项目</w:t>
            </w:r>
            <w:r>
              <w:rPr>
                <w:rFonts w:hint="eastAsia"/>
                <w:lang w:val="en-US" w:eastAsia="zh-CN"/>
              </w:rPr>
              <w:t>符合《阿坝州水利发展“十三五”规划》。</w:t>
            </w:r>
          </w:p>
          <w:p>
            <w:pPr>
              <w:spacing w:line="360" w:lineRule="auto"/>
              <w:ind w:firstLine="480" w:firstLineChars="200"/>
              <w:rPr>
                <w:rFonts w:hint="eastAsia" w:ascii="Times New Roman" w:hAnsi="Times New Roman" w:eastAsia="宋体" w:cs="Times New Roman"/>
                <w:b/>
                <w:bCs/>
                <w:color w:val="auto"/>
                <w:sz w:val="24"/>
                <w:szCs w:val="21"/>
                <w:lang w:val="en-US" w:eastAsia="zh-CN"/>
              </w:rPr>
            </w:pPr>
            <w:r>
              <w:rPr>
                <w:rFonts w:hint="eastAsia" w:ascii="Times New Roman" w:hAnsi="Times New Roman" w:eastAsia="宋体" w:cs="Times New Roman"/>
                <w:b/>
                <w:bCs/>
                <w:color w:val="auto"/>
                <w:sz w:val="24"/>
                <w:szCs w:val="21"/>
              </w:rPr>
              <w:t>（</w:t>
            </w:r>
            <w:r>
              <w:rPr>
                <w:rFonts w:hint="eastAsia" w:ascii="Times New Roman" w:hAnsi="Times New Roman" w:eastAsia="宋体" w:cs="Times New Roman"/>
                <w:b/>
                <w:bCs/>
                <w:color w:val="auto"/>
                <w:sz w:val="24"/>
                <w:szCs w:val="21"/>
                <w:lang w:val="en-US" w:eastAsia="zh-CN"/>
              </w:rPr>
              <w:t>3</w:t>
            </w:r>
            <w:r>
              <w:rPr>
                <w:rFonts w:hint="eastAsia" w:ascii="Times New Roman" w:hAnsi="Times New Roman" w:eastAsia="宋体" w:cs="Times New Roman"/>
                <w:b/>
                <w:bCs/>
                <w:color w:val="auto"/>
                <w:sz w:val="24"/>
                <w:szCs w:val="21"/>
                <w:lang w:eastAsia="zh-CN"/>
              </w:rPr>
              <w:t>）</w:t>
            </w:r>
            <w:r>
              <w:rPr>
                <w:rFonts w:hint="eastAsia" w:ascii="Times New Roman" w:hAnsi="Times New Roman" w:eastAsia="宋体" w:cs="Times New Roman"/>
                <w:b/>
                <w:bCs/>
                <w:color w:val="auto"/>
                <w:sz w:val="24"/>
                <w:szCs w:val="21"/>
              </w:rPr>
              <w:t>与松潘县人民政府办公室关于印发《松潘县2019年度地质灾害防御预案》的通知的符合性</w:t>
            </w:r>
            <w:r>
              <w:rPr>
                <w:rFonts w:hint="eastAsia" w:ascii="Times New Roman" w:hAnsi="Times New Roman" w:eastAsia="宋体" w:cs="Times New Roman"/>
                <w:b/>
                <w:bCs/>
                <w:color w:val="auto"/>
                <w:sz w:val="24"/>
                <w:szCs w:val="21"/>
                <w:lang w:val="en-US" w:eastAsia="zh-CN"/>
              </w:rPr>
              <w:t>分析</w:t>
            </w:r>
          </w:p>
          <w:p>
            <w:pPr>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val="en-US" w:eastAsia="zh-CN"/>
              </w:rPr>
              <w:t>2019年5月，松潘县人民政府下发了关于印发《松潘县2019年度地质灾害防御预案》的通知（文号为：松府办发[2019]28号），该预案主要针对松潘县境内的地质灾害现状、灾害因素、发展趋势以及防灾重点及措施等进行了分析。预案分析松潘县地质灾害高易发区为小河乡、施家堡乡、白羊乡以及十里乡—小姓乡、镇坪乡境内，灾害点类型为滑坡、泥石流、崩塌等。本项目位于白羊乡茶园坪村，地处河流为白草河，属于地质灾害高易发区，本项目的实施符合松潘县人民政府办公室关于印发《松潘县2019年度地质灾害防御预案》的通知的要求。</w:t>
            </w:r>
          </w:p>
          <w:p>
            <w:pPr>
              <w:spacing w:line="360" w:lineRule="auto"/>
              <w:ind w:firstLine="480" w:firstLineChars="200"/>
              <w:rPr>
                <w:rFonts w:hint="default" w:ascii="Times New Roman" w:hAnsi="Times New Roman" w:eastAsia="宋体" w:cs="Times New Roman"/>
                <w:b/>
                <w:bCs/>
                <w:color w:val="auto"/>
                <w:sz w:val="24"/>
                <w:szCs w:val="21"/>
                <w:lang w:val="en-US" w:eastAsia="zh-CN"/>
              </w:rPr>
            </w:pPr>
            <w:r>
              <w:rPr>
                <w:rFonts w:hint="eastAsia" w:ascii="Times New Roman" w:hAnsi="Times New Roman" w:eastAsia="宋体" w:cs="Times New Roman"/>
                <w:b/>
                <w:bCs/>
                <w:color w:val="auto"/>
                <w:sz w:val="24"/>
                <w:szCs w:val="21"/>
                <w:lang w:val="en-US" w:eastAsia="zh-CN"/>
              </w:rPr>
              <w:t>（4）与《中华人民共和国水污染防治法》的符合性分析</w:t>
            </w:r>
          </w:p>
          <w:p>
            <w:pPr>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val="en-US" w:eastAsia="zh-CN"/>
              </w:rPr>
              <w:t>本项目选址、建设与《中华人民共和国水污染防治法》（2017年修订）中相关内容符合性分析见表1-1。</w:t>
            </w:r>
          </w:p>
          <w:p>
            <w:pPr>
              <w:keepNext w:val="0"/>
              <w:keepLines w:val="0"/>
              <w:pageBreakBefore w:val="0"/>
              <w:kinsoku/>
              <w:wordWrap/>
              <w:overflowPunct/>
              <w:topLinePunct w:val="0"/>
              <w:autoSpaceDE w:val="0"/>
              <w:autoSpaceDN w:val="0"/>
              <w:bidi w:val="0"/>
              <w:adjustRightInd w:val="0"/>
              <w:snapToGrid w:val="0"/>
              <w:jc w:val="center"/>
              <w:rPr>
                <w:rFonts w:hint="default" w:eastAsiaTheme="minorEastAsia"/>
                <w:b/>
                <w:bCs/>
                <w:color w:val="auto"/>
                <w:lang w:val="en-US" w:eastAsia="zh-CN"/>
              </w:rPr>
            </w:pPr>
            <w:r>
              <w:rPr>
                <w:rFonts w:hint="eastAsia"/>
                <w:b/>
                <w:bCs/>
                <w:color w:val="auto"/>
              </w:rPr>
              <w:t>表</w:t>
            </w:r>
            <w:r>
              <w:rPr>
                <w:rFonts w:hint="eastAsia"/>
                <w:b/>
                <w:bCs/>
                <w:color w:val="auto"/>
                <w:lang w:val="en-US" w:eastAsia="zh-CN"/>
              </w:rPr>
              <w:t xml:space="preserve">1-1  </w:t>
            </w:r>
            <w:r>
              <w:rPr>
                <w:rFonts w:hint="eastAsia"/>
                <w:b/>
                <w:bCs/>
                <w:color w:val="auto"/>
              </w:rPr>
              <w:t>项目与</w:t>
            </w:r>
            <w:r>
              <w:rPr>
                <w:rFonts w:hint="eastAsia"/>
                <w:b/>
                <w:bCs/>
                <w:color w:val="auto"/>
                <w:lang w:eastAsia="zh-CN"/>
              </w:rPr>
              <w:t>《</w:t>
            </w:r>
            <w:r>
              <w:rPr>
                <w:rFonts w:hint="eastAsia"/>
                <w:b/>
                <w:bCs/>
                <w:color w:val="auto"/>
                <w:lang w:val="en-US" w:eastAsia="zh-CN"/>
              </w:rPr>
              <w:t>中华人民共和国水污染防治法</w:t>
            </w:r>
            <w:r>
              <w:rPr>
                <w:rFonts w:hint="eastAsia"/>
                <w:b/>
                <w:bCs/>
                <w:color w:val="auto"/>
                <w:lang w:eastAsia="zh-CN"/>
              </w:rPr>
              <w:t>》</w:t>
            </w:r>
            <w:r>
              <w:rPr>
                <w:rFonts w:hint="eastAsia"/>
                <w:b/>
                <w:bCs/>
                <w:color w:val="auto"/>
                <w:lang w:val="en-US" w:eastAsia="zh-CN"/>
              </w:rPr>
              <w:t>符合性分析</w:t>
            </w:r>
          </w:p>
          <w:tbl>
            <w:tblPr>
              <w:tblStyle w:val="5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5"/>
              <w:gridCol w:w="42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55" w:type="dxa"/>
                  <w:tcBorders>
                    <w:tl2br w:val="nil"/>
                    <w:tr2bl w:val="nil"/>
                  </w:tcBorders>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rPr>
                    <w:t>《中华人民共和国</w:t>
                  </w:r>
                  <w:r>
                    <w:rPr>
                      <w:rFonts w:hint="eastAsia" w:ascii="宋体" w:hAnsi="宋体" w:eastAsia="宋体" w:cs="宋体"/>
                      <w:b/>
                      <w:bCs/>
                      <w:color w:val="auto"/>
                      <w:sz w:val="21"/>
                      <w:szCs w:val="21"/>
                      <w:lang w:val="en-US" w:eastAsia="zh-CN"/>
                    </w:rPr>
                    <w:t>水污染防治法</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2017年修订</w:t>
                  </w:r>
                  <w:r>
                    <w:rPr>
                      <w:rFonts w:hint="eastAsia" w:ascii="宋体" w:hAnsi="宋体" w:eastAsia="宋体" w:cs="宋体"/>
                      <w:b/>
                      <w:bCs/>
                      <w:color w:val="auto"/>
                      <w:sz w:val="21"/>
                      <w:szCs w:val="21"/>
                      <w:lang w:eastAsia="zh-CN"/>
                    </w:rPr>
                    <w:t>）</w:t>
                  </w:r>
                  <w:r>
                    <w:rPr>
                      <w:rFonts w:hint="eastAsia" w:ascii="宋体" w:hAnsi="宋体" w:eastAsia="宋体" w:cs="宋体"/>
                      <w:b/>
                      <w:bCs/>
                      <w:color w:val="auto"/>
                      <w:sz w:val="21"/>
                      <w:szCs w:val="21"/>
                      <w:lang w:val="en-US" w:eastAsia="zh-CN"/>
                    </w:rPr>
                    <w:t>要求</w:t>
                  </w:r>
                </w:p>
              </w:tc>
              <w:tc>
                <w:tcPr>
                  <w:tcW w:w="4241" w:type="dxa"/>
                  <w:tcBorders>
                    <w:tl2br w:val="nil"/>
                    <w:tr2bl w:val="nil"/>
                  </w:tcBorders>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第三十三条    禁止向水体排放油类、酸液、碱液或者剧毒废液。</w:t>
                  </w:r>
                </w:p>
              </w:tc>
              <w:tc>
                <w:tcPr>
                  <w:tcW w:w="424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bidi="ar"/>
                    </w:rPr>
                    <w:t>本项目</w:t>
                  </w:r>
                  <w:r>
                    <w:rPr>
                      <w:rFonts w:hint="eastAsia" w:ascii="宋体" w:hAnsi="宋体" w:eastAsia="宋体" w:cs="宋体"/>
                      <w:color w:val="auto"/>
                      <w:sz w:val="21"/>
                      <w:szCs w:val="21"/>
                      <w:lang w:val="en-US" w:eastAsia="zh-CN" w:bidi="ar"/>
                    </w:rPr>
                    <w:t>为泥石流整治项目，在河道内建设拦挡坝及防护堤，</w:t>
                  </w:r>
                  <w:r>
                    <w:rPr>
                      <w:rFonts w:hint="eastAsia" w:ascii="宋体" w:hAnsi="宋体" w:eastAsia="宋体" w:cs="宋体"/>
                      <w:color w:val="auto"/>
                      <w:sz w:val="21"/>
                      <w:szCs w:val="21"/>
                      <w:lang w:bidi="ar"/>
                    </w:rPr>
                    <w:t>属于具有社会正效益的建设项目，</w:t>
                  </w:r>
                  <w:r>
                    <w:rPr>
                      <w:rFonts w:hint="eastAsia" w:ascii="宋体" w:hAnsi="宋体" w:eastAsia="宋体" w:cs="宋体"/>
                      <w:color w:val="auto"/>
                      <w:sz w:val="21"/>
                      <w:szCs w:val="21"/>
                      <w:lang w:val="en-US" w:eastAsia="zh-CN" w:bidi="ar"/>
                    </w:rPr>
                    <w:t>不会向水体排放</w:t>
                  </w:r>
                  <w:r>
                    <w:rPr>
                      <w:rFonts w:hint="eastAsia" w:ascii="宋体" w:hAnsi="宋体" w:eastAsia="宋体" w:cs="宋体"/>
                      <w:color w:val="auto"/>
                      <w:sz w:val="21"/>
                      <w:szCs w:val="21"/>
                      <w:lang w:bidi="ar"/>
                    </w:rPr>
                    <w:t>油类、酸液、碱液或者剧毒废液</w:t>
                  </w:r>
                  <w:r>
                    <w:rPr>
                      <w:rFonts w:hint="eastAsia" w:ascii="宋体" w:hAnsi="宋体" w:eastAsia="宋体" w:cs="宋体"/>
                      <w:color w:val="auto"/>
                      <w:sz w:val="21"/>
                      <w:szCs w:val="21"/>
                      <w:lang w:val="en-US" w:eastAsia="zh-CN" w:bidi="ar"/>
                    </w:rPr>
                    <w:t>等物体；本项目施工在枯水期进行，且施工期是短暂的，沉淀池和材料堆场堆放的河滩地上，枯水期不对会河道产生影响。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第三十四条    禁止向水体排放、倾倒放射性固体废物或者含有高放射性和中放射性物质的废水。</w:t>
                  </w:r>
                </w:p>
              </w:tc>
              <w:tc>
                <w:tcPr>
                  <w:tcW w:w="424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第三十七条    禁止向水体排放、倾倒工业废渣、城镇垃圾和其他废弃物。</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禁止将含有汞、镉、砷、铬、铅、氰化物、黄磷等的可溶性剧毒废渣向水体排放、倾倒或者直接埋入地下。</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存放可溶性剧毒废渣的场所，应当采取防水、防渗漏、防流失的措施。</w:t>
                  </w:r>
                </w:p>
              </w:tc>
              <w:tc>
                <w:tcPr>
                  <w:tcW w:w="424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第三十八条  禁止在江河、湖泊、运河、渠道、水库最高水位线以下的滩地和岸坡堆放、存贮固体废弃物和其他污染物。</w:t>
                  </w:r>
                </w:p>
              </w:tc>
              <w:tc>
                <w:tcPr>
                  <w:tcW w:w="424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第六十三条  国家建立饮用水水源保护区制度。饮用水水源保护区分为一级保护区和二级保护区；必要时，可以在饮用水水源保护区外围划定一定的区域作为准保护区。</w:t>
                  </w:r>
                </w:p>
              </w:tc>
              <w:tc>
                <w:tcPr>
                  <w:tcW w:w="4241" w:type="dxa"/>
                  <w:vMerge w:val="restart"/>
                  <w:tcBorders>
                    <w:tl2br w:val="nil"/>
                    <w:tr2bl w:val="nil"/>
                  </w:tcBorders>
                  <w:noWrap w:val="0"/>
                  <w:vAlign w:val="center"/>
                </w:tcPr>
                <w:p>
                  <w:pPr>
                    <w:pStyle w:val="50"/>
                    <w:ind w:left="0" w:leftChars="0" w:firstLine="0" w:firstLineChars="0"/>
                    <w:jc w:val="center"/>
                    <w:rPr>
                      <w:rFonts w:hint="default" w:eastAsia="宋体"/>
                      <w:lang w:val="en-US" w:eastAsia="zh-CN"/>
                    </w:rPr>
                  </w:pPr>
                  <w:r>
                    <w:rPr>
                      <w:rFonts w:hint="eastAsia" w:ascii="宋体" w:hAnsi="宋体" w:eastAsia="宋体" w:cs="宋体"/>
                      <w:color w:val="auto"/>
                      <w:sz w:val="21"/>
                      <w:szCs w:val="21"/>
                      <w:lang w:bidi="ar"/>
                    </w:rPr>
                    <w:t>本项目</w:t>
                  </w:r>
                  <w:r>
                    <w:rPr>
                      <w:rFonts w:hint="eastAsia" w:ascii="宋体" w:hAnsi="宋体" w:eastAsia="宋体" w:cs="宋体"/>
                      <w:color w:val="auto"/>
                      <w:sz w:val="21"/>
                      <w:szCs w:val="21"/>
                      <w:lang w:val="en-US" w:eastAsia="zh-CN" w:bidi="ar"/>
                    </w:rPr>
                    <w:t>为泥石流整治项目，在河道内建设拦挡坝及防护堤，</w:t>
                  </w:r>
                  <w:r>
                    <w:rPr>
                      <w:rFonts w:hint="eastAsia" w:ascii="宋体" w:hAnsi="宋体" w:eastAsia="宋体" w:cs="宋体"/>
                      <w:color w:val="auto"/>
                      <w:sz w:val="21"/>
                      <w:szCs w:val="21"/>
                      <w:lang w:bidi="ar"/>
                    </w:rPr>
                    <w:t>属于具有社会正效益的建设项目，</w:t>
                  </w:r>
                  <w:r>
                    <w:rPr>
                      <w:rFonts w:hint="eastAsia" w:ascii="宋体" w:hAnsi="宋体" w:cs="宋体"/>
                      <w:color w:val="auto"/>
                      <w:sz w:val="21"/>
                      <w:szCs w:val="21"/>
                      <w:lang w:val="en-US" w:eastAsia="zh-CN" w:bidi="ar"/>
                    </w:rPr>
                    <w:t>不涉及饮用水源保护区，不会向河道及水体排放污染物。</w:t>
                  </w:r>
                </w:p>
                <w:p>
                  <w:pPr>
                    <w:pStyle w:val="5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第六十五条  禁止在饮用水水源一级保护区内新建、改建、扩建与供水设施和保护水源无关的建设项目；已建成的与供水设施和保护水源无关的建设项目，由县级以上人民政府责令拆除或者关闭。</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禁止在饮用水水源一级保护区内从事网箱养殖、旅游、游泳、垂钓或者其他可能污染饮用水水体的活动。</w:t>
                  </w:r>
                </w:p>
              </w:tc>
              <w:tc>
                <w:tcPr>
                  <w:tcW w:w="424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第六十六条  禁止在饮用水水源二级保护区内新建、改建、扩建排放污染物的建设项目；已建成的排放污染物的建设项目，由县级以上人民政府责令拆除或者关闭。</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在饮用水水源二级保护区内从事网箱养殖、旅游等活动的，应当按照规定采取措施，防止污染饮用水水体。</w:t>
                  </w:r>
                </w:p>
              </w:tc>
              <w:tc>
                <w:tcPr>
                  <w:tcW w:w="4241" w:type="dxa"/>
                  <w:vMerge w:val="continue"/>
                  <w:tcBorders>
                    <w:tl2br w:val="nil"/>
                    <w:tr2bl w:val="nil"/>
                  </w:tcBorders>
                  <w:noWrap w:val="0"/>
                  <w:vAlign w:val="center"/>
                </w:tcPr>
                <w:p>
                  <w:pPr>
                    <w:pStyle w:val="50"/>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 xml:space="preserve"> 第六十七条  禁止在饮用水水源准保护区内新建、扩建对水体污染严重的建设项目；改建建设项目，不得增加排污量。</w:t>
                  </w:r>
                </w:p>
              </w:tc>
              <w:tc>
                <w:tcPr>
                  <w:tcW w:w="4241" w:type="dxa"/>
                  <w:vMerge w:val="continue"/>
                  <w:tcBorders>
                    <w:tl2br w:val="nil"/>
                    <w:tr2bl w:val="nil"/>
                  </w:tcBorders>
                  <w:noWrap w:val="0"/>
                  <w:vAlign w:val="center"/>
                </w:tcPr>
                <w:p>
                  <w:pPr>
                    <w:pStyle w:val="50"/>
                    <w:rPr>
                      <w:rFonts w:hint="eastAsia"/>
                    </w:rPr>
                  </w:pPr>
                </w:p>
              </w:tc>
            </w:tr>
          </w:tbl>
          <w:p>
            <w:pPr>
              <w:spacing w:line="360" w:lineRule="auto"/>
              <w:ind w:firstLine="480" w:firstLineChars="200"/>
              <w:rPr>
                <w:rFonts w:hint="default" w:ascii="Times New Roman" w:hAnsi="Times New Roman" w:eastAsia="宋体" w:cs="Times New Roman"/>
                <w:b/>
                <w:bCs/>
                <w:color w:val="auto"/>
                <w:sz w:val="24"/>
                <w:szCs w:val="21"/>
                <w:lang w:val="en-US" w:eastAsia="zh-CN"/>
              </w:rPr>
            </w:pPr>
            <w:r>
              <w:rPr>
                <w:rFonts w:hint="eastAsia" w:ascii="Times New Roman" w:hAnsi="Times New Roman" w:eastAsia="宋体" w:cs="Times New Roman"/>
                <w:b/>
                <w:bCs/>
                <w:color w:val="auto"/>
                <w:sz w:val="24"/>
                <w:szCs w:val="21"/>
                <w:lang w:val="en-US" w:eastAsia="zh-CN"/>
              </w:rPr>
              <w:t>（5）与《河道管理条例》符合性分析</w:t>
            </w:r>
          </w:p>
          <w:p>
            <w:pPr>
              <w:keepNext w:val="0"/>
              <w:keepLines w:val="0"/>
              <w:pageBreakBefore w:val="0"/>
              <w:widowControl/>
              <w:kinsoku/>
              <w:wordWrap/>
              <w:overflowPunct/>
              <w:topLinePunct w:val="0"/>
              <w:bidi w:val="0"/>
              <w:adjustRightInd w:val="0"/>
              <w:snapToGrid w:val="0"/>
              <w:spacing w:line="360" w:lineRule="auto"/>
              <w:ind w:firstLine="480" w:firstLineChars="200"/>
              <w:jc w:val="left"/>
              <w:rPr>
                <w:rFonts w:hint="eastAsia" w:ascii="宋体" w:hAnsi="宋体" w:eastAsia="宋体" w:cs="宋体"/>
                <w:color w:val="auto"/>
                <w:sz w:val="24"/>
                <w:szCs w:val="24"/>
                <w:lang w:bidi="ar"/>
              </w:rPr>
            </w:pPr>
            <w:r>
              <w:rPr>
                <w:rFonts w:hint="eastAsia" w:ascii="宋体" w:hAnsi="宋体" w:eastAsia="宋体" w:cs="宋体"/>
                <w:color w:val="auto"/>
                <w:sz w:val="24"/>
                <w:szCs w:val="24"/>
                <w:lang w:bidi="ar"/>
              </w:rPr>
              <w:t>根据现场调查，对照《中华人民共和国河道管理条例》，分析如下：</w:t>
            </w:r>
          </w:p>
          <w:p>
            <w:pPr>
              <w:keepNext w:val="0"/>
              <w:keepLines w:val="0"/>
              <w:pageBreakBefore w:val="0"/>
              <w:kinsoku/>
              <w:wordWrap/>
              <w:overflowPunct/>
              <w:topLinePunct w:val="0"/>
              <w:autoSpaceDE w:val="0"/>
              <w:autoSpaceDN w:val="0"/>
              <w:bidi w:val="0"/>
              <w:adjustRightInd w:val="0"/>
              <w:snapToGrid w:val="0"/>
              <w:jc w:val="center"/>
              <w:rPr>
                <w:rFonts w:hint="eastAsia"/>
                <w:b/>
                <w:bCs/>
                <w:color w:val="auto"/>
              </w:rPr>
            </w:pPr>
            <w:r>
              <w:rPr>
                <w:rFonts w:hint="eastAsia"/>
                <w:b/>
                <w:bCs/>
                <w:color w:val="auto"/>
              </w:rPr>
              <w:t>表</w:t>
            </w:r>
            <w:r>
              <w:rPr>
                <w:rFonts w:hint="eastAsia"/>
                <w:b/>
                <w:bCs/>
                <w:color w:val="auto"/>
                <w:lang w:val="en-US" w:eastAsia="zh-CN"/>
              </w:rPr>
              <w:t xml:space="preserve">1-2  </w:t>
            </w:r>
            <w:r>
              <w:rPr>
                <w:rFonts w:hint="eastAsia"/>
                <w:b/>
                <w:bCs/>
                <w:color w:val="auto"/>
              </w:rPr>
              <w:t>项目与河道管理条例对照表</w:t>
            </w:r>
          </w:p>
          <w:tbl>
            <w:tblPr>
              <w:tblStyle w:val="51"/>
              <w:tblW w:w="86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55"/>
              <w:gridCol w:w="4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478" w:type="dxa"/>
                  <w:tcBorders>
                    <w:tl2br w:val="nil"/>
                    <w:tr2bl w:val="nil"/>
                  </w:tcBorders>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《中华人民共和国河道管理条例》</w:t>
                  </w:r>
                </w:p>
              </w:tc>
              <w:tc>
                <w:tcPr>
                  <w:tcW w:w="4241" w:type="dxa"/>
                  <w:tcBorders>
                    <w:tl2br w:val="nil"/>
                    <w:tr2bl w:val="nil"/>
                  </w:tcBorders>
                  <w:noWrap w:val="0"/>
                  <w:vAlign w:val="top"/>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4478" w:type="dxa"/>
                  <w:tcBorders>
                    <w:tl2br w:val="nil"/>
                    <w:tr2bl w:val="nil"/>
                  </w:tcBorders>
                  <w:noWrap w:val="0"/>
                  <w:vAlign w:val="top"/>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中华人民共和国河道管理条例》项目河道管理范围内进行下列活动，必须报经河道主管机关批准；涉及其他部门的，由河道主管机关会同有关部门批准；一）采砂、取土、淘金、弃置砂石或者淤二）爆破、钻探、挖筑鱼塘；三）在河道滩地存放物料、修建厂房或者他建筑设施；四）在河道滩地开采地下资源及进行考古发掘。</w:t>
                  </w:r>
                </w:p>
              </w:tc>
              <w:tc>
                <w:tcPr>
                  <w:tcW w:w="42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lang w:bidi="ar"/>
                    </w:rPr>
                  </w:pPr>
                  <w:r>
                    <w:rPr>
                      <w:rFonts w:hint="eastAsia" w:ascii="宋体" w:hAnsi="宋体" w:eastAsia="宋体" w:cs="宋体"/>
                      <w:color w:val="auto"/>
                      <w:sz w:val="21"/>
                      <w:szCs w:val="21"/>
                      <w:lang w:bidi="ar"/>
                    </w:rPr>
                    <w:t>本项目</w:t>
                  </w:r>
                  <w:r>
                    <w:rPr>
                      <w:rFonts w:hint="eastAsia" w:ascii="宋体" w:hAnsi="宋体" w:eastAsia="宋体" w:cs="宋体"/>
                      <w:color w:val="auto"/>
                      <w:sz w:val="21"/>
                      <w:szCs w:val="21"/>
                      <w:lang w:val="en-US" w:eastAsia="zh-CN" w:bidi="ar"/>
                    </w:rPr>
                    <w:t>为泥石流整治项目，在河道内建设拦挡坝及防护堤，</w:t>
                  </w:r>
                  <w:r>
                    <w:rPr>
                      <w:rFonts w:hint="eastAsia" w:ascii="宋体" w:hAnsi="宋体" w:eastAsia="宋体" w:cs="宋体"/>
                      <w:color w:val="auto"/>
                      <w:sz w:val="21"/>
                      <w:szCs w:val="21"/>
                      <w:lang w:bidi="ar"/>
                    </w:rPr>
                    <w:t>属于具有社会正效益的建设项目，不属于河道管理条例中禁止进行的建设内容，本项目</w:t>
                  </w:r>
                  <w:r>
                    <w:rPr>
                      <w:rFonts w:hint="eastAsia" w:ascii="宋体" w:hAnsi="宋体" w:eastAsia="宋体" w:cs="宋体"/>
                      <w:color w:val="auto"/>
                      <w:sz w:val="21"/>
                      <w:szCs w:val="21"/>
                      <w:lang w:val="en-US" w:eastAsia="zh-CN" w:bidi="ar"/>
                    </w:rPr>
                    <w:t>不存在彩砂、取石等工程</w:t>
                  </w:r>
                  <w:r>
                    <w:rPr>
                      <w:rFonts w:hint="eastAsia" w:ascii="宋体" w:hAnsi="宋体" w:eastAsia="宋体" w:cs="宋体"/>
                      <w:color w:val="auto"/>
                      <w:sz w:val="21"/>
                      <w:szCs w:val="21"/>
                      <w:lang w:bidi="ar"/>
                    </w:rPr>
                    <w:t>，未占用河道滩地且项目符合</w:t>
                  </w:r>
                  <w:r>
                    <w:rPr>
                      <w:rFonts w:hint="eastAsia" w:ascii="宋体" w:hAnsi="宋体" w:eastAsia="宋体" w:cs="宋体"/>
                      <w:color w:val="auto"/>
                      <w:sz w:val="21"/>
                      <w:szCs w:val="21"/>
                      <w:lang w:val="en-US" w:eastAsia="zh-CN" w:bidi="ar"/>
                    </w:rPr>
                    <w:t>松潘</w:t>
                  </w:r>
                  <w:r>
                    <w:rPr>
                      <w:rFonts w:hint="eastAsia" w:ascii="宋体" w:hAnsi="宋体" w:eastAsia="宋体" w:cs="宋体"/>
                      <w:color w:val="auto"/>
                      <w:sz w:val="21"/>
                      <w:szCs w:val="21"/>
                      <w:lang w:bidi="ar"/>
                    </w:rPr>
                    <w:t>县</w:t>
                  </w:r>
                  <w:r>
                    <w:rPr>
                      <w:rFonts w:hint="eastAsia" w:ascii="宋体" w:hAnsi="宋体" w:eastAsia="宋体" w:cs="宋体"/>
                      <w:color w:val="auto"/>
                      <w:sz w:val="21"/>
                      <w:szCs w:val="21"/>
                      <w:lang w:val="en-US" w:eastAsia="zh-CN" w:bidi="ar"/>
                    </w:rPr>
                    <w:t>相关</w:t>
                  </w:r>
                  <w:r>
                    <w:rPr>
                      <w:rFonts w:hint="eastAsia" w:ascii="宋体" w:hAnsi="宋体" w:eastAsia="宋体" w:cs="宋体"/>
                      <w:color w:val="auto"/>
                      <w:sz w:val="21"/>
                      <w:szCs w:val="21"/>
                      <w:lang w:bidi="ar"/>
                    </w:rPr>
                    <w:t>规划</w:t>
                  </w:r>
                </w:p>
              </w:tc>
            </w:tr>
          </w:tbl>
          <w:p>
            <w:pPr>
              <w:pStyle w:val="16"/>
              <w:keepNext w:val="0"/>
              <w:keepLines w:val="0"/>
              <w:pageBreakBefore w:val="0"/>
              <w:widowControl w:val="0"/>
              <w:kinsoku/>
              <w:wordWrap/>
              <w:overflowPunct/>
              <w:topLinePunct w:val="0"/>
              <w:autoSpaceDE/>
              <w:autoSpaceDN/>
              <w:bidi w:val="0"/>
              <w:adjustRightInd/>
              <w:snapToGrid/>
              <w:spacing w:before="0" w:line="360" w:lineRule="auto"/>
              <w:ind w:firstLine="480" w:firstLineChars="200"/>
              <w:textAlignment w:val="auto"/>
              <w:rPr>
                <w:rFonts w:hint="eastAsia" w:eastAsia="宋体"/>
                <w:b/>
                <w:color w:val="auto"/>
                <w:lang w:eastAsia="zh-CN"/>
              </w:rPr>
            </w:pPr>
            <w:r>
              <w:rPr>
                <w:rFonts w:hint="eastAsia"/>
                <w:b/>
                <w:color w:val="auto"/>
              </w:rPr>
              <w:t>四、</w:t>
            </w:r>
            <w:r>
              <w:rPr>
                <w:rFonts w:hint="eastAsia"/>
                <w:b/>
                <w:color w:val="auto"/>
                <w:lang w:eastAsia="zh-CN"/>
              </w:rPr>
              <w:t>项目选址合理性分析</w:t>
            </w:r>
          </w:p>
          <w:p>
            <w:pPr>
              <w:pStyle w:val="16"/>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eastAsia" w:eastAsia="宋体"/>
                <w:b w:val="0"/>
                <w:bCs/>
                <w:color w:val="auto"/>
                <w:lang w:eastAsia="zh-CN"/>
              </w:rPr>
            </w:pPr>
            <w:r>
              <w:rPr>
                <w:rFonts w:hint="eastAsia"/>
                <w:b w:val="0"/>
                <w:bCs/>
                <w:color w:val="auto"/>
                <w:lang w:eastAsia="zh-CN"/>
              </w:rPr>
              <w:t>（一）项目外环境关系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（1）项目外环境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本项目施工地点位于松潘县白羊乡</w:t>
            </w:r>
            <w:r>
              <w:rPr>
                <w:rFonts w:hint="eastAsia" w:ascii="Times New Roman" w:hAnsi="Times New Roman" w:cs="Times New Roman"/>
                <w:color w:val="auto"/>
                <w:sz w:val="24"/>
                <w:lang w:eastAsia="zh-CN"/>
              </w:rPr>
              <w:t>茶园坪村璜环沟</w:t>
            </w:r>
            <w:r>
              <w:rPr>
                <w:rFonts w:hint="eastAsia" w:asciiTheme="minorEastAsia" w:hAnsiTheme="minorEastAsia" w:cstheme="minorEastAsia"/>
                <w:b w:val="0"/>
                <w:bCs/>
                <w:color w:val="auto"/>
                <w:sz w:val="24"/>
                <w:szCs w:val="24"/>
                <w:lang w:val="en-US" w:eastAsia="zh-CN"/>
              </w:rPr>
              <w:t>，为泥石流治理项目，不属于污染类建设项目。</w:t>
            </w:r>
          </w:p>
          <w:p>
            <w:pPr>
              <w:pStyle w:val="125"/>
              <w:keepNext w:val="0"/>
              <w:keepLines w:val="0"/>
              <w:pageBreakBefore w:val="0"/>
              <w:widowControl w:val="0"/>
              <w:kinsoku/>
              <w:wordWrap/>
              <w:overflowPunct/>
              <w:topLinePunct w:val="0"/>
              <w:autoSpaceDE/>
              <w:autoSpaceDN/>
              <w:bidi w:val="0"/>
              <w:adjustRightInd w:val="0"/>
              <w:snapToGrid w:val="0"/>
              <w:ind w:firstLine="480"/>
              <w:textAlignment w:val="auto"/>
              <w:rPr>
                <w:rFonts w:hint="default" w:eastAsia="宋体"/>
                <w:snapToGrid w:val="0"/>
                <w:color w:val="auto"/>
                <w:kern w:val="0"/>
                <w:lang w:val="en-US" w:eastAsia="zh-CN"/>
              </w:rPr>
            </w:pPr>
            <w:r>
              <w:rPr>
                <w:rFonts w:hint="eastAsia"/>
                <w:snapToGrid w:val="0"/>
                <w:color w:val="auto"/>
                <w:kern w:val="0"/>
                <w:lang w:val="en-US" w:eastAsia="zh-CN"/>
              </w:rPr>
              <w:t>本项目建设区域周边最近的有2户居民，距离防护堤的施工距离约为20米；茶园坪村居民集中居住区位于本项目防护堤施工点和拦挡坝施工点的距离约110m—250m（</w:t>
            </w:r>
            <w:r>
              <w:rPr>
                <w:rFonts w:hint="eastAsia"/>
                <w:color w:val="auto"/>
                <w:lang w:val="en-US" w:eastAsia="zh-CN"/>
              </w:rPr>
              <w:t>项目外环境关系见附图5</w:t>
            </w:r>
            <w:r>
              <w:rPr>
                <w:rFonts w:hint="eastAsia"/>
                <w:color w:val="auto"/>
                <w:lang w:eastAsia="zh-CN"/>
              </w:rPr>
              <w:t>）</w:t>
            </w:r>
            <w:r>
              <w:rPr>
                <w:rFonts w:hint="eastAsia"/>
                <w:snapToGrid w:val="0"/>
                <w:color w:val="auto"/>
                <w:kern w:val="0"/>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heme="minorEastAsia" w:hAnsiTheme="minorEastAsia" w:cstheme="minorEastAsia"/>
                <w:b w:val="0"/>
                <w:bCs/>
                <w:color w:val="auto"/>
                <w:sz w:val="24"/>
                <w:szCs w:val="24"/>
                <w:lang w:val="en-US" w:eastAsia="zh-CN"/>
              </w:rPr>
            </w:pPr>
            <w:r>
              <w:rPr>
                <w:rFonts w:hint="eastAsia" w:asciiTheme="minorEastAsia" w:hAnsiTheme="minorEastAsia" w:cstheme="minorEastAsia"/>
                <w:b w:val="0"/>
                <w:bCs/>
                <w:color w:val="auto"/>
                <w:sz w:val="24"/>
                <w:szCs w:val="24"/>
                <w:lang w:val="en-US" w:eastAsia="zh-CN"/>
              </w:rPr>
              <w:t>（二）重大基础设施</w:t>
            </w:r>
          </w:p>
          <w:p>
            <w:pPr>
              <w:pStyle w:val="16"/>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eastAsia"/>
                <w:b w:val="0"/>
                <w:bCs/>
                <w:color w:val="auto"/>
              </w:rPr>
            </w:pPr>
            <w:r>
              <w:rPr>
                <w:rFonts w:hint="eastAsia"/>
                <w:b w:val="0"/>
                <w:bCs/>
                <w:color w:val="auto"/>
              </w:rPr>
              <w:t>本项目与所在地区现有重大基础设施干扰较小，能够保证现有电力、水利、交通、通信等重大基础设施的正常运行和居民的正常生产、生活。</w:t>
            </w:r>
          </w:p>
          <w:p>
            <w:pPr>
              <w:pStyle w:val="16"/>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default"/>
                <w:b w:val="0"/>
                <w:bCs/>
                <w:color w:val="auto"/>
                <w:lang w:val="en-US" w:eastAsia="zh-CN"/>
              </w:rPr>
            </w:pPr>
            <w:r>
              <w:rPr>
                <w:rFonts w:hint="eastAsia"/>
                <w:b w:val="0"/>
                <w:bCs/>
                <w:color w:val="auto"/>
                <w:lang w:eastAsia="zh-CN"/>
              </w:rPr>
              <w:t>（</w:t>
            </w:r>
            <w:r>
              <w:rPr>
                <w:rFonts w:hint="eastAsia"/>
                <w:b w:val="0"/>
                <w:bCs/>
                <w:color w:val="auto"/>
                <w:lang w:val="en-US" w:eastAsia="zh-CN"/>
              </w:rPr>
              <w:t>三</w:t>
            </w:r>
            <w:r>
              <w:rPr>
                <w:rFonts w:hint="eastAsia"/>
                <w:b w:val="0"/>
                <w:bCs/>
                <w:color w:val="auto"/>
                <w:lang w:eastAsia="zh-CN"/>
              </w:rPr>
              <w:t>）</w:t>
            </w:r>
            <w:r>
              <w:rPr>
                <w:rFonts w:hint="eastAsia"/>
                <w:b w:val="0"/>
                <w:bCs/>
                <w:color w:val="auto"/>
                <w:lang w:val="en-US" w:eastAsia="zh-CN"/>
              </w:rPr>
              <w:t>选址合理性</w:t>
            </w:r>
          </w:p>
          <w:p>
            <w:pPr>
              <w:pStyle w:val="16"/>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eastAsia"/>
                <w:b w:val="0"/>
                <w:bCs/>
                <w:color w:val="auto"/>
                <w:lang w:eastAsia="zh-CN"/>
              </w:rPr>
            </w:pPr>
            <w:r>
              <w:rPr>
                <w:rFonts w:hint="eastAsia"/>
                <w:b w:val="0"/>
                <w:bCs/>
                <w:color w:val="auto"/>
                <w:lang w:eastAsia="zh-CN"/>
              </w:rPr>
              <w:t>松潘县自然资源局出具了关于松潘县</w:t>
            </w:r>
            <w:r>
              <w:rPr>
                <w:rFonts w:hint="eastAsia"/>
                <w:b w:val="0"/>
                <w:bCs/>
                <w:color w:val="auto"/>
                <w:lang w:val="en-US" w:eastAsia="zh-CN"/>
              </w:rPr>
              <w:t>白羊乡茶园坪村璜环沟</w:t>
            </w:r>
            <w:r>
              <w:rPr>
                <w:rFonts w:hint="eastAsia"/>
                <w:b w:val="0"/>
                <w:bCs/>
                <w:color w:val="auto"/>
                <w:lang w:eastAsia="zh-CN"/>
              </w:rPr>
              <w:t>泥石流治理工程项目建设用地审查意见的函（松自然资源函[2020]</w:t>
            </w:r>
            <w:r>
              <w:rPr>
                <w:rFonts w:hint="eastAsia"/>
                <w:b w:val="0"/>
                <w:bCs/>
                <w:color w:val="auto"/>
                <w:lang w:val="en-US" w:eastAsia="zh-CN"/>
              </w:rPr>
              <w:t>28</w:t>
            </w:r>
            <w:r>
              <w:rPr>
                <w:rFonts w:hint="eastAsia"/>
                <w:b w:val="0"/>
                <w:bCs/>
                <w:color w:val="auto"/>
                <w:lang w:eastAsia="zh-CN"/>
              </w:rPr>
              <w:t>号）（详见附件3），明确“该项目为生态修复项目，建设地点位于</w:t>
            </w:r>
            <w:r>
              <w:rPr>
                <w:rFonts w:hint="eastAsia"/>
                <w:b w:val="0"/>
                <w:bCs/>
                <w:color w:val="auto"/>
                <w:lang w:val="en-US" w:eastAsia="zh-CN"/>
              </w:rPr>
              <w:t>白羊乡茶园坪村</w:t>
            </w:r>
            <w:r>
              <w:rPr>
                <w:rFonts w:hint="eastAsia"/>
                <w:b w:val="0"/>
                <w:bCs/>
                <w:color w:val="auto"/>
                <w:lang w:eastAsia="zh-CN"/>
              </w:rPr>
              <w:t>，项目投资为</w:t>
            </w:r>
            <w:r>
              <w:rPr>
                <w:rFonts w:hint="eastAsia"/>
                <w:b w:val="0"/>
                <w:bCs/>
                <w:color w:val="auto"/>
                <w:lang w:val="en-US" w:eastAsia="zh-CN"/>
              </w:rPr>
              <w:t>95.82</w:t>
            </w:r>
            <w:r>
              <w:rPr>
                <w:rFonts w:hint="eastAsia"/>
                <w:b w:val="0"/>
                <w:bCs/>
                <w:color w:val="auto"/>
                <w:lang w:eastAsia="zh-CN"/>
              </w:rPr>
              <w:t>万元，建设内容为新建</w:t>
            </w:r>
            <w:r>
              <w:rPr>
                <w:rFonts w:hint="eastAsia"/>
                <w:b w:val="0"/>
                <w:bCs/>
                <w:color w:val="auto"/>
                <w:lang w:val="en-US" w:eastAsia="zh-CN"/>
              </w:rPr>
              <w:t>防护堤1座拦挡坝</w:t>
            </w:r>
            <w:r>
              <w:rPr>
                <w:rFonts w:hint="eastAsia"/>
                <w:b w:val="0"/>
                <w:bCs/>
                <w:color w:val="auto"/>
                <w:lang w:eastAsia="zh-CN"/>
              </w:rPr>
              <w:t>。拟用地面积为</w:t>
            </w:r>
            <w:r>
              <w:rPr>
                <w:rFonts w:hint="eastAsia"/>
                <w:b w:val="0"/>
                <w:bCs/>
                <w:color w:val="auto"/>
                <w:lang w:val="en-US" w:eastAsia="zh-CN"/>
              </w:rPr>
              <w:t>3</w:t>
            </w:r>
            <w:r>
              <w:rPr>
                <w:rFonts w:hint="eastAsia"/>
                <w:b w:val="0"/>
                <w:bCs/>
                <w:color w:val="auto"/>
                <w:lang w:eastAsia="zh-CN"/>
              </w:rPr>
              <w:t>00平方米，该项目性质符合国家产业政策和供地政策，不涉及占用基本农田，不涉及农用地转用，不改变土地用途。”</w:t>
            </w:r>
          </w:p>
          <w:p>
            <w:pPr>
              <w:pStyle w:val="16"/>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eastAsia"/>
                <w:b w:val="0"/>
                <w:bCs/>
                <w:color w:val="auto"/>
                <w:lang w:eastAsia="zh-CN"/>
              </w:rPr>
            </w:pPr>
            <w:r>
              <w:rPr>
                <w:rFonts w:hint="eastAsia"/>
                <w:b w:val="0"/>
                <w:bCs/>
                <w:color w:val="auto"/>
                <w:lang w:eastAsia="zh-CN"/>
              </w:rPr>
              <w:t>因此，本项目主体工程选址合理，项目施工营地租赁当地民房。施工场地设置在泥石流堆积区域内，临时用于材料堆放、砂石临时堆放、水泥临时堆放、机械临时停放，施工营地、施工场地周边没有环境敏感点，交通便利，因此施工营地、施工场地选址合理。</w:t>
            </w:r>
          </w:p>
          <w:p>
            <w:pPr>
              <w:pStyle w:val="16"/>
              <w:keepNext w:val="0"/>
              <w:keepLines w:val="0"/>
              <w:pageBreakBefore w:val="0"/>
              <w:widowControl w:val="0"/>
              <w:kinsoku/>
              <w:wordWrap/>
              <w:overflowPunct/>
              <w:topLinePunct w:val="0"/>
              <w:autoSpaceDE/>
              <w:autoSpaceDN/>
              <w:bidi w:val="0"/>
              <w:adjustRightInd w:val="0"/>
              <w:snapToGrid w:val="0"/>
              <w:spacing w:before="0" w:line="360" w:lineRule="auto"/>
              <w:ind w:firstLine="480" w:firstLineChars="200"/>
              <w:textAlignment w:val="auto"/>
              <w:rPr>
                <w:rFonts w:hint="eastAsia"/>
                <w:b w:val="0"/>
                <w:bCs/>
                <w:color w:val="auto"/>
                <w:lang w:eastAsia="zh-CN"/>
              </w:rPr>
            </w:pPr>
            <w:r>
              <w:rPr>
                <w:rFonts w:hint="eastAsia"/>
                <w:b w:val="0"/>
                <w:bCs/>
                <w:color w:val="auto"/>
                <w:lang w:eastAsia="zh-CN"/>
              </w:rPr>
              <w:t>本项目为泥石流治理工程，属于非污染型工程，项目区内不涉及野生动物及特殊景观保护区；不涉及鱼类三场及特殊保护鱼类；不涉及文物古迹、风景名胜，无名木古树、饮用水源保护区等重要环境敏感点，不占用林地和基本农田，无重大环境制约要素。</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 w:val="0"/>
                <w:bCs/>
                <w:color w:val="auto"/>
              </w:rPr>
            </w:pPr>
            <w:r>
              <w:rPr>
                <w:rFonts w:hint="eastAsia"/>
                <w:b w:val="0"/>
                <w:bCs/>
                <w:color w:val="auto"/>
                <w:lang w:eastAsia="zh-CN"/>
              </w:rPr>
              <w:t>（</w:t>
            </w:r>
            <w:r>
              <w:rPr>
                <w:rFonts w:hint="eastAsia"/>
                <w:b w:val="0"/>
                <w:bCs/>
                <w:color w:val="auto"/>
                <w:lang w:val="en-US" w:eastAsia="zh-CN"/>
              </w:rPr>
              <w:t>四</w:t>
            </w:r>
            <w:r>
              <w:rPr>
                <w:rFonts w:hint="eastAsia"/>
                <w:b w:val="0"/>
                <w:bCs/>
                <w:color w:val="auto"/>
                <w:lang w:eastAsia="zh-CN"/>
              </w:rPr>
              <w:t>）</w:t>
            </w:r>
            <w:r>
              <w:rPr>
                <w:rFonts w:hint="eastAsia"/>
                <w:b w:val="0"/>
                <w:bCs/>
                <w:color w:val="auto"/>
              </w:rPr>
              <w:t>“三线一单”符合性分析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rPr>
              <w:t xml:space="preserve">（1）本项目与生态保护红线符合性分析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ascii="Times New Roman" w:hAnsi="Times New Roman" w:cs="Times New Roman"/>
                <w:color w:val="auto"/>
                <w:kern w:val="0"/>
                <w:sz w:val="24"/>
              </w:rPr>
              <w:t>本项目位于</w:t>
            </w:r>
            <w:r>
              <w:rPr>
                <w:rFonts w:hint="eastAsia" w:hAnsi="宋体"/>
                <w:color w:val="auto"/>
                <w:sz w:val="24"/>
              </w:rPr>
              <w:t>松潘县</w:t>
            </w:r>
            <w:r>
              <w:rPr>
                <w:rFonts w:hint="eastAsia" w:ascii="Times New Roman" w:hAnsi="Times New Roman" w:cs="Times New Roman"/>
                <w:color w:val="auto"/>
                <w:sz w:val="24"/>
                <w:lang w:eastAsia="zh-CN"/>
              </w:rPr>
              <w:t>茶园坪村璜环沟</w:t>
            </w:r>
            <w:r>
              <w:rPr>
                <w:rFonts w:hint="eastAsia" w:hAnsi="宋体"/>
                <w:color w:val="auto"/>
                <w:sz w:val="24"/>
                <w:lang w:eastAsia="zh-CN"/>
              </w:rPr>
              <w:t>内</w:t>
            </w:r>
            <w:r>
              <w:rPr>
                <w:rFonts w:hint="eastAsia" w:ascii="Times New Roman" w:hAnsi="Times New Roman" w:cs="Times New Roman"/>
                <w:color w:val="auto"/>
                <w:kern w:val="0"/>
                <w:sz w:val="24"/>
              </w:rPr>
              <w:t>，</w:t>
            </w:r>
            <w:r>
              <w:rPr>
                <w:rFonts w:hint="eastAsia"/>
                <w:color w:val="auto"/>
                <w:sz w:val="24"/>
              </w:rPr>
              <w:t xml:space="preserve">根据《关于印发四川省生态保护红线方案的通知 》（川府发〔2018〕24号）四川省生态保护红线总面积14.80万平方公里，占全省幅员面积的30.45%。空间分布格局呈“四轴九核”，分为5大类13个区块，主要分布在川西高原山地、盆周山地的水源涵养、生物多样性维护、水土保持生态功能富集区和金沙江下游水土流失敏感区、川东南石漠化敏感区。 </w:t>
            </w:r>
          </w:p>
          <w:p>
            <w:pPr>
              <w:adjustRightInd w:val="0"/>
              <w:snapToGrid w:val="0"/>
              <w:spacing w:line="360" w:lineRule="auto"/>
              <w:ind w:firstLine="480" w:firstLineChars="200"/>
              <w:rPr>
                <w:color w:val="auto"/>
                <w:sz w:val="24"/>
              </w:rPr>
            </w:pPr>
            <w:r>
              <w:rPr>
                <w:rFonts w:hint="eastAsia"/>
                <w:color w:val="auto"/>
                <w:sz w:val="24"/>
              </w:rPr>
              <w:t>其中松潘县位于岷山生物多样性维护—水源涵养生态保护红线。</w:t>
            </w:r>
          </w:p>
          <w:p>
            <w:pPr>
              <w:adjustRightInd w:val="0"/>
              <w:snapToGrid w:val="0"/>
              <w:spacing w:line="360" w:lineRule="auto"/>
              <w:ind w:firstLine="480" w:firstLineChars="200"/>
              <w:rPr>
                <w:color w:val="auto"/>
                <w:sz w:val="24"/>
              </w:rPr>
            </w:pPr>
            <w:r>
              <w:rPr>
                <w:rFonts w:hint="eastAsia"/>
                <w:color w:val="auto"/>
                <w:sz w:val="24"/>
              </w:rPr>
              <w:t>地理分布：该区位于四川盆地西北部边缘，是川西高原向四川盆地过渡地带，属于岷山—邛崃山—凉山生物多样性保护与水源涵养重要区，行政区涉及都江堰市、彭州市、什邡市、绵竹市、绵阳市安州区、北川羌族自治县、平武县、江油市、青川县、剑阁县、汶川县、理县、茂县、松潘县、九寨沟县、黑水县、若尔盖县，总面积2.23万平方公里，占生态保护红线总面积的15.03%，占全省幅员面积的4.58%。</w:t>
            </w:r>
          </w:p>
          <w:p>
            <w:pPr>
              <w:adjustRightInd w:val="0"/>
              <w:snapToGrid w:val="0"/>
              <w:spacing w:line="360" w:lineRule="auto"/>
              <w:ind w:firstLine="480" w:firstLineChars="200"/>
              <w:rPr>
                <w:color w:val="auto"/>
                <w:sz w:val="24"/>
              </w:rPr>
            </w:pPr>
            <w:r>
              <w:rPr>
                <w:rFonts w:hint="eastAsia"/>
                <w:color w:val="auto"/>
                <w:sz w:val="24"/>
              </w:rPr>
              <w:t>生态功能：该区河流分属嘉陵江、涪江、岷江水系，是白龙江、岷江和涪江等多条河流的重要水源涵养地。区内植被以常绿阔叶林、常绿与落叶阔叶混交林和亚高山常绿针叶林为主，代表性物种有珙桐、红豆杉、岷江柏、大熊猫、川金丝猴、扭角羚、林麝、马麝、梅花鹿等，是我国乃至世界生物多样性保护重要区域，具有极其重要的生物多样性保护功能。</w:t>
            </w:r>
          </w:p>
          <w:p>
            <w:pPr>
              <w:adjustRightInd w:val="0"/>
              <w:snapToGrid w:val="0"/>
              <w:spacing w:line="360" w:lineRule="auto"/>
              <w:ind w:firstLine="480" w:firstLineChars="200"/>
              <w:rPr>
                <w:color w:val="auto"/>
                <w:sz w:val="24"/>
              </w:rPr>
            </w:pPr>
            <w:r>
              <w:rPr>
                <w:rFonts w:hint="eastAsia"/>
                <w:color w:val="auto"/>
                <w:sz w:val="24"/>
              </w:rPr>
              <w:t>重要保护地：本区域是大熊猫栖息地核心分布区。区域内分布有10个国家级自然保护区、17个省级自然保护区、5个国家级风景名胜区、12个省级风景名胜区、7个国家地质公园、2个省级地质公园、3处世界自然遗产地、1处饮用水水源保护区的部分或全部区域。</w:t>
            </w:r>
          </w:p>
          <w:p>
            <w:pPr>
              <w:adjustRightInd w:val="0"/>
              <w:snapToGrid w:val="0"/>
              <w:spacing w:line="360" w:lineRule="auto"/>
              <w:ind w:firstLine="480" w:firstLineChars="200"/>
              <w:rPr>
                <w:color w:val="auto"/>
                <w:sz w:val="24"/>
              </w:rPr>
            </w:pPr>
            <w:r>
              <w:rPr>
                <w:rFonts w:hint="eastAsia"/>
                <w:color w:val="auto"/>
                <w:sz w:val="24"/>
              </w:rPr>
              <w:t>保护重点：保护自然生态系统和大熊猫、川金丝猴等重要物种及其栖息地，维护生物多样性保护和水源涵养功能；加强自然保护区规范化建设和管理；加强地震灾区受损生态系统的恢复和修复；加强地质灾害防治和水土流失治理。</w:t>
            </w:r>
          </w:p>
          <w:p>
            <w:pPr>
              <w:adjustRightInd w:val="0"/>
              <w:snapToGrid w:val="0"/>
              <w:spacing w:line="360" w:lineRule="auto"/>
              <w:ind w:firstLine="480"/>
              <w:rPr>
                <w:rFonts w:ascii="Times New Roman" w:hAnsi="Times New Roman" w:cs="Times New Roman"/>
                <w:color w:val="auto"/>
                <w:kern w:val="0"/>
                <w:sz w:val="24"/>
              </w:rPr>
            </w:pPr>
            <w:r>
              <w:rPr>
                <w:rFonts w:hint="eastAsia" w:ascii="Times New Roman" w:hAnsi="Times New Roman" w:cs="Times New Roman"/>
                <w:color w:val="auto"/>
                <w:kern w:val="0"/>
                <w:sz w:val="24"/>
              </w:rPr>
              <w:t>根据《四川省生态保护红线划定方案（发布稿）》，项目建设不在四川省生态红线区域</w:t>
            </w:r>
            <w:r>
              <w:rPr>
                <w:rFonts w:hint="eastAsia" w:cs="Times New Roman"/>
                <w:color w:val="auto"/>
                <w:kern w:val="0"/>
                <w:sz w:val="24"/>
              </w:rPr>
              <w:t>（见附图</w:t>
            </w:r>
            <w:r>
              <w:rPr>
                <w:rFonts w:hint="eastAsia" w:cs="Times New Roman"/>
                <w:color w:val="auto"/>
                <w:kern w:val="0"/>
                <w:sz w:val="24"/>
                <w:lang w:val="en-US" w:eastAsia="zh-CN"/>
              </w:rPr>
              <w:t>4</w:t>
            </w:r>
            <w:r>
              <w:rPr>
                <w:rFonts w:hint="eastAsia" w:cs="Times New Roman"/>
                <w:color w:val="auto"/>
                <w:kern w:val="0"/>
                <w:sz w:val="24"/>
              </w:rPr>
              <w:t>）</w:t>
            </w:r>
            <w:r>
              <w:rPr>
                <w:rFonts w:hint="eastAsia" w:ascii="Times New Roman" w:hAnsi="Times New Roman" w:cs="Times New Roman"/>
                <w:color w:val="auto"/>
                <w:kern w:val="0"/>
                <w:sz w:val="24"/>
              </w:rPr>
              <w:t>，项目建设符合四川省生态保护红线实施意见的相关要求。</w:t>
            </w:r>
          </w:p>
          <w:p>
            <w:pPr>
              <w:widowControl/>
              <w:adjustRightInd w:val="0"/>
              <w:snapToGrid w:val="0"/>
              <w:spacing w:line="360" w:lineRule="auto"/>
              <w:ind w:firstLine="480" w:firstLineChars="200"/>
              <w:jc w:val="left"/>
              <w:rPr>
                <w:color w:val="auto"/>
                <w:sz w:val="24"/>
              </w:rPr>
            </w:pPr>
            <w:r>
              <w:rPr>
                <w:rFonts w:hint="eastAsia"/>
                <w:color w:val="auto"/>
                <w:sz w:val="24"/>
              </w:rPr>
              <w:t>经核实，本项目不涉及各类环境敏感区，也不涉及重点保护对象，根据《四川省生态保护红线划定方案（发布稿）》，项目建设不在四川省生态红线区域（见附图</w:t>
            </w:r>
            <w:r>
              <w:rPr>
                <w:rFonts w:hint="eastAsia"/>
                <w:color w:val="auto"/>
                <w:sz w:val="24"/>
                <w:lang w:val="en-US" w:eastAsia="zh-CN"/>
              </w:rPr>
              <w:t>4</w:t>
            </w:r>
            <w:r>
              <w:rPr>
                <w:rFonts w:hint="eastAsia"/>
                <w:color w:val="auto"/>
                <w:sz w:val="24"/>
              </w:rPr>
              <w:t>），项目建设符合四川省生态保护红线实施意见的相关要求。</w:t>
            </w:r>
          </w:p>
          <w:p>
            <w:pPr>
              <w:adjustRightInd w:val="0"/>
              <w:snapToGrid w:val="0"/>
              <w:spacing w:line="360" w:lineRule="auto"/>
              <w:ind w:left="420" w:leftChars="200"/>
              <w:rPr>
                <w:color w:val="auto"/>
                <w:sz w:val="24"/>
              </w:rPr>
            </w:pPr>
            <w:r>
              <w:rPr>
                <w:rFonts w:hint="eastAsia"/>
                <w:color w:val="auto"/>
                <w:sz w:val="24"/>
              </w:rPr>
              <w:t>（2）本项目与环境质量底线符合性分析</w:t>
            </w:r>
          </w:p>
          <w:p>
            <w:pPr>
              <w:keepNext/>
              <w:adjustRightInd w:val="0"/>
              <w:snapToGrid w:val="0"/>
              <w:spacing w:line="360" w:lineRule="auto"/>
              <w:ind w:firstLine="480" w:firstLineChars="200"/>
              <w:rPr>
                <w:color w:val="auto"/>
                <w:sz w:val="24"/>
              </w:rPr>
            </w:pPr>
            <w:r>
              <w:rPr>
                <w:rFonts w:hint="eastAsia"/>
                <w:color w:val="auto"/>
                <w:sz w:val="24"/>
              </w:rPr>
              <w:t>根据对项目所在区域的环境现状质量进行监测，项目所在区域环境质量功能区划及达标情况对比结果如下：</w:t>
            </w:r>
          </w:p>
          <w:p>
            <w:pPr>
              <w:jc w:val="center"/>
              <w:rPr>
                <w:b/>
                <w:bCs/>
                <w:color w:val="auto"/>
                <w:szCs w:val="21"/>
              </w:rPr>
            </w:pPr>
            <w:r>
              <w:rPr>
                <w:rFonts w:hint="eastAsia"/>
                <w:b/>
                <w:bCs/>
                <w:color w:val="auto"/>
                <w:szCs w:val="21"/>
              </w:rPr>
              <w:t>表1-</w:t>
            </w:r>
            <w:r>
              <w:rPr>
                <w:rFonts w:hint="eastAsia"/>
                <w:b/>
                <w:bCs/>
                <w:color w:val="auto"/>
                <w:szCs w:val="21"/>
                <w:lang w:val="en-US" w:eastAsia="zh-CN"/>
              </w:rPr>
              <w:t>3</w:t>
            </w:r>
            <w:r>
              <w:rPr>
                <w:rFonts w:hint="eastAsia"/>
                <w:b/>
                <w:bCs/>
                <w:color w:val="auto"/>
                <w:szCs w:val="21"/>
              </w:rPr>
              <w:t xml:space="preserve">  本项目环境质量及达标情况一览表</w:t>
            </w:r>
          </w:p>
          <w:tbl>
            <w:tblPr>
              <w:tblStyle w:val="51"/>
              <w:tblW w:w="902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3711"/>
              <w:gridCol w:w="26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658" w:type="dxa"/>
                  <w:tcBorders>
                    <w:tl2br w:val="nil"/>
                    <w:tr2bl w:val="nil"/>
                  </w:tcBorders>
                  <w:vAlign w:val="center"/>
                </w:tcPr>
                <w:p>
                  <w:pPr>
                    <w:jc w:val="center"/>
                    <w:rPr>
                      <w:b/>
                      <w:color w:val="auto"/>
                      <w:szCs w:val="21"/>
                    </w:rPr>
                  </w:pPr>
                  <w:r>
                    <w:rPr>
                      <w:b/>
                      <w:color w:val="auto"/>
                      <w:szCs w:val="21"/>
                    </w:rPr>
                    <w:t>环境要素</w:t>
                  </w:r>
                </w:p>
              </w:tc>
              <w:tc>
                <w:tcPr>
                  <w:tcW w:w="3711" w:type="dxa"/>
                  <w:tcBorders>
                    <w:tl2br w:val="nil"/>
                    <w:tr2bl w:val="nil"/>
                  </w:tcBorders>
                  <w:vAlign w:val="center"/>
                </w:tcPr>
                <w:p>
                  <w:pPr>
                    <w:jc w:val="center"/>
                    <w:rPr>
                      <w:b/>
                      <w:color w:val="auto"/>
                      <w:szCs w:val="21"/>
                    </w:rPr>
                  </w:pPr>
                  <w:r>
                    <w:rPr>
                      <w:b/>
                      <w:color w:val="auto"/>
                      <w:szCs w:val="21"/>
                    </w:rPr>
                    <w:t>功能区划要求</w:t>
                  </w:r>
                </w:p>
              </w:tc>
              <w:tc>
                <w:tcPr>
                  <w:tcW w:w="2657" w:type="dxa"/>
                  <w:tcBorders>
                    <w:tl2br w:val="nil"/>
                    <w:tr2bl w:val="nil"/>
                  </w:tcBorders>
                  <w:vAlign w:val="center"/>
                </w:tcPr>
                <w:p>
                  <w:pPr>
                    <w:jc w:val="center"/>
                    <w:rPr>
                      <w:b/>
                      <w:color w:val="auto"/>
                      <w:szCs w:val="21"/>
                    </w:rPr>
                  </w:pPr>
                  <w:r>
                    <w:rPr>
                      <w:b/>
                      <w:color w:val="auto"/>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58" w:type="dxa"/>
                  <w:tcBorders>
                    <w:tl2br w:val="nil"/>
                    <w:tr2bl w:val="nil"/>
                  </w:tcBorders>
                  <w:vAlign w:val="center"/>
                </w:tcPr>
                <w:p>
                  <w:pPr>
                    <w:jc w:val="center"/>
                    <w:rPr>
                      <w:color w:val="auto"/>
                      <w:szCs w:val="21"/>
                    </w:rPr>
                  </w:pPr>
                  <w:r>
                    <w:rPr>
                      <w:rFonts w:hint="eastAsia"/>
                      <w:color w:val="auto"/>
                      <w:szCs w:val="21"/>
                    </w:rPr>
                    <w:t>环境</w:t>
                  </w:r>
                  <w:r>
                    <w:rPr>
                      <w:color w:val="auto"/>
                      <w:szCs w:val="21"/>
                    </w:rPr>
                    <w:t>空气</w:t>
                  </w:r>
                </w:p>
              </w:tc>
              <w:tc>
                <w:tcPr>
                  <w:tcW w:w="3711" w:type="dxa"/>
                  <w:tcBorders>
                    <w:tl2br w:val="nil"/>
                    <w:tr2bl w:val="nil"/>
                  </w:tcBorders>
                  <w:vAlign w:val="center"/>
                </w:tcPr>
                <w:p>
                  <w:pPr>
                    <w:jc w:val="center"/>
                    <w:rPr>
                      <w:color w:val="auto"/>
                      <w:szCs w:val="21"/>
                    </w:rPr>
                  </w:pPr>
                  <w:r>
                    <w:rPr>
                      <w:color w:val="auto"/>
                      <w:szCs w:val="21"/>
                    </w:rPr>
                    <w:t>二类</w:t>
                  </w:r>
                </w:p>
              </w:tc>
              <w:tc>
                <w:tcPr>
                  <w:tcW w:w="2657" w:type="dxa"/>
                  <w:tcBorders>
                    <w:tl2br w:val="nil"/>
                    <w:tr2bl w:val="nil"/>
                  </w:tcBorders>
                  <w:vAlign w:val="center"/>
                </w:tcPr>
                <w:p>
                  <w:pPr>
                    <w:jc w:val="center"/>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26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水环境</w:t>
                  </w:r>
                </w:p>
              </w:tc>
              <w:tc>
                <w:tcPr>
                  <w:tcW w:w="37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rFonts w:hint="eastAsia" w:ascii="华文宋体" w:hAnsi="华文宋体" w:eastAsia="华文宋体" w:cs="华文宋体"/>
                      <w:color w:val="auto"/>
                      <w:szCs w:val="21"/>
                    </w:rPr>
                    <w:t>Ⅲ</w:t>
                  </w:r>
                  <w:r>
                    <w:rPr>
                      <w:color w:val="auto"/>
                      <w:szCs w:val="21"/>
                    </w:rPr>
                    <w:t>类</w:t>
                  </w:r>
                </w:p>
              </w:tc>
              <w:tc>
                <w:tcPr>
                  <w:tcW w:w="26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658" w:type="dxa"/>
                  <w:tcBorders>
                    <w:tl2br w:val="nil"/>
                    <w:tr2bl w:val="nil"/>
                  </w:tcBorders>
                  <w:vAlign w:val="center"/>
                </w:tcPr>
                <w:p>
                  <w:pPr>
                    <w:jc w:val="center"/>
                    <w:rPr>
                      <w:color w:val="auto"/>
                      <w:szCs w:val="21"/>
                    </w:rPr>
                  </w:pPr>
                  <w:r>
                    <w:rPr>
                      <w:color w:val="auto"/>
                      <w:szCs w:val="21"/>
                    </w:rPr>
                    <w:t>声环境</w:t>
                  </w:r>
                </w:p>
              </w:tc>
              <w:tc>
                <w:tcPr>
                  <w:tcW w:w="3711" w:type="dxa"/>
                  <w:tcBorders>
                    <w:tl2br w:val="nil"/>
                    <w:tr2bl w:val="nil"/>
                  </w:tcBorders>
                  <w:vAlign w:val="center"/>
                </w:tcPr>
                <w:p>
                  <w:pPr>
                    <w:jc w:val="center"/>
                    <w:rPr>
                      <w:color w:val="auto"/>
                      <w:szCs w:val="21"/>
                    </w:rPr>
                  </w:pPr>
                  <w:r>
                    <w:rPr>
                      <w:color w:val="auto"/>
                      <w:szCs w:val="21"/>
                    </w:rPr>
                    <w:t>2类</w:t>
                  </w:r>
                </w:p>
              </w:tc>
              <w:tc>
                <w:tcPr>
                  <w:tcW w:w="2657" w:type="dxa"/>
                  <w:tcBorders>
                    <w:tl2br w:val="nil"/>
                    <w:tr2bl w:val="nil"/>
                  </w:tcBorders>
                  <w:vAlign w:val="center"/>
                </w:tcPr>
                <w:p>
                  <w:pPr>
                    <w:jc w:val="center"/>
                    <w:rPr>
                      <w:color w:val="auto"/>
                      <w:szCs w:val="21"/>
                    </w:rPr>
                  </w:pPr>
                  <w:r>
                    <w:rPr>
                      <w:color w:val="auto"/>
                      <w:szCs w:val="21"/>
                    </w:rPr>
                    <w:t>符合</w:t>
                  </w:r>
                </w:p>
              </w:tc>
            </w:tr>
          </w:tbl>
          <w:p>
            <w:pPr>
              <w:spacing w:line="360" w:lineRule="auto"/>
              <w:ind w:firstLine="480" w:firstLineChars="200"/>
              <w:rPr>
                <w:color w:val="auto"/>
                <w:sz w:val="24"/>
              </w:rPr>
            </w:pPr>
            <w:r>
              <w:rPr>
                <w:rFonts w:hint="eastAsia" w:ascii="Times New Roman" w:hAnsi="Times New Roman"/>
                <w:color w:val="auto"/>
                <w:sz w:val="24"/>
                <w:shd w:val="clear" w:color="auto" w:fill="FFFFFF"/>
              </w:rPr>
              <w:t>由上表比较可知，项目所在区域环境质量较好，具有一定的环境容量；本项目</w:t>
            </w:r>
            <w:r>
              <w:rPr>
                <w:rFonts w:hint="eastAsia" w:ascii="Times New Roman" w:hAnsi="Times New Roman"/>
                <w:color w:val="auto"/>
                <w:sz w:val="24"/>
                <w:shd w:val="clear" w:color="auto" w:fill="FFFFFF"/>
                <w:lang w:val="en-US" w:eastAsia="zh-CN"/>
              </w:rPr>
              <w:t>为生态修复项目，项目建成后</w:t>
            </w:r>
            <w:r>
              <w:rPr>
                <w:rFonts w:hint="eastAsia" w:ascii="Times New Roman" w:hAnsi="Times New Roman"/>
                <w:color w:val="auto"/>
                <w:sz w:val="24"/>
                <w:shd w:val="clear" w:color="auto" w:fill="FFFFFF"/>
              </w:rPr>
              <w:t>不会改变区域环境现状。</w:t>
            </w:r>
            <w:r>
              <w:rPr>
                <w:rFonts w:hint="eastAsia"/>
                <w:color w:val="auto"/>
                <w:sz w:val="24"/>
              </w:rPr>
              <w:t>因此，项目所在区域环境质量良好，未超出环境质量底线。</w:t>
            </w:r>
          </w:p>
          <w:p>
            <w:pPr>
              <w:spacing w:line="360" w:lineRule="auto"/>
              <w:ind w:left="420" w:leftChars="200"/>
              <w:rPr>
                <w:color w:val="auto"/>
                <w:sz w:val="24"/>
              </w:rPr>
            </w:pPr>
            <w:r>
              <w:rPr>
                <w:rFonts w:hint="eastAsia"/>
                <w:color w:val="auto"/>
                <w:sz w:val="24"/>
              </w:rPr>
              <w:t>（3）本项目与</w:t>
            </w:r>
            <w:r>
              <w:rPr>
                <w:rFonts w:hint="eastAsia" w:ascii="Times New Roman" w:hAnsi="Times New Roman" w:cs="Times New Roman"/>
                <w:color w:val="auto"/>
                <w:sz w:val="24"/>
              </w:rPr>
              <w:t>资源利用上线符合性分析</w:t>
            </w:r>
          </w:p>
          <w:p>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本项目营运过程中会消耗一定量的电源、水资源以及石子砂子资源，项目水电能源消耗量相对区域资源利用总量较少，本项目石子、砂子、石粉均是外地资源。运输至厂区，因此项目符合资源利用上线的要求。</w:t>
            </w:r>
          </w:p>
          <w:p>
            <w:pPr>
              <w:spacing w:line="360" w:lineRule="auto"/>
              <w:ind w:left="420" w:leftChars="200"/>
              <w:rPr>
                <w:color w:val="auto"/>
                <w:sz w:val="24"/>
              </w:rPr>
            </w:pPr>
            <w:r>
              <w:rPr>
                <w:rFonts w:hint="eastAsia"/>
                <w:color w:val="auto"/>
                <w:sz w:val="24"/>
              </w:rPr>
              <w:t xml:space="preserve">（4）本项目与环境准入负面清单符合性分析 </w:t>
            </w:r>
          </w:p>
          <w:p>
            <w:pPr>
              <w:spacing w:line="360" w:lineRule="auto"/>
              <w:ind w:firstLine="480" w:firstLineChars="200"/>
              <w:rPr>
                <w:color w:val="auto"/>
                <w:sz w:val="24"/>
              </w:rPr>
            </w:pPr>
            <w:r>
              <w:rPr>
                <w:rFonts w:hint="eastAsia"/>
                <w:color w:val="auto"/>
                <w:sz w:val="24"/>
              </w:rPr>
              <w:t>根据《产业结构调整指导目录（201</w:t>
            </w:r>
            <w:r>
              <w:rPr>
                <w:rFonts w:hint="eastAsia"/>
                <w:color w:val="auto"/>
                <w:sz w:val="24"/>
                <w:lang w:val="en-US" w:eastAsia="zh-CN"/>
              </w:rPr>
              <w:t>9</w:t>
            </w:r>
            <w:r>
              <w:rPr>
                <w:rFonts w:hint="eastAsia"/>
                <w:color w:val="auto"/>
                <w:sz w:val="24"/>
              </w:rPr>
              <w:t xml:space="preserve"> 年本）》，本项目属于</w:t>
            </w:r>
            <w:r>
              <w:rPr>
                <w:rFonts w:hint="eastAsia"/>
                <w:color w:val="auto"/>
                <w:sz w:val="24"/>
                <w:lang w:val="en-US" w:eastAsia="zh-CN"/>
              </w:rPr>
              <w:t>鼓励类第二条水利的第18条山洪地质灾害防治工程（山洪地质灾害防治区监测预报预警体系建设及山洪沟、泥石流沟和滑坡治理等），不属于环境准入负面清单范畴</w:t>
            </w:r>
            <w:r>
              <w:rPr>
                <w:rFonts w:hint="eastAsia"/>
                <w:color w:val="auto"/>
                <w:sz w:val="24"/>
              </w:rPr>
              <w:t>。</w:t>
            </w:r>
          </w:p>
          <w:p>
            <w:pPr>
              <w:spacing w:line="360" w:lineRule="auto"/>
              <w:ind w:firstLine="480" w:firstLineChars="200"/>
              <w:rPr>
                <w:rFonts w:hint="eastAsia"/>
                <w:color w:val="auto"/>
                <w:sz w:val="24"/>
              </w:rPr>
            </w:pPr>
            <w:r>
              <w:rPr>
                <w:rFonts w:hint="eastAsia"/>
                <w:color w:val="auto"/>
                <w:sz w:val="24"/>
              </w:rPr>
              <w:t>根据《四川省国家重点生态功能区产业准入负面清单(第一批)》，</w:t>
            </w:r>
            <w:r>
              <w:rPr>
                <w:rFonts w:hint="eastAsia"/>
                <w:color w:val="auto"/>
                <w:sz w:val="24"/>
                <w:lang w:val="en-US" w:eastAsia="zh-CN"/>
              </w:rPr>
              <w:t>松潘</w:t>
            </w:r>
            <w:r>
              <w:rPr>
                <w:rFonts w:hint="eastAsia"/>
                <w:color w:val="auto"/>
                <w:sz w:val="24"/>
              </w:rPr>
              <w:t>县地处川滇森林及生物多样性国家重点生态功能区。该清单涉及国民经济5门类13大类19中类36小类。其中禁止类涉及国民经济4门类5大类5中类5小类；限制类涉及国民经济5门类10大类15中类31小类。本项目不属于</w:t>
            </w:r>
            <w:r>
              <w:rPr>
                <w:rFonts w:hint="eastAsia"/>
                <w:color w:val="auto"/>
                <w:sz w:val="24"/>
                <w:lang w:val="en-US" w:eastAsia="zh-CN"/>
              </w:rPr>
              <w:t>松潘</w:t>
            </w:r>
            <w:r>
              <w:rPr>
                <w:rFonts w:hint="eastAsia"/>
                <w:color w:val="auto"/>
                <w:sz w:val="24"/>
              </w:rPr>
              <w:t>县产业准入负面清单的禁止类和限值类。对照《四川省国家重点生态功能区产业准入负面清单》，本项目未列入</w:t>
            </w:r>
            <w:r>
              <w:rPr>
                <w:rFonts w:hint="eastAsia"/>
                <w:color w:val="auto"/>
                <w:sz w:val="24"/>
                <w:lang w:val="en-US" w:eastAsia="zh-CN"/>
              </w:rPr>
              <w:t>松潘</w:t>
            </w:r>
            <w:r>
              <w:rPr>
                <w:rFonts w:hint="eastAsia"/>
                <w:color w:val="auto"/>
                <w:sz w:val="24"/>
              </w:rPr>
              <w:t>县产业准入负面清单。</w:t>
            </w:r>
          </w:p>
          <w:p>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cs="Times New Roman"/>
                <w:b w:val="0"/>
                <w:bCs w:val="0"/>
                <w:color w:val="auto"/>
                <w:sz w:val="24"/>
                <w:szCs w:val="21"/>
                <w:lang w:val="en-US" w:eastAsia="zh-CN"/>
              </w:rPr>
              <w:t>（5）与四川省、阿坝州“三线一单”最新成果符合性分析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Theme="minorEastAsia"/>
                <w:color w:val="auto"/>
                <w:sz w:val="24"/>
                <w:lang w:val="en-US" w:eastAsia="zh-CN"/>
              </w:rPr>
            </w:pPr>
            <w:r>
              <w:rPr>
                <w:rFonts w:hint="eastAsia"/>
                <w:color w:val="auto"/>
                <w:sz w:val="24"/>
                <w:lang w:val="en-US" w:eastAsia="zh-CN"/>
              </w:rPr>
              <w:t>根据四川省、阿坝州“三线一单”最新成果将生态保护红线、环境质量底线、资源利用上线硬约束落实到环境管控单元，根据区域生态环境特征，按照省、区域、市（州）、单元四级提出针对性的生态环境准入清单，对于持续优化区域发展与保护空间布局、筑牢长江上游生态屏障、推动环境质量改善和高质量发展具有重要意义。</w:t>
            </w:r>
          </w:p>
          <w:p>
            <w:pPr>
              <w:spacing w:line="360" w:lineRule="auto"/>
              <w:ind w:firstLine="480" w:firstLineChars="200"/>
              <w:rPr>
                <w:rFonts w:hint="eastAsia"/>
                <w:color w:val="auto"/>
                <w:sz w:val="24"/>
              </w:rPr>
            </w:pPr>
            <w:r>
              <w:rPr>
                <w:rFonts w:hint="eastAsia"/>
                <w:color w:val="auto"/>
                <w:sz w:val="24"/>
                <w:lang w:val="en-US" w:eastAsia="zh-CN"/>
              </w:rPr>
              <w:t>落实</w:t>
            </w:r>
            <w:r>
              <w:rPr>
                <w:rFonts w:hint="eastAsia"/>
                <w:color w:val="auto"/>
                <w:sz w:val="24"/>
              </w:rPr>
              <w:t>长江经济带“共抓大保护不搞大开发”、筑牢长江上游生态安全屏障、保护三峡库区水生态安全等战略要求，进一步完善生态环境准入清单，以岷、沱江流域为重点强化总磷、氨氮管控；以成都平原、川南经济区为重点强化大气污染物管控；加强土壤环境风险防控。</w:t>
            </w:r>
          </w:p>
          <w:p>
            <w:pPr>
              <w:spacing w:line="360" w:lineRule="auto"/>
              <w:ind w:firstLine="480" w:firstLineChars="200"/>
              <w:rPr>
                <w:rFonts w:hint="default" w:eastAsiaTheme="minorEastAsia"/>
                <w:color w:val="auto"/>
                <w:sz w:val="24"/>
                <w:lang w:val="en-US" w:eastAsia="zh-CN"/>
              </w:rPr>
            </w:pPr>
            <w:r>
              <w:rPr>
                <w:rFonts w:hint="eastAsia"/>
                <w:color w:val="auto"/>
                <w:sz w:val="24"/>
                <w:lang w:val="en-US" w:eastAsia="zh-CN"/>
              </w:rPr>
              <w:t>本项目为泥石流整治工程，属于环境保护类项目，保护岷沱江流域生态环境，不属于“三线一单”负面清单内容。</w:t>
            </w:r>
          </w:p>
          <w:p>
            <w:pPr>
              <w:spacing w:line="360" w:lineRule="auto"/>
              <w:ind w:firstLine="480" w:firstLineChars="200"/>
              <w:rPr>
                <w:rFonts w:ascii="Times New Roman" w:hAnsi="Times New Roman" w:cs="Times New Roman"/>
                <w:color w:val="auto"/>
                <w:sz w:val="24"/>
              </w:rPr>
            </w:pPr>
            <w:r>
              <w:rPr>
                <w:rFonts w:hint="eastAsia"/>
                <w:color w:val="auto"/>
                <w:sz w:val="24"/>
              </w:rPr>
              <w:t>综上，经过与“三线一单”进行对照后，项目不在生态保护红线内、未超出环境质量底线及资源利用上线、未列入环境准入负面清单内。</w:t>
            </w:r>
          </w:p>
          <w:p>
            <w:pPr>
              <w:widowControl/>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根据现场踏勘，项目周边仅有少量的散居农户，不涉及</w:t>
            </w:r>
            <w:r>
              <w:rPr>
                <w:rFonts w:hint="eastAsia" w:ascii="Times New Roman" w:hAnsi="Times New Roman" w:cs="Times New Roman"/>
                <w:color w:val="auto"/>
                <w:sz w:val="24"/>
                <w:lang w:val="en-US" w:eastAsia="zh-CN"/>
              </w:rPr>
              <w:t>自然保护区、风景名胜区</w:t>
            </w:r>
            <w:r>
              <w:rPr>
                <w:rFonts w:hint="eastAsia" w:ascii="Times New Roman" w:hAnsi="Times New Roman" w:cs="Times New Roman"/>
                <w:color w:val="auto"/>
                <w:sz w:val="24"/>
              </w:rPr>
              <w:t>等</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不涉及生态保护红线</w:t>
            </w:r>
            <w:r>
              <w:rPr>
                <w:rFonts w:hint="eastAsia" w:ascii="Times New Roman" w:hAnsi="Times New Roman" w:cs="Times New Roman"/>
                <w:color w:val="auto"/>
                <w:sz w:val="24"/>
              </w:rPr>
              <w:t>。根据</w:t>
            </w:r>
            <w:r>
              <w:rPr>
                <w:rFonts w:hint="eastAsia" w:ascii="Times New Roman" w:hAnsi="Times New Roman" w:eastAsia="宋体" w:cs="Times New Roman"/>
                <w:color w:val="auto"/>
                <w:sz w:val="24"/>
                <w:szCs w:val="21"/>
                <w:lang w:val="en-US" w:eastAsia="zh-CN"/>
              </w:rPr>
              <w:t>松潘县自然资源</w:t>
            </w:r>
            <w:r>
              <w:rPr>
                <w:rFonts w:hint="eastAsia" w:ascii="Times New Roman" w:hAnsi="Times New Roman" w:eastAsia="宋体" w:cs="Times New Roman"/>
                <w:color w:val="auto"/>
                <w:sz w:val="24"/>
                <w:szCs w:val="21"/>
                <w:lang w:eastAsia="zh-CN"/>
              </w:rPr>
              <w:t>局出具了</w:t>
            </w:r>
            <w:r>
              <w:rPr>
                <w:rFonts w:hint="eastAsia" w:ascii="Times New Roman" w:hAnsi="Times New Roman" w:eastAsia="宋体" w:cs="Times New Roman"/>
                <w:color w:val="auto"/>
                <w:sz w:val="24"/>
                <w:szCs w:val="21"/>
                <w:lang w:val="en-US" w:eastAsia="zh-CN"/>
              </w:rPr>
              <w:t>关于松潘县白羊乡茶园坪村璜环沟泥石流治理工程项目建设用地审查意见的函（松自然资源函[2020]28号）（</w:t>
            </w:r>
            <w:r>
              <w:rPr>
                <w:rFonts w:hint="eastAsia" w:ascii="Times New Roman" w:hAnsi="Times New Roman" w:eastAsia="宋体" w:cs="Times New Roman"/>
                <w:color w:val="auto"/>
                <w:sz w:val="24"/>
                <w:szCs w:val="21"/>
                <w:lang w:eastAsia="zh-CN"/>
              </w:rPr>
              <w:t>详见附件</w:t>
            </w:r>
            <w:r>
              <w:rPr>
                <w:rFonts w:hint="eastAsia" w:ascii="Times New Roman" w:hAnsi="Times New Roman" w:eastAsia="宋体" w:cs="Times New Roman"/>
                <w:color w:val="auto"/>
                <w:sz w:val="24"/>
                <w:szCs w:val="21"/>
                <w:lang w:val="en-US" w:eastAsia="zh-CN"/>
              </w:rPr>
              <w:t>3）</w:t>
            </w:r>
            <w:r>
              <w:rPr>
                <w:rFonts w:hint="eastAsia" w:ascii="Times New Roman" w:hAnsi="Times New Roman" w:eastAsia="宋体" w:cs="Times New Roman"/>
                <w:color w:val="auto"/>
                <w:sz w:val="24"/>
                <w:szCs w:val="21"/>
                <w:lang w:eastAsia="zh-CN"/>
              </w:rPr>
              <w:t>，</w:t>
            </w:r>
            <w:r>
              <w:rPr>
                <w:rFonts w:hint="eastAsia" w:ascii="Times New Roman" w:hAnsi="Times New Roman" w:cs="Times New Roman"/>
                <w:color w:val="auto"/>
                <w:sz w:val="24"/>
              </w:rPr>
              <w:t>明确本项目为生态修复项目，不涉及占用基本农田，不涉及农用地专用，不改变土地用途。因此项目选址合理。</w:t>
            </w:r>
          </w:p>
          <w:p>
            <w:pPr>
              <w:spacing w:line="360" w:lineRule="auto"/>
              <w:rPr>
                <w:rFonts w:hint="default" w:ascii="Times New Roman" w:hAnsi="Times New Roman" w:cs="Times New Roman" w:eastAsiaTheme="minorEastAsia"/>
                <w:b/>
                <w:color w:val="auto"/>
                <w:sz w:val="28"/>
                <w:szCs w:val="28"/>
                <w:lang w:val="en-US" w:eastAsia="zh-CN"/>
              </w:rPr>
            </w:pPr>
            <w:r>
              <w:rPr>
                <w:rFonts w:hint="eastAsia" w:ascii="Times New Roman" w:hAnsi="Times New Roman" w:cs="Times New Roman"/>
                <w:b/>
                <w:color w:val="auto"/>
                <w:sz w:val="28"/>
                <w:szCs w:val="28"/>
              </w:rPr>
              <w:t>五、</w:t>
            </w:r>
            <w:r>
              <w:rPr>
                <w:rFonts w:hint="eastAsia" w:ascii="Times New Roman" w:hAnsi="Times New Roman" w:cs="Times New Roman"/>
                <w:b/>
                <w:color w:val="auto"/>
                <w:sz w:val="28"/>
                <w:szCs w:val="28"/>
                <w:lang w:eastAsia="zh-CN"/>
              </w:rPr>
              <w:t>项目</w:t>
            </w:r>
            <w:r>
              <w:rPr>
                <w:rFonts w:hint="eastAsia" w:ascii="Times New Roman" w:hAnsi="Times New Roman" w:cs="Times New Roman"/>
                <w:b/>
                <w:color w:val="auto"/>
                <w:sz w:val="28"/>
                <w:szCs w:val="28"/>
                <w:lang w:val="en-US" w:eastAsia="zh-CN"/>
              </w:rPr>
              <w:t>现状及存在的问题</w:t>
            </w:r>
          </w:p>
          <w:p>
            <w:pPr>
              <w:spacing w:line="360" w:lineRule="auto"/>
              <w:ind w:firstLine="480" w:firstLineChars="200"/>
              <w:jc w:val="left"/>
              <w:rPr>
                <w:rFonts w:hint="eastAsia" w:hAnsi="宋体"/>
                <w:color w:val="auto"/>
                <w:sz w:val="24"/>
              </w:rPr>
            </w:pPr>
            <w:r>
              <w:rPr>
                <w:rFonts w:hint="eastAsia" w:ascii="宋体" w:hAnsi="宋体"/>
                <w:color w:val="auto"/>
                <w:sz w:val="24"/>
              </w:rPr>
              <w:t>璜环沟泥石流位于阿坝州松潘县白羊乡茶园坪村，中心地理位置坐标为：东经104°08′3″，北纬32°09′45″，位于茶园坪村居民安置点后山，与白羊乡政府隔河相望，距白羊乡政府约1.6km，距松潘县城（进安镇）289km，距绵阳市约140km，距省会成都约230.5km。线路中道路多为高速公路及高等级公路，部分路段为乡村公路，交通较便利</w:t>
            </w:r>
            <w:r>
              <w:rPr>
                <w:rFonts w:hint="eastAsia" w:hAnsi="宋体"/>
                <w:color w:val="auto"/>
                <w:sz w:val="24"/>
              </w:rPr>
              <w:t>。</w:t>
            </w:r>
          </w:p>
          <w:p>
            <w:pPr>
              <w:spacing w:line="360" w:lineRule="auto"/>
              <w:ind w:firstLine="480" w:firstLineChars="200"/>
              <w:jc w:val="left"/>
              <w:rPr>
                <w:rFonts w:hint="eastAsia" w:ascii="宋体" w:hAnsi="宋体"/>
                <w:color w:val="auto"/>
                <w:sz w:val="24"/>
              </w:rPr>
            </w:pPr>
            <w:r>
              <w:rPr>
                <w:rFonts w:hint="eastAsia" w:ascii="宋体" w:hAnsi="宋体"/>
                <w:color w:val="auto"/>
                <w:sz w:val="24"/>
              </w:rPr>
              <w:t>璜环沟沟域形态呈“漏斗”形。后缘至山体分水岭，前缘沟口与白草河交汇，两侧至山脊，流域汇水面积约0.2km</w:t>
            </w:r>
            <w:r>
              <w:rPr>
                <w:rFonts w:hint="eastAsia" w:ascii="宋体" w:hAnsi="宋体"/>
                <w:color w:val="auto"/>
                <w:sz w:val="24"/>
                <w:vertAlign w:val="superscript"/>
              </w:rPr>
              <w:t>2</w:t>
            </w:r>
            <w:r>
              <w:rPr>
                <w:rFonts w:hint="eastAsia" w:ascii="宋体" w:hAnsi="宋体"/>
                <w:color w:val="auto"/>
                <w:sz w:val="24"/>
              </w:rPr>
              <w:t>，沟域最高点高程1360</w:t>
            </w:r>
            <w:r>
              <w:rPr>
                <w:rFonts w:ascii="宋体" w:hAnsi="宋体"/>
                <w:color w:val="auto"/>
                <w:sz w:val="24"/>
              </w:rPr>
              <w:t>m</w:t>
            </w:r>
            <w:r>
              <w:rPr>
                <w:rFonts w:hint="eastAsia" w:ascii="宋体" w:hAnsi="宋体"/>
                <w:color w:val="auto"/>
                <w:sz w:val="24"/>
              </w:rPr>
              <w:t>，最低点位于沟口与白草河交汇处，高程1070</w:t>
            </w:r>
            <w:r>
              <w:rPr>
                <w:rFonts w:ascii="宋体" w:hAnsi="宋体"/>
                <w:color w:val="auto"/>
                <w:sz w:val="24"/>
              </w:rPr>
              <w:t>m</w:t>
            </w:r>
            <w:r>
              <w:rPr>
                <w:rFonts w:hint="eastAsia" w:ascii="宋体" w:hAnsi="宋体"/>
                <w:color w:val="auto"/>
                <w:sz w:val="24"/>
              </w:rPr>
              <w:t>，相对高差290</w:t>
            </w:r>
            <w:r>
              <w:rPr>
                <w:rFonts w:ascii="宋体" w:hAnsi="宋体"/>
                <w:color w:val="auto"/>
                <w:sz w:val="24"/>
              </w:rPr>
              <w:t>m。</w:t>
            </w:r>
            <w:r>
              <w:rPr>
                <w:rFonts w:hint="eastAsia" w:ascii="宋体" w:hAnsi="宋体"/>
                <w:color w:val="auto"/>
                <w:sz w:val="24"/>
              </w:rPr>
              <w:t>发育1条坡面主沟，沟道长度约0.65km；沟道上下缓，中部陡，整体坡降448.2‰。</w:t>
            </w:r>
          </w:p>
          <w:p>
            <w:pPr>
              <w:spacing w:line="360" w:lineRule="auto"/>
              <w:ind w:firstLine="480" w:firstLineChars="200"/>
              <w:jc w:val="left"/>
              <w:rPr>
                <w:rFonts w:hint="eastAsia" w:ascii="宋体" w:hAnsi="宋体"/>
                <w:color w:val="auto"/>
                <w:sz w:val="24"/>
              </w:rPr>
            </w:pPr>
            <w:r>
              <w:rPr>
                <w:rFonts w:hint="eastAsia"/>
                <w:color w:val="auto"/>
                <w:sz w:val="24"/>
              </w:rPr>
              <w:t>璜环沟泥石流的松散固体物源主要</w:t>
            </w:r>
            <w:r>
              <w:rPr>
                <w:rFonts w:hint="eastAsia" w:ascii="宋体" w:hAnsi="宋体"/>
                <w:color w:val="auto"/>
                <w:sz w:val="24"/>
              </w:rPr>
              <w:t>分布于坡面、主沟处附近，主要有三类物源：崩滑堆积物源、沟床堆积物源及坡面侵蚀物源，物源总量为1.04×</w:t>
            </w:r>
            <w:r>
              <w:rPr>
                <w:rFonts w:ascii="宋体" w:hAnsi="宋体"/>
                <w:color w:val="auto"/>
                <w:sz w:val="24"/>
              </w:rPr>
              <w:t>10</w:t>
            </w:r>
            <w:r>
              <w:rPr>
                <w:rFonts w:ascii="宋体" w:hAnsi="宋体"/>
                <w:color w:val="auto"/>
                <w:sz w:val="24"/>
                <w:vertAlign w:val="superscript"/>
              </w:rPr>
              <w:t>4</w:t>
            </w:r>
            <w:r>
              <w:rPr>
                <w:rFonts w:ascii="宋体" w:hAnsi="宋体"/>
                <w:color w:val="auto"/>
                <w:sz w:val="24"/>
              </w:rPr>
              <w:t>m</w:t>
            </w:r>
            <w:r>
              <w:rPr>
                <w:rFonts w:ascii="宋体" w:hAnsi="宋体"/>
                <w:color w:val="auto"/>
                <w:sz w:val="24"/>
                <w:vertAlign w:val="superscript"/>
              </w:rPr>
              <w:t>3</w:t>
            </w:r>
            <w:r>
              <w:rPr>
                <w:rFonts w:hint="eastAsia" w:ascii="宋体" w:hAnsi="宋体"/>
                <w:color w:val="auto"/>
                <w:sz w:val="24"/>
              </w:rPr>
              <w:t>，其中可参与泥石流活动的动储量为0.212×</w:t>
            </w:r>
            <w:r>
              <w:rPr>
                <w:rFonts w:ascii="宋体" w:hAnsi="宋体"/>
                <w:color w:val="auto"/>
                <w:sz w:val="24"/>
              </w:rPr>
              <w:t>10</w:t>
            </w:r>
            <w:r>
              <w:rPr>
                <w:rFonts w:ascii="宋体" w:hAnsi="宋体"/>
                <w:color w:val="auto"/>
                <w:sz w:val="24"/>
                <w:vertAlign w:val="superscript"/>
              </w:rPr>
              <w:t>4</w:t>
            </w:r>
            <w:r>
              <w:rPr>
                <w:rFonts w:ascii="宋体" w:hAnsi="宋体"/>
                <w:color w:val="auto"/>
                <w:sz w:val="24"/>
              </w:rPr>
              <w:t>m</w:t>
            </w:r>
            <w:r>
              <w:rPr>
                <w:rFonts w:ascii="宋体" w:hAnsi="宋体"/>
                <w:color w:val="auto"/>
                <w:sz w:val="24"/>
                <w:vertAlign w:val="superscript"/>
              </w:rPr>
              <w:t>3</w:t>
            </w:r>
            <w:r>
              <w:rPr>
                <w:rFonts w:hint="eastAsia" w:ascii="宋体" w:hAnsi="宋体"/>
                <w:color w:val="auto"/>
                <w:sz w:val="24"/>
              </w:rPr>
              <w:t>。</w:t>
            </w:r>
          </w:p>
          <w:p>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璜环沟泥石流威胁对象主要为沟道中游左岸</w:t>
            </w:r>
            <w:r>
              <w:rPr>
                <w:rFonts w:ascii="宋体" w:hAnsi="宋体" w:cs="宋体"/>
                <w:color w:val="auto"/>
                <w:sz w:val="24"/>
              </w:rPr>
              <w:t>2</w:t>
            </w:r>
            <w:r>
              <w:rPr>
                <w:rFonts w:hint="eastAsia" w:ascii="宋体" w:hAnsi="宋体" w:cs="宋体"/>
                <w:color w:val="auto"/>
                <w:sz w:val="24"/>
              </w:rPr>
              <w:t>户百姓房屋、</w:t>
            </w:r>
            <w:r>
              <w:rPr>
                <w:rFonts w:ascii="宋体" w:hAnsi="宋体" w:cs="宋体"/>
                <w:color w:val="auto"/>
                <w:sz w:val="24"/>
              </w:rPr>
              <w:t>40</w:t>
            </w:r>
            <w:r>
              <w:rPr>
                <w:rFonts w:hint="eastAsia" w:ascii="宋体" w:hAnsi="宋体" w:cs="宋体"/>
                <w:color w:val="auto"/>
                <w:sz w:val="24"/>
              </w:rPr>
              <w:t>余亩耕地、</w:t>
            </w:r>
            <w:r>
              <w:rPr>
                <w:rFonts w:ascii="宋体" w:hAnsi="宋体" w:cs="宋体"/>
                <w:color w:val="auto"/>
                <w:sz w:val="24"/>
              </w:rPr>
              <w:t>30</w:t>
            </w:r>
            <w:r>
              <w:rPr>
                <w:rFonts w:hint="eastAsia" w:ascii="宋体" w:hAnsi="宋体" w:cs="宋体"/>
                <w:color w:val="auto"/>
                <w:sz w:val="24"/>
              </w:rPr>
              <w:t>余亩林地及沟口茶园坪村和白羊乡的交通要道，威胁资产约300万元，根据调查防治工程拟投资超200万。根据受灾对象、威胁程度及防治工程投资，按《泥石流灾害防治工程设计规范》（DT/T0239－2004）规定，防治工程安全等级应定为三级。根据规范，并结合泥石流特征值分析，防治工程主体工程设计标准按20年一遇的降雨强度设计。根据《四川省中小流域暴雨洪水计算手册》和勘查报告的计算结果，璜环沟按P=5%计算求得的1小时设计雨强为29.75mm。一次泥石流过流总量为1008m</w:t>
            </w:r>
            <w:r>
              <w:rPr>
                <w:rFonts w:hint="eastAsia" w:ascii="宋体" w:hAnsi="宋体" w:cs="宋体"/>
                <w:color w:val="auto"/>
                <w:sz w:val="24"/>
                <w:vertAlign w:val="superscript"/>
              </w:rPr>
              <w:t>3</w:t>
            </w:r>
            <w:r>
              <w:rPr>
                <w:rFonts w:hint="eastAsia" w:ascii="宋体" w:hAnsi="宋体" w:cs="宋体"/>
                <w:color w:val="auto"/>
                <w:sz w:val="24"/>
              </w:rPr>
              <w:t>，泥石流一次固体物质冲出量为400m</w:t>
            </w:r>
            <w:r>
              <w:rPr>
                <w:rFonts w:hint="eastAsia" w:ascii="宋体" w:hAnsi="宋体" w:cs="宋体"/>
                <w:color w:val="auto"/>
                <w:sz w:val="24"/>
                <w:vertAlign w:val="superscript"/>
              </w:rPr>
              <w:t>3</w:t>
            </w:r>
            <w:r>
              <w:rPr>
                <w:rFonts w:hint="eastAsia" w:ascii="宋体" w:hAnsi="宋体" w:cs="宋体"/>
                <w:color w:val="auto"/>
                <w:sz w:val="24"/>
              </w:rPr>
              <w:t>。</w:t>
            </w:r>
          </w:p>
          <w:p>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根据璜环沟泥石流调查情况，中上游基岩埋深较浅，下游堆积层较厚。拦固工程处坝肩基岩主要为中～强风化的</w:t>
            </w:r>
            <w:r>
              <w:rPr>
                <w:rFonts w:ascii="宋体" w:hAnsi="宋体" w:cs="宋体"/>
                <w:color w:val="auto"/>
                <w:sz w:val="24"/>
              </w:rPr>
              <w:t>千枚岩、板岩夹灰岩</w:t>
            </w:r>
            <w:r>
              <w:rPr>
                <w:rFonts w:hint="eastAsia" w:ascii="宋体" w:hAnsi="宋体" w:cs="宋体"/>
                <w:color w:val="auto"/>
                <w:sz w:val="24"/>
              </w:rPr>
              <w:t>，类比邻近地区勘查资料，强风化，容重23.4</w:t>
            </w:r>
            <w:r>
              <w:rPr>
                <w:rFonts w:ascii="宋体" w:hAnsi="宋体" w:cs="宋体"/>
                <w:color w:val="auto"/>
                <w:sz w:val="24"/>
              </w:rPr>
              <w:t xml:space="preserve"> KN/m</w:t>
            </w:r>
            <w:r>
              <w:rPr>
                <w:rFonts w:ascii="宋体" w:hAnsi="宋体" w:cs="宋体"/>
                <w:color w:val="auto"/>
                <w:sz w:val="24"/>
                <w:vertAlign w:val="superscript"/>
              </w:rPr>
              <w:t>3</w:t>
            </w:r>
            <w:r>
              <w:rPr>
                <w:rFonts w:hint="eastAsia" w:ascii="宋体" w:hAnsi="宋体" w:cs="宋体"/>
                <w:color w:val="auto"/>
                <w:sz w:val="24"/>
              </w:rPr>
              <w:t>，抗压强度（干）30MPa，抗压强度（湿）15MPa，弹性模量10.5Gpa；中风化，容重25.5</w:t>
            </w:r>
            <w:r>
              <w:rPr>
                <w:rFonts w:ascii="宋体" w:hAnsi="宋体" w:cs="宋体"/>
                <w:color w:val="auto"/>
                <w:sz w:val="24"/>
              </w:rPr>
              <w:t>KN/m</w:t>
            </w:r>
            <w:r>
              <w:rPr>
                <w:rFonts w:ascii="宋体" w:hAnsi="宋体" w:cs="宋体"/>
                <w:color w:val="auto"/>
                <w:sz w:val="24"/>
                <w:vertAlign w:val="superscript"/>
              </w:rPr>
              <w:t>3</w:t>
            </w:r>
            <w:r>
              <w:rPr>
                <w:rFonts w:hint="eastAsia" w:ascii="宋体" w:hAnsi="宋体" w:cs="宋体"/>
                <w:color w:val="auto"/>
                <w:sz w:val="24"/>
              </w:rPr>
              <w:t>，抗压强度（干）45MPa，抗压强度（湿）30MPa，弹性模量35Gpa。</w:t>
            </w:r>
          </w:p>
          <w:p>
            <w:pPr>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防护堤地基土以残坡积碎石土为主，根据类比相似地区工程地质参数，确定其主要物理力学参数为：稍密碎石土，容重21</w:t>
            </w:r>
            <w:r>
              <w:rPr>
                <w:rFonts w:ascii="宋体" w:hAnsi="宋体" w:cs="宋体"/>
                <w:color w:val="auto"/>
                <w:sz w:val="24"/>
              </w:rPr>
              <w:t>KN/m</w:t>
            </w:r>
            <w:r>
              <w:rPr>
                <w:rFonts w:ascii="宋体" w:hAnsi="宋体" w:cs="宋体"/>
                <w:color w:val="auto"/>
                <w:sz w:val="24"/>
                <w:vertAlign w:val="superscript"/>
              </w:rPr>
              <w:t>3</w:t>
            </w:r>
            <w:r>
              <w:rPr>
                <w:rFonts w:hint="eastAsia" w:ascii="宋体" w:hAnsi="宋体" w:cs="宋体"/>
                <w:color w:val="auto"/>
                <w:sz w:val="24"/>
              </w:rPr>
              <w:t>，内摩擦角为35°，内聚力为5kPa，地基承载力200</w:t>
            </w:r>
            <w:r>
              <w:rPr>
                <w:rFonts w:ascii="宋体" w:hAnsi="宋体" w:cs="宋体"/>
                <w:color w:val="auto"/>
                <w:sz w:val="24"/>
              </w:rPr>
              <w:t xml:space="preserve"> Kpa</w:t>
            </w:r>
            <w:r>
              <w:rPr>
                <w:rFonts w:hint="eastAsia" w:ascii="宋体" w:hAnsi="宋体" w:cs="宋体"/>
                <w:color w:val="auto"/>
                <w:sz w:val="24"/>
              </w:rPr>
              <w:t>，基底摩擦系数为0.3；中密层碎石土，容重22</w:t>
            </w:r>
            <w:r>
              <w:rPr>
                <w:rFonts w:ascii="宋体" w:hAnsi="宋体" w:cs="宋体"/>
                <w:color w:val="auto"/>
                <w:sz w:val="24"/>
              </w:rPr>
              <w:t>KN/m</w:t>
            </w:r>
            <w:r>
              <w:rPr>
                <w:rFonts w:ascii="宋体" w:hAnsi="宋体" w:cs="宋体"/>
                <w:color w:val="auto"/>
                <w:sz w:val="24"/>
                <w:vertAlign w:val="superscript"/>
              </w:rPr>
              <w:t>3</w:t>
            </w:r>
            <w:r>
              <w:rPr>
                <w:rFonts w:hint="eastAsia" w:ascii="宋体" w:hAnsi="宋体" w:cs="宋体"/>
                <w:color w:val="auto"/>
                <w:sz w:val="24"/>
              </w:rPr>
              <w:t>，内摩擦角为40°，内聚力为3kPa，地基承载力300</w:t>
            </w:r>
            <w:r>
              <w:rPr>
                <w:rFonts w:ascii="宋体" w:hAnsi="宋体" w:cs="宋体"/>
                <w:color w:val="auto"/>
                <w:sz w:val="24"/>
              </w:rPr>
              <w:t xml:space="preserve"> Kpa</w:t>
            </w:r>
            <w:r>
              <w:rPr>
                <w:rFonts w:hint="eastAsia" w:ascii="宋体" w:hAnsi="宋体" w:cs="宋体"/>
                <w:color w:val="auto"/>
                <w:sz w:val="24"/>
              </w:rPr>
              <w:t>，基底摩擦系数为0.4。</w:t>
            </w:r>
          </w:p>
          <w:p>
            <w:pPr>
              <w:spacing w:line="360" w:lineRule="auto"/>
              <w:ind w:firstLine="480" w:firstLineChars="200"/>
              <w:jc w:val="left"/>
              <w:rPr>
                <w:rFonts w:hint="eastAsia" w:ascii="宋体" w:hAnsi="宋体"/>
                <w:color w:val="auto"/>
                <w:sz w:val="24"/>
                <w:lang w:eastAsia="zh-CN"/>
              </w:rPr>
            </w:pPr>
            <w:r>
              <w:rPr>
                <w:rFonts w:hint="eastAsia"/>
                <w:color w:val="auto"/>
                <w:sz w:val="24"/>
              </w:rPr>
              <w:t>由于该泥石流沟沟口村道外侧为近10m的陡坎，陡坎下部为乡道，乡道外侧为白草河电站库区，特殊的地形限制了泥石流的排导</w:t>
            </w:r>
            <w:r>
              <w:rPr>
                <w:rFonts w:hint="eastAsia" w:ascii="宋体" w:hAnsi="宋体"/>
                <w:color w:val="auto"/>
                <w:sz w:val="24"/>
                <w:lang w:eastAsia="zh-CN"/>
              </w:rPr>
              <w:t>。</w:t>
            </w:r>
          </w:p>
          <w:p>
            <w:pPr>
              <w:pStyle w:val="62"/>
              <w:jc w:val="center"/>
              <w:rPr>
                <w:rFonts w:hint="eastAsia" w:ascii="宋体" w:hAnsi="宋体"/>
                <w:color w:val="auto"/>
                <w:sz w:val="24"/>
                <w:lang w:val="en-US" w:eastAsia="zh-CN"/>
              </w:rPr>
            </w:pPr>
            <w:r>
              <w:rPr>
                <w:rFonts w:hint="eastAsia" w:ascii="宋体" w:hAnsi="宋体"/>
                <w:color w:val="auto"/>
                <w:sz w:val="24"/>
                <w:lang w:val="en-US" w:eastAsia="zh-CN"/>
              </w:rPr>
              <w:drawing>
                <wp:inline distT="0" distB="0" distL="114300" distR="114300">
                  <wp:extent cx="5735320" cy="4301490"/>
                  <wp:effectExtent l="0" t="0" r="17780" b="3810"/>
                  <wp:docPr id="45" name="图片 45" descr="IMG_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310"/>
                          <pic:cNvPicPr>
                            <a:picLocks noChangeAspect="1"/>
                          </pic:cNvPicPr>
                        </pic:nvPicPr>
                        <pic:blipFill>
                          <a:blip r:embed="rId7"/>
                          <a:stretch>
                            <a:fillRect/>
                          </a:stretch>
                        </pic:blipFill>
                        <pic:spPr>
                          <a:xfrm>
                            <a:off x="0" y="0"/>
                            <a:ext cx="5735320" cy="4301490"/>
                          </a:xfrm>
                          <a:prstGeom prst="rect">
                            <a:avLst/>
                          </a:prstGeom>
                        </pic:spPr>
                      </pic:pic>
                    </a:graphicData>
                  </a:graphic>
                </wp:inline>
              </w:drawing>
            </w:r>
          </w:p>
          <w:p>
            <w:pPr>
              <w:pStyle w:val="62"/>
              <w:jc w:val="center"/>
              <w:rPr>
                <w:rFonts w:hint="default"/>
                <w:b/>
                <w:bCs/>
                <w:color w:val="auto"/>
                <w:lang w:val="en-US" w:eastAsia="zh-CN"/>
              </w:rPr>
            </w:pPr>
            <w:r>
              <w:rPr>
                <w:rFonts w:hint="eastAsia" w:ascii="宋体" w:hAnsi="宋体"/>
                <w:b/>
                <w:bCs/>
                <w:color w:val="auto"/>
                <w:sz w:val="24"/>
                <w:lang w:val="en-US" w:eastAsia="zh-CN"/>
              </w:rPr>
              <w:t>图1-1  项目现状图片</w:t>
            </w:r>
          </w:p>
          <w:p>
            <w:pPr>
              <w:spacing w:line="360" w:lineRule="auto"/>
              <w:ind w:firstLine="560" w:firstLineChars="200"/>
              <w:jc w:val="left"/>
              <w:rPr>
                <w:rFonts w:hint="default" w:ascii="Times New Roman" w:hAnsi="Times New Roman" w:cs="Times New Roman"/>
                <w:b/>
                <w:bCs/>
                <w:snapToGrid w:val="0"/>
                <w:color w:val="auto"/>
                <w:kern w:val="0"/>
                <w:sz w:val="28"/>
                <w:szCs w:val="28"/>
                <w:lang w:val="en-US" w:eastAsia="zh-CN"/>
              </w:rPr>
            </w:pPr>
            <w:r>
              <w:rPr>
                <w:rFonts w:hint="eastAsia" w:ascii="Times New Roman" w:hAnsi="Times New Roman" w:cs="Times New Roman"/>
                <w:b/>
                <w:bCs/>
                <w:snapToGrid w:val="0"/>
                <w:color w:val="auto"/>
                <w:kern w:val="0"/>
                <w:sz w:val="28"/>
                <w:szCs w:val="28"/>
                <w:lang w:val="en-US" w:eastAsia="zh-CN"/>
              </w:rPr>
              <w:t>六、项目概况</w:t>
            </w:r>
          </w:p>
          <w:p>
            <w:pPr>
              <w:spacing w:line="360" w:lineRule="auto"/>
              <w:ind w:firstLine="480" w:firstLineChars="200"/>
              <w:jc w:val="left"/>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（一）项目名称、地点、建设单位及性质</w:t>
            </w:r>
          </w:p>
          <w:p>
            <w:pPr>
              <w:spacing w:line="360" w:lineRule="auto"/>
              <w:ind w:firstLine="480" w:firstLineChars="200"/>
              <w:jc w:val="left"/>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项目名称：</w:t>
            </w:r>
            <w:r>
              <w:rPr>
                <w:rFonts w:hint="eastAsia" w:ascii="Times New Roman" w:hAnsi="Times New Roman" w:cs="Times New Roman"/>
                <w:color w:val="auto"/>
                <w:sz w:val="24"/>
                <w:lang w:eastAsia="zh-CN"/>
              </w:rPr>
              <w:t>松潘县白羊乡茶园坪村璜环沟泥石流治理工程</w:t>
            </w:r>
          </w:p>
          <w:p>
            <w:pPr>
              <w:spacing w:line="360" w:lineRule="auto"/>
              <w:ind w:firstLine="480" w:firstLineChars="200"/>
              <w:jc w:val="left"/>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建设地点：</w:t>
            </w:r>
            <w:r>
              <w:rPr>
                <w:rFonts w:hint="eastAsia" w:ascii="Times New Roman" w:hAnsi="Times New Roman" w:cs="Times New Roman"/>
                <w:color w:val="auto"/>
                <w:sz w:val="24"/>
                <w:lang w:eastAsia="zh-CN"/>
              </w:rPr>
              <w:t>松潘县白羊乡茶园坪村璜环沟</w:t>
            </w:r>
          </w:p>
          <w:p>
            <w:pPr>
              <w:spacing w:line="360" w:lineRule="auto"/>
              <w:ind w:firstLine="480" w:firstLineChars="200"/>
              <w:jc w:val="left"/>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建设单位：松潘县自然资源局</w:t>
            </w:r>
          </w:p>
          <w:p>
            <w:pPr>
              <w:spacing w:line="360" w:lineRule="auto"/>
              <w:ind w:firstLine="480" w:firstLineChars="200"/>
              <w:jc w:val="left"/>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建设性质：新建</w:t>
            </w:r>
          </w:p>
          <w:p>
            <w:pPr>
              <w:spacing w:line="360" w:lineRule="auto"/>
              <w:ind w:firstLine="480" w:firstLineChars="200"/>
              <w:jc w:val="left"/>
              <w:rPr>
                <w:rFonts w:hint="default"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eastAsia="zh-CN"/>
              </w:rPr>
              <w:t>项目投资：</w:t>
            </w:r>
            <w:r>
              <w:rPr>
                <w:rFonts w:hint="eastAsia" w:ascii="Times New Roman" w:hAnsi="Times New Roman" w:cs="Times New Roman"/>
                <w:snapToGrid w:val="0"/>
                <w:color w:val="auto"/>
                <w:kern w:val="0"/>
                <w:sz w:val="24"/>
                <w:lang w:val="en-US" w:eastAsia="zh-CN"/>
              </w:rPr>
              <w:t>95.82万元</w:t>
            </w:r>
          </w:p>
          <w:p>
            <w:pPr>
              <w:spacing w:line="360" w:lineRule="auto"/>
              <w:ind w:firstLine="480" w:firstLineChars="200"/>
              <w:jc w:val="left"/>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资金来源：中省专项资金</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eastAsia="zh-CN"/>
              </w:rPr>
              <w:t>建设内容及规模：项目新建</w:t>
            </w:r>
            <w:r>
              <w:rPr>
                <w:rFonts w:hint="eastAsia" w:ascii="Times New Roman" w:hAnsi="Times New Roman" w:cs="Times New Roman"/>
                <w:snapToGrid w:val="0"/>
                <w:color w:val="auto"/>
                <w:kern w:val="0"/>
                <w:sz w:val="24"/>
                <w:lang w:val="en-US" w:eastAsia="zh-CN"/>
              </w:rPr>
              <w:t>1座拦挡坝及防护提27米。</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本项目工程量表见下表。</w:t>
            </w:r>
          </w:p>
          <w:p>
            <w:pPr>
              <w:jc w:val="center"/>
              <w:rPr>
                <w:rFonts w:hint="eastAsia"/>
                <w:b/>
                <w:bCs/>
                <w:color w:val="auto"/>
                <w:szCs w:val="21"/>
                <w:lang w:val="en-US" w:eastAsia="zh-CN"/>
              </w:rPr>
            </w:pPr>
            <w:r>
              <w:rPr>
                <w:rFonts w:hint="eastAsia"/>
                <w:b/>
                <w:bCs/>
                <w:color w:val="auto"/>
                <w:szCs w:val="21"/>
                <w:lang w:val="en-US" w:eastAsia="zh-CN"/>
              </w:rPr>
              <w:t>表1-4  本项目工作量汇总表</w:t>
            </w:r>
          </w:p>
          <w:tbl>
            <w:tblPr>
              <w:tblStyle w:val="51"/>
              <w:tblW w:w="813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632"/>
              <w:gridCol w:w="3825"/>
              <w:gridCol w:w="1021"/>
              <w:gridCol w:w="16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0"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序号</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工程或费用名称</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单位</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数量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8136" w:type="dxa"/>
                  <w:gridSpan w:val="4"/>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b/>
                      <w:bCs/>
                      <w:i w:val="0"/>
                      <w:color w:val="auto"/>
                      <w:kern w:val="0"/>
                      <w:sz w:val="21"/>
                      <w:szCs w:val="21"/>
                      <w:u w:val="none"/>
                      <w:lang w:val="en-US" w:eastAsia="zh-CN" w:bidi="ar"/>
                    </w:rPr>
                    <w:t>第一部分 主体建筑工程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防护堤工程</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1.1</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人工土方开挖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124.85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1.2</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人工石方开挖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31.21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1.3</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土石方回填</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61.02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1.4</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土石方外运（5km）</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95.04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1.5</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C20混凝土</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118.80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1.6</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模板制安</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2</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230.20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1.7</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反滤层</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0.49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1.8</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泄水孔</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27.00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1.9</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粘土夯填</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9.45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1.10</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伸缩缝</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2</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4.40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涵洞工程</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2.1</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51.20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2.2</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石方开挖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76.80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2.3</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土石方回填</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32.48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2.4</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土石方外运</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95.52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2.5</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C30砼</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50.80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2.6</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钢筋制安</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t</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1.89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2.7</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C25砼路面修复</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29.68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2.8</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模板制安</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2</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73.60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2.9</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混凝土破碎</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26.45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导流墙工程</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3.1</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12.67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3.2</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石方开挖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29.57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3.3</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土石方回填</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19.68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3.4</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土石方外运</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22.56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3.5</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C20混凝土</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24.00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3.6</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模板制安</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2</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71.60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3.7</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伸缩缝</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2</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4</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清淤工程</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Theme="minorEastAsia" w:hAnsiTheme="minorEastAsia" w:eastAsiaTheme="minorEastAsia" w:cstheme="minorEastAsia"/>
                      <w:i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4.1</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327.02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4.2</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石方开挖</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490.52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8" w:hRule="atLeast"/>
                <w:jc w:val="center"/>
              </w:trPr>
              <w:tc>
                <w:tcPr>
                  <w:tcW w:w="1632"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4.3</w:t>
                  </w:r>
                </w:p>
              </w:tc>
              <w:tc>
                <w:tcPr>
                  <w:tcW w:w="382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土石方外运</w:t>
                  </w:r>
                </w:p>
              </w:tc>
              <w:tc>
                <w:tcPr>
                  <w:tcW w:w="102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m</w:t>
                  </w:r>
                  <w:r>
                    <w:rPr>
                      <w:rFonts w:hint="eastAsia" w:asciiTheme="minorEastAsia" w:hAnsiTheme="minorEastAsia" w:eastAsiaTheme="minorEastAsia" w:cstheme="minorEastAsia"/>
                      <w:i w:val="0"/>
                      <w:color w:val="auto"/>
                      <w:kern w:val="0"/>
                      <w:sz w:val="21"/>
                      <w:szCs w:val="21"/>
                      <w:u w:val="none"/>
                      <w:vertAlign w:val="superscript"/>
                      <w:lang w:val="en-US" w:eastAsia="zh-CN" w:bidi="ar"/>
                    </w:rPr>
                    <w:t>3</w:t>
                  </w:r>
                </w:p>
              </w:tc>
              <w:tc>
                <w:tcPr>
                  <w:tcW w:w="1658"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817.54</w:t>
                  </w:r>
                </w:p>
              </w:tc>
            </w:tr>
          </w:tbl>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项目组成及主要环境问题见下表：</w:t>
            </w:r>
          </w:p>
          <w:p>
            <w:pPr>
              <w:jc w:val="center"/>
              <w:rPr>
                <w:rFonts w:hint="eastAsia"/>
                <w:b/>
                <w:bCs/>
                <w:color w:val="auto"/>
                <w:szCs w:val="21"/>
                <w:lang w:val="en-US" w:eastAsia="zh-CN"/>
              </w:rPr>
            </w:pPr>
            <w:r>
              <w:rPr>
                <w:rFonts w:hint="eastAsia"/>
                <w:b/>
                <w:bCs/>
                <w:color w:val="auto"/>
                <w:szCs w:val="21"/>
                <w:lang w:val="en-US" w:eastAsia="zh-CN"/>
              </w:rPr>
              <w:t>表1-5  建设项目组成及主要环境问题</w:t>
            </w:r>
          </w:p>
          <w:tbl>
            <w:tblPr>
              <w:tblStyle w:val="51"/>
              <w:tblW w:w="8314" w:type="dxa"/>
              <w:jc w:val="center"/>
              <w:tblLayout w:type="fixed"/>
              <w:tblCellMar>
                <w:top w:w="0" w:type="dxa"/>
                <w:left w:w="0" w:type="dxa"/>
                <w:bottom w:w="0" w:type="dxa"/>
                <w:right w:w="0" w:type="dxa"/>
              </w:tblCellMar>
            </w:tblPr>
            <w:tblGrid>
              <w:gridCol w:w="516"/>
              <w:gridCol w:w="572"/>
              <w:gridCol w:w="5445"/>
              <w:gridCol w:w="994"/>
              <w:gridCol w:w="787"/>
            </w:tblGrid>
            <w:tr>
              <w:tblPrEx>
                <w:tblCellMar>
                  <w:top w:w="0" w:type="dxa"/>
                  <w:left w:w="0" w:type="dxa"/>
                  <w:bottom w:w="0" w:type="dxa"/>
                  <w:right w:w="0" w:type="dxa"/>
                </w:tblCellMar>
              </w:tblPrEx>
              <w:trPr>
                <w:trHeight w:val="0" w:hRule="atLeast"/>
                <w:jc w:val="center"/>
              </w:trPr>
              <w:tc>
                <w:tcPr>
                  <w:tcW w:w="1088" w:type="dxa"/>
                  <w:gridSpan w:val="2"/>
                  <w:vMerge w:val="restart"/>
                  <w:tcBorders>
                    <w:top w:val="single" w:color="000000" w:sz="12" w:space="0"/>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项目组成</w:t>
                  </w:r>
                </w:p>
              </w:tc>
              <w:tc>
                <w:tcPr>
                  <w:tcW w:w="5445" w:type="dxa"/>
                  <w:vMerge w:val="restart"/>
                  <w:tcBorders>
                    <w:top w:val="single" w:color="000000" w:sz="12" w:space="0"/>
                    <w:left w:val="single" w:color="000000" w:sz="8"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b/>
                      <w:bCs/>
                      <w:color w:val="auto"/>
                      <w:sz w:val="21"/>
                      <w:szCs w:val="21"/>
                    </w:rPr>
                  </w:pP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建设内容</w:t>
                  </w:r>
                </w:p>
              </w:tc>
              <w:tc>
                <w:tcPr>
                  <w:tcW w:w="1781" w:type="dxa"/>
                  <w:gridSpan w:val="2"/>
                  <w:tcBorders>
                    <w:top w:val="single" w:color="000000" w:sz="12" w:space="0"/>
                    <w:left w:val="single" w:color="000000" w:sz="8" w:space="0"/>
                    <w:bottom w:val="single" w:color="000000" w:sz="8" w:space="0"/>
                    <w:right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主要环境问题</w:t>
                  </w:r>
                </w:p>
              </w:tc>
            </w:tr>
            <w:tr>
              <w:tblPrEx>
                <w:tblCellMar>
                  <w:top w:w="0" w:type="dxa"/>
                  <w:left w:w="0" w:type="dxa"/>
                  <w:bottom w:w="0" w:type="dxa"/>
                  <w:right w:w="0" w:type="dxa"/>
                </w:tblCellMar>
              </w:tblPrEx>
              <w:trPr>
                <w:trHeight w:val="0" w:hRule="atLeast"/>
                <w:jc w:val="center"/>
              </w:trPr>
              <w:tc>
                <w:tcPr>
                  <w:tcW w:w="1088" w:type="dxa"/>
                  <w:gridSpan w:val="2"/>
                  <w:vMerge w:val="continue"/>
                  <w:tcBorders>
                    <w:left w:val="nil"/>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Theme="minorEastAsia" w:hAnsiTheme="minorEastAsia" w:eastAsiaTheme="minorEastAsia" w:cstheme="minorEastAsia"/>
                      <w:color w:val="auto"/>
                      <w:sz w:val="21"/>
                      <w:szCs w:val="21"/>
                    </w:rPr>
                  </w:pPr>
                </w:p>
              </w:tc>
              <w:tc>
                <w:tcPr>
                  <w:tcW w:w="5445" w:type="dxa"/>
                  <w:vMerge w:val="continue"/>
                  <w:tcBorders>
                    <w:left w:val="single" w:color="000000" w:sz="8"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Theme="minorEastAsia" w:hAnsiTheme="minorEastAsia" w:eastAsiaTheme="minorEastAsia" w:cstheme="minorEastAsia"/>
                      <w:color w:val="auto"/>
                      <w:sz w:val="21"/>
                      <w:szCs w:val="21"/>
                    </w:rPr>
                  </w:pPr>
                </w:p>
              </w:tc>
              <w:tc>
                <w:tcPr>
                  <w:tcW w:w="994" w:type="dxa"/>
                  <w:tcBorders>
                    <w:top w:val="single" w:color="000000" w:sz="8" w:space="0"/>
                    <w:left w:val="single" w:color="000000" w:sz="8" w:space="0"/>
                    <w:bottom w:val="single" w:color="000000" w:sz="8"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施工期</w:t>
                  </w:r>
                </w:p>
              </w:tc>
              <w:tc>
                <w:tcPr>
                  <w:tcW w:w="787" w:type="dxa"/>
                  <w:tcBorders>
                    <w:top w:val="single" w:color="000000" w:sz="8" w:space="0"/>
                    <w:left w:val="single" w:color="000000" w:sz="8" w:space="0"/>
                    <w:bottom w:val="single" w:color="000000" w:sz="8" w:space="0"/>
                    <w:right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营运期</w:t>
                  </w:r>
                </w:p>
              </w:tc>
            </w:tr>
            <w:tr>
              <w:tblPrEx>
                <w:tblCellMar>
                  <w:top w:w="0" w:type="dxa"/>
                  <w:left w:w="0" w:type="dxa"/>
                  <w:bottom w:w="0" w:type="dxa"/>
                  <w:right w:w="0" w:type="dxa"/>
                </w:tblCellMar>
              </w:tblPrEx>
              <w:trPr>
                <w:trHeight w:val="1185" w:hRule="atLeast"/>
                <w:jc w:val="center"/>
              </w:trPr>
              <w:tc>
                <w:tcPr>
                  <w:tcW w:w="1088" w:type="dxa"/>
                  <w:gridSpan w:val="2"/>
                  <w:tcBorders>
                    <w:top w:val="single" w:color="000000" w:sz="8" w:space="0"/>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主体工程</w:t>
                  </w:r>
                </w:p>
              </w:tc>
              <w:tc>
                <w:tcPr>
                  <w:tcW w:w="5445" w:type="dxa"/>
                  <w:tcBorders>
                    <w:top w:val="single" w:color="000000" w:sz="8" w:space="0"/>
                    <w:left w:val="single" w:color="000000" w:sz="8" w:space="0"/>
                    <w:bottom w:val="single" w:color="000000" w:sz="8"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项目新建1座拦挡坝及防护提27米。</w:t>
                  </w:r>
                </w:p>
              </w:tc>
              <w:tc>
                <w:tcPr>
                  <w:tcW w:w="994" w:type="dxa"/>
                  <w:vMerge w:val="restart"/>
                  <w:tcBorders>
                    <w:top w:val="single" w:color="000000" w:sz="8" w:space="0"/>
                    <w:left w:val="single" w:color="000000" w:sz="8"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施工废气 施工废水 施工噪声 施工固废 土地占用 植被破坏 水土流失</w:t>
                  </w:r>
                </w:p>
              </w:tc>
              <w:tc>
                <w:tcPr>
                  <w:tcW w:w="787" w:type="dxa"/>
                  <w:vMerge w:val="restart"/>
                  <w:tcBorders>
                    <w:top w:val="single" w:color="000000" w:sz="8" w:space="0"/>
                    <w:left w:val="single" w:color="000000" w:sz="8" w:space="0"/>
                    <w:right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泥石流</w:t>
                  </w: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堆积物</w:t>
                  </w:r>
                </w:p>
              </w:tc>
            </w:tr>
            <w:tr>
              <w:tblPrEx>
                <w:tblCellMar>
                  <w:top w:w="0" w:type="dxa"/>
                  <w:left w:w="0" w:type="dxa"/>
                  <w:bottom w:w="0" w:type="dxa"/>
                  <w:right w:w="0" w:type="dxa"/>
                </w:tblCellMar>
              </w:tblPrEx>
              <w:trPr>
                <w:trHeight w:val="378" w:hRule="atLeast"/>
                <w:jc w:val="center"/>
              </w:trPr>
              <w:tc>
                <w:tcPr>
                  <w:tcW w:w="516" w:type="dxa"/>
                  <w:vMerge w:val="restart"/>
                  <w:tcBorders>
                    <w:top w:val="single" w:color="000000" w:sz="4" w:space="0"/>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辅助</w:t>
                  </w:r>
                </w:p>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工程</w:t>
                  </w:r>
                </w:p>
              </w:tc>
              <w:tc>
                <w:tcPr>
                  <w:tcW w:w="572" w:type="dxa"/>
                  <w:tcBorders>
                    <w:top w:val="single" w:color="000000" w:sz="4" w:space="0"/>
                    <w:left w:val="single" w:color="000000" w:sz="8" w:space="0"/>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清淤</w:t>
                  </w:r>
                </w:p>
              </w:tc>
              <w:tc>
                <w:tcPr>
                  <w:tcW w:w="5445" w:type="dxa"/>
                  <w:tcBorders>
                    <w:top w:val="single" w:color="000000" w:sz="4" w:space="0"/>
                    <w:left w:val="single" w:color="000000" w:sz="8" w:space="0"/>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对</w:t>
                  </w:r>
                  <w:r>
                    <w:rPr>
                      <w:rFonts w:hint="eastAsia" w:asciiTheme="minorEastAsia" w:hAnsiTheme="minorEastAsia" w:cstheme="minorEastAsia"/>
                      <w:color w:val="auto"/>
                      <w:sz w:val="21"/>
                      <w:szCs w:val="21"/>
                      <w:lang w:val="en-US" w:eastAsia="zh-CN"/>
                    </w:rPr>
                    <w:t>沟谷堆积区</w:t>
                  </w:r>
                  <w:r>
                    <w:rPr>
                      <w:rFonts w:hint="eastAsia" w:asciiTheme="minorEastAsia" w:hAnsiTheme="minorEastAsia" w:eastAsiaTheme="minorEastAsia" w:cstheme="minorEastAsia"/>
                      <w:color w:val="auto"/>
                      <w:sz w:val="21"/>
                      <w:szCs w:val="21"/>
                    </w:rPr>
                    <w:t>清淤</w:t>
                  </w:r>
                  <w:r>
                    <w:rPr>
                      <w:rFonts w:hint="eastAsia" w:asciiTheme="minorEastAsia" w:hAnsiTheme="minorEastAsia" w:cstheme="minorEastAsia"/>
                      <w:color w:val="auto"/>
                      <w:sz w:val="21"/>
                      <w:szCs w:val="21"/>
                      <w:lang w:val="en-US" w:eastAsia="zh-CN"/>
                    </w:rPr>
                    <w:t>817.54</w:t>
                  </w:r>
                  <w:r>
                    <w:rPr>
                      <w:rFonts w:hint="eastAsia" w:asciiTheme="minorEastAsia" w:hAnsiTheme="minorEastAsia" w:eastAsiaTheme="minorEastAsia" w:cstheme="minorEastAsia"/>
                      <w:color w:val="auto"/>
                      <w:sz w:val="21"/>
                      <w:szCs w:val="21"/>
                    </w:rPr>
                    <w:t>m³</w:t>
                  </w:r>
                  <w:r>
                    <w:rPr>
                      <w:rFonts w:hint="eastAsia" w:asciiTheme="minorEastAsia" w:hAnsiTheme="minorEastAsia" w:cstheme="minorEastAsia"/>
                      <w:color w:val="auto"/>
                      <w:sz w:val="21"/>
                      <w:szCs w:val="21"/>
                      <w:lang w:eastAsia="zh-CN"/>
                    </w:rPr>
                    <w:t>。</w:t>
                  </w:r>
                </w:p>
              </w:tc>
              <w:tc>
                <w:tcPr>
                  <w:tcW w:w="994" w:type="dxa"/>
                  <w:vMerge w:val="continue"/>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rPr>
                  </w:pPr>
                </w:p>
              </w:tc>
              <w:tc>
                <w:tcPr>
                  <w:tcW w:w="787" w:type="dxa"/>
                  <w:vMerge w:val="continue"/>
                  <w:tcBorders>
                    <w:left w:val="single" w:color="000000" w:sz="8"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Theme="minorEastAsia" w:hAnsiTheme="minorEastAsia" w:eastAsiaTheme="minorEastAsia" w:cstheme="minorEastAsia"/>
                      <w:color w:val="auto"/>
                      <w:sz w:val="21"/>
                      <w:szCs w:val="21"/>
                    </w:rPr>
                  </w:pPr>
                </w:p>
              </w:tc>
            </w:tr>
            <w:tr>
              <w:tblPrEx>
                <w:tblCellMar>
                  <w:top w:w="0" w:type="dxa"/>
                  <w:left w:w="0" w:type="dxa"/>
                  <w:bottom w:w="0" w:type="dxa"/>
                  <w:right w:w="0" w:type="dxa"/>
                </w:tblCellMar>
              </w:tblPrEx>
              <w:trPr>
                <w:trHeight w:val="464" w:hRule="atLeast"/>
                <w:jc w:val="center"/>
              </w:trPr>
              <w:tc>
                <w:tcPr>
                  <w:tcW w:w="516" w:type="dxa"/>
                  <w:vMerge w:val="continue"/>
                  <w:tcBorders>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p>
              </w:tc>
              <w:tc>
                <w:tcPr>
                  <w:tcW w:w="572" w:type="dxa"/>
                  <w:tcBorders>
                    <w:top w:val="single" w:color="000000" w:sz="4" w:space="0"/>
                    <w:left w:val="single" w:color="000000" w:sz="8" w:space="0"/>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施工营地</w:t>
                  </w:r>
                </w:p>
              </w:tc>
              <w:tc>
                <w:tcPr>
                  <w:tcW w:w="5445" w:type="dxa"/>
                  <w:tcBorders>
                    <w:top w:val="single" w:color="000000" w:sz="4" w:space="0"/>
                    <w:left w:val="single" w:color="000000" w:sz="8" w:space="0"/>
                    <w:bottom w:val="single" w:color="000000" w:sz="4"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Cs w:val="21"/>
                    </w:rPr>
                    <w:t>工程所需生活办公设施在附近村</w:t>
                  </w:r>
                  <w:r>
                    <w:rPr>
                      <w:rFonts w:hint="eastAsia" w:ascii="Times New Roman" w:hAnsi="Times New Roman" w:eastAsia="宋体" w:cs="Times New Roman"/>
                      <w:color w:val="auto"/>
                      <w:kern w:val="0"/>
                      <w:szCs w:val="21"/>
                      <w:lang w:val="en-US" w:eastAsia="zh-CN"/>
                    </w:rPr>
                    <w:t>民</w:t>
                  </w:r>
                  <w:r>
                    <w:rPr>
                      <w:rFonts w:hint="eastAsia" w:ascii="Times New Roman" w:hAnsi="Times New Roman" w:eastAsia="宋体" w:cs="Times New Roman"/>
                      <w:color w:val="auto"/>
                      <w:kern w:val="0"/>
                      <w:szCs w:val="21"/>
                    </w:rPr>
                    <w:t>租用房屋解决</w:t>
                  </w:r>
                </w:p>
              </w:tc>
              <w:tc>
                <w:tcPr>
                  <w:tcW w:w="994" w:type="dxa"/>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生活污水</w:t>
                  </w:r>
                </w:p>
              </w:tc>
              <w:tc>
                <w:tcPr>
                  <w:tcW w:w="787" w:type="dxa"/>
                  <w:tcBorders>
                    <w:left w:val="single" w:color="000000" w:sz="8"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464" w:hRule="atLeast"/>
                <w:jc w:val="center"/>
              </w:trPr>
              <w:tc>
                <w:tcPr>
                  <w:tcW w:w="516" w:type="dxa"/>
                  <w:vMerge w:val="continue"/>
                  <w:tcBorders>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p>
              </w:tc>
              <w:tc>
                <w:tcPr>
                  <w:tcW w:w="572" w:type="dxa"/>
                  <w:tcBorders>
                    <w:top w:val="single" w:color="000000" w:sz="4" w:space="0"/>
                    <w:left w:val="single" w:color="000000" w:sz="8" w:space="0"/>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施工道路</w:t>
                  </w:r>
                </w:p>
              </w:tc>
              <w:tc>
                <w:tcPr>
                  <w:tcW w:w="5445" w:type="dxa"/>
                  <w:tcBorders>
                    <w:top w:val="single" w:color="000000" w:sz="4" w:space="0"/>
                    <w:left w:val="single" w:color="000000" w:sz="8" w:space="0"/>
                    <w:bottom w:val="single" w:color="000000" w:sz="4"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施工道路依托附近乡村小路，不单独建设施工便道。</w:t>
                  </w:r>
                </w:p>
              </w:tc>
              <w:tc>
                <w:tcPr>
                  <w:tcW w:w="994" w:type="dxa"/>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s="Times New Roman"/>
                      <w:color w:val="auto"/>
                      <w:kern w:val="0"/>
                      <w:szCs w:val="21"/>
                    </w:rPr>
                  </w:pPr>
                </w:p>
              </w:tc>
              <w:tc>
                <w:tcPr>
                  <w:tcW w:w="787" w:type="dxa"/>
                  <w:tcBorders>
                    <w:left w:val="single" w:color="000000" w:sz="8"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cstheme="minorEastAsia"/>
                      <w:color w:val="auto"/>
                      <w:sz w:val="21"/>
                      <w:szCs w:val="21"/>
                      <w:lang w:val="en-US" w:eastAsia="zh-CN"/>
                    </w:rPr>
                  </w:pPr>
                </w:p>
              </w:tc>
            </w:tr>
            <w:tr>
              <w:tblPrEx>
                <w:tblCellMar>
                  <w:top w:w="0" w:type="dxa"/>
                  <w:left w:w="0" w:type="dxa"/>
                  <w:bottom w:w="0" w:type="dxa"/>
                  <w:right w:w="0" w:type="dxa"/>
                </w:tblCellMar>
              </w:tblPrEx>
              <w:trPr>
                <w:trHeight w:val="464" w:hRule="atLeast"/>
                <w:jc w:val="center"/>
              </w:trPr>
              <w:tc>
                <w:tcPr>
                  <w:tcW w:w="516" w:type="dxa"/>
                  <w:vMerge w:val="continue"/>
                  <w:tcBorders>
                    <w:left w:val="nil"/>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p>
              </w:tc>
              <w:tc>
                <w:tcPr>
                  <w:tcW w:w="572" w:type="dxa"/>
                  <w:tcBorders>
                    <w:top w:val="single" w:color="000000" w:sz="4" w:space="0"/>
                    <w:left w:val="single" w:color="000000" w:sz="8" w:space="0"/>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施工场地</w:t>
                  </w:r>
                </w:p>
              </w:tc>
              <w:tc>
                <w:tcPr>
                  <w:tcW w:w="5445" w:type="dxa"/>
                  <w:tcBorders>
                    <w:top w:val="single" w:color="000000" w:sz="4" w:space="0"/>
                    <w:left w:val="single" w:color="000000" w:sz="8" w:space="0"/>
                    <w:bottom w:val="single" w:color="000000" w:sz="4"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default"/>
                      <w:color w:val="auto"/>
                      <w:lang w:val="en-US" w:eastAsia="zh-CN"/>
                    </w:rPr>
                  </w:pPr>
                  <w:r>
                    <w:rPr>
                      <w:rFonts w:hint="eastAsia"/>
                      <w:color w:val="auto"/>
                      <w:lang w:val="en-US" w:eastAsia="zh-CN"/>
                    </w:rPr>
                    <w:t>永久占地：工程建设防护堤和拦挡坝均在沟谷内进行，面积约300平方米；临时占地：主要是施工区和材料堆放的占地，总共约2.0亩。本项目不设置混凝土搅拌站和临时弃渣场，</w:t>
                  </w:r>
                  <w:r>
                    <w:rPr>
                      <w:rFonts w:hint="eastAsia" w:asciiTheme="minorHAnsi" w:hAnsiTheme="minorHAnsi" w:eastAsiaTheme="minorEastAsia" w:cstheme="minorBidi"/>
                      <w:color w:val="auto"/>
                      <w:kern w:val="2"/>
                      <w:sz w:val="21"/>
                      <w:szCs w:val="24"/>
                      <w:lang w:val="en-US" w:eastAsia="zh-CN" w:bidi="ar-SA"/>
                    </w:rPr>
                    <w:t>本工程占用土地为集体用地，主要为沟谷荒草地，</w:t>
                  </w:r>
                  <w:r>
                    <w:rPr>
                      <w:rFonts w:hint="eastAsia" w:cstheme="minorBidi"/>
                      <w:color w:val="auto"/>
                      <w:kern w:val="2"/>
                      <w:sz w:val="21"/>
                      <w:szCs w:val="24"/>
                      <w:lang w:val="en-US" w:eastAsia="zh-CN" w:bidi="ar-SA"/>
                    </w:rPr>
                    <w:t>不考虑征地。</w:t>
                  </w:r>
                </w:p>
              </w:tc>
              <w:tc>
                <w:tcPr>
                  <w:tcW w:w="994" w:type="dxa"/>
                  <w:tcBorders>
                    <w:left w:val="single" w:color="000000" w:sz="8" w:space="0"/>
                    <w:right w:val="single" w:color="000000" w:sz="8"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噪声</w:t>
                  </w:r>
                </w:p>
              </w:tc>
              <w:tc>
                <w:tcPr>
                  <w:tcW w:w="787" w:type="dxa"/>
                  <w:tcBorders>
                    <w:left w:val="single" w:color="000000" w:sz="8"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0" w:hRule="atLeast"/>
                <w:jc w:val="center"/>
              </w:trPr>
              <w:tc>
                <w:tcPr>
                  <w:tcW w:w="516" w:type="dxa"/>
                  <w:vMerge w:val="restart"/>
                  <w:tcBorders>
                    <w:top w:val="single" w:color="000000" w:sz="4" w:space="0"/>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公用工程</w:t>
                  </w:r>
                </w:p>
              </w:tc>
              <w:tc>
                <w:tcPr>
                  <w:tcW w:w="572" w:type="dxa"/>
                  <w:tcBorders>
                    <w:top w:val="single" w:color="000000"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供水</w:t>
                  </w:r>
                </w:p>
              </w:tc>
              <w:tc>
                <w:tcPr>
                  <w:tcW w:w="5445" w:type="dxa"/>
                  <w:tcBorders>
                    <w:top w:val="single" w:color="000000"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pacing w:val="-5"/>
                      <w:sz w:val="21"/>
                      <w:szCs w:val="21"/>
                    </w:rPr>
                    <w:t>施工用水可从白草河取水；</w:t>
                  </w:r>
                </w:p>
              </w:tc>
              <w:tc>
                <w:tcPr>
                  <w:tcW w:w="994" w:type="dxa"/>
                  <w:tcBorders>
                    <w:left w:val="single" w:color="000000" w:sz="8" w:space="0"/>
                    <w:bottom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c>
                <w:tcPr>
                  <w:tcW w:w="787" w:type="dxa"/>
                  <w:tcBorders>
                    <w:left w:val="single" w:color="000000" w:sz="8"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0" w:hRule="atLeast"/>
                <w:jc w:val="center"/>
              </w:trPr>
              <w:tc>
                <w:tcPr>
                  <w:tcW w:w="516" w:type="dxa"/>
                  <w:vMerge w:val="continue"/>
                  <w:tcBorders>
                    <w:left w:val="nil"/>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p>
              </w:tc>
              <w:tc>
                <w:tcPr>
                  <w:tcW w:w="572" w:type="dxa"/>
                  <w:tcBorders>
                    <w:top w:val="single" w:color="auto" w:sz="4" w:space="0"/>
                    <w:left w:val="single" w:color="000000" w:sz="8" w:space="0"/>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供电</w:t>
                  </w:r>
                </w:p>
              </w:tc>
              <w:tc>
                <w:tcPr>
                  <w:tcW w:w="5445" w:type="dxa"/>
                  <w:tcBorders>
                    <w:top w:val="single" w:color="auto" w:sz="4" w:space="0"/>
                    <w:left w:val="single" w:color="000000" w:sz="8" w:space="0"/>
                    <w:bottom w:val="single" w:color="000000"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pacing w:val="-5"/>
                      <w:sz w:val="21"/>
                      <w:szCs w:val="21"/>
                    </w:rPr>
                  </w:pPr>
                  <w:r>
                    <w:rPr>
                      <w:rFonts w:hint="eastAsia" w:asciiTheme="minorEastAsia" w:hAnsiTheme="minorEastAsia" w:eastAsiaTheme="minorEastAsia" w:cstheme="minorEastAsia"/>
                      <w:color w:val="auto"/>
                      <w:spacing w:val="-5"/>
                      <w:sz w:val="21"/>
                      <w:szCs w:val="21"/>
                    </w:rPr>
                    <w:t>施工用电可利用就近输电线路牵线，适当加长原输电线路，拟设输电线路200m。</w:t>
                  </w:r>
                </w:p>
              </w:tc>
              <w:tc>
                <w:tcPr>
                  <w:tcW w:w="994" w:type="dxa"/>
                  <w:tcBorders>
                    <w:top w:val="single" w:color="auto" w:sz="4" w:space="0"/>
                    <w:left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c>
                <w:tcPr>
                  <w:tcW w:w="787" w:type="dxa"/>
                  <w:tcBorders>
                    <w:top w:val="single" w:color="auto" w:sz="4" w:space="0"/>
                    <w:left w:val="single" w:color="000000" w:sz="8"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0" w:hRule="atLeast"/>
                <w:jc w:val="center"/>
              </w:trPr>
              <w:tc>
                <w:tcPr>
                  <w:tcW w:w="516" w:type="dxa"/>
                  <w:vMerge w:val="restart"/>
                  <w:tcBorders>
                    <w:top w:val="single" w:color="000000" w:sz="4" w:space="0"/>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环保工程</w:t>
                  </w:r>
                </w:p>
              </w:tc>
              <w:tc>
                <w:tcPr>
                  <w:tcW w:w="572" w:type="dxa"/>
                  <w:tcBorders>
                    <w:top w:val="single" w:color="000000"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废水治理</w:t>
                  </w:r>
                </w:p>
              </w:tc>
              <w:tc>
                <w:tcPr>
                  <w:tcW w:w="5445" w:type="dxa"/>
                  <w:tcBorders>
                    <w:top w:val="single" w:color="000000"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eastAsiaTheme="minorEastAsia" w:cstheme="minorEastAsia"/>
                      <w:color w:val="auto"/>
                      <w:spacing w:val="-5"/>
                      <w:sz w:val="21"/>
                      <w:szCs w:val="21"/>
                      <w:lang w:val="en-US" w:eastAsia="zh-CN"/>
                    </w:rPr>
                  </w:pPr>
                  <w:r>
                    <w:rPr>
                      <w:rFonts w:hint="eastAsia" w:asciiTheme="minorEastAsia" w:hAnsiTheme="minorEastAsia" w:cstheme="minorEastAsia"/>
                      <w:color w:val="auto"/>
                      <w:spacing w:val="-5"/>
                      <w:sz w:val="21"/>
                      <w:szCs w:val="21"/>
                      <w:lang w:val="en-US" w:eastAsia="zh-CN"/>
                    </w:rPr>
                    <w:t>施工现场用小型搅拌机，施工废水主要为设备清洗废水；采用沉淀池沉淀后回用于混凝土搅拌，不外排。生活污水依托村民化粪池处理后用作农肥。</w:t>
                  </w:r>
                </w:p>
              </w:tc>
              <w:tc>
                <w:tcPr>
                  <w:tcW w:w="994" w:type="dxa"/>
                  <w:tcBorders>
                    <w:left w:val="single" w:color="000000" w:sz="8" w:space="0"/>
                    <w:bottom w:val="single" w:color="auto" w:sz="4" w:space="0"/>
                    <w:right w:val="single" w:color="000000" w:sz="8" w:space="0"/>
                  </w:tcBorders>
                  <w:vAlign w:val="center"/>
                </w:tcPr>
                <w:p>
                  <w:pPr>
                    <w:pStyle w:val="29"/>
                    <w:keepNext w:val="0"/>
                    <w:keepLines w:val="0"/>
                    <w:pageBreakBefore w:val="0"/>
                    <w:widowControl w:val="0"/>
                    <w:kinsoku/>
                    <w:wordWrap/>
                    <w:overflowPunct/>
                    <w:topLinePunct w:val="0"/>
                    <w:bidi w:val="0"/>
                    <w:snapToGrid/>
                    <w:spacing w:after="0" w:line="240" w:lineRule="auto"/>
                    <w:ind w:left="0" w:leftChars="0" w:firstLine="0" w:firstLineChars="0"/>
                    <w:jc w:val="center"/>
                    <w:textAlignment w:val="auto"/>
                    <w:rPr>
                      <w:rFonts w:hint="default" w:eastAsiaTheme="minorEastAsia"/>
                      <w:color w:val="auto"/>
                      <w:lang w:val="en-US" w:eastAsia="zh-CN"/>
                    </w:rPr>
                  </w:pPr>
                  <w:r>
                    <w:rPr>
                      <w:rFonts w:hint="eastAsia"/>
                      <w:color w:val="auto"/>
                      <w:lang w:val="en-US" w:eastAsia="zh-CN"/>
                    </w:rPr>
                    <w:t>生活污水</w:t>
                  </w:r>
                </w:p>
              </w:tc>
              <w:tc>
                <w:tcPr>
                  <w:tcW w:w="787" w:type="dxa"/>
                  <w:tcBorders>
                    <w:left w:val="single" w:color="000000" w:sz="8"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0" w:hRule="atLeast"/>
                <w:jc w:val="center"/>
              </w:trPr>
              <w:tc>
                <w:tcPr>
                  <w:tcW w:w="516" w:type="dxa"/>
                  <w:vMerge w:val="continue"/>
                  <w:tcBorders>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p>
              </w:tc>
              <w:tc>
                <w:tcPr>
                  <w:tcW w:w="572" w:type="dxa"/>
                  <w:tcBorders>
                    <w:top w:val="single" w:color="auto"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废气治理</w:t>
                  </w:r>
                </w:p>
              </w:tc>
              <w:tc>
                <w:tcPr>
                  <w:tcW w:w="5445" w:type="dxa"/>
                  <w:tcBorders>
                    <w:top w:val="single" w:color="auto"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eastAsia="宋体" w:asciiTheme="minorEastAsia" w:hAnsiTheme="minorEastAsia" w:cstheme="minorEastAsia"/>
                      <w:color w:val="auto"/>
                      <w:spacing w:val="-5"/>
                      <w:sz w:val="21"/>
                      <w:szCs w:val="21"/>
                      <w:lang w:val="en-US" w:eastAsia="zh-CN"/>
                    </w:rPr>
                  </w:pPr>
                  <w:r>
                    <w:rPr>
                      <w:rFonts w:hint="eastAsia" w:asciiTheme="minorEastAsia" w:hAnsiTheme="minorEastAsia" w:cstheme="minorEastAsia"/>
                      <w:color w:val="auto"/>
                      <w:spacing w:val="-5"/>
                      <w:sz w:val="21"/>
                      <w:szCs w:val="21"/>
                      <w:lang w:val="en-US" w:eastAsia="zh-CN"/>
                    </w:rPr>
                    <w:t>施工场地周边无居民，</w:t>
                  </w:r>
                  <w:r>
                    <w:rPr>
                      <w:rFonts w:ascii="Times New Roman" w:hAnsi="Times New Roman" w:eastAsia="宋体" w:cs="Times New Roman"/>
                      <w:color w:val="auto"/>
                      <w:szCs w:val="21"/>
                    </w:rPr>
                    <w:t>合理布置运输车辆行驶路线</w:t>
                  </w:r>
                  <w:r>
                    <w:rPr>
                      <w:rFonts w:hint="eastAsia" w:ascii="Times New Roman" w:hAnsi="Times New Roman" w:eastAsia="宋体" w:cs="Times New Roman"/>
                      <w:color w:val="auto"/>
                      <w:szCs w:val="21"/>
                    </w:rPr>
                    <w:t>，</w:t>
                  </w:r>
                  <w:r>
                    <w:rPr>
                      <w:rFonts w:hint="eastAsia" w:asciiTheme="minorEastAsia" w:hAnsiTheme="minorEastAsia" w:cstheme="minorEastAsia"/>
                      <w:color w:val="auto"/>
                      <w:spacing w:val="-5"/>
                      <w:sz w:val="21"/>
                      <w:szCs w:val="21"/>
                      <w:lang w:val="en-US" w:eastAsia="zh-CN"/>
                    </w:rPr>
                    <w:t>运输车辆采用篷布遮盖运输。</w:t>
                  </w:r>
                  <w:r>
                    <w:rPr>
                      <w:rFonts w:ascii="Times New Roman" w:hAnsi="Times New Roman" w:eastAsia="宋体" w:cs="Times New Roman"/>
                      <w:color w:val="auto"/>
                      <w:szCs w:val="21"/>
                    </w:rPr>
                    <w:t>选择在枯水期施工，避开底泥气味易扩散的炎热夏季</w:t>
                  </w:r>
                  <w:r>
                    <w:rPr>
                      <w:rFonts w:hint="eastAsia" w:ascii="Times New Roman" w:hAnsi="Times New Roman" w:eastAsia="宋体" w:cs="Times New Roman"/>
                      <w:color w:val="auto"/>
                      <w:szCs w:val="21"/>
                      <w:lang w:eastAsia="zh-CN"/>
                    </w:rPr>
                    <w:t>。</w:t>
                  </w:r>
                </w:p>
              </w:tc>
              <w:tc>
                <w:tcPr>
                  <w:tcW w:w="994" w:type="dxa"/>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c>
                <w:tcPr>
                  <w:tcW w:w="787" w:type="dxa"/>
                  <w:tcBorders>
                    <w:top w:val="single" w:color="auto" w:sz="4" w:space="0"/>
                    <w:left w:val="single" w:color="000000" w:sz="8"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0" w:hRule="atLeast"/>
                <w:jc w:val="center"/>
              </w:trPr>
              <w:tc>
                <w:tcPr>
                  <w:tcW w:w="516" w:type="dxa"/>
                  <w:vMerge w:val="continue"/>
                  <w:tcBorders>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p>
              </w:tc>
              <w:tc>
                <w:tcPr>
                  <w:tcW w:w="572" w:type="dxa"/>
                  <w:tcBorders>
                    <w:top w:val="single" w:color="auto"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噪声治理</w:t>
                  </w:r>
                </w:p>
              </w:tc>
              <w:tc>
                <w:tcPr>
                  <w:tcW w:w="5445" w:type="dxa"/>
                  <w:tcBorders>
                    <w:top w:val="single" w:color="auto"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eastAsiaTheme="minorEastAsia" w:cstheme="minorEastAsia"/>
                      <w:color w:val="auto"/>
                      <w:spacing w:val="-5"/>
                      <w:sz w:val="21"/>
                      <w:szCs w:val="21"/>
                      <w:lang w:val="en-US" w:eastAsia="zh-CN"/>
                    </w:rPr>
                  </w:pPr>
                  <w:r>
                    <w:rPr>
                      <w:rFonts w:hint="eastAsia" w:asciiTheme="minorEastAsia" w:hAnsiTheme="minorEastAsia" w:cstheme="minorEastAsia"/>
                      <w:color w:val="auto"/>
                      <w:spacing w:val="-5"/>
                      <w:sz w:val="21"/>
                      <w:szCs w:val="21"/>
                      <w:lang w:val="en-US" w:eastAsia="zh-CN"/>
                    </w:rPr>
                    <w:t>施工现场周边无居民，施工人员工作和生活尽量做到不扰民。</w:t>
                  </w:r>
                </w:p>
              </w:tc>
              <w:tc>
                <w:tcPr>
                  <w:tcW w:w="994" w:type="dxa"/>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噪声</w:t>
                  </w:r>
                </w:p>
              </w:tc>
              <w:tc>
                <w:tcPr>
                  <w:tcW w:w="787" w:type="dxa"/>
                  <w:tcBorders>
                    <w:top w:val="single" w:color="auto" w:sz="4" w:space="0"/>
                    <w:left w:val="single" w:color="000000" w:sz="8"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0" w:hRule="atLeast"/>
                <w:jc w:val="center"/>
              </w:trPr>
              <w:tc>
                <w:tcPr>
                  <w:tcW w:w="516" w:type="dxa"/>
                  <w:vMerge w:val="continue"/>
                  <w:tcBorders>
                    <w:left w:val="nil"/>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p>
              </w:tc>
              <w:tc>
                <w:tcPr>
                  <w:tcW w:w="572" w:type="dxa"/>
                  <w:tcBorders>
                    <w:top w:val="single" w:color="auto"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固废治理</w:t>
                  </w:r>
                </w:p>
              </w:tc>
              <w:tc>
                <w:tcPr>
                  <w:tcW w:w="5445" w:type="dxa"/>
                  <w:tcBorders>
                    <w:top w:val="single" w:color="auto" w:sz="4" w:space="0"/>
                    <w:left w:val="single" w:color="000000" w:sz="8" w:space="0"/>
                    <w:bottom w:val="single" w:color="auto" w:sz="4"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cstheme="minorEastAsia"/>
                      <w:color w:val="auto"/>
                      <w:spacing w:val="-5"/>
                      <w:sz w:val="21"/>
                      <w:szCs w:val="21"/>
                      <w:lang w:val="en-US" w:eastAsia="zh-CN"/>
                    </w:rPr>
                  </w:pPr>
                  <w:r>
                    <w:rPr>
                      <w:rFonts w:ascii="Times New Roman" w:hAnsi="Times New Roman" w:eastAsia="宋体" w:cs="Times New Roman"/>
                      <w:color w:val="auto"/>
                      <w:kern w:val="0"/>
                      <w:szCs w:val="21"/>
                    </w:rPr>
                    <w:t>施工人员生活垃圾：由附近居民区垃圾收集点收集，外运至城市垃圾处理场；</w:t>
                  </w:r>
                  <w:r>
                    <w:rPr>
                      <w:rFonts w:hint="eastAsia" w:asciiTheme="minorEastAsia" w:hAnsiTheme="minorEastAsia" w:cstheme="minorEastAsia"/>
                      <w:color w:val="auto"/>
                      <w:spacing w:val="-5"/>
                      <w:sz w:val="21"/>
                      <w:szCs w:val="21"/>
                      <w:lang w:val="en-US" w:eastAsia="zh-CN"/>
                    </w:rPr>
                    <w:t>项目清淤及施工过程中将产生废弃土石方约1030.66</w:t>
                  </w:r>
                  <w:r>
                    <w:rPr>
                      <w:rFonts w:hint="eastAsia" w:asciiTheme="minorEastAsia" w:hAnsiTheme="minorEastAsia" w:eastAsiaTheme="minorEastAsia" w:cstheme="minorEastAsia"/>
                      <w:color w:val="auto"/>
                      <w:spacing w:val="-5"/>
                      <w:sz w:val="21"/>
                      <w:szCs w:val="21"/>
                      <w:lang w:val="en-US" w:eastAsia="zh-CN"/>
                    </w:rPr>
                    <w:t>m</w:t>
                  </w:r>
                  <w:r>
                    <w:rPr>
                      <w:rFonts w:hint="eastAsia" w:asciiTheme="minorEastAsia" w:hAnsiTheme="minorEastAsia" w:eastAsiaTheme="minorEastAsia" w:cstheme="minorEastAsia"/>
                      <w:color w:val="auto"/>
                      <w:spacing w:val="-5"/>
                      <w:sz w:val="21"/>
                      <w:szCs w:val="21"/>
                      <w:vertAlign w:val="superscript"/>
                      <w:lang w:val="en-US" w:eastAsia="zh-CN"/>
                    </w:rPr>
                    <w:t>3</w:t>
                  </w:r>
                  <w:r>
                    <w:rPr>
                      <w:rFonts w:hint="eastAsia" w:asciiTheme="minorEastAsia" w:hAnsiTheme="minorEastAsia" w:eastAsiaTheme="minorEastAsia" w:cstheme="minorEastAsia"/>
                      <w:color w:val="auto"/>
                      <w:spacing w:val="-5"/>
                      <w:sz w:val="21"/>
                      <w:szCs w:val="21"/>
                      <w:lang w:val="en-US" w:eastAsia="zh-CN"/>
                    </w:rPr>
                    <w:t>，</w:t>
                  </w:r>
                  <w:r>
                    <w:rPr>
                      <w:rFonts w:hint="eastAsia" w:asciiTheme="minorEastAsia" w:hAnsiTheme="minorEastAsia" w:cstheme="minorEastAsia"/>
                      <w:color w:val="auto"/>
                      <w:spacing w:val="-5"/>
                      <w:sz w:val="21"/>
                      <w:szCs w:val="21"/>
                      <w:lang w:val="en-US" w:eastAsia="zh-CN"/>
                    </w:rPr>
                    <w:t>工程区域上游和中游采用马拖至车辆可外运处，由车辆运送至松潘县指定的弃土场堆放。</w:t>
                  </w:r>
                </w:p>
              </w:tc>
              <w:tc>
                <w:tcPr>
                  <w:tcW w:w="994" w:type="dxa"/>
                  <w:tcBorders>
                    <w:top w:val="single" w:color="auto" w:sz="4" w:space="0"/>
                    <w:left w:val="single" w:color="000000" w:sz="8" w:space="0"/>
                    <w:bottom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废渣</w:t>
                  </w:r>
                </w:p>
              </w:tc>
              <w:tc>
                <w:tcPr>
                  <w:tcW w:w="787" w:type="dxa"/>
                  <w:tcBorders>
                    <w:top w:val="single" w:color="auto" w:sz="4" w:space="0"/>
                    <w:left w:val="single" w:color="000000" w:sz="8"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r>
              <w:tblPrEx>
                <w:tblCellMar>
                  <w:top w:w="0" w:type="dxa"/>
                  <w:left w:w="0" w:type="dxa"/>
                  <w:bottom w:w="0" w:type="dxa"/>
                  <w:right w:w="0" w:type="dxa"/>
                </w:tblCellMar>
              </w:tblPrEx>
              <w:trPr>
                <w:trHeight w:val="635" w:hRule="atLeast"/>
                <w:jc w:val="center"/>
              </w:trPr>
              <w:tc>
                <w:tcPr>
                  <w:tcW w:w="516" w:type="dxa"/>
                  <w:vMerge w:val="continue"/>
                  <w:tcBorders>
                    <w:left w:val="nil"/>
                    <w:bottom w:val="single" w:color="000000" w:sz="12"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eastAsia" w:asciiTheme="minorEastAsia" w:hAnsiTheme="minorEastAsia" w:eastAsiaTheme="minorEastAsia" w:cstheme="minorEastAsia"/>
                      <w:color w:val="auto"/>
                      <w:sz w:val="21"/>
                      <w:szCs w:val="21"/>
                      <w:lang w:val="en-US" w:eastAsia="zh-CN"/>
                    </w:rPr>
                  </w:pPr>
                </w:p>
              </w:tc>
              <w:tc>
                <w:tcPr>
                  <w:tcW w:w="572" w:type="dxa"/>
                  <w:tcBorders>
                    <w:top w:val="single" w:color="auto" w:sz="4" w:space="0"/>
                    <w:left w:val="single" w:color="000000" w:sz="8" w:space="0"/>
                    <w:bottom w:val="single" w:color="000000" w:sz="12"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生态措施</w:t>
                  </w:r>
                </w:p>
              </w:tc>
              <w:tc>
                <w:tcPr>
                  <w:tcW w:w="5445" w:type="dxa"/>
                  <w:tcBorders>
                    <w:top w:val="single" w:color="auto" w:sz="4" w:space="0"/>
                    <w:left w:val="single" w:color="000000" w:sz="8" w:space="0"/>
                    <w:bottom w:val="single" w:color="000000" w:sz="12" w:space="0"/>
                    <w:right w:val="single" w:color="000000" w:sz="8" w:space="0"/>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heme="minorEastAsia" w:hAnsiTheme="minorEastAsia" w:eastAsiaTheme="minorEastAsia" w:cstheme="minorEastAsia"/>
                      <w:color w:val="auto"/>
                      <w:spacing w:val="-5"/>
                      <w:sz w:val="21"/>
                      <w:szCs w:val="21"/>
                      <w:lang w:val="en-US" w:eastAsia="zh-CN"/>
                    </w:rPr>
                  </w:pPr>
                  <w:r>
                    <w:rPr>
                      <w:rFonts w:hint="eastAsia" w:ascii="Times New Roman" w:hAnsi="Times New Roman" w:eastAsia="宋体"/>
                      <w:b w:val="0"/>
                      <w:bCs w:val="0"/>
                      <w:color w:val="auto"/>
                      <w:kern w:val="2"/>
                      <w:sz w:val="21"/>
                      <w:szCs w:val="21"/>
                      <w:lang w:val="en-US" w:eastAsia="zh-CN" w:bidi="ar-SA"/>
                    </w:rPr>
                    <w:t>严格施工管理，禁止施工材料乱堆、乱放。施工场地必须首先完成场地的工程排水措施才能进行场地平整，以减少扰动地表因降雨带来的水土流失</w:t>
                  </w:r>
                  <w:r>
                    <w:rPr>
                      <w:rFonts w:hint="eastAsia" w:eastAsia="宋体"/>
                      <w:b w:val="0"/>
                      <w:bCs w:val="0"/>
                      <w:color w:val="auto"/>
                      <w:kern w:val="2"/>
                      <w:sz w:val="21"/>
                      <w:szCs w:val="21"/>
                      <w:lang w:val="en-US" w:eastAsia="zh-CN" w:bidi="ar-SA"/>
                    </w:rPr>
                    <w:t>；</w:t>
                  </w:r>
                  <w:r>
                    <w:rPr>
                      <w:rFonts w:hint="eastAsia" w:ascii="Times New Roman" w:hAnsi="Times New Roman" w:eastAsia="宋体"/>
                      <w:b w:val="0"/>
                      <w:bCs w:val="0"/>
                      <w:color w:val="auto"/>
                      <w:kern w:val="2"/>
                      <w:sz w:val="21"/>
                      <w:szCs w:val="21"/>
                      <w:lang w:val="en-US" w:eastAsia="zh-CN" w:bidi="ar-SA"/>
                    </w:rPr>
                    <w:t>对</w:t>
                  </w:r>
                  <w:r>
                    <w:rPr>
                      <w:rFonts w:hint="eastAsia" w:eastAsia="宋体"/>
                      <w:b w:val="0"/>
                      <w:bCs w:val="0"/>
                      <w:color w:val="auto"/>
                      <w:kern w:val="2"/>
                      <w:sz w:val="21"/>
                      <w:szCs w:val="21"/>
                      <w:lang w:val="en-US" w:eastAsia="zh-CN" w:bidi="ar-SA"/>
                    </w:rPr>
                    <w:t>施工场地、施工便道、临时渣场等</w:t>
                  </w:r>
                  <w:r>
                    <w:rPr>
                      <w:rFonts w:hint="eastAsia" w:ascii="Times New Roman" w:hAnsi="Times New Roman" w:eastAsia="宋体"/>
                      <w:b w:val="0"/>
                      <w:bCs w:val="0"/>
                      <w:color w:val="auto"/>
                      <w:kern w:val="2"/>
                      <w:sz w:val="21"/>
                      <w:szCs w:val="21"/>
                      <w:lang w:val="en-US" w:eastAsia="zh-CN" w:bidi="ar-SA"/>
                    </w:rPr>
                    <w:t>施工临时占地进行生态恢复。</w:t>
                  </w:r>
                </w:p>
              </w:tc>
              <w:tc>
                <w:tcPr>
                  <w:tcW w:w="994" w:type="dxa"/>
                  <w:tcBorders>
                    <w:top w:val="single" w:color="auto" w:sz="4" w:space="0"/>
                    <w:left w:val="single" w:color="000000" w:sz="8" w:space="0"/>
                    <w:bottom w:val="single" w:color="000000" w:sz="1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c>
                <w:tcPr>
                  <w:tcW w:w="787" w:type="dxa"/>
                  <w:tcBorders>
                    <w:top w:val="single" w:color="auto" w:sz="4" w:space="0"/>
                    <w:left w:val="single" w:color="000000" w:sz="8" w:space="0"/>
                    <w:bottom w:val="single" w:color="000000" w:sz="12" w:space="0"/>
                    <w:right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w:t>
                  </w:r>
                </w:p>
              </w:tc>
            </w:tr>
          </w:tbl>
          <w:p>
            <w:pPr>
              <w:spacing w:line="360" w:lineRule="auto"/>
              <w:jc w:val="center"/>
              <w:rPr>
                <w:rFonts w:hint="default" w:ascii="Times New Roman" w:hAnsi="Times New Roman" w:cs="Times New Roman"/>
                <w:snapToGrid w:val="0"/>
                <w:color w:val="auto"/>
                <w:kern w:val="0"/>
                <w:sz w:val="24"/>
                <w:lang w:val="en-US" w:eastAsia="zh-CN"/>
              </w:rPr>
            </w:pPr>
          </w:p>
          <w:p>
            <w:pPr>
              <w:adjustRightInd w:val="0"/>
              <w:snapToGrid w:val="0"/>
              <w:spacing w:line="360" w:lineRule="auto"/>
              <w:ind w:firstLine="480" w:firstLineChars="200"/>
              <w:rPr>
                <w:color w:val="auto"/>
                <w:sz w:val="24"/>
              </w:rPr>
            </w:pPr>
            <w:r>
              <w:rPr>
                <w:rFonts w:hint="eastAsia" w:ascii="Times New Roman" w:hAnsi="Times New Roman" w:cs="Times New Roman"/>
                <w:snapToGrid w:val="0"/>
                <w:color w:val="auto"/>
                <w:kern w:val="0"/>
                <w:sz w:val="24"/>
                <w:lang w:val="en-US" w:eastAsia="zh-CN"/>
              </w:rPr>
              <w:t>（二）</w:t>
            </w:r>
            <w:r>
              <w:rPr>
                <w:rFonts w:hint="eastAsia"/>
                <w:color w:val="auto"/>
                <w:sz w:val="24"/>
                <w:lang w:val="en-US" w:eastAsia="zh-CN"/>
              </w:rPr>
              <w:t>泥石流防治工程技术方案</w:t>
            </w:r>
          </w:p>
          <w:p>
            <w:pPr>
              <w:adjustRightInd w:val="0"/>
              <w:snapToGrid w:val="0"/>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1、设计标准</w:t>
            </w:r>
          </w:p>
          <w:p>
            <w:pPr>
              <w:autoSpaceDE w:val="0"/>
              <w:autoSpaceDN w:val="0"/>
              <w:spacing w:line="360" w:lineRule="auto"/>
              <w:ind w:firstLine="480" w:firstLineChars="200"/>
              <w:rPr>
                <w:color w:val="auto"/>
                <w:sz w:val="24"/>
                <w:lang w:val="zh-CN"/>
              </w:rPr>
            </w:pPr>
            <w:r>
              <w:rPr>
                <w:color w:val="auto"/>
                <w:sz w:val="24"/>
                <w:lang w:val="zh-CN"/>
              </w:rPr>
              <w:t>泥石流防治工程标准与等级一般根据被保护对象的价值及泥石流自身的活动规模与特点综合确定，同时考虑泥石流的规模、危害程度、受害对象及其可能的变化。针对</w:t>
            </w:r>
            <w:r>
              <w:rPr>
                <w:rFonts w:hint="eastAsia"/>
                <w:color w:val="auto"/>
                <w:sz w:val="24"/>
                <w:lang w:val="zh-CN"/>
              </w:rPr>
              <w:t>璜环沟</w:t>
            </w:r>
            <w:r>
              <w:rPr>
                <w:color w:val="auto"/>
                <w:sz w:val="24"/>
                <w:lang w:val="zh-CN"/>
              </w:rPr>
              <w:t>泥石流的特点，</w:t>
            </w:r>
            <w:r>
              <w:rPr>
                <w:rFonts w:hint="eastAsia" w:ascii="宋体" w:hAnsi="宋体" w:cs="宋体"/>
                <w:color w:val="auto"/>
                <w:sz w:val="24"/>
              </w:rPr>
              <w:t>根据受灾对象、威胁程度及防治工程投资，按《泥石流灾害防治工程设计规范》（DT/T0239－2004）规定，防治工程安全等级定为三级</w:t>
            </w:r>
            <w:r>
              <w:rPr>
                <w:color w:val="auto"/>
                <w:sz w:val="24"/>
                <w:lang w:val="zh-CN"/>
              </w:rPr>
              <w:t>，泥石流治理工程按照20年一遇暴雨（P=5%）标准进行设计，按照50年一遇暴雨（P=2%）标准进行校核。</w:t>
            </w:r>
          </w:p>
          <w:p>
            <w:pPr>
              <w:adjustRightInd w:val="0"/>
              <w:snapToGrid w:val="0"/>
              <w:spacing w:line="360" w:lineRule="auto"/>
              <w:ind w:firstLine="480" w:firstLineChars="200"/>
              <w:rPr>
                <w:rFonts w:hint="default"/>
                <w:color w:val="auto"/>
                <w:sz w:val="24"/>
                <w:lang w:val="en-US" w:eastAsia="zh-CN"/>
              </w:rPr>
            </w:pPr>
            <w:r>
              <w:rPr>
                <w:rFonts w:hint="eastAsia"/>
                <w:color w:val="auto"/>
                <w:sz w:val="24"/>
                <w:lang w:val="en-US" w:eastAsia="zh-CN"/>
              </w:rPr>
              <w:t>2、设计工况和荷载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按前述设计标准，在按20年一遇的降雨强度前提下，设计拦挡工程设计工况按满库过流、半库过流、空库过流三种特征结合地震因素（考虑地震和不考虑地震），共有六种工况组合，分别为工况Ⅰ满库过流（不考虑地震）、工况Ⅱ满库过流状态（考虑地震）、工况Ⅲ为半库容过流状态（不考虑地震）、工况Ⅳ为半库容过流状态（考虑地震）、工况Ⅴ为空库过流状态（不考虑地震）和工况Ⅵ为空库过流状态（考虑地震），其中以工况Ⅴ为设计工况，工况Ⅵ为校核工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各工况荷载组合为：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工况Ⅰ满库过流状态（不考虑地震），荷载组合：坝体自重（</w:t>
            </w:r>
            <w:r>
              <w:rPr>
                <w:rFonts w:hint="eastAsia" w:ascii="宋体" w:hAnsi="宋体" w:cs="宋体"/>
                <w:color w:val="auto"/>
                <w:sz w:val="24"/>
              </w:rPr>
              <w:object>
                <v:shape id="_x0000_i1025" o:spt="75" type="#_x0000_t75" style="height:10.7pt;width:8.95pt;" o:ole="t" filled="f" o:preferrelative="t" stroked="f" coordsize="21600,21600">
                  <v:path/>
                  <v:fill on="f" focussize="0,0"/>
                  <v:stroke on="f"/>
                  <v:imagedata r:id="rId9" o:title=""/>
                  <o:lock v:ext="edit" aspectratio="t"/>
                  <w10:wrap type="none"/>
                  <w10:anchorlock/>
                </v:shape>
                <o:OLEObject Type="Embed" ProgID="Equation.3" ShapeID="_x0000_i1025" DrawAspect="Content" ObjectID="_1468075725" r:id="rId8">
                  <o:LockedField>false</o:LockedField>
                </o:OLEObject>
              </w:object>
            </w:r>
            <w:r>
              <w:rPr>
                <w:rFonts w:hint="eastAsia" w:ascii="宋体" w:hAnsi="宋体" w:cs="宋体"/>
                <w:color w:val="auto"/>
                <w:sz w:val="24"/>
              </w:rPr>
              <w:t>）+土体重（</w:t>
            </w:r>
            <w:r>
              <w:rPr>
                <w:rFonts w:hint="eastAsia" w:ascii="宋体" w:hAnsi="宋体" w:cs="宋体"/>
                <w:color w:val="auto"/>
                <w:sz w:val="24"/>
              </w:rPr>
              <w:object>
                <v:shape id="_x0000_i1026" o:spt="75" type="#_x0000_t75" style="height:13.05pt;width:10.95pt;" o:ole="t" filled="f" o:preferrelative="t" stroked="f" coordsize="21600,21600">
                  <v:path/>
                  <v:fill on="f" focussize="0,0"/>
                  <v:stroke on="f"/>
                  <v:imagedata r:id="rId11" o:title=""/>
                  <o:lock v:ext="edit" aspectratio="t"/>
                  <w10:wrap type="none"/>
                  <w10:anchorlock/>
                </v:shape>
                <o:OLEObject Type="Embed" ProgID="Equation.3" ShapeID="_x0000_i1026" DrawAspect="Content" ObjectID="_1468075726" r:id="rId10">
                  <o:LockedField>false</o:LockedField>
                </o:OLEObject>
              </w:object>
            </w:r>
            <w:r>
              <w:rPr>
                <w:rFonts w:hint="eastAsia" w:ascii="宋体" w:hAnsi="宋体" w:cs="宋体"/>
                <w:color w:val="auto"/>
                <w:sz w:val="24"/>
              </w:rPr>
              <w:t>）+溢流体重（</w:t>
            </w:r>
            <w:r>
              <w:rPr>
                <w:rFonts w:hint="eastAsia" w:ascii="宋体" w:hAnsi="宋体" w:cs="宋体"/>
                <w:color w:val="auto"/>
                <w:sz w:val="24"/>
              </w:rPr>
              <w:object>
                <v:shape id="_x0000_i1027" o:spt="75" type="#_x0000_t75" style="height:11.2pt;width:10.7pt;" o:ole="t" filled="f" o:preferrelative="t" stroked="f" coordsize="21600,21600">
                  <v:path/>
                  <v:fill on="f" focussize="0,0"/>
                  <v:stroke on="f"/>
                  <v:imagedata r:id="rId13" o:title=""/>
                  <o:lock v:ext="edit" aspectratio="t"/>
                  <w10:wrap type="none"/>
                  <w10:anchorlock/>
                </v:shape>
                <o:OLEObject Type="Embed" ProgID="Equation.3" ShapeID="_x0000_i1027" DrawAspect="Content" ObjectID="_1468075727" r:id="rId12">
                  <o:LockedField>false</o:LockedField>
                </o:OLEObject>
              </w:object>
            </w:r>
            <w:r>
              <w:rPr>
                <w:rFonts w:hint="eastAsia" w:ascii="宋体" w:hAnsi="宋体" w:cs="宋体"/>
                <w:color w:val="auto"/>
                <w:sz w:val="24"/>
              </w:rPr>
              <w:t>）+过坝泥石流动水压力（</w:t>
            </w:r>
            <w:r>
              <w:rPr>
                <w:rFonts w:hint="eastAsia" w:ascii="宋体" w:hAnsi="宋体" w:cs="宋体"/>
                <w:color w:val="auto"/>
                <w:sz w:val="24"/>
              </w:rPr>
              <w:object>
                <v:shape id="_x0000_i1028" o:spt="75" type="#_x0000_t75" style="height:8.85pt;width:9.4pt;" o:ole="t" filled="f" o:preferrelative="t" stroked="f" coordsize="21600,21600">
                  <v:path/>
                  <v:fill on="f" focussize="0,0"/>
                  <v:stroke on="f"/>
                  <v:imagedata r:id="rId15" o:title=""/>
                  <o:lock v:ext="edit" aspectratio="t"/>
                  <w10:wrap type="none"/>
                  <w10:anchorlock/>
                </v:shape>
                <o:OLEObject Type="Embed" ProgID="Equation.3" ShapeID="_x0000_i1028" DrawAspect="Content" ObjectID="_1468075728" r:id="rId14">
                  <o:LockedField>false</o:LockedField>
                </o:OLEObject>
              </w:object>
            </w:r>
            <w:r>
              <w:rPr>
                <w:rFonts w:hint="eastAsia" w:ascii="宋体" w:hAnsi="宋体" w:cs="宋体"/>
                <w:color w:val="auto"/>
                <w:sz w:val="24"/>
              </w:rPr>
              <w:t>）+泥石流土体水平压力（</w:t>
            </w:r>
            <w:r>
              <w:rPr>
                <w:rFonts w:hint="eastAsia" w:ascii="宋体" w:hAnsi="宋体" w:cs="宋体"/>
                <w:color w:val="auto"/>
                <w:sz w:val="24"/>
              </w:rPr>
              <w:object>
                <v:shape id="_x0000_i1029" o:spt="75" type="#_x0000_t75" style="height:13.7pt;width:13.15pt;" o:ole="t" filled="f" o:preferrelative="t" stroked="f" coordsize="21600,21600">
                  <v:path/>
                  <v:fill on="f" focussize="0,0"/>
                  <v:stroke on="f"/>
                  <v:imagedata r:id="rId17" o:title=""/>
                  <o:lock v:ext="edit" aspectratio="t"/>
                  <w10:wrap type="none"/>
                  <w10:anchorlock/>
                </v:shape>
                <o:OLEObject Type="Embed" ProgID="Equation.3" ShapeID="_x0000_i1029" DrawAspect="Content" ObjectID="_1468075729" r:id="rId16">
                  <o:LockedField>false</o:LockedField>
                </o:OLEObject>
              </w:objec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工况Ⅱ满库过流状态（考虑地震），荷载组合：坝体自重（</w:t>
            </w:r>
            <w:r>
              <w:rPr>
                <w:rFonts w:hint="eastAsia" w:ascii="宋体" w:hAnsi="宋体" w:cs="宋体"/>
                <w:color w:val="auto"/>
                <w:sz w:val="24"/>
              </w:rPr>
              <w:object>
                <v:shape id="_x0000_i1030" o:spt="75" type="#_x0000_t75" style="height:14.7pt;width:12.35pt;" o:ole="t" filled="f" o:preferrelative="t" stroked="f" coordsize="21600,21600">
                  <v:path/>
                  <v:fill on="f" focussize="0,0"/>
                  <v:stroke on="f"/>
                  <v:imagedata r:id="rId9" o:title=""/>
                  <o:lock v:ext="edit" aspectratio="t"/>
                  <w10:wrap type="none"/>
                  <w10:anchorlock/>
                </v:shape>
                <o:OLEObject Type="Embed" ProgID="Equation.3" ShapeID="_x0000_i1030" DrawAspect="Content" ObjectID="_1468075730" r:id="rId18">
                  <o:LockedField>false</o:LockedField>
                </o:OLEObject>
              </w:object>
            </w:r>
            <w:r>
              <w:rPr>
                <w:rFonts w:hint="eastAsia" w:ascii="宋体" w:hAnsi="宋体" w:cs="宋体"/>
                <w:color w:val="auto"/>
                <w:sz w:val="24"/>
              </w:rPr>
              <w:t>）+土体重（</w:t>
            </w:r>
            <w:r>
              <w:rPr>
                <w:rFonts w:hint="eastAsia" w:ascii="宋体" w:hAnsi="宋体" w:cs="宋体"/>
                <w:color w:val="auto"/>
                <w:sz w:val="24"/>
              </w:rPr>
              <w:object>
                <v:shape id="_x0000_i1031" o:spt="75" type="#_x0000_t75" style="height:14.7pt;width:12.35pt;" o:ole="t" filled="f" o:preferrelative="t" stroked="f" coordsize="21600,21600">
                  <v:path/>
                  <v:fill on="f" focussize="0,0"/>
                  <v:stroke on="f"/>
                  <v:imagedata r:id="rId11" o:title=""/>
                  <o:lock v:ext="edit" aspectratio="t"/>
                  <w10:wrap type="none"/>
                  <w10:anchorlock/>
                </v:shape>
                <o:OLEObject Type="Embed" ProgID="Equation.3" ShapeID="_x0000_i1031" DrawAspect="Content" ObjectID="_1468075731" r:id="rId19">
                  <o:LockedField>false</o:LockedField>
                </o:OLEObject>
              </w:object>
            </w:r>
            <w:r>
              <w:rPr>
                <w:rFonts w:hint="eastAsia" w:ascii="宋体" w:hAnsi="宋体" w:cs="宋体"/>
                <w:color w:val="auto"/>
                <w:sz w:val="24"/>
              </w:rPr>
              <w:t>）+溢流体重（</w:t>
            </w:r>
            <w:r>
              <w:rPr>
                <w:rFonts w:hint="eastAsia" w:ascii="宋体" w:hAnsi="宋体" w:cs="宋体"/>
                <w:color w:val="auto"/>
                <w:sz w:val="24"/>
              </w:rPr>
              <w:object>
                <v:shape id="_x0000_i1032" o:spt="75" type="#_x0000_t75" style="height:9pt;width:8.6pt;" o:ole="t" filled="f" o:preferrelative="t" stroked="f" coordsize="21600,21600">
                  <v:path/>
                  <v:fill on="f" focussize="0,0"/>
                  <v:stroke on="f"/>
                  <v:imagedata r:id="rId13" o:title=""/>
                  <o:lock v:ext="edit" aspectratio="t"/>
                  <w10:wrap type="none"/>
                  <w10:anchorlock/>
                </v:shape>
                <o:OLEObject Type="Embed" ProgID="Equation.3" ShapeID="_x0000_i1032" DrawAspect="Content" ObjectID="_1468075732" r:id="rId20">
                  <o:LockedField>false</o:LockedField>
                </o:OLEObject>
              </w:object>
            </w:r>
            <w:r>
              <w:rPr>
                <w:rFonts w:hint="eastAsia" w:ascii="宋体" w:hAnsi="宋体" w:cs="宋体"/>
                <w:color w:val="auto"/>
                <w:sz w:val="24"/>
              </w:rPr>
              <w:t>）+过坝泥石流动水压力（</w:t>
            </w:r>
            <w:r>
              <w:rPr>
                <w:rFonts w:hint="eastAsia" w:ascii="宋体" w:hAnsi="宋体" w:cs="宋体"/>
                <w:color w:val="auto"/>
                <w:sz w:val="24"/>
              </w:rPr>
              <w:object>
                <v:shape id="_x0000_i1033" o:spt="75" type="#_x0000_t75" style="height:9.5pt;width:10.05pt;" o:ole="t" filled="f" o:preferrelative="t" stroked="f" coordsize="21600,21600">
                  <v:path/>
                  <v:fill on="f" focussize="0,0"/>
                  <v:stroke on="f"/>
                  <v:imagedata r:id="rId15" o:title=""/>
                  <o:lock v:ext="edit" aspectratio="t"/>
                  <w10:wrap type="none"/>
                  <w10:anchorlock/>
                </v:shape>
                <o:OLEObject Type="Embed" ProgID="Equation.3" ShapeID="_x0000_i1033" DrawAspect="Content" ObjectID="_1468075733" r:id="rId21">
                  <o:LockedField>false</o:LockedField>
                </o:OLEObject>
              </w:object>
            </w:r>
            <w:r>
              <w:rPr>
                <w:rFonts w:hint="eastAsia" w:ascii="宋体" w:hAnsi="宋体" w:cs="宋体"/>
                <w:color w:val="auto"/>
                <w:sz w:val="24"/>
              </w:rPr>
              <w:t>）+泥石流土体水平压力（</w:t>
            </w:r>
            <w:r>
              <w:rPr>
                <w:rFonts w:hint="eastAsia" w:ascii="宋体" w:hAnsi="宋体" w:cs="宋体"/>
                <w:color w:val="auto"/>
                <w:sz w:val="24"/>
              </w:rPr>
              <w:object>
                <v:shape id="_x0000_i1034" o:spt="75" type="#_x0000_t75" style="height:11.65pt;width:11.15pt;" o:ole="t" filled="f" o:preferrelative="t" stroked="f" coordsize="21600,21600">
                  <v:path/>
                  <v:fill on="f" focussize="0,0"/>
                  <v:stroke on="f"/>
                  <v:imagedata r:id="rId17" o:title=""/>
                  <o:lock v:ext="edit" aspectratio="t"/>
                  <w10:wrap type="none"/>
                  <w10:anchorlock/>
                </v:shape>
                <o:OLEObject Type="Embed" ProgID="Equation.3" ShapeID="_x0000_i1034" DrawAspect="Content" ObjectID="_1468075734" r:id="rId22">
                  <o:LockedField>false</o:LockedField>
                </o:OLEObject>
              </w:object>
            </w:r>
            <w:r>
              <w:rPr>
                <w:rFonts w:hint="eastAsia" w:ascii="宋体" w:hAnsi="宋体" w:cs="宋体"/>
                <w:color w:val="auto"/>
                <w:sz w:val="24"/>
              </w:rPr>
              <w:t>）+地震力（</w:t>
            </w:r>
            <w:r>
              <w:rPr>
                <w:rFonts w:hint="eastAsia" w:ascii="宋体" w:hAnsi="宋体" w:cs="宋体"/>
                <w:color w:val="auto"/>
                <w:sz w:val="24"/>
              </w:rPr>
              <w:object>
                <v:shape id="_x0000_i1035" o:spt="75" type="#_x0000_t75" style="height:13.2pt;width:13.2pt;" o:ole="t" filled="f" o:preferrelative="t" stroked="f" coordsize="21600,21600">
                  <v:path/>
                  <v:fill on="f" focussize="0,0"/>
                  <v:stroke on="f"/>
                  <v:imagedata r:id="rId24" o:title=""/>
                  <o:lock v:ext="edit" aspectratio="t"/>
                  <w10:wrap type="none"/>
                  <w10:anchorlock/>
                </v:shape>
                <o:OLEObject Type="Embed" ProgID="Equation.3" ShapeID="_x0000_i1035" DrawAspect="Content" ObjectID="_1468075735" r:id="rId23">
                  <o:LockedField>false</o:LockedField>
                </o:OLEObject>
              </w:objec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工况Ⅲ为半库容过流状态（不考虑地震），荷载组合：坝体自重（</w:t>
            </w:r>
            <w:r>
              <w:rPr>
                <w:rFonts w:hint="eastAsia" w:ascii="宋体" w:hAnsi="宋体" w:cs="宋体"/>
                <w:color w:val="auto"/>
                <w:sz w:val="24"/>
              </w:rPr>
              <w:object>
                <v:shape id="_x0000_i1036" o:spt="75" type="#_x0000_t75" style="height:12.25pt;width:10.3pt;" o:ole="t" filled="f" o:preferrelative="t" stroked="f" coordsize="21600,21600">
                  <v:path/>
                  <v:fill on="f" focussize="0,0"/>
                  <v:stroke on="f"/>
                  <v:imagedata r:id="rId9" o:title=""/>
                  <o:lock v:ext="edit" aspectratio="t"/>
                  <w10:wrap type="none"/>
                  <w10:anchorlock/>
                </v:shape>
                <o:OLEObject Type="Embed" ProgID="Equation.3" ShapeID="_x0000_i1036" DrawAspect="Content" ObjectID="_1468075736" r:id="rId25">
                  <o:LockedField>false</o:LockedField>
                </o:OLEObject>
              </w:object>
            </w:r>
            <w:r>
              <w:rPr>
                <w:rFonts w:hint="eastAsia" w:ascii="宋体" w:hAnsi="宋体" w:cs="宋体"/>
                <w:color w:val="auto"/>
                <w:sz w:val="24"/>
              </w:rPr>
              <w:t>）+土体重（</w:t>
            </w:r>
            <w:r>
              <w:rPr>
                <w:rFonts w:hint="eastAsia" w:ascii="宋体" w:hAnsi="宋体" w:cs="宋体"/>
                <w:color w:val="auto"/>
                <w:sz w:val="24"/>
              </w:rPr>
              <w:object>
                <v:shape id="_x0000_i1037" o:spt="75" type="#_x0000_t75" style="height:12.25pt;width:10.3pt;" o:ole="t" filled="f" o:preferrelative="t" stroked="f" coordsize="21600,21600">
                  <v:path/>
                  <v:fill on="f" focussize="0,0"/>
                  <v:stroke on="f"/>
                  <v:imagedata r:id="rId11" o:title=""/>
                  <o:lock v:ext="edit" aspectratio="t"/>
                  <w10:wrap type="none"/>
                  <w10:anchorlock/>
                </v:shape>
                <o:OLEObject Type="Embed" ProgID="Equation.3" ShapeID="_x0000_i1037" DrawAspect="Content" ObjectID="_1468075737" r:id="rId26">
                  <o:LockedField>false</o:LockedField>
                </o:OLEObject>
              </w:object>
            </w:r>
            <w:r>
              <w:rPr>
                <w:rFonts w:hint="eastAsia" w:ascii="宋体" w:hAnsi="宋体" w:cs="宋体"/>
                <w:color w:val="auto"/>
                <w:sz w:val="24"/>
              </w:rPr>
              <w:t>）+溢流体重（</w:t>
            </w:r>
            <w:r>
              <w:rPr>
                <w:rFonts w:hint="eastAsia" w:ascii="宋体" w:hAnsi="宋体" w:cs="宋体"/>
                <w:color w:val="auto"/>
                <w:sz w:val="24"/>
              </w:rPr>
              <w:object>
                <v:shape id="_x0000_i1038" o:spt="75" type="#_x0000_t75" style="height:13.35pt;width:12.8pt;" o:ole="t" filled="f" o:preferrelative="t" stroked="f" coordsize="21600,21600">
                  <v:path/>
                  <v:fill on="f" focussize="0,0"/>
                  <v:stroke on="f"/>
                  <v:imagedata r:id="rId13" o:title=""/>
                  <o:lock v:ext="edit" aspectratio="t"/>
                  <w10:wrap type="none"/>
                  <w10:anchorlock/>
                </v:shape>
                <o:OLEObject Type="Embed" ProgID="Equation.3" ShapeID="_x0000_i1038" DrawAspect="Content" ObjectID="_1468075738" r:id="rId27">
                  <o:LockedField>false</o:LockedField>
                </o:OLEObject>
              </w:object>
            </w:r>
            <w:r>
              <w:rPr>
                <w:rFonts w:hint="eastAsia" w:ascii="宋体" w:hAnsi="宋体" w:cs="宋体"/>
                <w:color w:val="auto"/>
                <w:sz w:val="24"/>
              </w:rPr>
              <w:t>）+过坝泥石流动水压力（</w:t>
            </w:r>
            <w:r>
              <w:rPr>
                <w:rFonts w:hint="eastAsia" w:ascii="宋体" w:hAnsi="宋体" w:cs="宋体"/>
                <w:color w:val="auto"/>
                <w:sz w:val="24"/>
              </w:rPr>
              <w:object>
                <v:shape id="_x0000_i1039" o:spt="75" type="#_x0000_t75" style="height:6pt;width:6pt;" o:ole="t" filled="f" o:preferrelative="t" stroked="f" coordsize="21600,21600">
                  <v:path/>
                  <v:fill on="f" focussize="0,0"/>
                  <v:stroke on="f"/>
                  <v:imagedata r:id="rId15" o:title=""/>
                  <o:lock v:ext="edit" aspectratio="t"/>
                  <w10:wrap type="none"/>
                  <w10:anchorlock/>
                </v:shape>
                <o:OLEObject Type="Embed" ProgID="Equation.3" ShapeID="_x0000_i1039" DrawAspect="Content" ObjectID="_1468075739" r:id="rId28">
                  <o:LockedField>false</o:LockedField>
                </o:OLEObject>
              </w:object>
            </w:r>
            <w:r>
              <w:rPr>
                <w:rFonts w:hint="eastAsia" w:ascii="宋体" w:hAnsi="宋体" w:cs="宋体"/>
                <w:color w:val="auto"/>
                <w:sz w:val="24"/>
              </w:rPr>
              <w:t>）+泥石流流体冲击力（</w:t>
            </w:r>
            <w:r>
              <w:rPr>
                <w:rFonts w:hint="eastAsia" w:ascii="宋体" w:hAnsi="宋体" w:cs="宋体"/>
                <w:color w:val="auto"/>
                <w:sz w:val="24"/>
              </w:rPr>
              <w:object>
                <v:shape id="_x0000_i1040" o:spt="75" type="#_x0000_t75" style="height:13.6pt;width:13pt;" o:ole="t" filled="f" o:preferrelative="t" stroked="f" coordsize="21600,21600">
                  <v:path/>
                  <v:fill on="f" focussize="0,0"/>
                  <v:stroke on="f"/>
                  <v:imagedata r:id="rId30" o:title=""/>
                  <o:lock v:ext="edit" aspectratio="t"/>
                  <w10:wrap type="none"/>
                  <w10:anchorlock/>
                </v:shape>
                <o:OLEObject Type="Embed" ProgID="Equation.3" ShapeID="_x0000_i1040" DrawAspect="Content" ObjectID="_1468075740" r:id="rId29">
                  <o:LockedField>false</o:LockedField>
                </o:OLEObject>
              </w:object>
            </w:r>
            <w:r>
              <w:rPr>
                <w:rFonts w:hint="eastAsia" w:ascii="宋体" w:hAnsi="宋体" w:cs="宋体"/>
                <w:color w:val="auto"/>
                <w:sz w:val="24"/>
              </w:rPr>
              <w:t>）+泥石流石块冲击力（</w:t>
            </w:r>
            <w:r>
              <w:rPr>
                <w:rFonts w:hint="eastAsia" w:ascii="宋体" w:hAnsi="宋体" w:cs="宋体"/>
                <w:color w:val="auto"/>
                <w:sz w:val="24"/>
              </w:rPr>
              <w:object>
                <v:shape id="_x0000_i1041" o:spt="75" type="#_x0000_t75" style="height:9.85pt;width:8.25pt;" o:ole="t" filled="f" o:preferrelative="t" stroked="f" coordsize="21600,21600">
                  <v:path/>
                  <v:fill on="f" focussize="0,0"/>
                  <v:stroke on="f"/>
                  <v:imagedata r:id="rId32" o:title=""/>
                  <o:lock v:ext="edit" aspectratio="t"/>
                  <w10:wrap type="none"/>
                  <w10:anchorlock/>
                </v:shape>
                <o:OLEObject Type="Embed" ProgID="Equation.3" ShapeID="_x0000_i1041" DrawAspect="Content" ObjectID="_1468075741" r:id="rId31">
                  <o:LockedField>false</o:LockedField>
                </o:OLEObject>
              </w:object>
            </w:r>
            <w:r>
              <w:rPr>
                <w:rFonts w:hint="eastAsia" w:ascii="宋体" w:hAnsi="宋体" w:cs="宋体"/>
                <w:color w:val="auto"/>
                <w:sz w:val="24"/>
              </w:rPr>
              <w:t>）+水平水压力（</w:t>
            </w:r>
            <w:r>
              <w:rPr>
                <w:rFonts w:hint="eastAsia" w:ascii="宋体" w:hAnsi="宋体" w:cs="宋体"/>
                <w:color w:val="auto"/>
                <w:sz w:val="24"/>
              </w:rPr>
              <w:object>
                <v:shape id="_x0000_i1042" o:spt="75" type="#_x0000_t75" style="height:12.25pt;width:13.3pt;" o:ole="t" filled="f" o:preferrelative="t" stroked="f" coordsize="21600,21600">
                  <v:path/>
                  <v:fill on="f" focussize="0,0"/>
                  <v:stroke on="f"/>
                  <v:imagedata r:id="rId34" o:title=""/>
                  <o:lock v:ext="edit" aspectratio="t"/>
                  <w10:wrap type="none"/>
                  <w10:anchorlock/>
                </v:shape>
                <o:OLEObject Type="Embed" ProgID="Equation.3" ShapeID="_x0000_i1042" DrawAspect="Content" ObjectID="_1468075742" r:id="rId33">
                  <o:LockedField>false</o:LockedField>
                </o:OLEObject>
              </w:object>
            </w:r>
            <w:r>
              <w:rPr>
                <w:rFonts w:hint="eastAsia" w:ascii="宋体" w:hAnsi="宋体" w:cs="宋体"/>
                <w:color w:val="auto"/>
                <w:sz w:val="24"/>
              </w:rPr>
              <w:t>）+泥石流土体水平压力（</w:t>
            </w:r>
            <w:r>
              <w:rPr>
                <w:rFonts w:hint="eastAsia" w:ascii="宋体" w:hAnsi="宋体" w:cs="宋体"/>
                <w:color w:val="auto"/>
                <w:sz w:val="24"/>
              </w:rPr>
              <w:object>
                <v:shape id="_x0000_i1043" o:spt="75" type="#_x0000_t75" style="height:10.25pt;width:9.8pt;" o:ole="t" filled="f" o:preferrelative="t" stroked="f" coordsize="21600,21600">
                  <v:path/>
                  <v:fill on="f" focussize="0,0"/>
                  <v:stroke on="f"/>
                  <v:imagedata r:id="rId17" o:title=""/>
                  <o:lock v:ext="edit" aspectratio="t"/>
                  <w10:wrap type="none"/>
                  <w10:anchorlock/>
                </v:shape>
                <o:OLEObject Type="Embed" ProgID="Equation.3" ShapeID="_x0000_i1043" DrawAspect="Content" ObjectID="_1468075743" r:id="rId35">
                  <o:LockedField>false</o:LockedField>
                </o:OLEObject>
              </w:object>
            </w:r>
            <w:r>
              <w:rPr>
                <w:rFonts w:hint="eastAsia" w:ascii="宋体" w:hAnsi="宋体" w:cs="宋体"/>
                <w:color w:val="auto"/>
                <w:sz w:val="24"/>
              </w:rPr>
              <w:t>）+ 扬压力（考虑折减）（</w:t>
            </w:r>
            <w:r>
              <w:rPr>
                <w:rFonts w:hint="eastAsia" w:ascii="宋体" w:hAnsi="宋体" w:cs="宋体"/>
                <w:color w:val="auto"/>
                <w:sz w:val="24"/>
              </w:rPr>
              <w:object>
                <v:shape id="_x0000_i1044" o:spt="75" type="#_x0000_t75" style="height:9pt;width:6.9pt;" o:ole="t" filled="f" o:preferrelative="t" stroked="f" coordsize="21600,21600">
                  <v:path/>
                  <v:fill on="f" focussize="0,0"/>
                  <v:stroke on="f"/>
                  <v:imagedata r:id="rId37" o:title=""/>
                  <o:lock v:ext="edit" aspectratio="t"/>
                  <w10:wrap type="none"/>
                  <w10:anchorlock/>
                </v:shape>
                <o:OLEObject Type="Embed" ProgID="Equation.3" ShapeID="_x0000_i1044" DrawAspect="Content" ObjectID="_1468075744" r:id="rId36">
                  <o:LockedField>false</o:LockedField>
                </o:OLEObject>
              </w:objec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工况Ⅳ为半库容过流状态（考虑地震），荷载组合：坝体自重（</w:t>
            </w:r>
            <w:r>
              <w:rPr>
                <w:rFonts w:hint="eastAsia" w:ascii="宋体" w:hAnsi="宋体" w:cs="宋体"/>
                <w:color w:val="auto"/>
                <w:sz w:val="24"/>
              </w:rPr>
              <w:object>
                <v:shape id="_x0000_i1045" o:spt="75" type="#_x0000_t75" style="height:13.05pt;width:10.95pt;" o:ole="t" filled="f" o:preferrelative="t" stroked="f" coordsize="21600,21600">
                  <v:path/>
                  <v:fill on="f" focussize="0,0"/>
                  <v:stroke on="f"/>
                  <v:imagedata r:id="rId9" o:title=""/>
                  <o:lock v:ext="edit" aspectratio="t"/>
                  <w10:wrap type="none"/>
                  <w10:anchorlock/>
                </v:shape>
                <o:OLEObject Type="Embed" ProgID="Equation.3" ShapeID="_x0000_i1045" DrawAspect="Content" ObjectID="_1468075745" r:id="rId38">
                  <o:LockedField>false</o:LockedField>
                </o:OLEObject>
              </w:object>
            </w:r>
            <w:r>
              <w:rPr>
                <w:rFonts w:hint="eastAsia" w:ascii="宋体" w:hAnsi="宋体" w:cs="宋体"/>
                <w:color w:val="auto"/>
                <w:sz w:val="24"/>
              </w:rPr>
              <w:t>）+土体重（</w:t>
            </w:r>
            <w:r>
              <w:rPr>
                <w:rFonts w:hint="eastAsia" w:ascii="宋体" w:hAnsi="宋体" w:cs="宋体"/>
                <w:color w:val="auto"/>
                <w:sz w:val="24"/>
              </w:rPr>
              <w:object>
                <v:shape id="_x0000_i1046" o:spt="75" type="#_x0000_t75" style="height:12.2pt;width:10.25pt;" o:ole="t" filled="f" o:preferrelative="t" stroked="f" coordsize="21600,21600">
                  <v:path/>
                  <v:fill on="f" focussize="0,0"/>
                  <v:stroke on="f"/>
                  <v:imagedata r:id="rId11" o:title=""/>
                  <o:lock v:ext="edit" aspectratio="t"/>
                  <w10:wrap type="none"/>
                  <w10:anchorlock/>
                </v:shape>
                <o:OLEObject Type="Embed" ProgID="Equation.3" ShapeID="_x0000_i1046" DrawAspect="Content" ObjectID="_1468075746" r:id="rId39">
                  <o:LockedField>false</o:LockedField>
                </o:OLEObject>
              </w:object>
            </w:r>
            <w:r>
              <w:rPr>
                <w:rFonts w:hint="eastAsia" w:ascii="宋体" w:hAnsi="宋体" w:cs="宋体"/>
                <w:color w:val="auto"/>
                <w:sz w:val="24"/>
              </w:rPr>
              <w:t>）+溢流体重（</w:t>
            </w:r>
            <w:r>
              <w:rPr>
                <w:rFonts w:hint="eastAsia" w:ascii="宋体" w:hAnsi="宋体" w:cs="宋体"/>
                <w:color w:val="auto"/>
                <w:sz w:val="24"/>
              </w:rPr>
              <w:object>
                <v:shape id="_x0000_i1047" o:spt="75" type="#_x0000_t75" style="height:9.95pt;width:9.5pt;" o:ole="t" filled="f" o:preferrelative="t" stroked="f" coordsize="21600,21600">
                  <v:path/>
                  <v:fill on="f" focussize="0,0"/>
                  <v:stroke on="f"/>
                  <v:imagedata r:id="rId13" o:title=""/>
                  <o:lock v:ext="edit" aspectratio="t"/>
                  <w10:wrap type="none"/>
                  <w10:anchorlock/>
                </v:shape>
                <o:OLEObject Type="Embed" ProgID="Equation.3" ShapeID="_x0000_i1047" DrawAspect="Content" ObjectID="_1468075747" r:id="rId40">
                  <o:LockedField>false</o:LockedField>
                </o:OLEObject>
              </w:object>
            </w:r>
            <w:r>
              <w:rPr>
                <w:rFonts w:hint="eastAsia" w:ascii="宋体" w:hAnsi="宋体" w:cs="宋体"/>
                <w:color w:val="auto"/>
                <w:sz w:val="24"/>
              </w:rPr>
              <w:t>）+过坝泥石流动水压力（</w:t>
            </w:r>
            <w:r>
              <w:rPr>
                <w:rFonts w:hint="eastAsia" w:ascii="宋体" w:hAnsi="宋体" w:cs="宋体"/>
                <w:color w:val="auto"/>
                <w:sz w:val="24"/>
              </w:rPr>
              <w:object>
                <v:shape id="_x0000_i1048" o:spt="75" type="#_x0000_t75" style="height:10.75pt;width:11.35pt;" o:ole="t" filled="f" o:preferrelative="t" stroked="f" coordsize="21600,21600">
                  <v:path/>
                  <v:fill on="f" focussize="0,0"/>
                  <v:stroke on="f"/>
                  <v:imagedata r:id="rId15" o:title=""/>
                  <o:lock v:ext="edit" aspectratio="t"/>
                  <w10:wrap type="none"/>
                  <w10:anchorlock/>
                </v:shape>
                <o:OLEObject Type="Embed" ProgID="Equation.3" ShapeID="_x0000_i1048" DrawAspect="Content" ObjectID="_1468075748" r:id="rId41">
                  <o:LockedField>false</o:LockedField>
                </o:OLEObject>
              </w:object>
            </w:r>
            <w:r>
              <w:rPr>
                <w:rFonts w:hint="eastAsia" w:ascii="宋体" w:hAnsi="宋体" w:cs="宋体"/>
                <w:color w:val="auto"/>
                <w:sz w:val="24"/>
              </w:rPr>
              <w:t>）+泥石流流体冲击力（</w:t>
            </w:r>
            <w:r>
              <w:rPr>
                <w:rFonts w:hint="eastAsia" w:ascii="宋体" w:hAnsi="宋体" w:cs="宋体"/>
                <w:color w:val="auto"/>
                <w:sz w:val="24"/>
              </w:rPr>
              <w:object>
                <v:shape id="_x0000_i1049" o:spt="75" type="#_x0000_t75" style="height:10.8pt;width:10.3pt;" o:ole="t" filled="f" o:preferrelative="t" stroked="f" coordsize="21600,21600">
                  <v:path/>
                  <v:fill on="f" focussize="0,0"/>
                  <v:stroke on="f"/>
                  <v:imagedata r:id="rId30" o:title=""/>
                  <o:lock v:ext="edit" aspectratio="t"/>
                  <w10:wrap type="none"/>
                  <w10:anchorlock/>
                </v:shape>
                <o:OLEObject Type="Embed" ProgID="Equation.3" ShapeID="_x0000_i1049" DrawAspect="Content" ObjectID="_1468075749" r:id="rId42">
                  <o:LockedField>false</o:LockedField>
                </o:OLEObject>
              </w:object>
            </w:r>
            <w:r>
              <w:rPr>
                <w:rFonts w:hint="eastAsia" w:ascii="宋体" w:hAnsi="宋体" w:cs="宋体"/>
                <w:color w:val="auto"/>
                <w:sz w:val="24"/>
              </w:rPr>
              <w:t>）+泥石流石块冲击力（</w:t>
            </w:r>
            <w:r>
              <w:rPr>
                <w:rFonts w:hint="eastAsia" w:ascii="宋体" w:hAnsi="宋体" w:cs="宋体"/>
                <w:color w:val="auto"/>
                <w:sz w:val="24"/>
              </w:rPr>
              <w:object>
                <v:shape id="_x0000_i1050" o:spt="75" type="#_x0000_t75" style="height:10.7pt;width:9pt;" o:ole="t" filled="f" o:preferrelative="t" stroked="f" coordsize="21600,21600">
                  <v:path/>
                  <v:fill on="f" focussize="0,0"/>
                  <v:stroke on="f"/>
                  <v:imagedata r:id="rId32" o:title=""/>
                  <o:lock v:ext="edit" aspectratio="t"/>
                  <w10:wrap type="none"/>
                  <w10:anchorlock/>
                </v:shape>
                <o:OLEObject Type="Embed" ProgID="Equation.3" ShapeID="_x0000_i1050" DrawAspect="Content" ObjectID="_1468075750" r:id="rId43">
                  <o:LockedField>false</o:LockedField>
                </o:OLEObject>
              </w:object>
            </w:r>
            <w:r>
              <w:rPr>
                <w:rFonts w:hint="eastAsia" w:ascii="宋体" w:hAnsi="宋体" w:cs="宋体"/>
                <w:color w:val="auto"/>
                <w:sz w:val="24"/>
              </w:rPr>
              <w:t>）+水平水压力（</w:t>
            </w:r>
            <w:r>
              <w:rPr>
                <w:rFonts w:hint="eastAsia" w:ascii="宋体" w:hAnsi="宋体" w:cs="宋体"/>
                <w:color w:val="auto"/>
                <w:sz w:val="24"/>
              </w:rPr>
              <w:object>
                <v:shape id="_x0000_i1051" o:spt="75" type="#_x0000_t75" style="height:11pt;width:11.95pt;" o:ole="t" filled="f" o:preferrelative="t" stroked="f" coordsize="21600,21600">
                  <v:path/>
                  <v:fill on="f" focussize="0,0"/>
                  <v:stroke on="f"/>
                  <v:imagedata r:id="rId34" o:title=""/>
                  <o:lock v:ext="edit" aspectratio="t"/>
                  <w10:wrap type="none"/>
                  <w10:anchorlock/>
                </v:shape>
                <o:OLEObject Type="Embed" ProgID="Equation.3" ShapeID="_x0000_i1051" DrawAspect="Content" ObjectID="_1468075751" r:id="rId44">
                  <o:LockedField>false</o:LockedField>
                </o:OLEObject>
              </w:object>
            </w:r>
            <w:r>
              <w:rPr>
                <w:rFonts w:hint="eastAsia" w:ascii="宋体" w:hAnsi="宋体" w:cs="宋体"/>
                <w:color w:val="auto"/>
                <w:sz w:val="24"/>
              </w:rPr>
              <w:t>）+泥石流土体水平压力（</w:t>
            </w:r>
            <w:r>
              <w:rPr>
                <w:rFonts w:hint="eastAsia" w:ascii="宋体" w:hAnsi="宋体" w:cs="宋体"/>
                <w:color w:val="auto"/>
                <w:sz w:val="24"/>
              </w:rPr>
              <w:object>
                <v:shape id="_x0000_i1052" o:spt="75" type="#_x0000_t75" style="height:12.35pt;width:11.85pt;" o:ole="t" filled="f" o:preferrelative="t" stroked="f" coordsize="21600,21600">
                  <v:path/>
                  <v:fill on="f" focussize="0,0"/>
                  <v:stroke on="f"/>
                  <v:imagedata r:id="rId17" o:title=""/>
                  <o:lock v:ext="edit" aspectratio="t"/>
                  <w10:wrap type="none"/>
                  <w10:anchorlock/>
                </v:shape>
                <o:OLEObject Type="Embed" ProgID="Equation.3" ShapeID="_x0000_i1052" DrawAspect="Content" ObjectID="_1468075752" r:id="rId45">
                  <o:LockedField>false</o:LockedField>
                </o:OLEObject>
              </w:object>
            </w:r>
            <w:r>
              <w:rPr>
                <w:rFonts w:hint="eastAsia" w:ascii="宋体" w:hAnsi="宋体" w:cs="宋体"/>
                <w:color w:val="auto"/>
                <w:sz w:val="24"/>
              </w:rPr>
              <w:t>）+ 扬压力（考虑折减）（</w:t>
            </w:r>
            <w:r>
              <w:rPr>
                <w:rFonts w:hint="eastAsia" w:ascii="宋体" w:hAnsi="宋体" w:cs="宋体"/>
                <w:color w:val="auto"/>
                <w:sz w:val="24"/>
              </w:rPr>
              <w:object>
                <v:shape id="_x0000_i1053" o:spt="75" type="#_x0000_t75" style="height:10.65pt;width:8.2pt;" o:ole="t" filled="f" o:preferrelative="t" stroked="f" coordsize="21600,21600">
                  <v:path/>
                  <v:fill on="f" focussize="0,0"/>
                  <v:stroke on="f"/>
                  <v:imagedata r:id="rId37" o:title=""/>
                  <o:lock v:ext="edit" aspectratio="t"/>
                  <w10:wrap type="none"/>
                  <w10:anchorlock/>
                </v:shape>
                <o:OLEObject Type="Embed" ProgID="Equation.3" ShapeID="_x0000_i1053" DrawAspect="Content" ObjectID="_1468075753" r:id="rId46">
                  <o:LockedField>false</o:LockedField>
                </o:OLEObject>
              </w:object>
            </w:r>
            <w:r>
              <w:rPr>
                <w:rFonts w:hint="eastAsia" w:ascii="宋体" w:hAnsi="宋体" w:cs="宋体"/>
                <w:color w:val="auto"/>
                <w:sz w:val="24"/>
              </w:rPr>
              <w:t>）+地震力（</w:t>
            </w:r>
            <w:r>
              <w:rPr>
                <w:rFonts w:hint="eastAsia" w:ascii="宋体" w:hAnsi="宋体" w:cs="宋体"/>
                <w:color w:val="auto"/>
                <w:sz w:val="24"/>
              </w:rPr>
              <w:object>
                <v:shape id="_x0000_i1054" o:spt="75" type="#_x0000_t75" style="height:10.6pt;width:10.6pt;" o:ole="t" filled="f" o:preferrelative="t" stroked="f" coordsize="21600,21600">
                  <v:path/>
                  <v:fill on="f" focussize="0,0"/>
                  <v:stroke on="f"/>
                  <v:imagedata r:id="rId24" o:title=""/>
                  <o:lock v:ext="edit" aspectratio="t"/>
                  <w10:wrap type="none"/>
                  <w10:anchorlock/>
                </v:shape>
                <o:OLEObject Type="Embed" ProgID="Equation.3" ShapeID="_x0000_i1054" DrawAspect="Content" ObjectID="_1468075754" r:id="rId47">
                  <o:LockedField>false</o:LockedField>
                </o:OLEObject>
              </w:objec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工况Ⅴ为空库过流状态（不考虑地震），荷载组合：坝体自重（</w:t>
            </w:r>
            <w:r>
              <w:rPr>
                <w:rFonts w:hint="eastAsia" w:ascii="宋体" w:hAnsi="宋体" w:cs="宋体"/>
                <w:color w:val="auto"/>
                <w:sz w:val="24"/>
              </w:rPr>
              <w:object>
                <v:shape id="_x0000_i1055" o:spt="75" type="#_x0000_t75" style="height:7.4pt;width:6.2pt;" o:ole="t" filled="f" o:preferrelative="t" stroked="f" coordsize="21600,21600">
                  <v:path/>
                  <v:fill on="f" focussize="0,0"/>
                  <v:stroke on="f"/>
                  <v:imagedata r:id="rId9" o:title=""/>
                  <o:lock v:ext="edit" aspectratio="t"/>
                  <w10:wrap type="none"/>
                  <w10:anchorlock/>
                </v:shape>
                <o:OLEObject Type="Embed" ProgID="Equation.3" ShapeID="_x0000_i1055" DrawAspect="Content" ObjectID="_1468075755" r:id="rId48">
                  <o:LockedField>false</o:LockedField>
                </o:OLEObject>
              </w:object>
            </w:r>
            <w:r>
              <w:rPr>
                <w:rFonts w:hint="eastAsia" w:ascii="宋体" w:hAnsi="宋体" w:cs="宋体"/>
                <w:color w:val="auto"/>
                <w:sz w:val="24"/>
              </w:rPr>
              <w:t>）+溢流体重（</w:t>
            </w:r>
            <w:r>
              <w:rPr>
                <w:rFonts w:hint="eastAsia" w:ascii="宋体" w:hAnsi="宋体" w:cs="宋体"/>
                <w:color w:val="auto"/>
                <w:sz w:val="24"/>
              </w:rPr>
              <w:object>
                <v:shape id="_x0000_i1056" o:spt="75" type="#_x0000_t75" style="height:10.9pt;width:10.8pt;" o:ole="t" filled="f" o:preferrelative="t" stroked="f" coordsize="21600,21600">
                  <v:path/>
                  <v:fill on="f" focussize="0,0"/>
                  <v:stroke on="f"/>
                  <v:imagedata r:id="rId13" o:title=""/>
                  <o:lock v:ext="edit" aspectratio="t"/>
                  <w10:wrap type="none"/>
                  <w10:anchorlock/>
                </v:shape>
                <o:OLEObject Type="Embed" ProgID="Equation.3" ShapeID="_x0000_i1056" DrawAspect="Content" ObjectID="_1468075756" r:id="rId49">
                  <o:LockedField>false</o:LockedField>
                </o:OLEObject>
              </w:object>
            </w:r>
            <w:r>
              <w:rPr>
                <w:rFonts w:hint="eastAsia" w:ascii="宋体" w:hAnsi="宋体" w:cs="宋体"/>
                <w:color w:val="auto"/>
                <w:sz w:val="24"/>
              </w:rPr>
              <w:t>）+过坝泥石流动水压力（</w:t>
            </w:r>
            <w:r>
              <w:rPr>
                <w:rFonts w:hint="eastAsia" w:ascii="宋体" w:hAnsi="宋体" w:cs="宋体"/>
                <w:color w:val="auto"/>
                <w:sz w:val="24"/>
              </w:rPr>
              <w:object>
                <v:shape id="_x0000_i1057" o:spt="75" type="#_x0000_t75" style="height:10.75pt;width:11.35pt;" o:ole="t" filled="f" o:preferrelative="t" stroked="f" coordsize="21600,21600">
                  <v:path/>
                  <v:fill on="f" focussize="0,0"/>
                  <v:stroke on="f"/>
                  <v:imagedata r:id="rId15" o:title=""/>
                  <o:lock v:ext="edit" aspectratio="t"/>
                  <w10:wrap type="none"/>
                  <w10:anchorlock/>
                </v:shape>
                <o:OLEObject Type="Embed" ProgID="Equation.3" ShapeID="_x0000_i1057" DrawAspect="Content" ObjectID="_1468075757" r:id="rId50">
                  <o:LockedField>false</o:LockedField>
                </o:OLEObject>
              </w:object>
            </w:r>
            <w:r>
              <w:rPr>
                <w:rFonts w:hint="eastAsia" w:ascii="宋体" w:hAnsi="宋体" w:cs="宋体"/>
                <w:color w:val="auto"/>
                <w:sz w:val="24"/>
              </w:rPr>
              <w:t>）+水平水压力（</w:t>
            </w:r>
            <w:r>
              <w:rPr>
                <w:rFonts w:hint="eastAsia" w:ascii="宋体" w:hAnsi="宋体" w:cs="宋体"/>
                <w:color w:val="auto"/>
                <w:sz w:val="24"/>
              </w:rPr>
              <w:object>
                <v:shape id="_x0000_i1058" o:spt="75" type="#_x0000_t75" style="height:12.25pt;width:13.3pt;" o:ole="t" filled="f" o:preferrelative="t" stroked="f" coordsize="21600,21600">
                  <v:path/>
                  <v:fill on="f" focussize="0,0"/>
                  <v:stroke on="f"/>
                  <v:imagedata r:id="rId34" o:title=""/>
                  <o:lock v:ext="edit" aspectratio="t"/>
                  <w10:wrap type="none"/>
                  <w10:anchorlock/>
                </v:shape>
                <o:OLEObject Type="Embed" ProgID="Equation.3" ShapeID="_x0000_i1058" DrawAspect="Content" ObjectID="_1468075758" r:id="rId51">
                  <o:LockedField>false</o:LockedField>
                </o:OLEObject>
              </w:object>
            </w:r>
            <w:r>
              <w:rPr>
                <w:rFonts w:hint="eastAsia" w:ascii="宋体" w:hAnsi="宋体" w:cs="宋体"/>
                <w:color w:val="auto"/>
                <w:sz w:val="24"/>
              </w:rPr>
              <w:t>）+泥石流流体冲击力（</w:t>
            </w:r>
            <w:r>
              <w:rPr>
                <w:rFonts w:hint="eastAsia" w:ascii="宋体" w:hAnsi="宋体" w:cs="宋体"/>
                <w:color w:val="auto"/>
                <w:sz w:val="24"/>
              </w:rPr>
              <w:object>
                <v:shape id="_x0000_i1059" o:spt="75" type="#_x0000_t75" style="height:10.8pt;width:10.3pt;" o:ole="t" filled="f" o:preferrelative="t" stroked="f" coordsize="21600,21600">
                  <v:path/>
                  <v:fill on="f" focussize="0,0"/>
                  <v:stroke on="f"/>
                  <v:imagedata r:id="rId30" o:title=""/>
                  <o:lock v:ext="edit" aspectratio="t"/>
                  <w10:wrap type="none"/>
                  <w10:anchorlock/>
                </v:shape>
                <o:OLEObject Type="Embed" ProgID="Equation.3" ShapeID="_x0000_i1059" DrawAspect="Content" ObjectID="_1468075759" r:id="rId52">
                  <o:LockedField>false</o:LockedField>
                </o:OLEObject>
              </w:object>
            </w:r>
            <w:r>
              <w:rPr>
                <w:rFonts w:hint="eastAsia" w:ascii="宋体" w:hAnsi="宋体" w:cs="宋体"/>
                <w:color w:val="auto"/>
                <w:sz w:val="24"/>
              </w:rPr>
              <w:t>）+泥石流石块冲击力（</w:t>
            </w:r>
            <w:r>
              <w:rPr>
                <w:rFonts w:hint="eastAsia" w:ascii="宋体" w:hAnsi="宋体" w:cs="宋体"/>
                <w:color w:val="auto"/>
                <w:sz w:val="24"/>
              </w:rPr>
              <w:object>
                <v:shape id="_x0000_i1060" o:spt="75" type="#_x0000_t75" style="height:10.55pt;width:8.85pt;" o:ole="t" filled="f" o:preferrelative="t" stroked="f" coordsize="21600,21600">
                  <v:path/>
                  <v:fill on="f" focussize="0,0"/>
                  <v:stroke on="f"/>
                  <v:imagedata r:id="rId32" o:title=""/>
                  <o:lock v:ext="edit" aspectratio="t"/>
                  <w10:wrap type="none"/>
                  <w10:anchorlock/>
                </v:shape>
                <o:OLEObject Type="Embed" ProgID="Equation.3" ShapeID="_x0000_i1060" DrawAspect="Content" ObjectID="_1468075760" r:id="rId53">
                  <o:LockedField>false</o:LockedField>
                </o:OLEObject>
              </w:object>
            </w:r>
            <w:r>
              <w:rPr>
                <w:rFonts w:hint="eastAsia" w:ascii="宋体" w:hAnsi="宋体" w:cs="宋体"/>
                <w:color w:val="auto"/>
                <w:sz w:val="24"/>
              </w:rPr>
              <w:t>）+扬压力（未折减）（</w:t>
            </w:r>
            <w:r>
              <w:rPr>
                <w:rFonts w:hint="eastAsia" w:ascii="宋体" w:hAnsi="宋体" w:cs="宋体"/>
                <w:color w:val="auto"/>
                <w:sz w:val="24"/>
              </w:rPr>
              <w:object>
                <v:shape id="_x0000_i1061" o:spt="75" type="#_x0000_t75" style="height:11.55pt;width:8.9pt;" o:ole="t" filled="f" o:preferrelative="t" stroked="f" coordsize="21600,21600">
                  <v:path/>
                  <v:fill on="f" focussize="0,0"/>
                  <v:stroke on="f"/>
                  <v:imagedata r:id="rId37" o:title=""/>
                  <o:lock v:ext="edit" aspectratio="t"/>
                  <w10:wrap type="none"/>
                  <w10:anchorlock/>
                </v:shape>
                <o:OLEObject Type="Embed" ProgID="Equation.3" ShapeID="_x0000_i1061" DrawAspect="Content" ObjectID="_1468075761" r:id="rId54">
                  <o:LockedField>false</o:LockedField>
                </o:OLEObject>
              </w:object>
            </w:r>
            <w:r>
              <w:rPr>
                <w:rFonts w:hint="eastAsia" w:ascii="宋体" w:hAnsi="宋体" w:cs="宋体"/>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rPr>
            </w:pPr>
            <w:r>
              <w:rPr>
                <w:rFonts w:hint="eastAsia" w:ascii="宋体" w:hAnsi="宋体" w:cs="宋体"/>
                <w:color w:val="auto"/>
                <w:sz w:val="24"/>
              </w:rPr>
              <w:t>工况Ⅵ为空库过流状态（考虑地震），荷载组合：坝体自重（</w:t>
            </w:r>
            <w:r>
              <w:rPr>
                <w:rFonts w:hint="eastAsia" w:ascii="宋体" w:hAnsi="宋体" w:cs="宋体"/>
                <w:color w:val="auto"/>
                <w:sz w:val="24"/>
              </w:rPr>
              <w:object>
                <v:shape id="_x0000_i1062" o:spt="75" type="#_x0000_t75" style="height:13.1pt;width:11pt;" o:ole="t" filled="f" o:preferrelative="t" stroked="f" coordsize="21600,21600">
                  <v:path/>
                  <v:fill on="f" focussize="0,0"/>
                  <v:stroke on="f"/>
                  <v:imagedata r:id="rId9" o:title=""/>
                  <o:lock v:ext="edit" aspectratio="t"/>
                  <w10:wrap type="none"/>
                  <w10:anchorlock/>
                </v:shape>
                <o:OLEObject Type="Embed" ProgID="Equation.3" ShapeID="_x0000_i1062" DrawAspect="Content" ObjectID="_1468075762" r:id="rId55">
                  <o:LockedField>false</o:LockedField>
                </o:OLEObject>
              </w:object>
            </w:r>
            <w:r>
              <w:rPr>
                <w:rFonts w:hint="eastAsia" w:ascii="宋体" w:hAnsi="宋体" w:cs="宋体"/>
                <w:color w:val="auto"/>
                <w:sz w:val="24"/>
              </w:rPr>
              <w:t>）+溢流体重（</w:t>
            </w:r>
            <w:r>
              <w:rPr>
                <w:rFonts w:hint="eastAsia" w:ascii="宋体" w:hAnsi="宋体" w:cs="宋体"/>
                <w:color w:val="auto"/>
                <w:sz w:val="24"/>
              </w:rPr>
              <w:object>
                <v:shape id="_x0000_i1063" o:spt="75" type="#_x0000_t75" style="height:13.8pt;width:13.25pt;" o:ole="t" filled="f" o:preferrelative="t" stroked="f" coordsize="21600,21600">
                  <v:path/>
                  <v:fill on="f" focussize="0,0"/>
                  <v:stroke on="f"/>
                  <v:imagedata r:id="rId13" o:title=""/>
                  <o:lock v:ext="edit" aspectratio="t"/>
                  <w10:wrap type="none"/>
                  <w10:anchorlock/>
                </v:shape>
                <o:OLEObject Type="Embed" ProgID="Equation.3" ShapeID="_x0000_i1063" DrawAspect="Content" ObjectID="_1468075763" r:id="rId56">
                  <o:LockedField>false</o:LockedField>
                </o:OLEObject>
              </w:object>
            </w:r>
            <w:r>
              <w:rPr>
                <w:rFonts w:hint="eastAsia" w:ascii="宋体" w:hAnsi="宋体" w:cs="宋体"/>
                <w:color w:val="auto"/>
                <w:sz w:val="24"/>
              </w:rPr>
              <w:t>）+过坝泥石流动水压力（</w:t>
            </w:r>
            <w:r>
              <w:rPr>
                <w:rFonts w:hint="eastAsia" w:ascii="宋体" w:hAnsi="宋体" w:cs="宋体"/>
                <w:color w:val="auto"/>
                <w:sz w:val="24"/>
              </w:rPr>
              <w:object>
                <v:shape id="_x0000_i1064" o:spt="75" type="#_x0000_t75" style="height:6.6pt;width:6.95pt;" o:ole="t" filled="f" o:preferrelative="t" stroked="f" coordsize="21600,21600">
                  <v:path/>
                  <v:fill on="f" focussize="0,0"/>
                  <v:stroke on="f"/>
                  <v:imagedata r:id="rId15" o:title=""/>
                  <o:lock v:ext="edit" aspectratio="t"/>
                  <w10:wrap type="none"/>
                  <w10:anchorlock/>
                </v:shape>
                <o:OLEObject Type="Embed" ProgID="Equation.3" ShapeID="_x0000_i1064" DrawAspect="Content" ObjectID="_1468075764" r:id="rId57">
                  <o:LockedField>false</o:LockedField>
                </o:OLEObject>
              </w:object>
            </w:r>
            <w:r>
              <w:rPr>
                <w:rFonts w:hint="eastAsia" w:ascii="宋体" w:hAnsi="宋体" w:cs="宋体"/>
                <w:color w:val="auto"/>
                <w:sz w:val="24"/>
              </w:rPr>
              <w:t>）+水平水压力（</w:t>
            </w:r>
            <w:r>
              <w:rPr>
                <w:rFonts w:hint="eastAsia" w:ascii="宋体" w:hAnsi="宋体" w:cs="宋体"/>
                <w:color w:val="auto"/>
                <w:sz w:val="24"/>
              </w:rPr>
              <w:object>
                <v:shape id="_x0000_i1065" o:spt="75" type="#_x0000_t75" style="height:12.95pt;width:14.05pt;" o:ole="t" filled="f" o:preferrelative="t" stroked="f" coordsize="21600,21600">
                  <v:path/>
                  <v:fill on="f" focussize="0,0"/>
                  <v:stroke on="f"/>
                  <v:imagedata r:id="rId34" o:title=""/>
                  <o:lock v:ext="edit" aspectratio="t"/>
                  <w10:wrap type="none"/>
                  <w10:anchorlock/>
                </v:shape>
                <o:OLEObject Type="Embed" ProgID="Equation.3" ShapeID="_x0000_i1065" DrawAspect="Content" ObjectID="_1468075765" r:id="rId58">
                  <o:LockedField>false</o:LockedField>
                </o:OLEObject>
              </w:object>
            </w:r>
            <w:r>
              <w:rPr>
                <w:rFonts w:hint="eastAsia" w:ascii="宋体" w:hAnsi="宋体" w:cs="宋体"/>
                <w:color w:val="auto"/>
                <w:sz w:val="24"/>
              </w:rPr>
              <w:t>）+泥石流流体冲击力（</w:t>
            </w:r>
            <w:r>
              <w:rPr>
                <w:rFonts w:hint="eastAsia" w:ascii="宋体" w:hAnsi="宋体" w:cs="宋体"/>
                <w:color w:val="auto"/>
                <w:sz w:val="24"/>
              </w:rPr>
              <w:object>
                <v:shape id="_x0000_i1066" o:spt="75" type="#_x0000_t75" style="height:10.1pt;width:9.65pt;" o:ole="t" filled="f" o:preferrelative="t" stroked="f" coordsize="21600,21600">
                  <v:path/>
                  <v:fill on="f" focussize="0,0"/>
                  <v:stroke on="f"/>
                  <v:imagedata r:id="rId30" o:title=""/>
                  <o:lock v:ext="edit" aspectratio="t"/>
                  <w10:wrap type="none"/>
                  <w10:anchorlock/>
                </v:shape>
                <o:OLEObject Type="Embed" ProgID="Equation.3" ShapeID="_x0000_i1066" DrawAspect="Content" ObjectID="_1468075766" r:id="rId59">
                  <o:LockedField>false</o:LockedField>
                </o:OLEObject>
              </w:object>
            </w:r>
            <w:r>
              <w:rPr>
                <w:rFonts w:hint="eastAsia" w:ascii="宋体" w:hAnsi="宋体" w:cs="宋体"/>
                <w:color w:val="auto"/>
                <w:sz w:val="24"/>
              </w:rPr>
              <w:t>）+泥石流石块冲击力（</w:t>
            </w:r>
            <w:r>
              <w:rPr>
                <w:rFonts w:hint="eastAsia" w:ascii="宋体" w:hAnsi="宋体" w:cs="宋体"/>
                <w:color w:val="auto"/>
                <w:sz w:val="24"/>
              </w:rPr>
              <w:object>
                <v:shape id="_x0000_i1067" o:spt="75" type="#_x0000_t75" style="height:14.65pt;width:12.35pt;" o:ole="t" filled="f" o:preferrelative="t" stroked="f" coordsize="21600,21600">
                  <v:path/>
                  <v:fill on="f" focussize="0,0"/>
                  <v:stroke on="f"/>
                  <v:imagedata r:id="rId32" o:title=""/>
                  <o:lock v:ext="edit" aspectratio="t"/>
                  <w10:wrap type="none"/>
                  <w10:anchorlock/>
                </v:shape>
                <o:OLEObject Type="Embed" ProgID="Equation.3" ShapeID="_x0000_i1067" DrawAspect="Content" ObjectID="_1468075767" r:id="rId60">
                  <o:LockedField>false</o:LockedField>
                </o:OLEObject>
              </w:object>
            </w:r>
            <w:r>
              <w:rPr>
                <w:rFonts w:hint="eastAsia" w:ascii="宋体" w:hAnsi="宋体" w:cs="宋体"/>
                <w:color w:val="auto"/>
                <w:sz w:val="24"/>
              </w:rPr>
              <w:t>）+扬压力（未折减）（</w:t>
            </w:r>
            <w:r>
              <w:rPr>
                <w:rFonts w:hint="eastAsia" w:ascii="宋体" w:hAnsi="宋体" w:cs="宋体"/>
                <w:color w:val="auto"/>
                <w:sz w:val="24"/>
              </w:rPr>
              <w:object>
                <v:shape id="_x0000_i1068" o:spt="75" type="#_x0000_t75" style="height:8.85pt;width:6.8pt;" o:ole="t" filled="f" o:preferrelative="t" stroked="f" coordsize="21600,21600">
                  <v:path/>
                  <v:fill on="f" focussize="0,0"/>
                  <v:stroke on="f"/>
                  <v:imagedata r:id="rId37" o:title=""/>
                  <o:lock v:ext="edit" aspectratio="t"/>
                  <w10:wrap type="none"/>
                  <w10:anchorlock/>
                </v:shape>
                <o:OLEObject Type="Embed" ProgID="Equation.3" ShapeID="_x0000_i1068" DrawAspect="Content" ObjectID="_1468075768" r:id="rId61">
                  <o:LockedField>false</o:LockedField>
                </o:OLEObject>
              </w:object>
            </w:r>
            <w:r>
              <w:rPr>
                <w:rFonts w:hint="eastAsia" w:ascii="宋体" w:hAnsi="宋体" w:cs="宋体"/>
                <w:color w:val="auto"/>
                <w:sz w:val="24"/>
              </w:rPr>
              <w:t>）+地震力（</w:t>
            </w:r>
            <w:r>
              <w:rPr>
                <w:rFonts w:hint="eastAsia" w:ascii="宋体" w:hAnsi="宋体" w:cs="宋体"/>
                <w:color w:val="auto"/>
                <w:sz w:val="24"/>
              </w:rPr>
              <w:object>
                <v:shape id="_x0000_i1069" o:spt="75" type="#_x0000_t75" style="height:12.6pt;width:12.6pt;" o:ole="t" filled="f" o:preferrelative="t" stroked="f" coordsize="21600,21600">
                  <v:path/>
                  <v:fill on="f" focussize="0,0"/>
                  <v:stroke on="f"/>
                  <v:imagedata r:id="rId24" o:title=""/>
                  <o:lock v:ext="edit" aspectratio="t"/>
                  <w10:wrap type="none"/>
                  <w10:anchorlock/>
                </v:shape>
                <o:OLEObject Type="Embed" ProgID="Equation.3" ShapeID="_x0000_i1069" DrawAspect="Content" ObjectID="_1468075769" r:id="rId62">
                  <o:LockedField>false</o:LockedField>
                </o:OLEObject>
              </w:object>
            </w:r>
            <w:r>
              <w:rPr>
                <w:rFonts w:hint="eastAsia" w:ascii="宋体" w:hAnsi="宋体" w:cs="宋体"/>
                <w:color w:val="auto"/>
                <w:sz w:val="24"/>
              </w:rPr>
              <w:t>）。</w:t>
            </w:r>
          </w:p>
          <w:p>
            <w:pPr>
              <w:spacing w:line="360" w:lineRule="auto"/>
              <w:ind w:firstLine="480" w:firstLineChars="200"/>
              <w:rPr>
                <w:rFonts w:hint="eastAsia" w:ascii="宋体" w:hAnsi="宋体" w:cs="宋体"/>
                <w:color w:val="auto"/>
                <w:sz w:val="24"/>
              </w:rPr>
            </w:pPr>
            <w:r>
              <w:rPr>
                <w:rFonts w:hint="eastAsia" w:ascii="宋体" w:hAnsi="宋体" w:cs="宋体"/>
                <w:color w:val="auto"/>
                <w:sz w:val="24"/>
              </w:rPr>
              <w:t>各种工况下的荷载组合情况示意如图</w:t>
            </w:r>
            <w:r>
              <w:rPr>
                <w:rFonts w:hint="eastAsia" w:ascii="宋体" w:hAnsi="宋体" w:cs="宋体"/>
                <w:color w:val="auto"/>
                <w:sz w:val="24"/>
                <w:lang w:val="en-US" w:eastAsia="zh-CN"/>
              </w:rPr>
              <w:t>1-2</w:t>
            </w:r>
            <w:r>
              <w:rPr>
                <w:rFonts w:hint="eastAsia" w:ascii="宋体" w:hAnsi="宋体" w:cs="宋体"/>
                <w:color w:val="auto"/>
                <w:sz w:val="24"/>
              </w:rPr>
              <w:t>所示。</w:t>
            </w:r>
          </w:p>
          <w:p>
            <w:pPr>
              <w:adjustRightInd w:val="0"/>
              <w:snapToGrid w:val="0"/>
              <w:spacing w:line="360" w:lineRule="auto"/>
              <w:rPr>
                <w:rFonts w:hint="eastAsia"/>
                <w:color w:val="auto"/>
                <w:sz w:val="24"/>
                <w:lang w:val="en-US" w:eastAsia="zh-CN"/>
              </w:rPr>
            </w:pPr>
            <w:r>
              <w:rPr>
                <w:color w:val="auto"/>
                <w:sz w:val="24"/>
              </w:rPr>
              <mc:AlternateContent>
                <mc:Choice Requires="wpg">
                  <w:drawing>
                    <wp:inline distT="0" distB="0" distL="114300" distR="114300">
                      <wp:extent cx="6372860" cy="2120265"/>
                      <wp:effectExtent l="0" t="0" r="0" b="0"/>
                      <wp:docPr id="50" name="组合 50"/>
                      <wp:cNvGraphicFramePr/>
                      <a:graphic xmlns:a="http://schemas.openxmlformats.org/drawingml/2006/main">
                        <a:graphicData uri="http://schemas.microsoft.com/office/word/2010/wordprocessingGroup">
                          <wpg:wgp>
                            <wpg:cNvGrpSpPr>
                              <a:grpSpLocks noRot="1"/>
                            </wpg:cNvGrpSpPr>
                            <wpg:grpSpPr>
                              <a:xfrm>
                                <a:off x="0" y="0"/>
                                <a:ext cx="6372860" cy="2120265"/>
                                <a:chOff x="0" y="0"/>
                                <a:chExt cx="7200" cy="2438"/>
                              </a:xfrm>
                            </wpg:grpSpPr>
                            <wps:wsp>
                              <wps:cNvPr id="47" name="矩形 47"/>
                              <wps:cNvSpPr>
                                <a:spLocks noChangeAspect="1" noTextEdit="1"/>
                              </wps:cNvSpPr>
                              <wps:spPr>
                                <a:xfrm>
                                  <a:off x="0" y="0"/>
                                  <a:ext cx="7200" cy="2438"/>
                                </a:xfrm>
                                <a:prstGeom prst="rect">
                                  <a:avLst/>
                                </a:prstGeom>
                                <a:noFill/>
                                <a:ln>
                                  <a:noFill/>
                                </a:ln>
                              </wps:spPr>
                              <wps:bodyPr upright="1"/>
                            </wps:wsp>
                            <wps:wsp>
                              <wps:cNvPr id="48" name="文本框 48"/>
                              <wps:cNvSpPr txBox="1"/>
                              <wps:spPr>
                                <a:xfrm>
                                  <a:off x="129" y="0"/>
                                  <a:ext cx="7071" cy="2106"/>
                                </a:xfrm>
                                <a:prstGeom prst="rect">
                                  <a:avLst/>
                                </a:prstGeom>
                                <a:noFill/>
                                <a:ln>
                                  <a:noFill/>
                                </a:ln>
                              </wps:spPr>
                              <wps:txbx>
                                <w:txbxContent>
                                  <w:p>
                                    <w:r>
                                      <w:rPr>
                                        <w:color w:val="FF0000"/>
                                        <w:sz w:val="24"/>
                                      </w:rPr>
                                      <w:drawing>
                                        <wp:inline distT="0" distB="0" distL="114300" distR="114300">
                                          <wp:extent cx="5521960" cy="1600200"/>
                                          <wp:effectExtent l="0" t="0" r="2540" b="0"/>
                                          <wp:docPr id="46" name="图片 166" descr="坝体荷载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6" descr="坝体荷载示意图.jpg"/>
                                                  <pic:cNvPicPr>
                                                    <a:picLocks noChangeAspect="1"/>
                                                  </pic:cNvPicPr>
                                                </pic:nvPicPr>
                                                <pic:blipFill>
                                                  <a:blip r:embed="rId63"/>
                                                  <a:stretch>
                                                    <a:fillRect/>
                                                  </a:stretch>
                                                </pic:blipFill>
                                                <pic:spPr>
                                                  <a:xfrm>
                                                    <a:off x="0" y="0"/>
                                                    <a:ext cx="5521960" cy="1600200"/>
                                                  </a:xfrm>
                                                  <a:prstGeom prst="rect">
                                                    <a:avLst/>
                                                  </a:prstGeom>
                                                  <a:noFill/>
                                                  <a:ln>
                                                    <a:noFill/>
                                                  </a:ln>
                                                </pic:spPr>
                                              </pic:pic>
                                            </a:graphicData>
                                          </a:graphic>
                                        </wp:inline>
                                      </w:drawing>
                                    </w:r>
                                  </w:p>
                                </w:txbxContent>
                              </wps:txbx>
                              <wps:bodyPr upright="1"/>
                            </wps:wsp>
                            <wps:wsp>
                              <wps:cNvPr id="49" name="文本框 49"/>
                              <wps:cNvSpPr txBox="1"/>
                              <wps:spPr>
                                <a:xfrm>
                                  <a:off x="771" y="2106"/>
                                  <a:ext cx="5658" cy="332"/>
                                </a:xfrm>
                                <a:prstGeom prst="rect">
                                  <a:avLst/>
                                </a:prstGeom>
                                <a:noFill/>
                                <a:ln>
                                  <a:noFill/>
                                </a:ln>
                              </wps:spPr>
                              <wps:txbx>
                                <w:txbxContent>
                                  <w:p>
                                    <w:pPr>
                                      <w:adjustRightInd w:val="0"/>
                                      <w:snapToGrid w:val="0"/>
                                      <w:spacing w:line="360" w:lineRule="auto"/>
                                      <w:ind w:firstLine="420"/>
                                      <w:jc w:val="center"/>
                                      <w:rPr>
                                        <w:rFonts w:hint="eastAsia" w:ascii="宋体" w:hAnsi="宋体" w:cs="宋体"/>
                                        <w:b/>
                                        <w:bCs/>
                                        <w:szCs w:val="21"/>
                                      </w:rPr>
                                    </w:pPr>
                                    <w:r>
                                      <w:rPr>
                                        <w:rFonts w:hint="eastAsia" w:ascii="宋体" w:hAnsi="宋体" w:cs="宋体"/>
                                        <w:b/>
                                        <w:bCs/>
                                        <w:szCs w:val="21"/>
                                      </w:rPr>
                                      <w:t>图</w:t>
                                    </w:r>
                                    <w:r>
                                      <w:rPr>
                                        <w:rFonts w:hint="eastAsia" w:ascii="宋体" w:hAnsi="宋体" w:cs="宋体"/>
                                        <w:b/>
                                        <w:bCs/>
                                        <w:szCs w:val="21"/>
                                        <w:lang w:val="en-US" w:eastAsia="zh-CN"/>
                                      </w:rPr>
                                      <w:t>1</w:t>
                                    </w:r>
                                    <w:r>
                                      <w:rPr>
                                        <w:rFonts w:hint="eastAsia" w:ascii="宋体" w:hAnsi="宋体" w:cs="宋体"/>
                                        <w:b/>
                                        <w:bCs/>
                                        <w:szCs w:val="21"/>
                                      </w:rPr>
                                      <w:t>-</w:t>
                                    </w:r>
                                    <w:r>
                                      <w:rPr>
                                        <w:rFonts w:hint="eastAsia" w:ascii="宋体" w:hAnsi="宋体" w:cs="宋体"/>
                                        <w:b/>
                                        <w:bCs/>
                                        <w:szCs w:val="21"/>
                                        <w:lang w:val="en-US" w:eastAsia="zh-CN"/>
                                      </w:rPr>
                                      <w:t>2</w:t>
                                    </w:r>
                                    <w:r>
                                      <w:rPr>
                                        <w:rFonts w:hint="eastAsia" w:ascii="宋体" w:hAnsi="宋体" w:cs="宋体"/>
                                        <w:b/>
                                        <w:bCs/>
                                        <w:szCs w:val="21"/>
                                      </w:rPr>
                                      <w:t xml:space="preserve">  拦挡工程荷载组合示意图</w:t>
                                    </w:r>
                                  </w:p>
                                </w:txbxContent>
                              </wps:txbx>
                              <wps:bodyPr upright="1"/>
                            </wps:wsp>
                          </wpg:wgp>
                        </a:graphicData>
                      </a:graphic>
                    </wp:inline>
                  </w:drawing>
                </mc:Choice>
                <mc:Fallback>
                  <w:pict>
                    <v:group id="_x0000_s1026" o:spid="_x0000_s1026" o:spt="203" style="height:166.95pt;width:501.8pt;" coordsize="7200,2438" o:gfxdata="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NVN/9YAAAAGAQAADwAAAAAAAAABACAAAAAiAAAAZHJz&#10;L2Rvd25yZXYueG1sUEsBAhQAFAAAAAgAh07iQL0cU6Z4AgAAVgcAAA4AAAAAAAAAAQAgAAAAJQEA&#10;AGRycy9lMm9Eb2MueG1sUEsFBgAAAAAGAAYAWQEAAA8GAAAAAA==&#10;">
                      <o:lock v:ext="edit" rotation="t" aspectratio="f"/>
                      <v:rect id="_x0000_s1026" o:spid="_x0000_s1026" o:spt="1" style="position:absolute;left:0;top:0;height:2438;width:7200;" filled="f" stroked="f" coordsize="21600,21600" o:gfxdata="UEsDBAoAAAAAAIdO4kAAAAAAAAAAAAAAAAAEAAAAZHJzL1BLAwQUAAAACACHTuJAjGUTeb4AAADb&#10;AAAADwAAAGRycy9kb3ducmV2LnhtbEWPQWvCQBSE7wX/w/KEXopuIqW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UTeb4A&#10;AADbAAAADwAAAAAAAAABACAAAAAiAAAAZHJzL2Rvd25yZXYueG1sUEsBAhQAFAAAAAgAh07iQDMv&#10;BZ47AAAAOQAAABAAAAAAAAAAAQAgAAAADQEAAGRycy9zaGFwZXhtbC54bWxQSwUGAAAAAAYABgBb&#10;AQAAtwMAAAAA&#10;">
                        <v:fill on="f" focussize="0,0"/>
                        <v:stroke on="f"/>
                        <v:imagedata o:title=""/>
                        <o:lock v:ext="edit" text="t" aspectratio="t"/>
                      </v:rect>
                      <v:shape id="_x0000_s1026" o:spid="_x0000_s1026" o:spt="202" type="#_x0000_t202" style="position:absolute;left:129;top:0;height:2106;width:7071;"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r>
                                <w:rPr>
                                  <w:color w:val="FF0000"/>
                                  <w:sz w:val="24"/>
                                </w:rPr>
                                <w:drawing>
                                  <wp:inline distT="0" distB="0" distL="114300" distR="114300">
                                    <wp:extent cx="5521960" cy="1600200"/>
                                    <wp:effectExtent l="0" t="0" r="2540" b="0"/>
                                    <wp:docPr id="46" name="图片 166" descr="坝体荷载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6" descr="坝体荷载示意图.jpg"/>
                                            <pic:cNvPicPr>
                                              <a:picLocks noChangeAspect="1"/>
                                            </pic:cNvPicPr>
                                          </pic:nvPicPr>
                                          <pic:blipFill>
                                            <a:blip r:embed="rId63"/>
                                            <a:stretch>
                                              <a:fillRect/>
                                            </a:stretch>
                                          </pic:blipFill>
                                          <pic:spPr>
                                            <a:xfrm>
                                              <a:off x="0" y="0"/>
                                              <a:ext cx="5521960" cy="1600200"/>
                                            </a:xfrm>
                                            <a:prstGeom prst="rect">
                                              <a:avLst/>
                                            </a:prstGeom>
                                            <a:noFill/>
                                            <a:ln>
                                              <a:noFill/>
                                            </a:ln>
                                          </pic:spPr>
                                        </pic:pic>
                                      </a:graphicData>
                                    </a:graphic>
                                  </wp:inline>
                                </w:drawing>
                              </w:r>
                            </w:p>
                          </w:txbxContent>
                        </v:textbox>
                      </v:shape>
                      <v:shape id="_x0000_s1026" o:spid="_x0000_s1026" o:spt="202" type="#_x0000_t202" style="position:absolute;left:771;top:2106;height:332;width:5658;"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spacing w:line="360" w:lineRule="auto"/>
                                <w:ind w:firstLine="420"/>
                                <w:jc w:val="center"/>
                                <w:rPr>
                                  <w:rFonts w:hint="eastAsia" w:ascii="宋体" w:hAnsi="宋体" w:cs="宋体"/>
                                  <w:b/>
                                  <w:bCs/>
                                  <w:szCs w:val="21"/>
                                </w:rPr>
                              </w:pPr>
                              <w:r>
                                <w:rPr>
                                  <w:rFonts w:hint="eastAsia" w:ascii="宋体" w:hAnsi="宋体" w:cs="宋体"/>
                                  <w:b/>
                                  <w:bCs/>
                                  <w:szCs w:val="21"/>
                                </w:rPr>
                                <w:t>图</w:t>
                              </w:r>
                              <w:r>
                                <w:rPr>
                                  <w:rFonts w:hint="eastAsia" w:ascii="宋体" w:hAnsi="宋体" w:cs="宋体"/>
                                  <w:b/>
                                  <w:bCs/>
                                  <w:szCs w:val="21"/>
                                  <w:lang w:val="en-US" w:eastAsia="zh-CN"/>
                                </w:rPr>
                                <w:t>1</w:t>
                              </w:r>
                              <w:r>
                                <w:rPr>
                                  <w:rFonts w:hint="eastAsia" w:ascii="宋体" w:hAnsi="宋体" w:cs="宋体"/>
                                  <w:b/>
                                  <w:bCs/>
                                  <w:szCs w:val="21"/>
                                </w:rPr>
                                <w:t>-</w:t>
                              </w:r>
                              <w:r>
                                <w:rPr>
                                  <w:rFonts w:hint="eastAsia" w:ascii="宋体" w:hAnsi="宋体" w:cs="宋体"/>
                                  <w:b/>
                                  <w:bCs/>
                                  <w:szCs w:val="21"/>
                                  <w:lang w:val="en-US" w:eastAsia="zh-CN"/>
                                </w:rPr>
                                <w:t>2</w:t>
                              </w:r>
                              <w:r>
                                <w:rPr>
                                  <w:rFonts w:hint="eastAsia" w:ascii="宋体" w:hAnsi="宋体" w:cs="宋体"/>
                                  <w:b/>
                                  <w:bCs/>
                                  <w:szCs w:val="21"/>
                                </w:rPr>
                                <w:t xml:space="preserve">  拦挡工程荷载组合示意图</w:t>
                              </w:r>
                            </w:p>
                          </w:txbxContent>
                        </v:textbox>
                      </v:shape>
                      <w10:wrap type="none"/>
                      <w10:anchorlock/>
                    </v:group>
                  </w:pict>
                </mc:Fallback>
              </mc:AlternateContent>
            </w:r>
          </w:p>
          <w:p>
            <w:pPr>
              <w:adjustRightInd w:val="0"/>
              <w:snapToGrid w:val="0"/>
              <w:spacing w:line="360" w:lineRule="auto"/>
              <w:ind w:firstLine="480" w:firstLineChars="200"/>
              <w:rPr>
                <w:rFonts w:hint="default" w:eastAsiaTheme="minorEastAsia"/>
                <w:color w:val="auto"/>
                <w:sz w:val="24"/>
                <w:lang w:val="en-US" w:eastAsia="zh-CN"/>
              </w:rPr>
            </w:pPr>
            <w:r>
              <w:rPr>
                <w:rFonts w:hint="eastAsia"/>
                <w:color w:val="auto"/>
                <w:sz w:val="24"/>
                <w:lang w:val="en-US" w:eastAsia="zh-CN"/>
              </w:rPr>
              <w:t>3、方案设计</w:t>
            </w:r>
          </w:p>
          <w:p>
            <w:pPr>
              <w:adjustRightInd w:val="0"/>
              <w:snapToGrid w:val="0"/>
              <w:spacing w:line="360" w:lineRule="auto"/>
              <w:ind w:firstLine="480" w:firstLineChars="200"/>
              <w:rPr>
                <w:rFonts w:hint="eastAsia" w:hAnsi="宋体"/>
                <w:color w:val="auto"/>
                <w:sz w:val="24"/>
              </w:rPr>
            </w:pPr>
            <w:r>
              <w:rPr>
                <w:rFonts w:hint="eastAsia"/>
                <w:color w:val="auto"/>
                <w:sz w:val="24"/>
              </w:rPr>
              <w:t>由于该泥石流沟沟口</w:t>
            </w:r>
            <w:r>
              <w:rPr>
                <w:rFonts w:hint="eastAsia" w:ascii="宋体" w:hAnsi="宋体"/>
                <w:color w:val="auto"/>
                <w:sz w:val="24"/>
              </w:rPr>
              <w:t>村道外侧为近10m的陡坎，陡坎下部为乡道，乡道外侧为白草河电站库区，特殊的地形限制了泥石流的排导，因此总体方案考虑以拦为主。</w:t>
            </w:r>
          </w:p>
          <w:p>
            <w:pPr>
              <w:spacing w:line="360" w:lineRule="auto"/>
              <w:ind w:firstLine="480" w:firstLineChars="200"/>
              <w:rPr>
                <w:rFonts w:hint="eastAsia"/>
                <w:color w:val="auto"/>
                <w:sz w:val="24"/>
              </w:rPr>
            </w:pPr>
            <w:r>
              <w:rPr>
                <w:rFonts w:hint="eastAsia"/>
                <w:color w:val="auto"/>
                <w:sz w:val="24"/>
              </w:rPr>
              <w:t>根据该泥石流沟道的特征，在沟口处设置拦挡工程的库容相对较大，同时结合每年清淤，能满足设防需求。</w:t>
            </w:r>
          </w:p>
          <w:p>
            <w:pPr>
              <w:spacing w:line="360" w:lineRule="auto"/>
              <w:ind w:firstLine="480" w:firstLineChars="200"/>
              <w:rPr>
                <w:rFonts w:hint="eastAsia" w:hAnsi="宋体"/>
                <w:color w:val="auto"/>
                <w:sz w:val="24"/>
              </w:rPr>
            </w:pPr>
            <w:r>
              <w:rPr>
                <w:rFonts w:hint="eastAsia"/>
                <w:color w:val="auto"/>
                <w:sz w:val="24"/>
              </w:rPr>
              <w:t>针对上游保护对象设置单边防护堤和针对主要物源H1滑坡的支挡固源。</w:t>
            </w:r>
            <w:r>
              <w:rPr>
                <w:rFonts w:hint="eastAsia" w:hAnsi="宋体"/>
                <w:color w:val="auto"/>
                <w:sz w:val="24"/>
                <w:lang w:val="en-US" w:eastAsia="zh-CN"/>
              </w:rPr>
              <w:t>项目采用</w:t>
            </w:r>
            <w:r>
              <w:rPr>
                <w:rFonts w:hint="eastAsia" w:hAnsi="宋体"/>
                <w:color w:val="auto"/>
                <w:sz w:val="24"/>
              </w:rPr>
              <w:t>“拦挡坝+防护堤”</w:t>
            </w:r>
            <w:r>
              <w:rPr>
                <w:rFonts w:hint="eastAsia" w:hAnsi="宋体"/>
                <w:color w:val="auto"/>
                <w:sz w:val="24"/>
                <w:lang w:eastAsia="zh-CN"/>
              </w:rPr>
              <w:t>，</w:t>
            </w:r>
            <w:r>
              <w:rPr>
                <w:rFonts w:hint="eastAsia" w:hAnsi="宋体"/>
                <w:color w:val="auto"/>
                <w:sz w:val="24"/>
              </w:rPr>
              <w:t>在沟口处设置拦挡坝，拦挡泥石流冲出物，保证沟口唯一交通要道的通畅。在上游民房外侧斜坡设防护堤，防止洪水冲刷该段高陡岸坡形成新的侵蚀物源，并威胁住户安全。</w:t>
            </w:r>
          </w:p>
          <w:p>
            <w:pPr>
              <w:adjustRightInd w:val="0"/>
              <w:snapToGrid w:val="0"/>
              <w:spacing w:line="360" w:lineRule="auto"/>
              <w:ind w:firstLine="480" w:firstLineChars="200"/>
              <w:rPr>
                <w:rFonts w:hint="default" w:hAnsi="宋体" w:eastAsiaTheme="minorEastAsia"/>
                <w:color w:val="auto"/>
                <w:sz w:val="24"/>
                <w:lang w:val="en-US" w:eastAsia="zh-CN"/>
              </w:rPr>
            </w:pPr>
            <w:r>
              <w:rPr>
                <w:rFonts w:hint="eastAsia" w:hAnsi="宋体"/>
                <w:color w:val="auto"/>
                <w:sz w:val="24"/>
                <w:lang w:val="en-US" w:eastAsia="zh-CN"/>
              </w:rPr>
              <w:t>4、防护堤设计</w:t>
            </w:r>
          </w:p>
          <w:p>
            <w:pPr>
              <w:adjustRightInd w:val="0"/>
              <w:snapToGrid w:val="0"/>
              <w:spacing w:line="360" w:lineRule="auto"/>
              <w:ind w:firstLine="480" w:firstLineChars="200"/>
              <w:rPr>
                <w:rFonts w:hint="eastAsia" w:hAnsi="宋体"/>
                <w:color w:val="auto"/>
                <w:sz w:val="24"/>
              </w:rPr>
            </w:pPr>
            <w:r>
              <w:rPr>
                <w:rFonts w:hint="eastAsia" w:hAnsi="宋体"/>
                <w:color w:val="auto"/>
                <w:sz w:val="24"/>
                <w:lang w:eastAsia="zh-CN"/>
              </w:rPr>
              <w:t>（</w:t>
            </w:r>
            <w:r>
              <w:rPr>
                <w:rFonts w:hint="eastAsia" w:hAnsi="宋体"/>
                <w:color w:val="auto"/>
                <w:sz w:val="24"/>
                <w:lang w:val="en-US" w:eastAsia="zh-CN"/>
              </w:rPr>
              <w:t>1</w:t>
            </w:r>
            <w:r>
              <w:rPr>
                <w:rFonts w:hint="eastAsia" w:hAnsi="宋体"/>
                <w:color w:val="auto"/>
                <w:sz w:val="24"/>
                <w:lang w:eastAsia="zh-CN"/>
              </w:rPr>
              <w:t>）</w:t>
            </w:r>
            <w:r>
              <w:rPr>
                <w:rFonts w:hint="eastAsia" w:hAnsi="宋体"/>
                <w:color w:val="auto"/>
                <w:sz w:val="24"/>
              </w:rPr>
              <w:t>工程位置</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根据勘查结论，上游民房外侧斜坡受洪水冲刷掏蚀坡脚，形成新的侵蚀物源，并威胁住户安全，为防止该段斜坡坡脚受洪水冲刷，影响其稳定性，故针对性的坡脚处设置一道防护堤，其长度为27.00m。具体工程布置情况见设计图件。</w:t>
            </w:r>
          </w:p>
          <w:p>
            <w:pPr>
              <w:adjustRightInd w:val="0"/>
              <w:snapToGrid w:val="0"/>
              <w:spacing w:line="360" w:lineRule="auto"/>
              <w:ind w:firstLine="480" w:firstLineChars="200"/>
              <w:rPr>
                <w:rFonts w:hint="eastAsia" w:hAnsi="宋体"/>
                <w:color w:val="auto"/>
                <w:sz w:val="24"/>
              </w:rPr>
            </w:pPr>
            <w:r>
              <w:rPr>
                <w:rFonts w:hint="eastAsia" w:hAnsi="宋体"/>
                <w:color w:val="auto"/>
                <w:sz w:val="24"/>
                <w:lang w:eastAsia="zh-CN"/>
              </w:rPr>
              <w:t>（</w:t>
            </w:r>
            <w:r>
              <w:rPr>
                <w:rFonts w:hint="eastAsia" w:hAnsi="宋体"/>
                <w:color w:val="auto"/>
                <w:sz w:val="24"/>
                <w:lang w:val="en-US" w:eastAsia="zh-CN"/>
              </w:rPr>
              <w:t>2</w:t>
            </w:r>
            <w:r>
              <w:rPr>
                <w:rFonts w:hint="eastAsia" w:hAnsi="宋体"/>
                <w:color w:val="auto"/>
                <w:sz w:val="24"/>
                <w:lang w:eastAsia="zh-CN"/>
              </w:rPr>
              <w:t>）</w:t>
            </w:r>
            <w:r>
              <w:rPr>
                <w:rFonts w:hint="eastAsia" w:hAnsi="宋体"/>
                <w:color w:val="auto"/>
                <w:sz w:val="24"/>
              </w:rPr>
              <w:t>工程结构</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防护堤采用重力式挡墙结构，顶宽0.60m，背侧竖直，面侧坡率1:0.20，墙高3.00m，有效高度2.00m，基础埋深1.00m，基底宽1.20m，墙体采用C20素混凝土现场浇筑。</w:t>
            </w:r>
          </w:p>
          <w:p>
            <w:pPr>
              <w:adjustRightInd w:val="0"/>
              <w:snapToGrid w:val="0"/>
              <w:spacing w:line="360" w:lineRule="auto"/>
              <w:ind w:firstLine="480" w:firstLineChars="200"/>
              <w:rPr>
                <w:rFonts w:hint="eastAsia" w:hAnsi="宋体"/>
                <w:color w:val="auto"/>
                <w:sz w:val="24"/>
              </w:rPr>
            </w:pPr>
            <w:r>
              <w:rPr>
                <w:rFonts w:hint="eastAsia" w:hAnsi="宋体"/>
                <w:color w:val="auto"/>
                <w:sz w:val="24"/>
                <w:lang w:eastAsia="zh-CN"/>
              </w:rPr>
              <w:t>（</w:t>
            </w:r>
            <w:r>
              <w:rPr>
                <w:rFonts w:hint="eastAsia" w:hAnsi="宋体"/>
                <w:color w:val="auto"/>
                <w:sz w:val="24"/>
                <w:lang w:val="en-US" w:eastAsia="zh-CN"/>
              </w:rPr>
              <w:t>3</w:t>
            </w:r>
            <w:r>
              <w:rPr>
                <w:rFonts w:hint="eastAsia" w:hAnsi="宋体"/>
                <w:color w:val="auto"/>
                <w:sz w:val="24"/>
                <w:lang w:eastAsia="zh-CN"/>
              </w:rPr>
              <w:t>）</w:t>
            </w:r>
            <w:r>
              <w:rPr>
                <w:rFonts w:hint="eastAsia" w:hAnsi="宋体"/>
                <w:color w:val="auto"/>
                <w:sz w:val="24"/>
              </w:rPr>
              <w:t>附属工程设计</w:t>
            </w:r>
          </w:p>
          <w:p>
            <w:pPr>
              <w:adjustRightInd w:val="0"/>
              <w:snapToGrid w:val="0"/>
              <w:spacing w:line="360" w:lineRule="auto"/>
              <w:ind w:firstLine="480" w:firstLineChars="200"/>
              <w:rPr>
                <w:rFonts w:hint="eastAsia" w:hAnsi="宋体"/>
                <w:color w:val="auto"/>
                <w:sz w:val="24"/>
              </w:rPr>
            </w:pPr>
            <w:r>
              <w:rPr>
                <w:rFonts w:hint="eastAsia" w:hAnsi="宋体"/>
                <w:color w:val="auto"/>
                <w:sz w:val="24"/>
              </w:rPr>
              <w:t>为防止墙体不均匀沉降引起墙身破坏，每隔15m和转折处设置伸缩缝，宽2.00cm，采用宽2cm的沥青木板封填。。</w:t>
            </w:r>
          </w:p>
          <w:p>
            <w:pPr>
              <w:spacing w:line="360" w:lineRule="auto"/>
              <w:ind w:firstLine="480" w:firstLineChars="200"/>
              <w:jc w:val="left"/>
              <w:rPr>
                <w:rFonts w:hint="default"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5、拦挡坝设计</w:t>
            </w:r>
          </w:p>
          <w:p>
            <w:pPr>
              <w:pStyle w:val="1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2"/>
                <w:szCs w:val="24"/>
              </w:rPr>
            </w:pPr>
            <w:r>
              <w:rPr>
                <w:rFonts w:hint="eastAsia" w:asciiTheme="minorEastAsia" w:hAnsiTheme="minorEastAsia" w:eastAsiaTheme="minorEastAsia" w:cstheme="minorEastAsia"/>
                <w:color w:val="auto"/>
                <w:kern w:val="2"/>
                <w:szCs w:val="24"/>
                <w:lang w:val="en-US" w:eastAsia="zh-CN"/>
              </w:rPr>
              <w:t>1）</w:t>
            </w:r>
            <w:r>
              <w:rPr>
                <w:rFonts w:hint="eastAsia" w:asciiTheme="minorEastAsia" w:hAnsiTheme="minorEastAsia" w:eastAsiaTheme="minorEastAsia" w:cstheme="minorEastAsia"/>
                <w:color w:val="auto"/>
                <w:kern w:val="2"/>
                <w:szCs w:val="24"/>
              </w:rPr>
              <w:t>拦挡工程平面布置</w:t>
            </w:r>
          </w:p>
          <w:p>
            <w:pPr>
              <w:pStyle w:val="1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2"/>
                <w:szCs w:val="24"/>
              </w:rPr>
            </w:pPr>
            <w:r>
              <w:rPr>
                <w:rFonts w:hint="eastAsia" w:asciiTheme="minorEastAsia" w:hAnsiTheme="minorEastAsia" w:eastAsiaTheme="minorEastAsia" w:cstheme="minorEastAsia"/>
                <w:color w:val="auto"/>
                <w:kern w:val="2"/>
                <w:szCs w:val="24"/>
              </w:rPr>
              <w:t>在7-7’剖面位置布设一道拦挡坝，坝体总长20.00m，详见防治工程平面布置图。</w:t>
            </w:r>
          </w:p>
          <w:p>
            <w:pPr>
              <w:pStyle w:val="13"/>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kern w:val="2"/>
                <w:szCs w:val="24"/>
              </w:rPr>
            </w:pPr>
            <w:r>
              <w:rPr>
                <w:rFonts w:hint="eastAsia" w:asciiTheme="minorEastAsia" w:hAnsiTheme="minorEastAsia" w:eastAsiaTheme="minorEastAsia" w:cstheme="minorEastAsia"/>
                <w:color w:val="auto"/>
                <w:kern w:val="2"/>
                <w:szCs w:val="24"/>
                <w:lang w:val="en-US" w:eastAsia="zh-CN"/>
              </w:rPr>
              <w:t>2）</w:t>
            </w:r>
            <w:r>
              <w:rPr>
                <w:rFonts w:hint="eastAsia" w:asciiTheme="minorEastAsia" w:hAnsiTheme="minorEastAsia" w:eastAsiaTheme="minorEastAsia" w:cstheme="minorEastAsia"/>
                <w:color w:val="auto"/>
                <w:kern w:val="2"/>
                <w:szCs w:val="24"/>
              </w:rPr>
              <w:t>拦挡工程断面设计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color w:val="auto"/>
                <w:sz w:val="24"/>
              </w:rPr>
            </w:pPr>
            <w:bookmarkStart w:id="0" w:name="_Toc173083687"/>
            <w:r>
              <w:rPr>
                <w:rFonts w:hint="eastAsia" w:asciiTheme="minorEastAsia" w:hAnsiTheme="minorEastAsia" w:eastAsiaTheme="minorEastAsia" w:cstheme="minorEastAsia"/>
                <w:color w:val="auto"/>
                <w:sz w:val="24"/>
              </w:rPr>
              <w:t>拦挡坝全长20.00m（其中溢流口底宽5.00m，按1:1.00放坡，顶</w:t>
            </w:r>
            <w:r>
              <w:rPr>
                <w:rFonts w:hint="eastAsia"/>
                <w:color w:val="auto"/>
                <w:sz w:val="24"/>
              </w:rPr>
              <w:t>宽7</w:t>
            </w:r>
            <w:r>
              <w:rPr>
                <w:color w:val="auto"/>
                <w:sz w:val="24"/>
              </w:rPr>
              <w:t>.00m</w:t>
            </w:r>
            <w:r>
              <w:rPr>
                <w:rFonts w:hint="eastAsia"/>
                <w:color w:val="auto"/>
                <w:sz w:val="24"/>
              </w:rPr>
              <w:t>）；坝体总高7.00</w:t>
            </w:r>
            <w:r>
              <w:rPr>
                <w:color w:val="auto"/>
                <w:sz w:val="24"/>
              </w:rPr>
              <w:t>m</w:t>
            </w:r>
            <w:r>
              <w:rPr>
                <w:rFonts w:hint="eastAsia"/>
                <w:color w:val="auto"/>
                <w:sz w:val="24"/>
              </w:rPr>
              <w:t>（基础埋深</w:t>
            </w:r>
            <w:r>
              <w:rPr>
                <w:color w:val="auto"/>
                <w:sz w:val="24"/>
              </w:rPr>
              <w:t>2.00m</w:t>
            </w:r>
            <w:r>
              <w:rPr>
                <w:rFonts w:hint="eastAsia"/>
                <w:color w:val="auto"/>
                <w:sz w:val="24"/>
              </w:rPr>
              <w:t>，有效坝高4</w:t>
            </w:r>
            <w:r>
              <w:rPr>
                <w:color w:val="auto"/>
                <w:sz w:val="24"/>
              </w:rPr>
              <w:t>.00m</w:t>
            </w:r>
            <w:r>
              <w:rPr>
                <w:rFonts w:hint="eastAsia"/>
                <w:color w:val="auto"/>
                <w:sz w:val="24"/>
              </w:rPr>
              <w:t>，溢流口深</w:t>
            </w:r>
            <w:r>
              <w:rPr>
                <w:color w:val="auto"/>
                <w:sz w:val="24"/>
              </w:rPr>
              <w:t>1.</w:t>
            </w:r>
            <w:r>
              <w:rPr>
                <w:rFonts w:hint="eastAsia"/>
                <w:color w:val="auto"/>
                <w:sz w:val="24"/>
              </w:rPr>
              <w:t>0</w:t>
            </w:r>
            <w:r>
              <w:rPr>
                <w:color w:val="auto"/>
                <w:sz w:val="24"/>
              </w:rPr>
              <w:t>0m</w:t>
            </w:r>
            <w:r>
              <w:rPr>
                <w:rFonts w:hint="eastAsia"/>
                <w:color w:val="auto"/>
                <w:sz w:val="24"/>
              </w:rPr>
              <w:t>）；</w:t>
            </w:r>
          </w:p>
          <w:p>
            <w:pPr>
              <w:spacing w:line="360" w:lineRule="auto"/>
              <w:ind w:firstLine="480" w:firstLineChars="200"/>
              <w:rPr>
                <w:rFonts w:hint="eastAsia"/>
                <w:color w:val="auto"/>
                <w:sz w:val="24"/>
              </w:rPr>
            </w:pPr>
            <w:r>
              <w:rPr>
                <w:rFonts w:hint="eastAsia"/>
                <w:color w:val="auto"/>
                <w:sz w:val="24"/>
              </w:rPr>
              <w:t>坝体采用重力式结构，溢流段顶宽1.5</w:t>
            </w:r>
            <w:r>
              <w:rPr>
                <w:color w:val="auto"/>
                <w:sz w:val="24"/>
              </w:rPr>
              <w:t>0m</w:t>
            </w:r>
            <w:r>
              <w:rPr>
                <w:rFonts w:hint="eastAsia"/>
                <w:color w:val="auto"/>
                <w:sz w:val="24"/>
              </w:rPr>
              <w:t>，两侧竖直；主坝体段顶宽1.5</w:t>
            </w:r>
            <w:r>
              <w:rPr>
                <w:color w:val="auto"/>
                <w:sz w:val="24"/>
              </w:rPr>
              <w:t>0m</w:t>
            </w:r>
            <w:r>
              <w:rPr>
                <w:rFonts w:hint="eastAsia"/>
                <w:color w:val="auto"/>
                <w:sz w:val="24"/>
              </w:rPr>
              <w:t>，迎水面放坡坡比为</w:t>
            </w:r>
            <w:r>
              <w:rPr>
                <w:color w:val="auto"/>
                <w:sz w:val="24"/>
              </w:rPr>
              <w:t>1:0.</w:t>
            </w:r>
            <w:r>
              <w:rPr>
                <w:rFonts w:hint="eastAsia"/>
                <w:color w:val="auto"/>
                <w:sz w:val="24"/>
              </w:rPr>
              <w:t>6，背水面坡比为</w:t>
            </w:r>
            <w:r>
              <w:rPr>
                <w:color w:val="auto"/>
                <w:sz w:val="24"/>
              </w:rPr>
              <w:t>1:0.1</w:t>
            </w:r>
            <w:r>
              <w:rPr>
                <w:rFonts w:hint="eastAsia"/>
                <w:color w:val="auto"/>
                <w:sz w:val="24"/>
              </w:rPr>
              <w:t>，底宽5.3</w:t>
            </w:r>
            <w:r>
              <w:rPr>
                <w:color w:val="auto"/>
                <w:sz w:val="24"/>
              </w:rPr>
              <w:t>0m</w:t>
            </w:r>
            <w:r>
              <w:rPr>
                <w:rFonts w:hint="eastAsia"/>
                <w:color w:val="auto"/>
                <w:sz w:val="24"/>
              </w:rPr>
              <w:t>；基础段坝踵处外扩</w:t>
            </w:r>
            <w:r>
              <w:rPr>
                <w:color w:val="auto"/>
                <w:sz w:val="24"/>
              </w:rPr>
              <w:t>1.00m</w:t>
            </w:r>
            <w:r>
              <w:rPr>
                <w:rFonts w:hint="eastAsia"/>
                <w:color w:val="auto"/>
                <w:sz w:val="24"/>
              </w:rPr>
              <w:t>，深度</w:t>
            </w:r>
            <w:r>
              <w:rPr>
                <w:color w:val="auto"/>
                <w:sz w:val="24"/>
              </w:rPr>
              <w:t>1.00m</w:t>
            </w:r>
            <w:r>
              <w:rPr>
                <w:rFonts w:hint="eastAsia"/>
                <w:color w:val="auto"/>
                <w:sz w:val="24"/>
              </w:rPr>
              <w:t>，坝趾竖直，深度</w:t>
            </w:r>
            <w:r>
              <w:rPr>
                <w:color w:val="auto"/>
                <w:sz w:val="24"/>
              </w:rPr>
              <w:t>2.00m</w:t>
            </w:r>
            <w:r>
              <w:rPr>
                <w:rFonts w:hint="eastAsia"/>
                <w:color w:val="auto"/>
                <w:sz w:val="24"/>
              </w:rPr>
              <w:t>；拦挡坝两侧坝肩均嵌入基岩，嵌入深度大于2.0</w:t>
            </w:r>
            <w:r>
              <w:rPr>
                <w:color w:val="auto"/>
                <w:sz w:val="24"/>
              </w:rPr>
              <w:t>0m</w:t>
            </w:r>
            <w:r>
              <w:rPr>
                <w:rFonts w:hint="eastAsia"/>
                <w:color w:val="auto"/>
                <w:sz w:val="24"/>
              </w:rPr>
              <w:t>；坝体采用</w:t>
            </w:r>
            <w:r>
              <w:rPr>
                <w:color w:val="auto"/>
                <w:sz w:val="24"/>
              </w:rPr>
              <w:t>C20</w:t>
            </w:r>
            <w:r>
              <w:rPr>
                <w:rFonts w:hint="eastAsia"/>
                <w:color w:val="auto"/>
                <w:sz w:val="24"/>
              </w:rPr>
              <w:t>素混凝土浇筑。</w:t>
            </w:r>
          </w:p>
          <w:p>
            <w:pPr>
              <w:spacing w:line="360" w:lineRule="auto"/>
              <w:ind w:firstLine="480" w:firstLineChars="200"/>
              <w:rPr>
                <w:color w:val="auto"/>
                <w:sz w:val="24"/>
              </w:rPr>
            </w:pPr>
            <w:r>
              <w:rPr>
                <w:color w:val="auto"/>
                <w:sz w:val="24"/>
              </w:rPr>
              <w:t xml:space="preserve"> </w:t>
            </w:r>
            <w:r>
              <w:rPr>
                <w:rFonts w:hint="eastAsia"/>
                <w:color w:val="auto"/>
                <w:sz w:val="24"/>
              </w:rPr>
              <w:t>溢流口段距离坝趾2.50</w:t>
            </w:r>
            <w:r>
              <w:rPr>
                <w:color w:val="auto"/>
                <w:sz w:val="24"/>
              </w:rPr>
              <w:t>m</w:t>
            </w:r>
            <w:r>
              <w:rPr>
                <w:rFonts w:hint="eastAsia"/>
                <w:color w:val="auto"/>
                <w:sz w:val="24"/>
              </w:rPr>
              <w:t>起设置泄水孔，采用梅花形设置，净平距和净排距均为</w:t>
            </w:r>
            <w:r>
              <w:rPr>
                <w:color w:val="auto"/>
                <w:sz w:val="24"/>
              </w:rPr>
              <w:t>1.50m</w:t>
            </w:r>
            <w:r>
              <w:rPr>
                <w:rFonts w:hint="eastAsia"/>
                <w:color w:val="auto"/>
                <w:sz w:val="24"/>
              </w:rPr>
              <w:t>，泄水孔尺寸</w:t>
            </w:r>
            <w:r>
              <w:rPr>
                <w:color w:val="auto"/>
                <w:sz w:val="24"/>
              </w:rPr>
              <w:t>0.40m</w:t>
            </w:r>
            <w:r>
              <w:rPr>
                <w:rFonts w:hint="eastAsia"/>
                <w:color w:val="auto"/>
                <w:sz w:val="24"/>
              </w:rPr>
              <w:t>×</w:t>
            </w:r>
            <w:r>
              <w:rPr>
                <w:color w:val="auto"/>
                <w:sz w:val="24"/>
              </w:rPr>
              <w:t>0.50m</w:t>
            </w:r>
            <w:r>
              <w:rPr>
                <w:rFonts w:hint="eastAsia"/>
                <w:color w:val="auto"/>
                <w:sz w:val="24"/>
              </w:rPr>
              <w:t>，设置</w:t>
            </w:r>
            <w:r>
              <w:rPr>
                <w:color w:val="auto"/>
                <w:sz w:val="24"/>
              </w:rPr>
              <w:t>2</w:t>
            </w:r>
            <w:r>
              <w:rPr>
                <w:rFonts w:hint="eastAsia"/>
                <w:color w:val="auto"/>
                <w:sz w:val="24"/>
              </w:rPr>
              <w:t>排，共计5个；为防止坝体不均匀沉降引起坝身破坏，在溢流口两侧设置</w:t>
            </w:r>
            <w:r>
              <w:rPr>
                <w:color w:val="auto"/>
                <w:sz w:val="24"/>
              </w:rPr>
              <w:t>2</w:t>
            </w:r>
            <w:r>
              <w:rPr>
                <w:rFonts w:hint="eastAsia"/>
                <w:color w:val="auto"/>
                <w:sz w:val="24"/>
              </w:rPr>
              <w:t>道沉降缝，宽</w:t>
            </w:r>
            <w:r>
              <w:rPr>
                <w:color w:val="auto"/>
                <w:sz w:val="24"/>
              </w:rPr>
              <w:t>2.00cm</w:t>
            </w:r>
            <w:r>
              <w:rPr>
                <w:rFonts w:hint="eastAsia"/>
                <w:color w:val="auto"/>
                <w:sz w:val="24"/>
              </w:rPr>
              <w:t>，闭孔型聚乙烯泡沫塑料板封填，外侧</w:t>
            </w:r>
            <w:r>
              <w:rPr>
                <w:color w:val="auto"/>
                <w:sz w:val="24"/>
              </w:rPr>
              <w:t>20.00cm</w:t>
            </w:r>
            <w:r>
              <w:rPr>
                <w:rFonts w:hint="eastAsia"/>
                <w:color w:val="auto"/>
                <w:sz w:val="24"/>
              </w:rPr>
              <w:t>采用沥青木板封闭；坝体前端设置长4</w:t>
            </w:r>
            <w:r>
              <w:rPr>
                <w:color w:val="auto"/>
                <w:sz w:val="24"/>
              </w:rPr>
              <w:t>.00m</w:t>
            </w:r>
            <w:r>
              <w:rPr>
                <w:rFonts w:hint="eastAsia"/>
                <w:color w:val="auto"/>
                <w:sz w:val="24"/>
              </w:rPr>
              <w:t>，宽7</w:t>
            </w:r>
            <w:r>
              <w:rPr>
                <w:color w:val="auto"/>
                <w:sz w:val="24"/>
              </w:rPr>
              <w:t>.00m</w:t>
            </w:r>
            <w:r>
              <w:rPr>
                <w:rFonts w:hint="eastAsia"/>
                <w:color w:val="auto"/>
                <w:sz w:val="24"/>
              </w:rPr>
              <w:t>，厚</w:t>
            </w:r>
            <w:r>
              <w:rPr>
                <w:color w:val="auto"/>
                <w:sz w:val="24"/>
              </w:rPr>
              <w:t>0.50m</w:t>
            </w:r>
            <w:r>
              <w:rPr>
                <w:rFonts w:hint="eastAsia"/>
                <w:color w:val="auto"/>
                <w:sz w:val="24"/>
              </w:rPr>
              <w:t>的护坦，末端设置宽</w:t>
            </w:r>
            <w:r>
              <w:rPr>
                <w:color w:val="auto"/>
                <w:sz w:val="24"/>
              </w:rPr>
              <w:t>1.00m</w:t>
            </w:r>
            <w:r>
              <w:rPr>
                <w:rFonts w:hint="eastAsia"/>
                <w:color w:val="auto"/>
                <w:sz w:val="24"/>
              </w:rPr>
              <w:t>，深1</w:t>
            </w:r>
            <w:r>
              <w:rPr>
                <w:color w:val="auto"/>
                <w:sz w:val="24"/>
              </w:rPr>
              <w:t>.00m</w:t>
            </w:r>
            <w:r>
              <w:rPr>
                <w:rFonts w:hint="eastAsia"/>
                <w:color w:val="auto"/>
                <w:sz w:val="24"/>
              </w:rPr>
              <w:t>的垂裙，采用</w:t>
            </w:r>
            <w:r>
              <w:rPr>
                <w:color w:val="auto"/>
                <w:sz w:val="24"/>
              </w:rPr>
              <w:t>C20</w:t>
            </w:r>
            <w:r>
              <w:rPr>
                <w:rFonts w:hint="eastAsia"/>
                <w:color w:val="auto"/>
                <w:sz w:val="24"/>
              </w:rPr>
              <w:t>素混凝土浇筑。</w:t>
            </w:r>
          </w:p>
          <w:p>
            <w:pPr>
              <w:spacing w:line="360" w:lineRule="auto"/>
              <w:ind w:firstLine="480" w:firstLineChars="200"/>
              <w:rPr>
                <w:color w:val="auto"/>
                <w:sz w:val="24"/>
              </w:rPr>
            </w:pPr>
            <w:r>
              <w:rPr>
                <w:rFonts w:hint="eastAsia"/>
                <w:color w:val="auto"/>
                <w:sz w:val="24"/>
              </w:rPr>
              <w:t>3</w:t>
            </w:r>
            <w:r>
              <w:rPr>
                <w:rFonts w:hint="eastAsia"/>
                <w:color w:val="auto"/>
                <w:sz w:val="24"/>
                <w:lang w:eastAsia="zh-CN"/>
              </w:rPr>
              <w:t>）</w:t>
            </w:r>
            <w:r>
              <w:rPr>
                <w:rFonts w:hint="eastAsia"/>
                <w:color w:val="auto"/>
                <w:sz w:val="24"/>
              </w:rPr>
              <w:t>坝的库容</w:t>
            </w:r>
            <w:bookmarkEnd w:id="0"/>
            <w:r>
              <w:rPr>
                <w:rFonts w:hint="eastAsia"/>
                <w:color w:val="auto"/>
                <w:sz w:val="24"/>
              </w:rPr>
              <w:t>和功能参数计算</w:t>
            </w:r>
          </w:p>
          <w:p>
            <w:pPr>
              <w:widowControl/>
              <w:spacing w:line="360" w:lineRule="auto"/>
              <w:ind w:firstLine="480" w:firstLineChars="200"/>
              <w:jc w:val="left"/>
              <w:rPr>
                <w:rFonts w:hint="eastAsia" w:ascii="宋体" w:hAnsi="宋体"/>
                <w:color w:val="auto"/>
                <w:sz w:val="24"/>
                <w:lang w:val="en-GB"/>
              </w:rPr>
            </w:pPr>
            <w:bookmarkStart w:id="1" w:name="_Toc173083685"/>
            <w:r>
              <w:rPr>
                <w:rFonts w:hint="eastAsia" w:ascii="宋体" w:hAnsi="宋体"/>
                <w:color w:val="auto"/>
                <w:sz w:val="24"/>
                <w:lang w:val="en-US" w:eastAsia="zh-CN"/>
              </w:rPr>
              <w:t>①</w:t>
            </w:r>
            <w:r>
              <w:rPr>
                <w:rFonts w:hint="eastAsia" w:ascii="宋体" w:hAnsi="宋体"/>
                <w:color w:val="auto"/>
                <w:sz w:val="24"/>
                <w:lang w:val="en-GB"/>
              </w:rPr>
              <w:t>回淤坡度按下式计算：</w:t>
            </w:r>
          </w:p>
          <w:p>
            <w:pPr>
              <w:spacing w:line="360" w:lineRule="auto"/>
              <w:ind w:firstLine="560" w:firstLineChars="200"/>
              <w:jc w:val="center"/>
              <w:rPr>
                <w:rFonts w:hint="eastAsia" w:ascii="宋体" w:hAnsi="宋体"/>
                <w:color w:val="auto"/>
                <w:sz w:val="28"/>
                <w:szCs w:val="28"/>
                <w:lang w:val="en-GB"/>
              </w:rPr>
            </w:pPr>
            <w:r>
              <w:rPr>
                <w:rFonts w:hint="eastAsia" w:ascii="宋体" w:hAnsi="宋体"/>
                <w:color w:val="auto"/>
                <w:sz w:val="28"/>
                <w:szCs w:val="28"/>
                <w:lang w:val="en-GB"/>
              </w:rPr>
              <w:object>
                <v:shape id="_x0000_i1070" o:spt="75" type="#_x0000_t75" style="height:18.7pt;width:48.75pt;" o:ole="t" filled="f" o:preferrelative="t" stroked="f" coordsize="21600,21600">
                  <v:path/>
                  <v:fill on="f" focussize="0,0"/>
                  <v:stroke on="f"/>
                  <v:imagedata r:id="rId65" o:title=""/>
                  <o:lock v:ext="edit" grouping="f" rotation="f" text="f" aspectratio="t"/>
                  <w10:wrap type="none"/>
                  <w10:anchorlock/>
                </v:shape>
                <o:OLEObject Type="Embed" ProgID="Equation.3" ShapeID="_x0000_i1070" DrawAspect="Content" ObjectID="_1468075770" r:id="rId64">
                  <o:LockedField>false</o:LockedField>
                </o:OLEObject>
              </w:object>
            </w:r>
          </w:p>
          <w:p>
            <w:pPr>
              <w:widowControl/>
              <w:ind w:left="1260" w:leftChars="600"/>
              <w:jc w:val="left"/>
              <w:rPr>
                <w:rFonts w:hint="eastAsia" w:ascii="宋体" w:hAnsi="宋体"/>
                <w:color w:val="auto"/>
                <w:szCs w:val="21"/>
                <w:lang w:val="en-GB"/>
              </w:rPr>
            </w:pPr>
            <w:r>
              <w:rPr>
                <w:rFonts w:hint="eastAsia" w:ascii="宋体" w:hAnsi="宋体"/>
                <w:color w:val="auto"/>
                <w:szCs w:val="21"/>
                <w:lang w:val="en-GB"/>
              </w:rPr>
              <w:t>式中</w:t>
            </w:r>
            <w:r>
              <w:rPr>
                <w:rFonts w:hint="eastAsia" w:ascii="宋体" w:hAnsi="宋体"/>
                <w:color w:val="auto"/>
                <w:szCs w:val="21"/>
                <w:lang w:val="en-GB"/>
              </w:rPr>
              <w:object>
                <v:shape id="_x0000_i1071" o:spt="75" type="#_x0000_t75" style="height:18.75pt;width:12.75pt;" o:ole="t" filled="f" o:preferrelative="t" stroked="f" coordsize="21600,21600">
                  <v:path/>
                  <v:fill on="f" focussize="0,0"/>
                  <v:stroke on="f"/>
                  <v:imagedata r:id="rId67" o:title=""/>
                  <o:lock v:ext="edit" grouping="f" rotation="f" text="f" aspectratio="t"/>
                  <w10:wrap type="none"/>
                  <w10:anchorlock/>
                </v:shape>
                <o:OLEObject Type="Embed" ProgID="Equation.3" ShapeID="_x0000_i1071" DrawAspect="Content" ObjectID="_1468075771" r:id="rId66">
                  <o:LockedField>false</o:LockedField>
                </o:OLEObject>
              </w:object>
            </w:r>
            <w:r>
              <w:rPr>
                <w:rFonts w:hint="eastAsia" w:ascii="宋体" w:hAnsi="宋体"/>
                <w:color w:val="auto"/>
                <w:szCs w:val="21"/>
                <w:lang w:val="en-GB"/>
              </w:rPr>
              <w:t>—回淤纵坡（‰）；</w:t>
            </w:r>
            <w:r>
              <w:rPr>
                <w:rFonts w:hint="eastAsia" w:ascii="宋体" w:hAnsi="宋体"/>
                <w:color w:val="auto"/>
                <w:szCs w:val="21"/>
                <w:lang w:val="en-GB"/>
              </w:rPr>
              <w:object>
                <v:shape id="_x0000_i1072" o:spt="75" type="#_x0000_t75" style="height:12.75pt;width:9pt;" o:ole="t" filled="f" o:preferrelative="t" stroked="f" coordsize="21600,21600">
                  <v:path/>
                  <v:fill on="f" focussize="0,0"/>
                  <v:stroke on="f"/>
                  <v:imagedata r:id="rId69" o:title=""/>
                  <o:lock v:ext="edit" grouping="f" rotation="f" text="f" aspectratio="t"/>
                  <w10:wrap type="none"/>
                  <w10:anchorlock/>
                </v:shape>
                <o:OLEObject Type="Embed" ProgID="Equation.3" ShapeID="_x0000_i1072" DrawAspect="Content" ObjectID="_1468075772" r:id="rId68">
                  <o:LockedField>false</o:LockedField>
                </o:OLEObject>
              </w:object>
            </w:r>
            <w:r>
              <w:rPr>
                <w:rFonts w:hint="eastAsia" w:ascii="宋体" w:hAnsi="宋体"/>
                <w:color w:val="auto"/>
                <w:szCs w:val="21"/>
                <w:lang w:val="en-GB"/>
              </w:rPr>
              <w:t>—沟床纵坡（‰）。</w:t>
            </w:r>
          </w:p>
          <w:p>
            <w:pPr>
              <w:widowControl/>
              <w:spacing w:line="360" w:lineRule="auto"/>
              <w:ind w:firstLine="480" w:firstLineChars="200"/>
              <w:jc w:val="left"/>
              <w:rPr>
                <w:rFonts w:hint="eastAsia" w:ascii="宋体" w:hAnsi="宋体"/>
                <w:color w:val="auto"/>
                <w:sz w:val="24"/>
                <w:lang w:val="en-GB"/>
              </w:rPr>
            </w:pPr>
            <w:r>
              <w:rPr>
                <w:rFonts w:hint="eastAsia" w:ascii="宋体" w:hAnsi="宋体"/>
                <w:color w:val="auto"/>
                <w:sz w:val="24"/>
                <w:lang w:val="en-US" w:eastAsia="zh-CN"/>
              </w:rPr>
              <w:t>②</w:t>
            </w:r>
            <w:r>
              <w:rPr>
                <w:rFonts w:hint="eastAsia" w:ascii="宋体" w:hAnsi="宋体"/>
                <w:color w:val="auto"/>
                <w:sz w:val="24"/>
                <w:lang w:val="en-GB"/>
              </w:rPr>
              <w:t>由于</w:t>
            </w:r>
            <w:r>
              <w:rPr>
                <w:rFonts w:hint="eastAsia" w:ascii="宋体" w:hAnsi="宋体"/>
                <w:color w:val="auto"/>
                <w:sz w:val="24"/>
              </w:rPr>
              <w:t>拦挡坝</w:t>
            </w:r>
            <w:r>
              <w:rPr>
                <w:rFonts w:hint="eastAsia" w:ascii="宋体" w:hAnsi="宋体"/>
                <w:color w:val="auto"/>
                <w:sz w:val="24"/>
                <w:lang w:val="en-GB"/>
              </w:rPr>
              <w:t>坝位上游回淤范围形态不规则，因此谷坊坝量库容采用下式估算：</w:t>
            </w:r>
          </w:p>
          <w:p>
            <w:pPr>
              <w:widowControl/>
              <w:spacing w:line="360" w:lineRule="auto"/>
              <w:ind w:firstLine="560" w:firstLineChars="200"/>
              <w:jc w:val="center"/>
              <w:rPr>
                <w:rFonts w:hint="eastAsia" w:ascii="宋体" w:hAnsi="宋体"/>
                <w:i/>
                <w:iCs/>
                <w:color w:val="auto"/>
                <w:sz w:val="28"/>
                <w:szCs w:val="28"/>
                <w:lang w:val="en-GB"/>
              </w:rPr>
            </w:pPr>
            <w:r>
              <w:rPr>
                <w:rFonts w:hint="eastAsia" w:ascii="宋体" w:hAnsi="宋体"/>
                <w:i/>
                <w:iCs/>
                <w:color w:val="auto"/>
                <w:sz w:val="28"/>
                <w:szCs w:val="28"/>
              </w:rPr>
              <w:t>V</w:t>
            </w:r>
            <w:r>
              <w:rPr>
                <w:rFonts w:hint="eastAsia" w:ascii="宋体" w:hAnsi="宋体"/>
                <w:i/>
                <w:iCs/>
                <w:color w:val="auto"/>
                <w:sz w:val="28"/>
                <w:szCs w:val="28"/>
                <w:vertAlign w:val="subscript"/>
              </w:rPr>
              <w:t>S</w:t>
            </w:r>
            <w:r>
              <w:rPr>
                <w:rFonts w:hint="eastAsia" w:ascii="宋体" w:hAnsi="宋体"/>
                <w:color w:val="auto"/>
                <w:sz w:val="28"/>
                <w:szCs w:val="28"/>
              </w:rPr>
              <w:t>=</w:t>
            </w:r>
            <w:r>
              <w:rPr>
                <w:rFonts w:hint="eastAsia" w:ascii="宋体" w:hAnsi="宋体"/>
                <w:i/>
                <w:iCs/>
                <w:color w:val="auto"/>
                <w:sz w:val="28"/>
                <w:szCs w:val="28"/>
              </w:rPr>
              <w:t>1/I*B*H</w:t>
            </w:r>
            <w:r>
              <w:rPr>
                <w:rFonts w:hint="eastAsia" w:ascii="宋体" w:hAnsi="宋体"/>
                <w:i/>
                <w:iCs/>
                <w:color w:val="auto"/>
                <w:sz w:val="28"/>
                <w:szCs w:val="28"/>
                <w:vertAlign w:val="superscript"/>
              </w:rPr>
              <w:t xml:space="preserve"> 2</w:t>
            </w:r>
          </w:p>
          <w:p>
            <w:pPr>
              <w:widowControl/>
              <w:ind w:left="1260" w:leftChars="600"/>
              <w:jc w:val="left"/>
              <w:rPr>
                <w:rFonts w:hint="eastAsia" w:ascii="宋体" w:hAnsi="宋体"/>
                <w:color w:val="auto"/>
                <w:szCs w:val="21"/>
                <w:lang w:val="en-GB"/>
              </w:rPr>
            </w:pPr>
            <w:r>
              <w:rPr>
                <w:rFonts w:hint="eastAsia" w:ascii="宋体" w:hAnsi="宋体"/>
                <w:color w:val="auto"/>
                <w:szCs w:val="21"/>
                <w:lang w:val="en-GB"/>
              </w:rPr>
              <w:t>式中：</w:t>
            </w:r>
            <w:r>
              <w:rPr>
                <w:rFonts w:hint="eastAsia" w:ascii="宋体" w:hAnsi="宋体"/>
                <w:i/>
                <w:iCs/>
                <w:color w:val="auto"/>
                <w:szCs w:val="21"/>
                <w:lang w:val="en-GB"/>
              </w:rPr>
              <w:t>Vs</w:t>
            </w:r>
            <w:r>
              <w:rPr>
                <w:rFonts w:hint="eastAsia" w:ascii="宋体" w:hAnsi="宋体"/>
                <w:color w:val="auto"/>
                <w:szCs w:val="21"/>
                <w:lang w:val="en-GB"/>
              </w:rPr>
              <w:t>—</w:t>
            </w:r>
            <w:r>
              <w:rPr>
                <w:rFonts w:hint="eastAsia" w:ascii="宋体" w:hAnsi="宋体"/>
                <w:color w:val="auto"/>
                <w:szCs w:val="21"/>
              </w:rPr>
              <w:t>拦挡坝</w:t>
            </w:r>
            <w:r>
              <w:rPr>
                <w:rFonts w:hint="eastAsia" w:ascii="宋体" w:hAnsi="宋体"/>
                <w:color w:val="auto"/>
                <w:szCs w:val="21"/>
                <w:lang w:val="en-GB"/>
              </w:rPr>
              <w:t>库容量，m</w:t>
            </w:r>
            <w:r>
              <w:rPr>
                <w:rFonts w:hint="eastAsia" w:ascii="宋体" w:hAnsi="宋体"/>
                <w:color w:val="auto"/>
                <w:szCs w:val="21"/>
                <w:vertAlign w:val="superscript"/>
                <w:lang w:val="en-GB"/>
              </w:rPr>
              <w:t>3</w:t>
            </w:r>
            <w:r>
              <w:rPr>
                <w:rFonts w:hint="eastAsia" w:ascii="宋体" w:hAnsi="宋体"/>
                <w:color w:val="auto"/>
                <w:szCs w:val="21"/>
                <w:lang w:val="en-GB"/>
              </w:rPr>
              <w:t>；</w:t>
            </w:r>
            <w:r>
              <w:rPr>
                <w:rFonts w:hint="eastAsia" w:ascii="宋体" w:hAnsi="宋体"/>
                <w:i/>
                <w:iCs/>
                <w:color w:val="auto"/>
                <w:szCs w:val="21"/>
              </w:rPr>
              <w:t>I</w:t>
            </w:r>
            <w:r>
              <w:rPr>
                <w:rFonts w:hint="eastAsia" w:ascii="宋体" w:hAnsi="宋体"/>
                <w:color w:val="auto"/>
                <w:szCs w:val="21"/>
                <w:lang w:val="en-GB"/>
              </w:rPr>
              <w:t>—</w:t>
            </w:r>
            <w:r>
              <w:rPr>
                <w:rFonts w:hint="eastAsia" w:ascii="宋体" w:hAnsi="宋体"/>
                <w:color w:val="auto"/>
                <w:szCs w:val="21"/>
              </w:rPr>
              <w:t>坝后沟床纵坡，根据现场情况取0.234；</w:t>
            </w:r>
            <w:r>
              <w:rPr>
                <w:rFonts w:hint="eastAsia" w:ascii="宋体" w:hAnsi="宋体"/>
                <w:i/>
                <w:iCs/>
                <w:color w:val="auto"/>
                <w:szCs w:val="21"/>
              </w:rPr>
              <w:t>B</w:t>
            </w:r>
            <w:r>
              <w:rPr>
                <w:rFonts w:hint="eastAsia" w:ascii="宋体" w:hAnsi="宋体"/>
                <w:color w:val="auto"/>
                <w:szCs w:val="21"/>
              </w:rPr>
              <w:t>—回淤平均宽度，根据回淤区沟床情况取10.00m；</w:t>
            </w:r>
            <w:r>
              <w:rPr>
                <w:rFonts w:hint="eastAsia" w:ascii="宋体" w:hAnsi="宋体"/>
                <w:i/>
                <w:iCs/>
                <w:color w:val="auto"/>
                <w:szCs w:val="21"/>
              </w:rPr>
              <w:t>H</w:t>
            </w:r>
            <w:r>
              <w:rPr>
                <w:rFonts w:hint="eastAsia" w:ascii="宋体" w:hAnsi="宋体"/>
                <w:color w:val="auto"/>
                <w:szCs w:val="21"/>
              </w:rPr>
              <w:t>—坝体有效高度，取4.00m。</w:t>
            </w:r>
          </w:p>
          <w:p>
            <w:pPr>
              <w:widowControl/>
              <w:spacing w:line="360" w:lineRule="auto"/>
              <w:ind w:firstLine="480" w:firstLineChars="200"/>
              <w:jc w:val="left"/>
              <w:rPr>
                <w:rFonts w:hint="eastAsia" w:ascii="宋体" w:hAnsi="宋体"/>
                <w:color w:val="auto"/>
                <w:sz w:val="28"/>
                <w:szCs w:val="28"/>
                <w:lang w:val="en-GB"/>
              </w:rPr>
            </w:pPr>
            <w:r>
              <w:rPr>
                <w:rFonts w:hint="eastAsia" w:ascii="宋体" w:hAnsi="宋体"/>
                <w:color w:val="auto"/>
                <w:sz w:val="24"/>
                <w:lang w:val="en-GB"/>
              </w:rPr>
              <w:t>此外，通过坝后回淤，还可减少沟床揭底冲刷产生的泥石流物源，按回淤段沟道堆积物源宽度，建坝前的冲刷深度和回淤长度来确定，岸坡滑塌按回淤长度确定。经计算，</w:t>
            </w:r>
            <w:r>
              <w:rPr>
                <w:rFonts w:hint="eastAsia" w:ascii="宋体" w:hAnsi="宋体"/>
                <w:color w:val="auto"/>
                <w:sz w:val="24"/>
              </w:rPr>
              <w:t>拦挡坝</w:t>
            </w:r>
            <w:r>
              <w:rPr>
                <w:rFonts w:hint="eastAsia" w:ascii="宋体" w:hAnsi="宋体"/>
                <w:color w:val="auto"/>
                <w:sz w:val="24"/>
                <w:lang w:val="en-GB"/>
              </w:rPr>
              <w:t>设置后可减少可动物源统计如下表：</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center"/>
              <w:textAlignment w:val="auto"/>
              <w:rPr>
                <w:rFonts w:hint="eastAsia" w:ascii="宋体" w:hAnsi="宋体" w:cs="宋体"/>
                <w:b/>
                <w:bCs/>
                <w:color w:val="auto"/>
                <w:szCs w:val="21"/>
              </w:rPr>
            </w:pPr>
            <w:r>
              <w:rPr>
                <w:rFonts w:hint="eastAsia" w:ascii="宋体" w:hAnsi="宋体" w:cs="宋体"/>
                <w:b/>
                <w:bCs/>
                <w:color w:val="auto"/>
                <w:szCs w:val="21"/>
              </w:rPr>
              <w:t>表</w:t>
            </w:r>
            <w:r>
              <w:rPr>
                <w:rFonts w:hint="eastAsia" w:ascii="宋体" w:hAnsi="宋体" w:cs="宋体"/>
                <w:b/>
                <w:bCs/>
                <w:color w:val="auto"/>
                <w:szCs w:val="21"/>
                <w:lang w:val="en-US" w:eastAsia="zh-CN"/>
              </w:rPr>
              <w:t>1-6</w:t>
            </w:r>
            <w:r>
              <w:rPr>
                <w:rFonts w:hint="eastAsia" w:ascii="宋体" w:hAnsi="宋体" w:cs="宋体"/>
                <w:b/>
                <w:bCs/>
                <w:color w:val="auto"/>
                <w:szCs w:val="21"/>
              </w:rPr>
              <w:t xml:space="preserve">   拦挡坝拦稳量统计表格</w:t>
            </w:r>
          </w:p>
          <w:tbl>
            <w:tblPr>
              <w:tblStyle w:val="51"/>
              <w:tblW w:w="1046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516"/>
              <w:gridCol w:w="2007"/>
              <w:gridCol w:w="1613"/>
              <w:gridCol w:w="1344"/>
              <w:gridCol w:w="1564"/>
              <w:gridCol w:w="13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100" w:type="dxa"/>
                  <w:tcBorders>
                    <w:tl2br w:val="nil"/>
                    <w:tr2bl w:val="nil"/>
                  </w:tcBorders>
                  <w:noWrap w:val="0"/>
                  <w:vAlign w:val="center"/>
                </w:tcPr>
                <w:p>
                  <w:pPr>
                    <w:widowControl/>
                    <w:snapToGrid w:val="0"/>
                    <w:jc w:val="center"/>
                    <w:rPr>
                      <w:rFonts w:hint="eastAsia" w:ascii="宋体" w:hAnsi="宋体" w:cs="宋体"/>
                      <w:b/>
                      <w:bCs/>
                      <w:color w:val="auto"/>
                      <w:szCs w:val="21"/>
                    </w:rPr>
                  </w:pPr>
                  <w:r>
                    <w:rPr>
                      <w:rFonts w:hint="eastAsia" w:ascii="宋体" w:hAnsi="宋体" w:cs="宋体"/>
                      <w:b/>
                      <w:bCs/>
                      <w:color w:val="auto"/>
                      <w:szCs w:val="21"/>
                    </w:rPr>
                    <w:t>名称</w:t>
                  </w:r>
                </w:p>
              </w:tc>
              <w:tc>
                <w:tcPr>
                  <w:tcW w:w="1516" w:type="dxa"/>
                  <w:tcBorders>
                    <w:tl2br w:val="nil"/>
                    <w:tr2bl w:val="nil"/>
                  </w:tcBorders>
                  <w:noWrap w:val="0"/>
                  <w:vAlign w:val="center"/>
                </w:tcPr>
                <w:p>
                  <w:pPr>
                    <w:widowControl/>
                    <w:snapToGrid w:val="0"/>
                    <w:jc w:val="center"/>
                    <w:rPr>
                      <w:rFonts w:hint="eastAsia" w:ascii="宋体" w:hAnsi="宋体" w:cs="宋体"/>
                      <w:b/>
                      <w:bCs/>
                      <w:color w:val="auto"/>
                      <w:szCs w:val="21"/>
                    </w:rPr>
                  </w:pPr>
                  <w:r>
                    <w:rPr>
                      <w:rFonts w:hint="eastAsia" w:ascii="宋体" w:hAnsi="宋体" w:cs="宋体"/>
                      <w:b/>
                      <w:bCs/>
                      <w:color w:val="auto"/>
                      <w:szCs w:val="21"/>
                    </w:rPr>
                    <w:t>回淤纵坡(m)</w:t>
                  </w:r>
                </w:p>
              </w:tc>
              <w:tc>
                <w:tcPr>
                  <w:tcW w:w="2007" w:type="dxa"/>
                  <w:tcBorders>
                    <w:tl2br w:val="nil"/>
                    <w:tr2bl w:val="nil"/>
                  </w:tcBorders>
                  <w:noWrap w:val="0"/>
                  <w:vAlign w:val="center"/>
                </w:tcPr>
                <w:p>
                  <w:pPr>
                    <w:widowControl/>
                    <w:snapToGrid w:val="0"/>
                    <w:jc w:val="center"/>
                    <w:rPr>
                      <w:rFonts w:hint="eastAsia" w:ascii="宋体" w:hAnsi="宋体" w:cs="宋体"/>
                      <w:b/>
                      <w:bCs/>
                      <w:color w:val="auto"/>
                      <w:szCs w:val="21"/>
                    </w:rPr>
                  </w:pPr>
                  <w:r>
                    <w:rPr>
                      <w:rFonts w:hint="eastAsia" w:ascii="宋体" w:hAnsi="宋体" w:cs="宋体"/>
                      <w:b/>
                      <w:bCs/>
                      <w:color w:val="auto"/>
                      <w:szCs w:val="21"/>
                    </w:rPr>
                    <w:t>回淤平均宽度(m)</w:t>
                  </w:r>
                </w:p>
              </w:tc>
              <w:tc>
                <w:tcPr>
                  <w:tcW w:w="1613" w:type="dxa"/>
                  <w:tcBorders>
                    <w:tl2br w:val="nil"/>
                    <w:tr2bl w:val="nil"/>
                  </w:tcBorders>
                  <w:noWrap w:val="0"/>
                  <w:vAlign w:val="center"/>
                </w:tcPr>
                <w:p>
                  <w:pPr>
                    <w:widowControl/>
                    <w:snapToGrid w:val="0"/>
                    <w:jc w:val="center"/>
                    <w:rPr>
                      <w:rFonts w:hint="eastAsia" w:ascii="宋体" w:hAnsi="宋体" w:cs="宋体"/>
                      <w:b/>
                      <w:bCs/>
                      <w:color w:val="auto"/>
                      <w:szCs w:val="21"/>
                    </w:rPr>
                  </w:pPr>
                  <w:r>
                    <w:rPr>
                      <w:rFonts w:hint="eastAsia" w:ascii="宋体" w:hAnsi="宋体" w:cs="宋体"/>
                      <w:b/>
                      <w:bCs/>
                      <w:color w:val="auto"/>
                      <w:szCs w:val="21"/>
                    </w:rPr>
                    <w:t>坝体有效高度（m）</w:t>
                  </w:r>
                </w:p>
              </w:tc>
              <w:tc>
                <w:tcPr>
                  <w:tcW w:w="1344" w:type="dxa"/>
                  <w:tcBorders>
                    <w:tl2br w:val="nil"/>
                    <w:tr2bl w:val="nil"/>
                  </w:tcBorders>
                  <w:noWrap w:val="0"/>
                  <w:vAlign w:val="center"/>
                </w:tcPr>
                <w:p>
                  <w:pPr>
                    <w:widowControl/>
                    <w:snapToGrid w:val="0"/>
                    <w:jc w:val="center"/>
                    <w:rPr>
                      <w:rFonts w:hint="eastAsia" w:ascii="宋体" w:hAnsi="宋体" w:cs="宋体"/>
                      <w:b/>
                      <w:bCs/>
                      <w:color w:val="auto"/>
                      <w:szCs w:val="21"/>
                    </w:rPr>
                  </w:pPr>
                  <w:r>
                    <w:rPr>
                      <w:rFonts w:hint="eastAsia" w:ascii="宋体" w:hAnsi="宋体" w:cs="宋体"/>
                      <w:b/>
                      <w:bCs/>
                      <w:color w:val="auto"/>
                      <w:szCs w:val="21"/>
                    </w:rPr>
                    <w:t>库容（m</w:t>
                  </w:r>
                  <w:r>
                    <w:rPr>
                      <w:rFonts w:hint="eastAsia" w:ascii="宋体" w:hAnsi="宋体" w:cs="宋体"/>
                      <w:b/>
                      <w:bCs/>
                      <w:color w:val="auto"/>
                      <w:szCs w:val="21"/>
                      <w:vertAlign w:val="superscript"/>
                    </w:rPr>
                    <w:t>3</w:t>
                  </w:r>
                  <w:r>
                    <w:rPr>
                      <w:rFonts w:hint="eastAsia" w:ascii="宋体" w:hAnsi="宋体" w:cs="宋体"/>
                      <w:b/>
                      <w:bCs/>
                      <w:color w:val="auto"/>
                      <w:szCs w:val="21"/>
                    </w:rPr>
                    <w:t>）</w:t>
                  </w:r>
                </w:p>
              </w:tc>
              <w:tc>
                <w:tcPr>
                  <w:tcW w:w="1564"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b/>
                      <w:bCs/>
                      <w:color w:val="auto"/>
                      <w:szCs w:val="21"/>
                    </w:rPr>
                    <w:t>减少物源（m</w:t>
                  </w:r>
                  <w:r>
                    <w:rPr>
                      <w:rFonts w:hint="eastAsia" w:ascii="宋体" w:hAnsi="宋体" w:cs="宋体"/>
                      <w:b/>
                      <w:bCs/>
                      <w:color w:val="auto"/>
                      <w:szCs w:val="21"/>
                      <w:vertAlign w:val="superscript"/>
                    </w:rPr>
                    <w:t>3</w:t>
                  </w:r>
                  <w:r>
                    <w:rPr>
                      <w:rFonts w:hint="eastAsia" w:ascii="宋体" w:hAnsi="宋体" w:cs="宋体"/>
                      <w:b/>
                      <w:bCs/>
                      <w:color w:val="auto"/>
                      <w:szCs w:val="21"/>
                    </w:rPr>
                    <w:t>）</w:t>
                  </w:r>
                </w:p>
              </w:tc>
              <w:tc>
                <w:tcPr>
                  <w:tcW w:w="1325"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b/>
                      <w:bCs/>
                      <w:color w:val="auto"/>
                      <w:szCs w:val="21"/>
                    </w:rPr>
                    <w:t>合计（m</w:t>
                  </w:r>
                  <w:r>
                    <w:rPr>
                      <w:rFonts w:hint="eastAsia" w:ascii="宋体" w:hAnsi="宋体" w:cs="宋体"/>
                      <w:b/>
                      <w:bCs/>
                      <w:color w:val="auto"/>
                      <w:szCs w:val="21"/>
                      <w:vertAlign w:val="superscript"/>
                    </w:rPr>
                    <w:t>3</w:t>
                  </w:r>
                  <w:r>
                    <w:rPr>
                      <w:rFonts w:hint="eastAsia" w:ascii="宋体" w:hAnsi="宋体" w:cs="宋体"/>
                      <w:b/>
                      <w:bCs/>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100" w:type="dxa"/>
                  <w:tcBorders>
                    <w:tl2br w:val="nil"/>
                    <w:tr2bl w:val="nil"/>
                  </w:tcBorders>
                  <w:noWrap w:val="0"/>
                  <w:vAlign w:val="center"/>
                </w:tcPr>
                <w:p>
                  <w:pPr>
                    <w:snapToGrid w:val="0"/>
                    <w:spacing w:line="300" w:lineRule="exact"/>
                    <w:jc w:val="center"/>
                    <w:rPr>
                      <w:rFonts w:hint="eastAsia" w:ascii="宋体" w:hAnsi="宋体" w:cs="宋体"/>
                      <w:color w:val="auto"/>
                      <w:szCs w:val="21"/>
                    </w:rPr>
                  </w:pPr>
                  <w:r>
                    <w:rPr>
                      <w:rFonts w:hint="eastAsia" w:ascii="宋体" w:hAnsi="宋体" w:cs="宋体"/>
                      <w:color w:val="auto"/>
                      <w:szCs w:val="21"/>
                    </w:rPr>
                    <w:t>拦挡坝</w:t>
                  </w:r>
                </w:p>
              </w:tc>
              <w:tc>
                <w:tcPr>
                  <w:tcW w:w="1516"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color w:val="auto"/>
                      <w:szCs w:val="21"/>
                    </w:rPr>
                    <w:t>117</w:t>
                  </w:r>
                  <w:r>
                    <w:rPr>
                      <w:rFonts w:hint="eastAsia" w:ascii="宋体" w:hAnsi="宋体" w:cs="宋体"/>
                      <w:color w:val="auto"/>
                      <w:szCs w:val="21"/>
                      <w:lang w:val="en-GB"/>
                    </w:rPr>
                    <w:t>‰</w:t>
                  </w:r>
                </w:p>
              </w:tc>
              <w:tc>
                <w:tcPr>
                  <w:tcW w:w="2007"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color w:val="auto"/>
                      <w:szCs w:val="21"/>
                    </w:rPr>
                    <w:t>10.00</w:t>
                  </w:r>
                </w:p>
              </w:tc>
              <w:tc>
                <w:tcPr>
                  <w:tcW w:w="1613"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color w:val="auto"/>
                      <w:szCs w:val="21"/>
                    </w:rPr>
                    <w:t>4.00</w:t>
                  </w:r>
                </w:p>
              </w:tc>
              <w:tc>
                <w:tcPr>
                  <w:tcW w:w="1344"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color w:val="auto"/>
                      <w:szCs w:val="21"/>
                    </w:rPr>
                    <w:t>684</w:t>
                  </w:r>
                </w:p>
              </w:tc>
              <w:tc>
                <w:tcPr>
                  <w:tcW w:w="1564"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color w:val="auto"/>
                      <w:szCs w:val="21"/>
                    </w:rPr>
                    <w:t>750</w:t>
                  </w:r>
                </w:p>
              </w:tc>
              <w:tc>
                <w:tcPr>
                  <w:tcW w:w="1325" w:type="dxa"/>
                  <w:tcBorders>
                    <w:tl2br w:val="nil"/>
                    <w:tr2bl w:val="nil"/>
                  </w:tcBorders>
                  <w:noWrap w:val="0"/>
                  <w:vAlign w:val="center"/>
                </w:tcPr>
                <w:p>
                  <w:pPr>
                    <w:widowControl/>
                    <w:snapToGrid w:val="0"/>
                    <w:jc w:val="center"/>
                    <w:rPr>
                      <w:rFonts w:hint="eastAsia" w:ascii="宋体" w:hAnsi="宋体" w:cs="宋体"/>
                      <w:color w:val="auto"/>
                      <w:szCs w:val="21"/>
                    </w:rPr>
                  </w:pPr>
                  <w:r>
                    <w:rPr>
                      <w:rFonts w:hint="eastAsia" w:ascii="宋体" w:hAnsi="宋体" w:cs="宋体"/>
                      <w:color w:val="auto"/>
                      <w:szCs w:val="21"/>
                    </w:rPr>
                    <w:t>1434</w:t>
                  </w:r>
                </w:p>
              </w:tc>
            </w:tr>
          </w:tbl>
          <w:p>
            <w:pPr>
              <w:adjustRightInd w:val="0"/>
              <w:snapToGrid w:val="0"/>
              <w:spacing w:line="360" w:lineRule="auto"/>
              <w:ind w:firstLine="480" w:firstLineChars="200"/>
              <w:rPr>
                <w:rFonts w:hint="eastAsia"/>
                <w:color w:val="auto"/>
                <w:sz w:val="24"/>
              </w:rPr>
            </w:pPr>
            <w:r>
              <w:rPr>
                <w:rFonts w:hint="eastAsia"/>
                <w:color w:val="auto"/>
                <w:sz w:val="24"/>
              </w:rPr>
              <w:t>通过坝的回淤库容统计，方案一坝体库容为684</w:t>
            </w:r>
            <w:r>
              <w:rPr>
                <w:color w:val="auto"/>
                <w:sz w:val="24"/>
              </w:rPr>
              <w:t>m</w:t>
            </w:r>
            <w:r>
              <w:rPr>
                <w:color w:val="auto"/>
                <w:sz w:val="24"/>
                <w:vertAlign w:val="superscript"/>
              </w:rPr>
              <w:t>3</w:t>
            </w:r>
            <w:r>
              <w:rPr>
                <w:rFonts w:hint="eastAsia"/>
                <w:color w:val="auto"/>
                <w:sz w:val="24"/>
              </w:rPr>
              <w:t>，按20年一遇暴雨频率下一次固体物质冲出量400.14</w:t>
            </w:r>
            <w:r>
              <w:rPr>
                <w:color w:val="auto"/>
                <w:sz w:val="24"/>
              </w:rPr>
              <w:t>m</w:t>
            </w:r>
            <w:r>
              <w:rPr>
                <w:color w:val="auto"/>
                <w:sz w:val="24"/>
                <w:vertAlign w:val="superscript"/>
              </w:rPr>
              <w:t>3</w:t>
            </w:r>
            <w:r>
              <w:rPr>
                <w:rFonts w:hint="eastAsia"/>
                <w:color w:val="auto"/>
                <w:sz w:val="24"/>
              </w:rPr>
              <w:t>计算，可拦蓄同等规模的泥石流1.71次。</w:t>
            </w:r>
          </w:p>
          <w:bookmarkEnd w:id="1"/>
          <w:p>
            <w:pPr>
              <w:adjustRightInd w:val="0"/>
              <w:snapToGrid w:val="0"/>
              <w:spacing w:line="360" w:lineRule="auto"/>
              <w:ind w:firstLine="480" w:firstLineChars="200"/>
              <w:rPr>
                <w:rFonts w:hint="eastAsia" w:ascii="宋体" w:hAnsi="宋体"/>
                <w:color w:val="auto"/>
                <w:sz w:val="24"/>
              </w:rPr>
            </w:pPr>
            <w:r>
              <w:rPr>
                <w:rFonts w:hint="eastAsia" w:ascii="宋体" w:hAnsi="宋体"/>
                <w:color w:val="auto"/>
                <w:sz w:val="24"/>
              </w:rPr>
              <w:t>4</w:t>
            </w:r>
            <w:r>
              <w:rPr>
                <w:rFonts w:hint="eastAsia" w:ascii="宋体" w:hAnsi="宋体"/>
                <w:color w:val="auto"/>
                <w:sz w:val="24"/>
                <w:lang w:eastAsia="zh-CN"/>
              </w:rPr>
              <w:t>）</w:t>
            </w:r>
            <w:r>
              <w:rPr>
                <w:rFonts w:hint="eastAsia" w:ascii="宋体" w:hAnsi="宋体"/>
                <w:color w:val="auto"/>
                <w:sz w:val="24"/>
              </w:rPr>
              <w:t>基础、坝肩结合槽设计</w:t>
            </w:r>
          </w:p>
          <w:p>
            <w:pPr>
              <w:tabs>
                <w:tab w:val="left" w:pos="9105"/>
              </w:tabs>
              <w:adjustRightInd w:val="0"/>
              <w:snapToGrid w:val="0"/>
              <w:spacing w:line="360" w:lineRule="auto"/>
              <w:ind w:firstLine="480" w:firstLineChars="200"/>
              <w:rPr>
                <w:rFonts w:hint="eastAsia" w:ascii="宋体" w:hAnsi="宋体"/>
                <w:color w:val="auto"/>
                <w:sz w:val="24"/>
              </w:rPr>
            </w:pPr>
            <w:r>
              <w:rPr>
                <w:rFonts w:ascii="宋体" w:hAnsi="宋体"/>
                <w:color w:val="auto"/>
                <w:sz w:val="24"/>
              </w:rPr>
              <w:t>基础设计是保证坝体安全的重要环节</w:t>
            </w:r>
            <w:r>
              <w:rPr>
                <w:rFonts w:hint="eastAsia" w:ascii="宋体" w:hAnsi="宋体"/>
                <w:color w:val="auto"/>
                <w:sz w:val="24"/>
              </w:rPr>
              <w:t>，拦挡坝基础埋深根据坝址处地层、地质条件、坝高及抗滑移、抗倾覆稳定性设计要求进行综合考虑。如不满足稳定性要求时，可根据需求适当加深，以能达到抗倾覆、抗滑移、抗冲击等稳定性要求为宜。</w:t>
            </w:r>
          </w:p>
          <w:p>
            <w:pPr>
              <w:adjustRightInd w:val="0"/>
              <w:snapToGrid w:val="0"/>
              <w:spacing w:line="360" w:lineRule="auto"/>
              <w:ind w:firstLine="480" w:firstLineChars="200"/>
              <w:rPr>
                <w:rFonts w:hint="eastAsia" w:ascii="宋体" w:hAnsi="宋体"/>
                <w:color w:val="auto"/>
                <w:sz w:val="24"/>
              </w:rPr>
            </w:pPr>
            <w:r>
              <w:rPr>
                <w:rFonts w:hint="eastAsia" w:ascii="宋体" w:hAnsi="宋体"/>
                <w:color w:val="auto"/>
                <w:sz w:val="24"/>
              </w:rPr>
              <w:t>拦挡坝基础采用矩形，长度根据坝基工程地质条件及稳定性要求确定，宽度根据坝顶宽、坝体迎、背水面坡比确定，基槽开挖采用放坡法，坡率为</w:t>
            </w:r>
            <w:r>
              <w:rPr>
                <w:rFonts w:hint="eastAsia"/>
                <w:color w:val="auto"/>
                <w:sz w:val="24"/>
              </w:rPr>
              <w:t>1</w:t>
            </w:r>
            <w:r>
              <w:rPr>
                <w:color w:val="auto"/>
                <w:sz w:val="24"/>
              </w:rPr>
              <w:t>:</w:t>
            </w:r>
            <w:r>
              <w:rPr>
                <w:rFonts w:hint="eastAsia"/>
                <w:color w:val="auto"/>
                <w:sz w:val="24"/>
              </w:rPr>
              <w:t>0.3-</w:t>
            </w:r>
            <w:r>
              <w:rPr>
                <w:color w:val="auto"/>
                <w:sz w:val="24"/>
              </w:rPr>
              <w:t>1:</w:t>
            </w:r>
            <w:r>
              <w:rPr>
                <w:rFonts w:hint="eastAsia"/>
                <w:color w:val="auto"/>
                <w:sz w:val="24"/>
              </w:rPr>
              <w:t>0.5</w:t>
            </w:r>
            <w:r>
              <w:rPr>
                <w:rFonts w:hint="eastAsia" w:ascii="宋体" w:hAnsi="宋体"/>
                <w:color w:val="auto"/>
                <w:sz w:val="24"/>
              </w:rPr>
              <w:t>。两侧坝肩结合槽，根据坝址处坝肩的岩土工程地质条件确定，各拦挡坝坝肩处出露地层</w:t>
            </w:r>
            <w:r>
              <w:rPr>
                <w:rFonts w:hint="eastAsia"/>
                <w:color w:val="auto"/>
                <w:sz w:val="24"/>
              </w:rPr>
              <w:t>大部分</w:t>
            </w:r>
            <w:r>
              <w:rPr>
                <w:rFonts w:hint="eastAsia" w:ascii="宋体" w:hAnsi="宋体"/>
                <w:color w:val="auto"/>
                <w:sz w:val="24"/>
              </w:rPr>
              <w:t>为</w:t>
            </w:r>
            <w:r>
              <w:rPr>
                <w:rFonts w:hint="eastAsia"/>
                <w:color w:val="auto"/>
                <w:sz w:val="24"/>
              </w:rPr>
              <w:t>碎石土</w:t>
            </w:r>
            <w:r>
              <w:rPr>
                <w:rFonts w:hint="eastAsia" w:ascii="宋体" w:hAnsi="宋体"/>
                <w:color w:val="auto"/>
                <w:sz w:val="24"/>
              </w:rPr>
              <w:t>，因此各坝肩嵌入深度不小于2m，确保坝肩结合良好。</w:t>
            </w:r>
          </w:p>
          <w:p>
            <w:pPr>
              <w:adjustRightInd w:val="0"/>
              <w:snapToGrid w:val="0"/>
              <w:spacing w:line="360" w:lineRule="auto"/>
              <w:ind w:firstLine="480" w:firstLineChars="200"/>
              <w:rPr>
                <w:rFonts w:hint="eastAsia" w:ascii="宋体" w:hAnsi="宋体"/>
                <w:color w:val="auto"/>
                <w:sz w:val="24"/>
              </w:rPr>
            </w:pPr>
            <w:r>
              <w:rPr>
                <w:rFonts w:hint="eastAsia" w:ascii="宋体" w:hAnsi="宋体"/>
                <w:color w:val="auto"/>
                <w:sz w:val="24"/>
              </w:rPr>
              <w:t>5</w:t>
            </w:r>
            <w:r>
              <w:rPr>
                <w:rFonts w:hint="eastAsia" w:ascii="宋体" w:hAnsi="宋体"/>
                <w:color w:val="auto"/>
                <w:sz w:val="24"/>
                <w:lang w:eastAsia="zh-CN"/>
              </w:rPr>
              <w:t>）</w:t>
            </w:r>
            <w:r>
              <w:rPr>
                <w:rFonts w:hint="eastAsia" w:ascii="宋体" w:hAnsi="宋体"/>
                <w:color w:val="auto"/>
                <w:sz w:val="24"/>
              </w:rPr>
              <w:t>溢流口设计</w:t>
            </w:r>
          </w:p>
          <w:p>
            <w:pPr>
              <w:adjustRightInd w:val="0"/>
              <w:snapToGrid w:val="0"/>
              <w:spacing w:line="360" w:lineRule="auto"/>
              <w:ind w:firstLine="480" w:firstLineChars="200"/>
              <w:rPr>
                <w:rFonts w:hint="eastAsia" w:ascii="宋体" w:hAnsi="宋体"/>
                <w:color w:val="auto"/>
                <w:sz w:val="24"/>
              </w:rPr>
            </w:pPr>
            <w:r>
              <w:rPr>
                <w:rFonts w:hint="eastAsia" w:ascii="宋体" w:hAnsi="宋体"/>
                <w:color w:val="auto"/>
                <w:sz w:val="24"/>
              </w:rPr>
              <w:t>按照布置河段位置和泄流方向、过流宽度、水深、流速、安全超高的要求，设计溢流口宽度和高度，要求溢流口过流能力大于过坝泥石流流量，溢流口安全超高按0.5m设计，坝肩溢流口采用斜肩，坡比按1：1，溢流口设计尺寸及流量复核计算结果如表3－3，溢流口允许过流能力计算公式为：</w:t>
            </w:r>
          </w:p>
          <w:p>
            <w:pPr>
              <w:adjustRightInd w:val="0"/>
              <w:snapToGrid w:val="0"/>
              <w:spacing w:line="360" w:lineRule="auto"/>
              <w:ind w:firstLine="480"/>
              <w:jc w:val="center"/>
              <w:rPr>
                <w:rFonts w:ascii="宋体" w:hAnsi="宋体"/>
                <w:color w:val="auto"/>
                <w:sz w:val="24"/>
                <w:szCs w:val="20"/>
              </w:rPr>
            </w:pPr>
            <w:r>
              <w:rPr>
                <w:rFonts w:ascii="宋体" w:hAnsi="宋体"/>
                <w:color w:val="auto"/>
                <w:sz w:val="24"/>
                <w:szCs w:val="20"/>
              </w:rPr>
              <w:drawing>
                <wp:inline distT="0" distB="0" distL="114300" distR="114300">
                  <wp:extent cx="1587500" cy="358140"/>
                  <wp:effectExtent l="0" t="0" r="12700" b="3175"/>
                  <wp:docPr id="51"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0"/>
                          <pic:cNvPicPr>
                            <a:picLocks noChangeAspect="1"/>
                          </pic:cNvPicPr>
                        </pic:nvPicPr>
                        <pic:blipFill>
                          <a:blip r:embed="rId70"/>
                          <a:stretch>
                            <a:fillRect/>
                          </a:stretch>
                        </pic:blipFill>
                        <pic:spPr>
                          <a:xfrm>
                            <a:off x="0" y="0"/>
                            <a:ext cx="1587500" cy="358140"/>
                          </a:xfrm>
                          <a:prstGeom prst="rect">
                            <a:avLst/>
                          </a:prstGeom>
                          <a:noFill/>
                          <a:ln>
                            <a:noFill/>
                          </a:ln>
                        </pic:spPr>
                      </pic:pic>
                    </a:graphicData>
                  </a:graphic>
                </wp:inline>
              </w:drawing>
            </w:r>
          </w:p>
          <w:p>
            <w:pPr>
              <w:adjustRightInd w:val="0"/>
              <w:snapToGrid w:val="0"/>
              <w:spacing w:line="360" w:lineRule="auto"/>
              <w:ind w:left="1680" w:leftChars="800" w:firstLine="482"/>
              <w:rPr>
                <w:rFonts w:ascii="宋体" w:hAnsi="宋体"/>
                <w:color w:val="auto"/>
                <w:szCs w:val="21"/>
              </w:rPr>
            </w:pPr>
            <w:r>
              <w:rPr>
                <w:rFonts w:hint="eastAsia" w:ascii="宋体" w:hAnsi="宋体"/>
                <w:color w:val="auto"/>
                <w:szCs w:val="21"/>
              </w:rPr>
              <w:t>式中</w:t>
            </w:r>
            <w:r>
              <w:rPr>
                <w:rFonts w:ascii="宋体" w:hAnsi="宋体"/>
                <w:color w:val="auto"/>
                <w:szCs w:val="21"/>
              </w:rPr>
              <w:drawing>
                <wp:inline distT="0" distB="0" distL="114300" distR="114300">
                  <wp:extent cx="152400" cy="209550"/>
                  <wp:effectExtent l="0" t="0" r="0" b="0"/>
                  <wp:docPr id="52"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1"/>
                          <pic:cNvPicPr>
                            <a:picLocks noChangeAspect="1"/>
                          </pic:cNvPicPr>
                        </pic:nvPicPr>
                        <pic:blipFill>
                          <a:blip r:embed="rId71"/>
                          <a:stretch>
                            <a:fillRect/>
                          </a:stretch>
                        </pic:blipFill>
                        <pic:spPr>
                          <a:xfrm>
                            <a:off x="0" y="0"/>
                            <a:ext cx="152400" cy="209550"/>
                          </a:xfrm>
                          <a:prstGeom prst="rect">
                            <a:avLst/>
                          </a:prstGeom>
                          <a:noFill/>
                          <a:ln>
                            <a:noFill/>
                          </a:ln>
                        </pic:spPr>
                      </pic:pic>
                    </a:graphicData>
                  </a:graphic>
                </wp:inline>
              </w:drawing>
            </w:r>
            <w:r>
              <w:rPr>
                <w:rFonts w:hint="eastAsia" w:ascii="宋体" w:hAnsi="宋体"/>
                <w:color w:val="auto"/>
                <w:szCs w:val="21"/>
              </w:rPr>
              <w:t>—过坝泥石流流量(m</w:t>
            </w:r>
            <w:r>
              <w:rPr>
                <w:rFonts w:hint="eastAsia" w:ascii="宋体" w:hAnsi="宋体"/>
                <w:color w:val="auto"/>
                <w:szCs w:val="21"/>
                <w:vertAlign w:val="superscript"/>
              </w:rPr>
              <w:t>3</w:t>
            </w:r>
            <w:r>
              <w:rPr>
                <w:rFonts w:hint="eastAsia" w:ascii="宋体" w:hAnsi="宋体"/>
                <w:color w:val="auto"/>
                <w:szCs w:val="21"/>
              </w:rPr>
              <w:t>/s)；</w:t>
            </w:r>
          </w:p>
          <w:p>
            <w:pPr>
              <w:adjustRightInd w:val="0"/>
              <w:snapToGrid w:val="0"/>
              <w:spacing w:line="360" w:lineRule="auto"/>
              <w:ind w:left="1680" w:leftChars="800" w:firstLine="482"/>
              <w:rPr>
                <w:rFonts w:ascii="宋体" w:hAnsi="宋体"/>
                <w:color w:val="auto"/>
                <w:szCs w:val="21"/>
              </w:rPr>
            </w:pPr>
            <w:r>
              <w:rPr>
                <w:rFonts w:ascii="宋体" w:hAnsi="宋体"/>
                <w:color w:val="auto"/>
                <w:szCs w:val="21"/>
              </w:rPr>
              <w:drawing>
                <wp:inline distT="0" distB="0" distL="114300" distR="114300">
                  <wp:extent cx="148590" cy="168910"/>
                  <wp:effectExtent l="0" t="0" r="0" b="1905"/>
                  <wp:docPr id="54"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2"/>
                          <pic:cNvPicPr>
                            <a:picLocks noChangeAspect="1"/>
                          </pic:cNvPicPr>
                        </pic:nvPicPr>
                        <pic:blipFill>
                          <a:blip r:embed="rId72"/>
                          <a:stretch>
                            <a:fillRect/>
                          </a:stretch>
                        </pic:blipFill>
                        <pic:spPr>
                          <a:xfrm>
                            <a:off x="0" y="0"/>
                            <a:ext cx="148590" cy="168910"/>
                          </a:xfrm>
                          <a:prstGeom prst="rect">
                            <a:avLst/>
                          </a:prstGeom>
                          <a:noFill/>
                          <a:ln>
                            <a:noFill/>
                          </a:ln>
                        </pic:spPr>
                      </pic:pic>
                    </a:graphicData>
                  </a:graphic>
                </wp:inline>
              </w:drawing>
            </w:r>
            <w:r>
              <w:rPr>
                <w:rFonts w:ascii="宋体" w:hAnsi="宋体"/>
                <w:color w:val="auto"/>
                <w:szCs w:val="21"/>
              </w:rPr>
              <w:t>—</w:t>
            </w:r>
            <w:r>
              <w:rPr>
                <w:rFonts w:hint="eastAsia" w:ascii="宋体" w:hAnsi="宋体"/>
                <w:color w:val="auto"/>
                <w:szCs w:val="21"/>
              </w:rPr>
              <w:t>溢流口宽度（m）；</w:t>
            </w:r>
          </w:p>
          <w:p>
            <w:pPr>
              <w:adjustRightInd w:val="0"/>
              <w:snapToGrid w:val="0"/>
              <w:spacing w:line="360" w:lineRule="auto"/>
              <w:ind w:left="1680" w:leftChars="800" w:firstLine="482"/>
              <w:rPr>
                <w:rFonts w:hint="eastAsia" w:ascii="宋体" w:hAnsi="宋体"/>
                <w:color w:val="auto"/>
                <w:szCs w:val="21"/>
              </w:rPr>
            </w:pPr>
            <w:r>
              <w:rPr>
                <w:rFonts w:ascii="宋体" w:hAnsi="宋体"/>
                <w:color w:val="auto"/>
                <w:szCs w:val="21"/>
              </w:rPr>
              <w:drawing>
                <wp:inline distT="0" distB="0" distL="114300" distR="114300">
                  <wp:extent cx="180975" cy="171450"/>
                  <wp:effectExtent l="0" t="0" r="9525" b="0"/>
                  <wp:docPr id="5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3"/>
                          <pic:cNvPicPr>
                            <a:picLocks noChangeAspect="1"/>
                          </pic:cNvPicPr>
                        </pic:nvPicPr>
                        <pic:blipFill>
                          <a:blip r:embed="rId73"/>
                          <a:stretch>
                            <a:fillRect/>
                          </a:stretch>
                        </pic:blipFill>
                        <pic:spPr>
                          <a:xfrm>
                            <a:off x="0" y="0"/>
                            <a:ext cx="180975" cy="171450"/>
                          </a:xfrm>
                          <a:prstGeom prst="rect">
                            <a:avLst/>
                          </a:prstGeom>
                          <a:noFill/>
                          <a:ln>
                            <a:noFill/>
                          </a:ln>
                        </pic:spPr>
                      </pic:pic>
                    </a:graphicData>
                  </a:graphic>
                </wp:inline>
              </w:drawing>
            </w:r>
            <w:r>
              <w:rPr>
                <w:rFonts w:ascii="宋体" w:hAnsi="宋体"/>
                <w:color w:val="auto"/>
                <w:szCs w:val="21"/>
              </w:rPr>
              <w:t>—</w:t>
            </w:r>
            <w:r>
              <w:rPr>
                <w:rFonts w:hint="eastAsia" w:ascii="宋体" w:hAnsi="宋体"/>
                <w:color w:val="auto"/>
                <w:szCs w:val="21"/>
              </w:rPr>
              <w:t>溢流口</w:t>
            </w:r>
            <w:r>
              <w:rPr>
                <w:rFonts w:hint="eastAsia" w:ascii="宋体"/>
                <w:color w:val="auto"/>
                <w:szCs w:val="21"/>
              </w:rPr>
              <w:t>设计深度</w:t>
            </w:r>
            <w:r>
              <w:rPr>
                <w:rFonts w:hint="eastAsia" w:ascii="宋体" w:hAnsi="宋体"/>
                <w:color w:val="auto"/>
                <w:szCs w:val="21"/>
              </w:rPr>
              <w:t>（m）；</w:t>
            </w:r>
          </w:p>
          <w:p>
            <w:pPr>
              <w:keepNext w:val="0"/>
              <w:keepLines w:val="0"/>
              <w:pageBreakBefore w:val="0"/>
              <w:widowControl w:val="0"/>
              <w:kinsoku/>
              <w:wordWrap/>
              <w:overflowPunct/>
              <w:topLinePunct w:val="0"/>
              <w:autoSpaceDE/>
              <w:autoSpaceDN/>
              <w:bidi w:val="0"/>
              <w:adjustRightInd w:val="0"/>
              <w:snapToGrid w:val="0"/>
              <w:spacing w:line="240" w:lineRule="auto"/>
              <w:ind w:firstLine="420"/>
              <w:jc w:val="center"/>
              <w:textAlignment w:val="auto"/>
              <w:rPr>
                <w:rFonts w:hint="eastAsia" w:ascii="宋体" w:hAnsi="宋体" w:cs="宋体"/>
                <w:b/>
                <w:bCs/>
                <w:color w:val="auto"/>
                <w:szCs w:val="21"/>
              </w:rPr>
            </w:pPr>
            <w:r>
              <w:rPr>
                <w:rFonts w:hint="eastAsia" w:ascii="宋体" w:hAnsi="宋体" w:cs="宋体"/>
                <w:b/>
                <w:bCs/>
                <w:color w:val="auto"/>
                <w:szCs w:val="21"/>
              </w:rPr>
              <w:t>表</w:t>
            </w:r>
            <w:r>
              <w:rPr>
                <w:rFonts w:hint="eastAsia" w:ascii="宋体" w:hAnsi="宋体" w:cs="宋体"/>
                <w:b/>
                <w:bCs/>
                <w:color w:val="auto"/>
                <w:szCs w:val="21"/>
                <w:lang w:val="en-US" w:eastAsia="zh-CN"/>
              </w:rPr>
              <w:t>1-7</w:t>
            </w:r>
            <w:r>
              <w:rPr>
                <w:rFonts w:hint="eastAsia" w:ascii="宋体" w:hAnsi="宋体" w:cs="宋体"/>
                <w:b/>
                <w:bCs/>
                <w:color w:val="auto"/>
                <w:szCs w:val="21"/>
              </w:rPr>
              <w:t xml:space="preserve">  泥石流溢流口过坝流量复核计算表</w:t>
            </w:r>
          </w:p>
          <w:tbl>
            <w:tblPr>
              <w:tblStyle w:val="51"/>
              <w:tblW w:w="891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58"/>
              <w:gridCol w:w="845"/>
              <w:gridCol w:w="1432"/>
              <w:gridCol w:w="1268"/>
              <w:gridCol w:w="1159"/>
              <w:gridCol w:w="1691"/>
              <w:gridCol w:w="196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87" w:hRule="atLeast"/>
                <w:jc w:val="center"/>
              </w:trPr>
              <w:tc>
                <w:tcPr>
                  <w:tcW w:w="558" w:type="dxa"/>
                  <w:tcBorders>
                    <w:tl2br w:val="nil"/>
                    <w:tr2bl w:val="nil"/>
                  </w:tcBorders>
                  <w:noWrap w:val="0"/>
                  <w:vAlign w:val="center"/>
                </w:tcPr>
                <w:p>
                  <w:pPr>
                    <w:adjustRightInd w:val="0"/>
                    <w:snapToGrid w:val="0"/>
                    <w:jc w:val="center"/>
                    <w:rPr>
                      <w:rFonts w:hint="eastAsia" w:ascii="宋体" w:hAnsi="宋体" w:cs="宋体"/>
                      <w:color w:val="auto"/>
                      <w:kern w:val="0"/>
                      <w:szCs w:val="21"/>
                      <w:lang w:bidi="ar"/>
                    </w:rPr>
                  </w:pPr>
                  <w:r>
                    <w:rPr>
                      <w:rFonts w:hint="eastAsia" w:ascii="宋体" w:hAnsi="宋体"/>
                      <w:b/>
                      <w:color w:val="auto"/>
                      <w:szCs w:val="21"/>
                    </w:rPr>
                    <w:t>序号</w:t>
                  </w:r>
                </w:p>
              </w:tc>
              <w:tc>
                <w:tcPr>
                  <w:tcW w:w="845"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工况</w:t>
                  </w:r>
                </w:p>
              </w:tc>
              <w:tc>
                <w:tcPr>
                  <w:tcW w:w="1432"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溢流口底宽度(m)</w:t>
                  </w:r>
                </w:p>
              </w:tc>
              <w:tc>
                <w:tcPr>
                  <w:tcW w:w="1268"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溢流口深度(m)</w:t>
                  </w:r>
                </w:p>
              </w:tc>
              <w:tc>
                <w:tcPr>
                  <w:tcW w:w="1159"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设计泥深(m)</w:t>
                  </w:r>
                </w:p>
              </w:tc>
              <w:tc>
                <w:tcPr>
                  <w:tcW w:w="1691"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允许过流流量(m</w:t>
                  </w:r>
                  <w:r>
                    <w:rPr>
                      <w:rFonts w:hint="eastAsia" w:ascii="宋体" w:hAnsi="宋体" w:cs="宋体"/>
                      <w:color w:val="auto"/>
                      <w:kern w:val="0"/>
                      <w:szCs w:val="21"/>
                      <w:vertAlign w:val="superscript"/>
                      <w:lang w:bidi="ar"/>
                    </w:rPr>
                    <w:t>3</w:t>
                  </w:r>
                  <w:r>
                    <w:rPr>
                      <w:rFonts w:hint="eastAsia" w:ascii="宋体" w:hAnsi="宋体" w:cs="宋体"/>
                      <w:color w:val="auto"/>
                      <w:kern w:val="0"/>
                      <w:szCs w:val="21"/>
                      <w:lang w:bidi="ar"/>
                    </w:rPr>
                    <w:t>/s)</w:t>
                  </w:r>
                </w:p>
              </w:tc>
              <w:tc>
                <w:tcPr>
                  <w:tcW w:w="1960"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泥石流洪峰流量(m</w:t>
                  </w:r>
                  <w:r>
                    <w:rPr>
                      <w:rFonts w:hint="eastAsia" w:ascii="宋体" w:hAnsi="宋体" w:cs="宋体"/>
                      <w:color w:val="auto"/>
                      <w:kern w:val="0"/>
                      <w:szCs w:val="21"/>
                      <w:vertAlign w:val="superscript"/>
                      <w:lang w:bidi="ar"/>
                    </w:rPr>
                    <w:t>3</w:t>
                  </w:r>
                  <w:r>
                    <w:rPr>
                      <w:rFonts w:hint="eastAsia" w:ascii="宋体" w:hAnsi="宋体" w:cs="宋体"/>
                      <w:color w:val="auto"/>
                      <w:kern w:val="0"/>
                      <w:szCs w:val="21"/>
                      <w:lang w:bidi="ar"/>
                    </w:rPr>
                    <w:t>/s)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jc w:val="center"/>
              </w:trPr>
              <w:tc>
                <w:tcPr>
                  <w:tcW w:w="558" w:type="dxa"/>
                  <w:tcBorders>
                    <w:tl2br w:val="nil"/>
                    <w:tr2bl w:val="nil"/>
                  </w:tcBorders>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w:t>
                  </w:r>
                </w:p>
              </w:tc>
              <w:tc>
                <w:tcPr>
                  <w:tcW w:w="845"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szCs w:val="21"/>
                    </w:rPr>
                    <w:t>设计</w:t>
                  </w:r>
                </w:p>
              </w:tc>
              <w:tc>
                <w:tcPr>
                  <w:tcW w:w="1432"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5.0</w:t>
                  </w:r>
                </w:p>
              </w:tc>
              <w:tc>
                <w:tcPr>
                  <w:tcW w:w="1268"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1.0</w:t>
                  </w:r>
                </w:p>
              </w:tc>
              <w:tc>
                <w:tcPr>
                  <w:tcW w:w="1159"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0.5</w:t>
                  </w:r>
                </w:p>
              </w:tc>
              <w:tc>
                <w:tcPr>
                  <w:tcW w:w="1691"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3.38</w:t>
                  </w:r>
                </w:p>
              </w:tc>
              <w:tc>
                <w:tcPr>
                  <w:tcW w:w="1960"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2.77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jc w:val="center"/>
              </w:trPr>
              <w:tc>
                <w:tcPr>
                  <w:tcW w:w="558" w:type="dxa"/>
                  <w:tcBorders>
                    <w:tl2br w:val="nil"/>
                    <w:tr2bl w:val="nil"/>
                  </w:tcBorders>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2</w:t>
                  </w:r>
                </w:p>
              </w:tc>
              <w:tc>
                <w:tcPr>
                  <w:tcW w:w="845" w:type="dxa"/>
                  <w:tcBorders>
                    <w:tl2br w:val="nil"/>
                    <w:tr2bl w:val="nil"/>
                  </w:tcBorders>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szCs w:val="21"/>
                    </w:rPr>
                    <w:t>校核</w:t>
                  </w:r>
                </w:p>
              </w:tc>
              <w:tc>
                <w:tcPr>
                  <w:tcW w:w="1432" w:type="dxa"/>
                  <w:tcBorders>
                    <w:tl2br w:val="nil"/>
                    <w:tr2bl w:val="nil"/>
                  </w:tcBorders>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5.0</w:t>
                  </w:r>
                </w:p>
              </w:tc>
              <w:tc>
                <w:tcPr>
                  <w:tcW w:w="1268" w:type="dxa"/>
                  <w:tcBorders>
                    <w:tl2br w:val="nil"/>
                    <w:tr2bl w:val="nil"/>
                  </w:tcBorders>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1.0</w:t>
                  </w:r>
                </w:p>
              </w:tc>
              <w:tc>
                <w:tcPr>
                  <w:tcW w:w="1159" w:type="dxa"/>
                  <w:tcBorders>
                    <w:tl2br w:val="nil"/>
                    <w:tr2bl w:val="nil"/>
                  </w:tcBorders>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1.0</w:t>
                  </w:r>
                </w:p>
              </w:tc>
              <w:tc>
                <w:tcPr>
                  <w:tcW w:w="1691" w:type="dxa"/>
                  <w:tcBorders>
                    <w:tl2br w:val="nil"/>
                    <w:tr2bl w:val="nil"/>
                  </w:tcBorders>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10.27</w:t>
                  </w:r>
                </w:p>
              </w:tc>
              <w:tc>
                <w:tcPr>
                  <w:tcW w:w="1960" w:type="dxa"/>
                  <w:tcBorders>
                    <w:tl2br w:val="nil"/>
                    <w:tr2bl w:val="nil"/>
                  </w:tcBorders>
                  <w:noWrap w:val="0"/>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3.28</w:t>
                  </w:r>
                </w:p>
              </w:tc>
            </w:tr>
          </w:tbl>
          <w:p>
            <w:pPr>
              <w:adjustRightInd w:val="0"/>
              <w:snapToGrid w:val="0"/>
              <w:spacing w:line="360" w:lineRule="auto"/>
              <w:ind w:firstLine="480" w:firstLineChars="200"/>
              <w:rPr>
                <w:rFonts w:hint="eastAsia" w:ascii="宋体" w:hAnsi="宋体"/>
                <w:color w:val="auto"/>
                <w:sz w:val="24"/>
              </w:rPr>
            </w:pPr>
            <w:r>
              <w:rPr>
                <w:rFonts w:ascii="宋体" w:hAnsi="宋体"/>
                <w:color w:val="auto"/>
                <w:sz w:val="24"/>
              </w:rPr>
              <w:t>由计算表可见，溢流口设计可满足过坝泥石流流量要求。具体设计详见各坝结构设计图。</w:t>
            </w:r>
          </w:p>
          <w:p>
            <w:pPr>
              <w:spacing w:line="360" w:lineRule="auto"/>
              <w:ind w:firstLine="480" w:firstLineChars="200"/>
              <w:textAlignment w:val="center"/>
              <w:rPr>
                <w:rFonts w:hint="eastAsia" w:eastAsiaTheme="minorEastAsia"/>
                <w:color w:val="auto"/>
                <w:sz w:val="24"/>
                <w:lang w:eastAsia="zh-CN"/>
              </w:rPr>
            </w:pPr>
            <w:r>
              <w:rPr>
                <w:rFonts w:hint="eastAsia"/>
                <w:color w:val="auto"/>
                <w:sz w:val="24"/>
              </w:rPr>
              <w:t>6</w:t>
            </w:r>
            <w:r>
              <w:rPr>
                <w:rFonts w:hint="eastAsia"/>
                <w:color w:val="auto"/>
                <w:sz w:val="24"/>
                <w:lang w:eastAsia="zh-CN"/>
              </w:rPr>
              <w:t>）</w:t>
            </w:r>
            <w:r>
              <w:rPr>
                <w:rFonts w:hint="eastAsia"/>
                <w:color w:val="auto"/>
                <w:sz w:val="24"/>
              </w:rPr>
              <w:t>清淤</w:t>
            </w:r>
            <w:r>
              <w:rPr>
                <w:rFonts w:hint="eastAsia"/>
                <w:color w:val="auto"/>
                <w:sz w:val="24"/>
                <w:lang w:val="en-US" w:eastAsia="zh-CN"/>
              </w:rPr>
              <w:t>工程</w:t>
            </w:r>
          </w:p>
          <w:p>
            <w:pPr>
              <w:spacing w:line="360" w:lineRule="auto"/>
              <w:ind w:firstLine="480" w:firstLineChars="200"/>
              <w:rPr>
                <w:rFonts w:hint="eastAsia" w:ascii="宋体" w:hAnsi="宋体"/>
                <w:color w:val="auto"/>
                <w:sz w:val="24"/>
                <w:lang w:val="en-GB"/>
              </w:rPr>
            </w:pPr>
            <w:r>
              <w:rPr>
                <w:rFonts w:hint="eastAsia" w:ascii="宋体" w:hAnsi="宋体"/>
                <w:color w:val="auto"/>
                <w:sz w:val="24"/>
                <w:lang w:val="en-GB"/>
              </w:rPr>
              <w:t>拦挡坝位于公路内侧，如满库后可采用临时清淤的补救措施。建议每年汛期结束后或库容接近满库时及时进行清淤。</w:t>
            </w:r>
          </w:p>
          <w:p>
            <w:pPr>
              <w:spacing w:line="360" w:lineRule="auto"/>
              <w:ind w:firstLine="480" w:firstLineChars="200"/>
              <w:rPr>
                <w:rFonts w:hint="eastAsia" w:ascii="宋体" w:hAnsi="宋体"/>
                <w:bCs/>
                <w:color w:val="auto"/>
                <w:sz w:val="24"/>
              </w:rPr>
            </w:pPr>
            <w:r>
              <w:rPr>
                <w:rFonts w:hint="eastAsia" w:ascii="宋体" w:hAnsi="宋体"/>
                <w:color w:val="auto"/>
                <w:sz w:val="24"/>
                <w:lang w:val="en-GB"/>
              </w:rPr>
              <w:t>清淤采用挖机挖掘，挖掘过程中应观察土堆稳定性，在保证作业机械和人员安全的前提下方可进行施工作业。土方车转运，土方车需密闭较好，避免泥石流固体颗粒和水流出，</w:t>
            </w:r>
            <w:r>
              <w:rPr>
                <w:rFonts w:ascii="宋体" w:hAnsi="宋体"/>
                <w:color w:val="auto"/>
                <w:sz w:val="24"/>
                <w:lang w:val="en-GB"/>
              </w:rPr>
              <w:t>在运输过程中造成环境的污染。施工中做好日常清洁工作，淤泥按指定地点弃放，不污染堆泥场的环境。</w:t>
            </w:r>
          </w:p>
          <w:p>
            <w:pPr>
              <w:spacing w:line="360" w:lineRule="auto"/>
              <w:ind w:firstLine="480" w:firstLineChars="200"/>
              <w:jc w:val="left"/>
              <w:rPr>
                <w:rFonts w:hint="default"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（三）施工技术要求</w:t>
            </w:r>
          </w:p>
          <w:p>
            <w:pPr>
              <w:spacing w:line="360" w:lineRule="auto"/>
              <w:ind w:firstLine="480" w:firstLineChars="200"/>
              <w:jc w:val="left"/>
              <w:rPr>
                <w:rFonts w:hint="default"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1、施工方法及施工工序</w:t>
            </w:r>
          </w:p>
          <w:p>
            <w:pPr>
              <w:spacing w:line="520" w:lineRule="exact"/>
              <w:ind w:firstLine="435"/>
              <w:rPr>
                <w:color w:val="auto"/>
                <w:sz w:val="24"/>
              </w:rPr>
            </w:pPr>
            <w:r>
              <w:rPr>
                <w:color w:val="auto"/>
                <w:sz w:val="24"/>
              </w:rPr>
              <w:t>（1）施工前，应认真检查原材料的品种、型号、规格及各部件的质量，并应有原材料主要技术性能的检验报告。</w:t>
            </w:r>
          </w:p>
          <w:p>
            <w:pPr>
              <w:spacing w:line="520" w:lineRule="exact"/>
              <w:ind w:firstLine="435"/>
              <w:rPr>
                <w:color w:val="auto"/>
                <w:sz w:val="24"/>
              </w:rPr>
            </w:pPr>
            <w:r>
              <w:rPr>
                <w:color w:val="auto"/>
                <w:sz w:val="24"/>
              </w:rPr>
              <w:t>（2）材料要求</w:t>
            </w:r>
          </w:p>
          <w:p>
            <w:pPr>
              <w:spacing w:line="520" w:lineRule="exact"/>
              <w:ind w:firstLine="435"/>
              <w:rPr>
                <w:color w:val="auto"/>
                <w:sz w:val="24"/>
              </w:rPr>
            </w:pPr>
            <w:r>
              <w:rPr>
                <w:color w:val="auto"/>
                <w:sz w:val="24"/>
              </w:rPr>
              <w:t>水泥：宜使用普通硅酸盐水泥，不得使用高铝水泥。</w:t>
            </w:r>
          </w:p>
          <w:p>
            <w:pPr>
              <w:spacing w:line="520" w:lineRule="exact"/>
              <w:ind w:firstLine="435"/>
              <w:rPr>
                <w:color w:val="auto"/>
                <w:sz w:val="24"/>
              </w:rPr>
            </w:pPr>
            <w:r>
              <w:rPr>
                <w:color w:val="auto"/>
                <w:sz w:val="24"/>
              </w:rPr>
              <w:t>砂：应采用中砂，其含泥量不得大于全重的3%，且砂中所含云母、有机质、硫化物及硫酸盐等有害物质的重量，不得大于全重的1%。</w:t>
            </w:r>
          </w:p>
          <w:p>
            <w:pPr>
              <w:spacing w:line="520" w:lineRule="exact"/>
              <w:ind w:firstLine="435"/>
              <w:rPr>
                <w:color w:val="auto"/>
                <w:sz w:val="24"/>
              </w:rPr>
            </w:pPr>
            <w:r>
              <w:rPr>
                <w:color w:val="auto"/>
                <w:sz w:val="24"/>
              </w:rPr>
              <w:t>水：施工用水，不应含有影响水泥正常凝结硬化的有害物质，不得使用污水。</w:t>
            </w:r>
          </w:p>
          <w:p>
            <w:pPr>
              <w:spacing w:line="520" w:lineRule="exact"/>
              <w:ind w:firstLine="435"/>
              <w:rPr>
                <w:color w:val="auto"/>
                <w:sz w:val="24"/>
              </w:rPr>
            </w:pPr>
            <w:r>
              <w:rPr>
                <w:color w:val="auto"/>
                <w:sz w:val="24"/>
              </w:rPr>
              <w:t>（3）材料强度</w:t>
            </w:r>
          </w:p>
          <w:p>
            <w:pPr>
              <w:spacing w:line="520" w:lineRule="exact"/>
              <w:ind w:firstLine="435"/>
              <w:rPr>
                <w:color w:val="auto"/>
                <w:sz w:val="24"/>
              </w:rPr>
            </w:pPr>
            <w:r>
              <w:rPr>
                <w:rFonts w:hint="eastAsia"/>
                <w:color w:val="auto"/>
                <w:sz w:val="24"/>
              </w:rPr>
              <w:t>拦挡坝、防护堤均采用C20混凝土浇筑。</w:t>
            </w:r>
          </w:p>
          <w:p>
            <w:pPr>
              <w:spacing w:line="520" w:lineRule="exact"/>
              <w:ind w:firstLine="435"/>
              <w:rPr>
                <w:color w:val="auto"/>
                <w:sz w:val="24"/>
              </w:rPr>
            </w:pPr>
            <w:r>
              <w:rPr>
                <w:color w:val="auto"/>
                <w:sz w:val="24"/>
              </w:rPr>
              <w:t>（4）环保注意事项</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color w:val="auto"/>
                <w:sz w:val="24"/>
              </w:rPr>
              <w:t>施工时除防护工程位置处因工程需要外，禁止随意破坏斜坡面原有植被。</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2、施工交通运输</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治理工程沿泥石流沟展布，乡村公路不能达到的地方材料需二次转运。总体来说外部施工交通运输条件较好，场内交通条件相对较差，材料需二次转运。</w:t>
            </w:r>
          </w:p>
          <w:p>
            <w:pPr>
              <w:spacing w:line="360" w:lineRule="auto"/>
              <w:ind w:firstLine="480" w:firstLineChars="200"/>
              <w:jc w:val="left"/>
              <w:rPr>
                <w:rFonts w:hint="default"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3、施工总体布置</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该治理工程施工场地条件较复杂，有较大的施工难度，人员物质、交通运输、供电、供水、建筑材料等方面需做好总体调配、统筹安排。因此，施工总体布置安排应满足：</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（1）施工布置原则</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施工布置以少占地，尽量减少对天然坡体的扰动破坏及对城区居民生产、生活带来的不利影响，临时设施距工地就近的原则，按施工工序有条理地进行。</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（2）施工布置</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工程施工供水、供电、通讯等主要利用城区设施，综合加工、机械维修等也可利用区内已有设施或临时设置一些加工场和施工机械维修厂。施工现场根据需要设置小型块（碎）石料备料场、施工机械停放场、综合仓库、施工管理营地等。本项目施工道路依托附近乡村小路，不单独建设施工便道，材料采用人工二次转运；本项目的施工方案设施从环境角度分析是合理的。</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（3）施工运输</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根据施工区具体情况，通过对运输成本的定性分析，防治工程外运至场内的物质采用机动车辆运输与人力运输相结合。</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（4）监测预警系统</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治理工程施工的同时，建立施工期监测预警系统，确保施工安全。</w:t>
            </w:r>
          </w:p>
          <w:p>
            <w:pPr>
              <w:spacing w:line="360" w:lineRule="auto"/>
              <w:ind w:firstLine="480" w:firstLineChars="200"/>
              <w:jc w:val="left"/>
              <w:rPr>
                <w:rFonts w:hint="default" w:hAnsi="宋体" w:eastAsiaTheme="minorEastAsia"/>
                <w:color w:val="auto"/>
                <w:sz w:val="24"/>
                <w:lang w:val="en-US" w:eastAsia="zh-CN"/>
              </w:rPr>
            </w:pPr>
            <w:r>
              <w:rPr>
                <w:rFonts w:hint="eastAsia" w:hAnsi="宋体"/>
                <w:color w:val="auto"/>
                <w:sz w:val="24"/>
                <w:lang w:eastAsia="zh-CN"/>
              </w:rPr>
              <w:t>（</w:t>
            </w:r>
            <w:r>
              <w:rPr>
                <w:rFonts w:hint="eastAsia" w:hAnsi="宋体"/>
                <w:color w:val="auto"/>
                <w:sz w:val="24"/>
                <w:lang w:val="en-US" w:eastAsia="zh-CN"/>
              </w:rPr>
              <w:t>5</w:t>
            </w:r>
            <w:r>
              <w:rPr>
                <w:rFonts w:hint="eastAsia" w:hAnsi="宋体"/>
                <w:color w:val="auto"/>
                <w:sz w:val="24"/>
                <w:lang w:eastAsia="zh-CN"/>
              </w:rPr>
              <w:t>）</w:t>
            </w:r>
            <w:r>
              <w:rPr>
                <w:rFonts w:hint="eastAsia" w:hAnsi="宋体"/>
                <w:color w:val="auto"/>
                <w:sz w:val="24"/>
                <w:lang w:val="en-US" w:eastAsia="zh-CN"/>
              </w:rPr>
              <w:t>土石方平衡</w:t>
            </w:r>
          </w:p>
          <w:p>
            <w:pPr>
              <w:spacing w:line="360" w:lineRule="auto"/>
              <w:ind w:firstLine="480" w:firstLineChars="200"/>
              <w:jc w:val="left"/>
              <w:rPr>
                <w:rFonts w:hint="eastAsia" w:ascii="Times New Roman" w:hAnsi="Times New Roman" w:cs="Times New Roman" w:eastAsiaTheme="minorEastAsia"/>
                <w:snapToGrid w:val="0"/>
                <w:color w:val="auto"/>
                <w:kern w:val="0"/>
                <w:sz w:val="24"/>
                <w:lang w:eastAsia="zh-CN"/>
              </w:rPr>
            </w:pPr>
            <w:r>
              <w:rPr>
                <w:rFonts w:hint="eastAsia"/>
                <w:color w:val="auto"/>
                <w:sz w:val="24"/>
                <w:lang w:val="en-US" w:eastAsia="zh-CN"/>
              </w:rPr>
              <w:t>项目总挖方量1143.84m</w:t>
            </w:r>
            <w:r>
              <w:rPr>
                <w:rFonts w:hint="eastAsia"/>
                <w:color w:val="auto"/>
                <w:sz w:val="24"/>
                <w:vertAlign w:val="superscript"/>
                <w:lang w:val="en-US" w:eastAsia="zh-CN"/>
              </w:rPr>
              <w:t>3</w:t>
            </w:r>
            <w:r>
              <w:rPr>
                <w:rFonts w:hint="eastAsia"/>
                <w:color w:val="auto"/>
                <w:sz w:val="24"/>
                <w:vertAlign w:val="baseline"/>
                <w:lang w:val="en-US" w:eastAsia="zh-CN"/>
              </w:rPr>
              <w:t>（含清淤817.54m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总填方量113.18m</w:t>
            </w:r>
            <w:r>
              <w:rPr>
                <w:rFonts w:hint="eastAsia"/>
                <w:color w:val="auto"/>
                <w:sz w:val="24"/>
                <w:vertAlign w:val="superscript"/>
                <w:lang w:val="en-US" w:eastAsia="zh-CN"/>
              </w:rPr>
              <w:t>3</w:t>
            </w:r>
            <w:r>
              <w:rPr>
                <w:rFonts w:hint="eastAsia"/>
                <w:color w:val="auto"/>
                <w:sz w:val="24"/>
                <w:lang w:val="en-US" w:eastAsia="zh-CN"/>
              </w:rPr>
              <w:t>，弃方1030.66 m</w:t>
            </w:r>
            <w:r>
              <w:rPr>
                <w:rFonts w:hint="eastAsia"/>
                <w:color w:val="auto"/>
                <w:sz w:val="24"/>
                <w:vertAlign w:val="superscript"/>
                <w:lang w:val="en-US" w:eastAsia="zh-CN"/>
              </w:rPr>
              <w:t>3</w:t>
            </w:r>
            <w:r>
              <w:rPr>
                <w:rFonts w:hint="eastAsia"/>
                <w:color w:val="auto"/>
                <w:sz w:val="24"/>
                <w:vertAlign w:val="baseline"/>
                <w:lang w:val="en-US" w:eastAsia="zh-CN"/>
              </w:rPr>
              <w:t>（含清淤817.54m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hAnsi="宋体"/>
                <w:color w:val="auto"/>
                <w:sz w:val="24"/>
                <w:lang w:eastAsia="zh-CN"/>
              </w:rPr>
              <w:t>。建议加强剥离表土利用，减少弃渣量。</w:t>
            </w:r>
          </w:p>
          <w:p>
            <w:pPr>
              <w:spacing w:line="360" w:lineRule="auto"/>
              <w:ind w:firstLine="480" w:firstLineChars="200"/>
              <w:jc w:val="left"/>
              <w:rPr>
                <w:rFonts w:hint="default"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4、施工总进度</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（1）工程筹建期</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筹建期由建设单位负责完成对外公路、施工用电、征地、招标、评标等工作，为施工单位进场创造条件，筹建期不计入总工期。</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（2）工程准备期</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准备期内进行临时工程修建和部分基础开挖，工期为第一个月。</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（3）主体工程施工期</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主体工程施工为第二个月～第三个月，完成主要工程量。</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（4）工程完建期</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为工期的最后一个月，进行剩余工程的施工，做好工程区的水土保持、工程区绿化及清理现场。</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（5）施工总工期</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工程总工期拟定为3个月。</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宋体" w:hAnsi="宋体" w:cs="宋体"/>
                <w:b/>
                <w:bCs/>
                <w:color w:val="auto"/>
                <w:szCs w:val="21"/>
              </w:rPr>
            </w:pPr>
            <w:r>
              <w:rPr>
                <w:rFonts w:ascii="宋体" w:hAnsi="宋体" w:cs="宋体"/>
                <w:b/>
                <w:bCs/>
                <w:color w:val="auto"/>
                <w:szCs w:val="21"/>
              </w:rPr>
              <w:t>表</w:t>
            </w:r>
            <w:r>
              <w:rPr>
                <w:rFonts w:hint="eastAsia" w:ascii="宋体" w:hAnsi="宋体" w:cs="宋体"/>
                <w:b/>
                <w:bCs/>
                <w:color w:val="auto"/>
                <w:szCs w:val="21"/>
                <w:lang w:val="en-US" w:eastAsia="zh-CN"/>
              </w:rPr>
              <w:t xml:space="preserve">1-8 </w:t>
            </w:r>
            <w:r>
              <w:rPr>
                <w:rFonts w:ascii="宋体" w:hAnsi="宋体" w:cs="宋体"/>
                <w:b/>
                <w:bCs/>
                <w:color w:val="auto"/>
                <w:szCs w:val="21"/>
              </w:rPr>
              <w:t xml:space="preserve">  治理工程施工进度</w:t>
            </w:r>
          </w:p>
          <w:tbl>
            <w:tblPr>
              <w:tblStyle w:val="51"/>
              <w:tblW w:w="85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015"/>
              <w:gridCol w:w="1024"/>
              <w:gridCol w:w="720"/>
              <w:gridCol w:w="525"/>
              <w:gridCol w:w="526"/>
              <w:gridCol w:w="525"/>
              <w:gridCol w:w="525"/>
              <w:gridCol w:w="525"/>
              <w:gridCol w:w="526"/>
              <w:gridCol w:w="525"/>
              <w:gridCol w:w="525"/>
              <w:gridCol w:w="5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工期</w:t>
                  </w:r>
                </w:p>
              </w:tc>
              <w:tc>
                <w:tcPr>
                  <w:tcW w:w="2759"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第1月</w:t>
                  </w:r>
                </w:p>
              </w:tc>
              <w:tc>
                <w:tcPr>
                  <w:tcW w:w="157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第2月</w:t>
                  </w:r>
                </w:p>
              </w:tc>
              <w:tc>
                <w:tcPr>
                  <w:tcW w:w="157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第3月</w:t>
                  </w:r>
                </w:p>
              </w:tc>
              <w:tc>
                <w:tcPr>
                  <w:tcW w:w="157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第4月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1" w:hRule="atLeast"/>
                <w:jc w:val="center"/>
              </w:trPr>
              <w:tc>
                <w:tcPr>
                  <w:tcW w:w="10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总进度</w:t>
                  </w:r>
                </w:p>
              </w:tc>
              <w:tc>
                <w:tcPr>
                  <w:tcW w:w="1015"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1024"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720"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6"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6" w:type="dxa"/>
                  <w:tcBorders>
                    <w:bottom w:val="single" w:color="auto" w:sz="12"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6" w:type="dxa"/>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10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1015"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1024"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720"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6"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6"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5"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c>
                <w:tcPr>
                  <w:tcW w:w="526" w:type="dxa"/>
                  <w:tcBorders>
                    <w:top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435"/>
                    <w:jc w:val="center"/>
                    <w:textAlignment w:val="auto"/>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10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工期</w:t>
                  </w:r>
                </w:p>
              </w:tc>
              <w:tc>
                <w:tcPr>
                  <w:tcW w:w="10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筹建期</w:t>
                  </w:r>
                </w:p>
              </w:tc>
              <w:tc>
                <w:tcPr>
                  <w:tcW w:w="10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准备期</w:t>
                  </w:r>
                </w:p>
              </w:tc>
              <w:tc>
                <w:tcPr>
                  <w:tcW w:w="3872"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Cs w:val="21"/>
                    </w:rPr>
                  </w:pPr>
                  <w:r>
                    <w:rPr>
                      <w:color w:val="auto"/>
                      <w:szCs w:val="21"/>
                    </w:rPr>
                    <w:t>主体工程施工(2个月)</w:t>
                  </w:r>
                </w:p>
              </w:tc>
              <w:tc>
                <w:tcPr>
                  <w:tcW w:w="157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color w:val="auto"/>
                      <w:szCs w:val="21"/>
                    </w:rPr>
                  </w:pPr>
                  <w:r>
                    <w:rPr>
                      <w:color w:val="auto"/>
                      <w:szCs w:val="21"/>
                    </w:rPr>
                    <w:t>完建期(1个月)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（四）施工材料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防治工程主要包括防护堤</w:t>
            </w:r>
            <w:r>
              <w:rPr>
                <w:rFonts w:hint="eastAsia"/>
                <w:color w:val="auto"/>
                <w:sz w:val="24"/>
              </w:rPr>
              <w:t>、拦挡坝等</w:t>
            </w:r>
            <w:r>
              <w:rPr>
                <w:color w:val="auto"/>
                <w:sz w:val="24"/>
              </w:rPr>
              <w:t>工程，工程所需建筑材料主要为砂石料等，可在就近砂石料厂购买，运距</w:t>
            </w:r>
            <w:r>
              <w:rPr>
                <w:rFonts w:hint="eastAsia"/>
                <w:color w:val="auto"/>
                <w:sz w:val="24"/>
              </w:rPr>
              <w:t>30km，水泥可在北川县城购买，运距100km</w:t>
            </w:r>
            <w:r>
              <w:rPr>
                <w:color w:val="auto"/>
                <w:sz w:val="24"/>
              </w:rPr>
              <w:t>。为确保防治工程安全可靠，工程施工所需各类建筑材料质量必须满足设计要求，应附正式的出厂合格证及材质化验单。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项目主要材料见下表1-9。</w:t>
            </w:r>
          </w:p>
          <w:p>
            <w:pPr>
              <w:jc w:val="center"/>
              <w:rPr>
                <w:rFonts w:hint="default"/>
                <w:b/>
                <w:bCs/>
                <w:color w:val="auto"/>
                <w:szCs w:val="21"/>
                <w:lang w:val="en-US" w:eastAsia="zh-CN"/>
              </w:rPr>
            </w:pPr>
            <w:r>
              <w:rPr>
                <w:rFonts w:hint="eastAsia"/>
                <w:b/>
                <w:bCs/>
                <w:color w:val="auto"/>
                <w:szCs w:val="21"/>
                <w:lang w:val="en-US" w:eastAsia="zh-CN"/>
              </w:rPr>
              <w:t>表1-9  主要原辅料及用量</w:t>
            </w:r>
          </w:p>
          <w:tbl>
            <w:tblPr>
              <w:tblStyle w:val="52"/>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3009"/>
              <w:gridCol w:w="2268"/>
              <w:gridCol w:w="2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序号</w:t>
                  </w:r>
                </w:p>
              </w:tc>
              <w:tc>
                <w:tcPr>
                  <w:tcW w:w="3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名称及规格</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单位</w:t>
                  </w:r>
                </w:p>
              </w:tc>
              <w:tc>
                <w:tcPr>
                  <w:tcW w:w="22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1</w:t>
                  </w:r>
                </w:p>
              </w:tc>
              <w:tc>
                <w:tcPr>
                  <w:tcW w:w="3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砂</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m</w:t>
                  </w:r>
                  <w:r>
                    <w:rPr>
                      <w:rFonts w:hint="eastAsia" w:ascii="宋体" w:hAnsi="宋体" w:eastAsia="宋体" w:cs="宋体"/>
                      <w:i w:val="0"/>
                      <w:color w:val="auto"/>
                      <w:kern w:val="0"/>
                      <w:sz w:val="21"/>
                      <w:szCs w:val="21"/>
                      <w:u w:val="none"/>
                      <w:vertAlign w:val="superscript"/>
                      <w:lang w:val="en-US" w:eastAsia="zh-CN" w:bidi="ar"/>
                    </w:rPr>
                    <w:t>3</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2</w:t>
                  </w:r>
                </w:p>
              </w:tc>
              <w:tc>
                <w:tcPr>
                  <w:tcW w:w="3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碎石</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m</w:t>
                  </w:r>
                  <w:r>
                    <w:rPr>
                      <w:rFonts w:hint="eastAsia" w:ascii="宋体" w:hAnsi="宋体" w:eastAsia="宋体" w:cs="宋体"/>
                      <w:i w:val="0"/>
                      <w:color w:val="auto"/>
                      <w:kern w:val="0"/>
                      <w:sz w:val="21"/>
                      <w:szCs w:val="21"/>
                      <w:u w:val="none"/>
                      <w:vertAlign w:val="superscript"/>
                      <w:lang w:val="en-US" w:eastAsia="zh-CN" w:bidi="ar"/>
                    </w:rPr>
                    <w:t>3</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215.29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3</w:t>
                  </w:r>
                </w:p>
              </w:tc>
              <w:tc>
                <w:tcPr>
                  <w:tcW w:w="3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钢筋</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t</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1.928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4</w:t>
                  </w:r>
                </w:p>
              </w:tc>
              <w:tc>
                <w:tcPr>
                  <w:tcW w:w="3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水泥42.5</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t</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67.618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napToGrid w:val="0"/>
                      <w:color w:val="auto"/>
                      <w:kern w:val="0"/>
                      <w:sz w:val="21"/>
                      <w:szCs w:val="21"/>
                      <w:vertAlign w:val="baseline"/>
                      <w:lang w:val="en-US" w:eastAsia="zh-CN"/>
                    </w:rPr>
                  </w:pPr>
                  <w:r>
                    <w:rPr>
                      <w:rFonts w:hint="eastAsia" w:ascii="Times New Roman" w:hAnsi="Times New Roman" w:cs="Times New Roman"/>
                      <w:snapToGrid w:val="0"/>
                      <w:color w:val="auto"/>
                      <w:kern w:val="0"/>
                      <w:sz w:val="21"/>
                      <w:szCs w:val="21"/>
                      <w:vertAlign w:val="baseline"/>
                      <w:lang w:val="en-US" w:eastAsia="zh-CN"/>
                    </w:rPr>
                    <w:t>5</w:t>
                  </w:r>
                </w:p>
              </w:tc>
              <w:tc>
                <w:tcPr>
                  <w:tcW w:w="3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中砂</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m</w:t>
                  </w:r>
                  <w:r>
                    <w:rPr>
                      <w:rFonts w:hint="eastAsia" w:ascii="宋体" w:hAnsi="宋体" w:eastAsia="宋体" w:cs="宋体"/>
                      <w:i w:val="0"/>
                      <w:color w:val="auto"/>
                      <w:kern w:val="0"/>
                      <w:sz w:val="21"/>
                      <w:szCs w:val="21"/>
                      <w:u w:val="none"/>
                      <w:vertAlign w:val="superscript"/>
                      <w:lang w:val="en-US" w:eastAsia="zh-CN" w:bidi="ar"/>
                    </w:rPr>
                    <w:t>3</w:t>
                  </w:r>
                </w:p>
              </w:tc>
              <w:tc>
                <w:tcPr>
                  <w:tcW w:w="226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napToGrid w:val="0"/>
                      <w:color w:val="auto"/>
                      <w:kern w:val="0"/>
                      <w:sz w:val="21"/>
                      <w:szCs w:val="21"/>
                      <w:vertAlign w:val="baseline"/>
                      <w:lang w:val="en-US" w:eastAsia="zh-CN"/>
                    </w:rPr>
                  </w:pPr>
                  <w:r>
                    <w:rPr>
                      <w:rFonts w:hint="eastAsia" w:ascii="宋体" w:hAnsi="宋体" w:eastAsia="宋体" w:cs="宋体"/>
                      <w:i w:val="0"/>
                      <w:color w:val="auto"/>
                      <w:kern w:val="0"/>
                      <w:sz w:val="21"/>
                      <w:szCs w:val="21"/>
                      <w:u w:val="none"/>
                      <w:lang w:val="en-US" w:eastAsia="zh-CN" w:bidi="ar"/>
                    </w:rPr>
                    <w:t>109.30</w:t>
                  </w:r>
                </w:p>
              </w:tc>
            </w:tr>
          </w:tbl>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（六）施工用设备</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r>
              <w:rPr>
                <w:rFonts w:hint="eastAsia" w:ascii="Times New Roman" w:hAnsi="Times New Roman" w:cs="Times New Roman"/>
                <w:snapToGrid w:val="0"/>
                <w:color w:val="auto"/>
                <w:kern w:val="0"/>
                <w:sz w:val="24"/>
                <w:lang w:val="en-US" w:eastAsia="zh-CN"/>
              </w:rPr>
              <w:t>施工选用的主要机械设备见表1-10。</w:t>
            </w:r>
          </w:p>
          <w:p>
            <w:pPr>
              <w:ind w:firstLine="452"/>
              <w:jc w:val="center"/>
              <w:rPr>
                <w:b/>
                <w:bCs/>
                <w:color w:val="auto"/>
                <w:spacing w:val="8"/>
                <w:szCs w:val="21"/>
              </w:rPr>
            </w:pPr>
            <w:r>
              <w:rPr>
                <w:rFonts w:hAnsi="宋体"/>
                <w:b/>
                <w:bCs/>
                <w:color w:val="auto"/>
                <w:spacing w:val="8"/>
                <w:szCs w:val="21"/>
              </w:rPr>
              <w:t>表</w:t>
            </w:r>
            <w:r>
              <w:rPr>
                <w:rFonts w:hint="eastAsia"/>
                <w:b/>
                <w:bCs/>
                <w:color w:val="auto"/>
                <w:spacing w:val="8"/>
                <w:szCs w:val="21"/>
                <w:lang w:val="en-US" w:eastAsia="zh-CN"/>
              </w:rPr>
              <w:t>1-10</w:t>
            </w:r>
            <w:r>
              <w:rPr>
                <w:b/>
                <w:bCs/>
                <w:color w:val="auto"/>
                <w:spacing w:val="8"/>
                <w:szCs w:val="21"/>
              </w:rPr>
              <w:t xml:space="preserve">  </w:t>
            </w:r>
            <w:r>
              <w:rPr>
                <w:rFonts w:hAnsi="宋体"/>
                <w:b/>
                <w:bCs/>
                <w:color w:val="auto"/>
                <w:spacing w:val="8"/>
                <w:szCs w:val="21"/>
              </w:rPr>
              <w:t>主要施工机械设备及其数量</w:t>
            </w:r>
          </w:p>
          <w:tbl>
            <w:tblPr>
              <w:tblStyle w:val="51"/>
              <w:tblW w:w="80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2005"/>
              <w:gridCol w:w="641"/>
              <w:gridCol w:w="736"/>
              <w:gridCol w:w="1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机械设备名称</w:t>
                  </w:r>
                </w:p>
              </w:tc>
              <w:tc>
                <w:tcPr>
                  <w:tcW w:w="2005"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型号</w:t>
                  </w:r>
                </w:p>
              </w:tc>
              <w:tc>
                <w:tcPr>
                  <w:tcW w:w="641"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单位</w:t>
                  </w:r>
                </w:p>
              </w:tc>
              <w:tc>
                <w:tcPr>
                  <w:tcW w:w="736"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数量</w:t>
                  </w:r>
                </w:p>
              </w:tc>
              <w:tc>
                <w:tcPr>
                  <w:tcW w:w="1715"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单斗挖掘机</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 液压 斗容(m</w:t>
                  </w:r>
                  <w:r>
                    <w:rPr>
                      <w:rFonts w:hint="eastAsia"/>
                      <w:color w:val="auto"/>
                      <w:sz w:val="21"/>
                      <w:szCs w:val="21"/>
                      <w:vertAlign w:val="superscript"/>
                    </w:rPr>
                    <w:t>3</w:t>
                  </w:r>
                  <w:r>
                    <w:rPr>
                      <w:rFonts w:hint="eastAsia"/>
                      <w:color w:val="auto"/>
                      <w:sz w:val="21"/>
                      <w:szCs w:val="21"/>
                    </w:rPr>
                    <w:t>) 1.0</w:t>
                  </w:r>
                </w:p>
              </w:tc>
              <w:tc>
                <w:tcPr>
                  <w:tcW w:w="641"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color w:val="auto"/>
                      <w:sz w:val="21"/>
                      <w:szCs w:val="21"/>
                    </w:rPr>
                  </w:pPr>
                  <w:r>
                    <w:rPr>
                      <w:rFonts w:hint="eastAsia"/>
                      <w:color w:val="auto"/>
                      <w:sz w:val="21"/>
                      <w:szCs w:val="21"/>
                    </w:rPr>
                    <w:t>1</w:t>
                  </w:r>
                </w:p>
              </w:tc>
              <w:tc>
                <w:tcPr>
                  <w:tcW w:w="1715" w:type="dxa"/>
                  <w:vMerge w:val="restart"/>
                  <w:tcBorders>
                    <w:tl2br w:val="nil"/>
                    <w:tr2bl w:val="nil"/>
                  </w:tcBorders>
                  <w:noWrap w:val="0"/>
                  <w:vAlign w:val="center"/>
                </w:tcPr>
                <w:p>
                  <w:pPr>
                    <w:spacing w:line="280" w:lineRule="exact"/>
                    <w:jc w:val="center"/>
                    <w:rPr>
                      <w:color w:val="auto"/>
                      <w:sz w:val="21"/>
                      <w:szCs w:val="21"/>
                    </w:rPr>
                  </w:pPr>
                  <w:r>
                    <w:rPr>
                      <w:rFonts w:hAnsi="宋体"/>
                      <w:color w:val="auto"/>
                      <w:sz w:val="21"/>
                      <w:szCs w:val="21"/>
                    </w:rPr>
                    <w:t>基坑开挖、回填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推土机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功率(kW) 88</w:t>
                  </w:r>
                </w:p>
              </w:tc>
              <w:tc>
                <w:tcPr>
                  <w:tcW w:w="641"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color w:val="auto"/>
                      <w:sz w:val="21"/>
                      <w:szCs w:val="21"/>
                    </w:rPr>
                  </w:pPr>
                  <w:r>
                    <w:rPr>
                      <w:rFonts w:hint="eastAsia"/>
                      <w:color w:val="auto"/>
                      <w:sz w:val="21"/>
                      <w:szCs w:val="21"/>
                    </w:rPr>
                    <w:t>2</w:t>
                  </w:r>
                </w:p>
              </w:tc>
              <w:tc>
                <w:tcPr>
                  <w:tcW w:w="1715" w:type="dxa"/>
                  <w:vMerge w:val="continue"/>
                  <w:tcBorders>
                    <w:tl2br w:val="nil"/>
                    <w:tr2bl w:val="nil"/>
                  </w:tcBorders>
                  <w:noWrap w:val="0"/>
                  <w:vAlign w:val="top"/>
                </w:tcPr>
                <w:p>
                  <w:pPr>
                    <w:spacing w:line="280" w:lineRule="exact"/>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蛙式夯实机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功率(kW) 2.8</w:t>
                  </w:r>
                </w:p>
              </w:tc>
              <w:tc>
                <w:tcPr>
                  <w:tcW w:w="641"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color w:val="auto"/>
                      <w:sz w:val="21"/>
                      <w:szCs w:val="21"/>
                    </w:rPr>
                  </w:pPr>
                  <w:r>
                    <w:rPr>
                      <w:color w:val="auto"/>
                      <w:sz w:val="21"/>
                      <w:szCs w:val="21"/>
                    </w:rPr>
                    <w:t>1</w:t>
                  </w:r>
                </w:p>
              </w:tc>
              <w:tc>
                <w:tcPr>
                  <w:tcW w:w="1715" w:type="dxa"/>
                  <w:vMerge w:val="continue"/>
                  <w:tcBorders>
                    <w:tl2br w:val="nil"/>
                    <w:tr2bl w:val="nil"/>
                  </w:tcBorders>
                  <w:noWrap w:val="0"/>
                  <w:vAlign w:val="top"/>
                </w:tcPr>
                <w:p>
                  <w:pPr>
                    <w:spacing w:line="280" w:lineRule="exact"/>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风钻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手持式</w:t>
                  </w:r>
                </w:p>
              </w:tc>
              <w:tc>
                <w:tcPr>
                  <w:tcW w:w="641"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color w:val="auto"/>
                      <w:sz w:val="21"/>
                      <w:szCs w:val="21"/>
                    </w:rPr>
                  </w:pPr>
                  <w:r>
                    <w:rPr>
                      <w:color w:val="auto"/>
                      <w:sz w:val="21"/>
                      <w:szCs w:val="21"/>
                    </w:rPr>
                    <w:t>1</w:t>
                  </w:r>
                </w:p>
              </w:tc>
              <w:tc>
                <w:tcPr>
                  <w:tcW w:w="1715" w:type="dxa"/>
                  <w:vMerge w:val="continue"/>
                  <w:tcBorders>
                    <w:tl2br w:val="nil"/>
                    <w:tr2bl w:val="nil"/>
                  </w:tcBorders>
                  <w:noWrap w:val="0"/>
                  <w:vAlign w:val="top"/>
                </w:tcPr>
                <w:p>
                  <w:pPr>
                    <w:spacing w:line="280" w:lineRule="exact"/>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风镐(铲)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手持式</w:t>
                  </w:r>
                  <w:r>
                    <w:rPr>
                      <w:color w:val="auto"/>
                      <w:sz w:val="21"/>
                      <w:szCs w:val="21"/>
                    </w:rPr>
                    <w:t>NTS-202</w:t>
                  </w:r>
                </w:p>
              </w:tc>
              <w:tc>
                <w:tcPr>
                  <w:tcW w:w="641" w:type="dxa"/>
                  <w:tcBorders>
                    <w:tl2br w:val="nil"/>
                    <w:tr2bl w:val="nil"/>
                  </w:tcBorders>
                  <w:noWrap w:val="0"/>
                  <w:vAlign w:val="top"/>
                </w:tcPr>
                <w:p>
                  <w:pPr>
                    <w:spacing w:line="280" w:lineRule="exact"/>
                    <w:jc w:val="center"/>
                    <w:rPr>
                      <w:color w:val="auto"/>
                      <w:sz w:val="21"/>
                      <w:szCs w:val="21"/>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color w:val="auto"/>
                      <w:sz w:val="21"/>
                      <w:szCs w:val="21"/>
                    </w:rPr>
                  </w:pPr>
                  <w:r>
                    <w:rPr>
                      <w:color w:val="auto"/>
                      <w:sz w:val="21"/>
                      <w:szCs w:val="21"/>
                    </w:rPr>
                    <w:t>1</w:t>
                  </w:r>
                </w:p>
              </w:tc>
              <w:tc>
                <w:tcPr>
                  <w:tcW w:w="1715" w:type="dxa"/>
                  <w:vMerge w:val="continue"/>
                  <w:tcBorders>
                    <w:tl2br w:val="nil"/>
                    <w:tr2bl w:val="nil"/>
                  </w:tcBorders>
                  <w:noWrap w:val="0"/>
                  <w:vAlign w:val="top"/>
                </w:tcPr>
                <w:p>
                  <w:pPr>
                    <w:spacing w:line="280" w:lineRule="exact"/>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电钻</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 功率(kW) 1.5</w:t>
                  </w:r>
                </w:p>
              </w:tc>
              <w:tc>
                <w:tcPr>
                  <w:tcW w:w="641" w:type="dxa"/>
                  <w:tcBorders>
                    <w:tl2br w:val="nil"/>
                    <w:tr2bl w:val="nil"/>
                  </w:tcBorders>
                  <w:noWrap w:val="0"/>
                  <w:vAlign w:val="top"/>
                </w:tcPr>
                <w:p>
                  <w:pPr>
                    <w:spacing w:line="280" w:lineRule="exact"/>
                    <w:jc w:val="center"/>
                    <w:rPr>
                      <w:rFonts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eastAsiaTheme="minorEastAsia"/>
                      <w:color w:val="auto"/>
                      <w:sz w:val="21"/>
                      <w:szCs w:val="21"/>
                      <w:lang w:val="en-US" w:eastAsia="zh-CN"/>
                    </w:rPr>
                  </w:pPr>
                  <w:r>
                    <w:rPr>
                      <w:rFonts w:hint="eastAsia"/>
                      <w:color w:val="auto"/>
                      <w:sz w:val="21"/>
                      <w:szCs w:val="21"/>
                      <w:lang w:val="en-US" w:eastAsia="zh-CN"/>
                    </w:rPr>
                    <w:t>1</w:t>
                  </w:r>
                </w:p>
              </w:tc>
              <w:tc>
                <w:tcPr>
                  <w:tcW w:w="1715" w:type="dxa"/>
                  <w:vMerge w:val="continue"/>
                  <w:tcBorders>
                    <w:tl2br w:val="nil"/>
                    <w:tr2bl w:val="nil"/>
                  </w:tcBorders>
                  <w:noWrap w:val="0"/>
                  <w:vAlign w:val="top"/>
                </w:tcPr>
                <w:p>
                  <w:pPr>
                    <w:spacing w:line="280" w:lineRule="exact"/>
                    <w:jc w:val="center"/>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混凝土搅拌机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出料(m</w:t>
                  </w:r>
                  <w:r>
                    <w:rPr>
                      <w:rFonts w:hint="eastAsia"/>
                      <w:color w:val="auto"/>
                      <w:sz w:val="21"/>
                      <w:szCs w:val="21"/>
                      <w:vertAlign w:val="superscript"/>
                    </w:rPr>
                    <w:t>3</w:t>
                  </w:r>
                  <w:r>
                    <w:rPr>
                      <w:rFonts w:hint="eastAsia"/>
                      <w:color w:val="auto"/>
                      <w:sz w:val="21"/>
                      <w:szCs w:val="21"/>
                    </w:rPr>
                    <w:t>) 0.4</w:t>
                  </w:r>
                </w:p>
              </w:tc>
              <w:tc>
                <w:tcPr>
                  <w:tcW w:w="641" w:type="dxa"/>
                  <w:tcBorders>
                    <w:tl2br w:val="nil"/>
                    <w:tr2bl w:val="nil"/>
                  </w:tcBorders>
                  <w:noWrap w:val="0"/>
                  <w:vAlign w:val="top"/>
                </w:tcPr>
                <w:p>
                  <w:pPr>
                    <w:spacing w:line="280" w:lineRule="exact"/>
                    <w:jc w:val="center"/>
                    <w:rPr>
                      <w:rFonts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eastAsiaTheme="minorEastAsia"/>
                      <w:color w:val="auto"/>
                      <w:sz w:val="21"/>
                      <w:szCs w:val="21"/>
                      <w:lang w:val="en-US" w:eastAsia="zh-CN"/>
                    </w:rPr>
                  </w:pPr>
                  <w:r>
                    <w:rPr>
                      <w:rFonts w:hint="eastAsia"/>
                      <w:color w:val="auto"/>
                      <w:sz w:val="21"/>
                      <w:szCs w:val="21"/>
                      <w:lang w:val="en-US" w:eastAsia="zh-CN"/>
                    </w:rPr>
                    <w:t>1</w:t>
                  </w:r>
                </w:p>
              </w:tc>
              <w:tc>
                <w:tcPr>
                  <w:tcW w:w="1715" w:type="dxa"/>
                  <w:tcBorders>
                    <w:tl2br w:val="nil"/>
                    <w:tr2bl w:val="nil"/>
                  </w:tcBorders>
                  <w:noWrap w:val="0"/>
                  <w:vAlign w:val="top"/>
                </w:tcPr>
                <w:p>
                  <w:pPr>
                    <w:spacing w:line="280" w:lineRule="exact"/>
                    <w:jc w:val="center"/>
                    <w:rPr>
                      <w:rFonts w:hAnsi="宋体"/>
                      <w:color w:val="auto"/>
                      <w:sz w:val="21"/>
                      <w:szCs w:val="21"/>
                    </w:rPr>
                  </w:pPr>
                  <w:r>
                    <w:rPr>
                      <w:rFonts w:hAnsi="宋体"/>
                      <w:color w:val="auto"/>
                      <w:sz w:val="21"/>
                      <w:szCs w:val="21"/>
                    </w:rPr>
                    <w:t>灰土搅拌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混凝土输送泵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输出量(m</w:t>
                  </w:r>
                  <w:r>
                    <w:rPr>
                      <w:rFonts w:hint="eastAsia"/>
                      <w:color w:val="auto"/>
                      <w:sz w:val="21"/>
                      <w:szCs w:val="21"/>
                      <w:vertAlign w:val="superscript"/>
                    </w:rPr>
                    <w:t>3</w:t>
                  </w:r>
                  <w:r>
                    <w:rPr>
                      <w:rFonts w:hint="eastAsia"/>
                      <w:color w:val="auto"/>
                      <w:sz w:val="21"/>
                      <w:szCs w:val="21"/>
                    </w:rPr>
                    <w:t>/h) 30</w:t>
                  </w:r>
                </w:p>
              </w:tc>
              <w:tc>
                <w:tcPr>
                  <w:tcW w:w="641" w:type="dxa"/>
                  <w:tcBorders>
                    <w:tl2br w:val="nil"/>
                    <w:tr2bl w:val="nil"/>
                  </w:tcBorders>
                  <w:noWrap w:val="0"/>
                  <w:vAlign w:val="top"/>
                </w:tcPr>
                <w:p>
                  <w:pPr>
                    <w:spacing w:line="280" w:lineRule="exact"/>
                    <w:jc w:val="center"/>
                    <w:rPr>
                      <w:rFonts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eastAsiaTheme="minorEastAsia"/>
                      <w:color w:val="auto"/>
                      <w:sz w:val="21"/>
                      <w:szCs w:val="21"/>
                      <w:lang w:val="en-US" w:eastAsia="zh-CN"/>
                    </w:rPr>
                  </w:pPr>
                  <w:r>
                    <w:rPr>
                      <w:rFonts w:hint="eastAsia"/>
                      <w:color w:val="auto"/>
                      <w:sz w:val="21"/>
                      <w:szCs w:val="21"/>
                      <w:lang w:val="en-US" w:eastAsia="zh-CN"/>
                    </w:rPr>
                    <w:t>1</w:t>
                  </w:r>
                </w:p>
              </w:tc>
              <w:tc>
                <w:tcPr>
                  <w:tcW w:w="1715" w:type="dxa"/>
                  <w:tcBorders>
                    <w:tl2br w:val="nil"/>
                    <w:tr2bl w:val="nil"/>
                  </w:tcBorders>
                  <w:noWrap w:val="0"/>
                  <w:vAlign w:val="top"/>
                </w:tcPr>
                <w:p>
                  <w:pPr>
                    <w:spacing w:line="280" w:lineRule="exact"/>
                    <w:jc w:val="center"/>
                    <w:rPr>
                      <w:rFonts w:hint="default" w:hAnsi="宋体" w:eastAsiaTheme="minorEastAsia"/>
                      <w:color w:val="auto"/>
                      <w:sz w:val="21"/>
                      <w:szCs w:val="21"/>
                      <w:lang w:val="en-US" w:eastAsia="zh-CN"/>
                    </w:rPr>
                  </w:pPr>
                  <w:r>
                    <w:rPr>
                      <w:rFonts w:hint="eastAsia" w:hAnsi="宋体"/>
                      <w:color w:val="auto"/>
                      <w:sz w:val="21"/>
                      <w:szCs w:val="21"/>
                      <w:lang w:val="en-US" w:eastAsia="zh-CN"/>
                    </w:rPr>
                    <w:t>灰土运输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振捣器 插入式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功率(kW) 1.1</w:t>
                  </w:r>
                </w:p>
              </w:tc>
              <w:tc>
                <w:tcPr>
                  <w:tcW w:w="641" w:type="dxa"/>
                  <w:tcBorders>
                    <w:tl2br w:val="nil"/>
                    <w:tr2bl w:val="nil"/>
                  </w:tcBorders>
                  <w:noWrap w:val="0"/>
                  <w:vAlign w:val="top"/>
                </w:tcPr>
                <w:p>
                  <w:pPr>
                    <w:spacing w:line="280" w:lineRule="exact"/>
                    <w:jc w:val="center"/>
                    <w:rPr>
                      <w:rFonts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eastAsiaTheme="minorEastAsia"/>
                      <w:color w:val="auto"/>
                      <w:sz w:val="21"/>
                      <w:szCs w:val="21"/>
                      <w:lang w:val="en-US" w:eastAsia="zh-CN"/>
                    </w:rPr>
                  </w:pPr>
                  <w:r>
                    <w:rPr>
                      <w:rFonts w:hint="eastAsia"/>
                      <w:color w:val="auto"/>
                      <w:sz w:val="21"/>
                      <w:szCs w:val="21"/>
                      <w:lang w:val="en-US" w:eastAsia="zh-CN"/>
                    </w:rPr>
                    <w:t>1</w:t>
                  </w:r>
                </w:p>
              </w:tc>
              <w:tc>
                <w:tcPr>
                  <w:tcW w:w="1715" w:type="dxa"/>
                  <w:tcBorders>
                    <w:tl2br w:val="nil"/>
                    <w:tr2bl w:val="nil"/>
                  </w:tcBorders>
                  <w:noWrap w:val="0"/>
                  <w:vAlign w:val="top"/>
                </w:tcPr>
                <w:p>
                  <w:pPr>
                    <w:spacing w:line="280" w:lineRule="exact"/>
                    <w:jc w:val="center"/>
                    <w:rPr>
                      <w:rFonts w:hAnsi="宋体"/>
                      <w:color w:val="auto"/>
                      <w:sz w:val="21"/>
                      <w:szCs w:val="21"/>
                    </w:rPr>
                  </w:pPr>
                  <w:r>
                    <w:rPr>
                      <w:rFonts w:hAnsi="宋体"/>
                      <w:color w:val="auto"/>
                      <w:sz w:val="21"/>
                      <w:szCs w:val="21"/>
                    </w:rPr>
                    <w:t>灰土搅拌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 xml:space="preserve">风(砂)水枪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耗风量(m</w:t>
                  </w:r>
                  <w:r>
                    <w:rPr>
                      <w:rFonts w:hint="eastAsia"/>
                      <w:color w:val="auto"/>
                      <w:sz w:val="21"/>
                      <w:szCs w:val="21"/>
                      <w:vertAlign w:val="superscript"/>
                    </w:rPr>
                    <w:t>3</w:t>
                  </w:r>
                  <w:r>
                    <w:rPr>
                      <w:rFonts w:hint="eastAsia"/>
                      <w:color w:val="auto"/>
                      <w:sz w:val="21"/>
                      <w:szCs w:val="21"/>
                    </w:rPr>
                    <w:t>/min) 6.0</w:t>
                  </w:r>
                </w:p>
              </w:tc>
              <w:tc>
                <w:tcPr>
                  <w:tcW w:w="641" w:type="dxa"/>
                  <w:tcBorders>
                    <w:tl2br w:val="nil"/>
                    <w:tr2bl w:val="nil"/>
                  </w:tcBorders>
                  <w:noWrap w:val="0"/>
                  <w:vAlign w:val="top"/>
                </w:tcPr>
                <w:p>
                  <w:pPr>
                    <w:spacing w:line="280" w:lineRule="exact"/>
                    <w:jc w:val="center"/>
                    <w:rPr>
                      <w:rFonts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eastAsiaTheme="minorEastAsia"/>
                      <w:color w:val="auto"/>
                      <w:sz w:val="21"/>
                      <w:szCs w:val="21"/>
                      <w:lang w:val="en-US" w:eastAsia="zh-CN"/>
                    </w:rPr>
                  </w:pPr>
                  <w:r>
                    <w:rPr>
                      <w:rFonts w:hint="eastAsia"/>
                      <w:color w:val="auto"/>
                      <w:sz w:val="21"/>
                      <w:szCs w:val="21"/>
                      <w:lang w:val="en-US" w:eastAsia="zh-CN"/>
                    </w:rPr>
                    <w:t>1</w:t>
                  </w:r>
                </w:p>
              </w:tc>
              <w:tc>
                <w:tcPr>
                  <w:tcW w:w="1715" w:type="dxa"/>
                  <w:tcBorders>
                    <w:tl2br w:val="nil"/>
                    <w:tr2bl w:val="nil"/>
                  </w:tcBorders>
                  <w:noWrap w:val="0"/>
                  <w:vAlign w:val="top"/>
                </w:tcPr>
                <w:p>
                  <w:pPr>
                    <w:spacing w:line="280" w:lineRule="exact"/>
                    <w:jc w:val="center"/>
                    <w:rPr>
                      <w:rFonts w:hAnsi="宋体"/>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rFonts w:hint="eastAsia"/>
                      <w:color w:val="auto"/>
                      <w:sz w:val="21"/>
                      <w:szCs w:val="21"/>
                    </w:rPr>
                  </w:pPr>
                  <w:r>
                    <w:rPr>
                      <w:rFonts w:hint="eastAsia"/>
                      <w:color w:val="auto"/>
                      <w:sz w:val="21"/>
                      <w:szCs w:val="21"/>
                    </w:rPr>
                    <w:t>载重汽车</w:t>
                  </w:r>
                </w:p>
              </w:tc>
              <w:tc>
                <w:tcPr>
                  <w:tcW w:w="2005" w:type="dxa"/>
                  <w:tcBorders>
                    <w:tl2br w:val="nil"/>
                    <w:tr2bl w:val="nil"/>
                  </w:tcBorders>
                  <w:noWrap w:val="0"/>
                  <w:vAlign w:val="top"/>
                </w:tcPr>
                <w:p>
                  <w:pPr>
                    <w:spacing w:line="280" w:lineRule="exact"/>
                    <w:jc w:val="center"/>
                    <w:rPr>
                      <w:rFonts w:hint="default" w:eastAsiaTheme="minorEastAsia"/>
                      <w:color w:val="auto"/>
                      <w:sz w:val="21"/>
                      <w:szCs w:val="21"/>
                      <w:lang w:val="en-US" w:eastAsia="zh-CN"/>
                    </w:rPr>
                  </w:pPr>
                  <w:r>
                    <w:rPr>
                      <w:rFonts w:hint="eastAsia"/>
                      <w:color w:val="auto"/>
                      <w:sz w:val="21"/>
                      <w:szCs w:val="21"/>
                    </w:rPr>
                    <w:t>载重量(t)4.0</w:t>
                  </w:r>
                  <w:r>
                    <w:rPr>
                      <w:rFonts w:hint="eastAsia"/>
                      <w:color w:val="auto"/>
                      <w:sz w:val="21"/>
                      <w:szCs w:val="21"/>
                      <w:lang w:val="en-US" w:eastAsia="zh-CN"/>
                    </w:rPr>
                    <w:t>/5.0/6.5</w:t>
                  </w:r>
                </w:p>
              </w:tc>
              <w:tc>
                <w:tcPr>
                  <w:tcW w:w="641" w:type="dxa"/>
                  <w:tcBorders>
                    <w:tl2br w:val="nil"/>
                    <w:tr2bl w:val="nil"/>
                  </w:tcBorders>
                  <w:noWrap w:val="0"/>
                  <w:vAlign w:val="top"/>
                </w:tcPr>
                <w:p>
                  <w:pPr>
                    <w:spacing w:line="280" w:lineRule="exact"/>
                    <w:jc w:val="center"/>
                    <w:rPr>
                      <w:rFonts w:hint="eastAsia"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hAnsi="宋体" w:asciiTheme="minorHAnsi" w:eastAsiaTheme="minorEastAsia" w:cstheme="minorBidi"/>
                      <w:color w:val="auto"/>
                      <w:kern w:val="2"/>
                      <w:sz w:val="21"/>
                      <w:szCs w:val="21"/>
                      <w:lang w:val="en-US" w:eastAsia="zh-CN" w:bidi="ar-SA"/>
                    </w:rPr>
                  </w:pPr>
                  <w:r>
                    <w:rPr>
                      <w:rFonts w:hint="eastAsia" w:hAnsi="宋体"/>
                      <w:color w:val="auto"/>
                      <w:sz w:val="21"/>
                      <w:szCs w:val="21"/>
                      <w:lang w:val="en-US" w:eastAsia="zh-CN"/>
                    </w:rPr>
                    <w:t>4</w:t>
                  </w:r>
                </w:p>
              </w:tc>
              <w:tc>
                <w:tcPr>
                  <w:tcW w:w="1715" w:type="dxa"/>
                  <w:tcBorders>
                    <w:tl2br w:val="nil"/>
                    <w:tr2bl w:val="nil"/>
                  </w:tcBorders>
                  <w:noWrap w:val="0"/>
                  <w:vAlign w:val="top"/>
                </w:tcPr>
                <w:p>
                  <w:pPr>
                    <w:spacing w:line="280" w:lineRule="exact"/>
                    <w:jc w:val="center"/>
                    <w:rPr>
                      <w:rFonts w:hAnsi="宋体"/>
                      <w:color w:val="auto"/>
                      <w:sz w:val="21"/>
                      <w:szCs w:val="21"/>
                    </w:rPr>
                  </w:pPr>
                  <w:r>
                    <w:rPr>
                      <w:rFonts w:hAnsi="宋体"/>
                      <w:color w:val="auto"/>
                      <w:sz w:val="21"/>
                      <w:szCs w:val="21"/>
                    </w:rPr>
                    <w:t>运土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rFonts w:hint="eastAsia"/>
                      <w:color w:val="auto"/>
                      <w:sz w:val="21"/>
                      <w:szCs w:val="21"/>
                    </w:rPr>
                  </w:pPr>
                  <w:r>
                    <w:rPr>
                      <w:rFonts w:hint="eastAsia"/>
                      <w:color w:val="auto"/>
                      <w:sz w:val="21"/>
                      <w:szCs w:val="21"/>
                    </w:rPr>
                    <w:t>胶轮车</w:t>
                  </w:r>
                </w:p>
              </w:tc>
              <w:tc>
                <w:tcPr>
                  <w:tcW w:w="2005" w:type="dxa"/>
                  <w:tcBorders>
                    <w:tl2br w:val="nil"/>
                    <w:tr2bl w:val="nil"/>
                  </w:tcBorders>
                  <w:noWrap w:val="0"/>
                  <w:vAlign w:val="top"/>
                </w:tcPr>
                <w:p>
                  <w:pPr>
                    <w:spacing w:line="280" w:lineRule="exact"/>
                    <w:jc w:val="center"/>
                    <w:rPr>
                      <w:rFonts w:hint="eastAsia" w:eastAsiaTheme="minorEastAsia"/>
                      <w:color w:val="auto"/>
                      <w:sz w:val="21"/>
                      <w:szCs w:val="21"/>
                      <w:lang w:val="en-US" w:eastAsia="zh-CN"/>
                    </w:rPr>
                  </w:pPr>
                  <w:r>
                    <w:rPr>
                      <w:rFonts w:hint="eastAsia"/>
                      <w:color w:val="auto"/>
                      <w:sz w:val="21"/>
                      <w:szCs w:val="21"/>
                      <w:lang w:val="en-US" w:eastAsia="zh-CN"/>
                    </w:rPr>
                    <w:t>/</w:t>
                  </w:r>
                </w:p>
              </w:tc>
              <w:tc>
                <w:tcPr>
                  <w:tcW w:w="641" w:type="dxa"/>
                  <w:tcBorders>
                    <w:tl2br w:val="nil"/>
                    <w:tr2bl w:val="nil"/>
                  </w:tcBorders>
                  <w:noWrap w:val="0"/>
                  <w:vAlign w:val="top"/>
                </w:tcPr>
                <w:p>
                  <w:pPr>
                    <w:spacing w:line="280" w:lineRule="exact"/>
                    <w:jc w:val="center"/>
                    <w:rPr>
                      <w:rFonts w:hint="eastAsia"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hAnsi="宋体" w:asciiTheme="minorHAnsi" w:eastAsiaTheme="minorEastAsia" w:cstheme="minorBidi"/>
                      <w:color w:val="auto"/>
                      <w:kern w:val="2"/>
                      <w:sz w:val="21"/>
                      <w:szCs w:val="21"/>
                      <w:lang w:val="en-US" w:eastAsia="zh-CN" w:bidi="ar-SA"/>
                    </w:rPr>
                  </w:pPr>
                  <w:r>
                    <w:rPr>
                      <w:rFonts w:hint="eastAsia" w:hAnsi="宋体"/>
                      <w:color w:val="auto"/>
                      <w:sz w:val="21"/>
                      <w:szCs w:val="21"/>
                      <w:lang w:val="en-US" w:eastAsia="zh-CN"/>
                    </w:rPr>
                    <w:t>1</w:t>
                  </w:r>
                </w:p>
              </w:tc>
              <w:tc>
                <w:tcPr>
                  <w:tcW w:w="1715" w:type="dxa"/>
                  <w:tcBorders>
                    <w:tl2br w:val="nil"/>
                    <w:tr2bl w:val="nil"/>
                  </w:tcBorders>
                  <w:noWrap w:val="0"/>
                  <w:vAlign w:val="top"/>
                </w:tcPr>
                <w:p>
                  <w:pPr>
                    <w:spacing w:line="280" w:lineRule="exact"/>
                    <w:jc w:val="center"/>
                    <w:rPr>
                      <w:rFonts w:hAnsi="宋体"/>
                      <w:color w:val="auto"/>
                      <w:sz w:val="21"/>
                      <w:szCs w:val="21"/>
                    </w:rPr>
                  </w:pPr>
                  <w:r>
                    <w:rPr>
                      <w:rFonts w:hAnsi="宋体"/>
                      <w:color w:val="auto"/>
                      <w:sz w:val="21"/>
                      <w:szCs w:val="21"/>
                    </w:rPr>
                    <w:t>运土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908" w:type="dxa"/>
                  <w:tcBorders>
                    <w:tl2br w:val="nil"/>
                    <w:tr2bl w:val="nil"/>
                  </w:tcBorders>
                  <w:noWrap w:val="0"/>
                  <w:vAlign w:val="top"/>
                </w:tcPr>
                <w:p>
                  <w:pPr>
                    <w:spacing w:line="280" w:lineRule="exact"/>
                    <w:jc w:val="center"/>
                    <w:rPr>
                      <w:rFonts w:hint="eastAsia"/>
                      <w:color w:val="auto"/>
                      <w:sz w:val="21"/>
                      <w:szCs w:val="21"/>
                    </w:rPr>
                  </w:pPr>
                  <w:r>
                    <w:rPr>
                      <w:rFonts w:hint="eastAsia"/>
                      <w:color w:val="auto"/>
                      <w:sz w:val="21"/>
                      <w:szCs w:val="21"/>
                    </w:rPr>
                    <w:t xml:space="preserve">塔式起重机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起重量(t) 10</w:t>
                  </w:r>
                </w:p>
              </w:tc>
              <w:tc>
                <w:tcPr>
                  <w:tcW w:w="641" w:type="dxa"/>
                  <w:tcBorders>
                    <w:tl2br w:val="nil"/>
                    <w:tr2bl w:val="nil"/>
                  </w:tcBorders>
                  <w:noWrap w:val="0"/>
                  <w:vAlign w:val="top"/>
                </w:tcPr>
                <w:p>
                  <w:pPr>
                    <w:spacing w:line="280" w:lineRule="exact"/>
                    <w:jc w:val="center"/>
                    <w:rPr>
                      <w:rFonts w:hint="eastAsia"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rFonts w:hint="eastAsia" w:hAnsi="宋体" w:asciiTheme="minorHAnsi" w:eastAsiaTheme="minorEastAsia" w:cstheme="minorBidi"/>
                      <w:color w:val="auto"/>
                      <w:kern w:val="2"/>
                      <w:sz w:val="21"/>
                      <w:szCs w:val="21"/>
                      <w:lang w:val="en-US" w:eastAsia="zh-CN" w:bidi="ar-SA"/>
                    </w:rPr>
                  </w:pPr>
                  <w:r>
                    <w:rPr>
                      <w:rFonts w:hint="eastAsia" w:hAnsi="宋体"/>
                      <w:color w:val="auto"/>
                      <w:sz w:val="21"/>
                      <w:szCs w:val="21"/>
                      <w:lang w:val="en-US" w:eastAsia="zh-CN"/>
                    </w:rPr>
                    <w:t>1</w:t>
                  </w:r>
                </w:p>
              </w:tc>
              <w:tc>
                <w:tcPr>
                  <w:tcW w:w="1715" w:type="dxa"/>
                  <w:tcBorders>
                    <w:tl2br w:val="nil"/>
                    <w:tr2bl w:val="nil"/>
                  </w:tcBorders>
                  <w:noWrap w:val="0"/>
                  <w:vAlign w:val="top"/>
                </w:tcPr>
                <w:p>
                  <w:pPr>
                    <w:spacing w:line="280" w:lineRule="exact"/>
                    <w:jc w:val="center"/>
                    <w:rPr>
                      <w:rFonts w:hAnsi="宋体"/>
                      <w:color w:val="auto"/>
                      <w:sz w:val="21"/>
                      <w:szCs w:val="21"/>
                    </w:rPr>
                  </w:pPr>
                  <w:r>
                    <w:rPr>
                      <w:rFonts w:hAnsi="宋体"/>
                      <w:color w:val="auto"/>
                      <w:sz w:val="21"/>
                      <w:szCs w:val="21"/>
                    </w:rPr>
                    <w:t>运土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908" w:type="dxa"/>
                  <w:tcBorders>
                    <w:tl2br w:val="nil"/>
                    <w:tr2bl w:val="nil"/>
                  </w:tcBorders>
                  <w:noWrap w:val="0"/>
                  <w:vAlign w:val="top"/>
                </w:tcPr>
                <w:p>
                  <w:pPr>
                    <w:spacing w:line="280" w:lineRule="exact"/>
                    <w:jc w:val="center"/>
                    <w:rPr>
                      <w:rFonts w:hint="eastAsia"/>
                      <w:color w:val="auto"/>
                      <w:sz w:val="21"/>
                      <w:szCs w:val="21"/>
                    </w:rPr>
                  </w:pPr>
                  <w:r>
                    <w:rPr>
                      <w:rFonts w:hint="eastAsia"/>
                      <w:color w:val="auto"/>
                      <w:sz w:val="21"/>
                      <w:szCs w:val="21"/>
                    </w:rPr>
                    <w:t xml:space="preserve">汽车起重机 </w:t>
                  </w:r>
                </w:p>
              </w:tc>
              <w:tc>
                <w:tcPr>
                  <w:tcW w:w="2005" w:type="dxa"/>
                  <w:tcBorders>
                    <w:tl2br w:val="nil"/>
                    <w:tr2bl w:val="nil"/>
                  </w:tcBorders>
                  <w:noWrap w:val="0"/>
                  <w:vAlign w:val="top"/>
                </w:tcPr>
                <w:p>
                  <w:pPr>
                    <w:spacing w:line="280" w:lineRule="exact"/>
                    <w:jc w:val="center"/>
                    <w:rPr>
                      <w:color w:val="auto"/>
                      <w:sz w:val="21"/>
                      <w:szCs w:val="21"/>
                    </w:rPr>
                  </w:pPr>
                  <w:r>
                    <w:rPr>
                      <w:rFonts w:hint="eastAsia"/>
                      <w:color w:val="auto"/>
                      <w:sz w:val="21"/>
                      <w:szCs w:val="21"/>
                    </w:rPr>
                    <w:t>起重量(t) 5.0</w:t>
                  </w:r>
                </w:p>
              </w:tc>
              <w:tc>
                <w:tcPr>
                  <w:tcW w:w="641" w:type="dxa"/>
                  <w:tcBorders>
                    <w:tl2br w:val="nil"/>
                    <w:tr2bl w:val="nil"/>
                  </w:tcBorders>
                  <w:noWrap w:val="0"/>
                  <w:vAlign w:val="top"/>
                </w:tcPr>
                <w:p>
                  <w:pPr>
                    <w:spacing w:line="280" w:lineRule="exact"/>
                    <w:jc w:val="center"/>
                    <w:rPr>
                      <w:rFonts w:hint="eastAsia" w:asciiTheme="minorHAnsi" w:hAnsiTheme="minorHAnsi" w:eastAsiaTheme="minorEastAsia" w:cstheme="minorBidi"/>
                      <w:color w:val="auto"/>
                      <w:kern w:val="2"/>
                      <w:sz w:val="21"/>
                      <w:szCs w:val="21"/>
                      <w:lang w:val="en-US" w:eastAsia="zh-CN" w:bidi="ar-SA"/>
                    </w:rPr>
                  </w:pPr>
                  <w:r>
                    <w:rPr>
                      <w:rFonts w:hAnsi="宋体"/>
                      <w:color w:val="auto"/>
                      <w:sz w:val="21"/>
                      <w:szCs w:val="21"/>
                    </w:rPr>
                    <w:t>台</w:t>
                  </w:r>
                </w:p>
              </w:tc>
              <w:tc>
                <w:tcPr>
                  <w:tcW w:w="736" w:type="dxa"/>
                  <w:tcBorders>
                    <w:tl2br w:val="nil"/>
                    <w:tr2bl w:val="nil"/>
                  </w:tcBorders>
                  <w:noWrap w:val="0"/>
                  <w:vAlign w:val="top"/>
                </w:tcPr>
                <w:p>
                  <w:pPr>
                    <w:spacing w:line="280" w:lineRule="exact"/>
                    <w:jc w:val="center"/>
                    <w:rPr>
                      <w:color w:val="auto"/>
                      <w:sz w:val="21"/>
                      <w:szCs w:val="21"/>
                    </w:rPr>
                  </w:pPr>
                  <w:r>
                    <w:rPr>
                      <w:rFonts w:hint="eastAsia" w:hAnsi="宋体"/>
                      <w:color w:val="auto"/>
                      <w:sz w:val="21"/>
                      <w:szCs w:val="21"/>
                      <w:lang w:val="en-US" w:eastAsia="zh-CN"/>
                    </w:rPr>
                    <w:t>1</w:t>
                  </w:r>
                </w:p>
              </w:tc>
              <w:tc>
                <w:tcPr>
                  <w:tcW w:w="1715" w:type="dxa"/>
                  <w:tcBorders>
                    <w:tl2br w:val="nil"/>
                    <w:tr2bl w:val="nil"/>
                  </w:tcBorders>
                  <w:noWrap w:val="0"/>
                  <w:vAlign w:val="top"/>
                </w:tcPr>
                <w:p>
                  <w:pPr>
                    <w:spacing w:line="280" w:lineRule="exact"/>
                    <w:jc w:val="center"/>
                    <w:rPr>
                      <w:rFonts w:hAnsi="宋体"/>
                      <w:color w:val="auto"/>
                      <w:sz w:val="21"/>
                      <w:szCs w:val="21"/>
                    </w:rPr>
                  </w:pPr>
                </w:p>
              </w:tc>
            </w:tr>
          </w:tbl>
          <w:p>
            <w:pPr>
              <w:spacing w:line="360" w:lineRule="auto"/>
              <w:ind w:firstLine="560" w:firstLineChars="200"/>
              <w:rPr>
                <w:rFonts w:hint="eastAsia" w:ascii="Times New Roman" w:hAnsi="Times New Roman" w:cs="Times New Roman"/>
                <w:b/>
                <w:color w:val="auto"/>
                <w:sz w:val="28"/>
                <w:szCs w:val="28"/>
                <w:lang w:val="en-US" w:eastAsia="zh-CN"/>
              </w:rPr>
            </w:pPr>
            <w:r>
              <w:rPr>
                <w:rFonts w:hint="eastAsia" w:ascii="Times New Roman" w:hAnsi="Times New Roman" w:cs="Times New Roman"/>
                <w:b/>
                <w:color w:val="auto"/>
                <w:sz w:val="28"/>
                <w:szCs w:val="28"/>
                <w:lang w:val="en-US" w:eastAsia="zh-CN"/>
              </w:rPr>
              <w:t>（七）工程占地</w:t>
            </w:r>
          </w:p>
          <w:p>
            <w:pPr>
              <w:spacing w:line="360" w:lineRule="auto"/>
              <w:ind w:firstLine="480" w:firstLineChars="200"/>
              <w:jc w:val="left"/>
              <w:rPr>
                <w:rFonts w:hint="eastAsia" w:hAnsi="宋体"/>
                <w:color w:val="auto"/>
                <w:sz w:val="24"/>
              </w:rPr>
            </w:pPr>
            <w:r>
              <w:rPr>
                <w:rFonts w:hint="eastAsia" w:hAnsi="宋体"/>
                <w:color w:val="auto"/>
                <w:sz w:val="24"/>
              </w:rPr>
              <w:t>建设工程位于沟道内，工程建设防护堤和拦挡坝均在沟谷内进行，属永久</w:t>
            </w:r>
            <w:r>
              <w:rPr>
                <w:rFonts w:hint="eastAsia" w:hAnsi="宋体"/>
                <w:color w:val="auto"/>
                <w:sz w:val="24"/>
                <w:lang w:val="en-US" w:eastAsia="zh-CN"/>
              </w:rPr>
              <w:t>占</w:t>
            </w:r>
            <w:r>
              <w:rPr>
                <w:rFonts w:hint="eastAsia" w:hAnsi="宋体"/>
                <w:color w:val="auto"/>
                <w:sz w:val="24"/>
              </w:rPr>
              <w:t>地，面积约300平方米；</w:t>
            </w:r>
            <w:r>
              <w:rPr>
                <w:rFonts w:hint="eastAsia" w:hAnsi="宋体"/>
                <w:color w:val="auto"/>
                <w:sz w:val="24"/>
                <w:lang w:val="en-US" w:eastAsia="zh-CN"/>
              </w:rPr>
              <w:t>工程</w:t>
            </w:r>
            <w:r>
              <w:rPr>
                <w:rFonts w:hint="eastAsia" w:hAnsi="宋体"/>
                <w:color w:val="auto"/>
                <w:sz w:val="24"/>
              </w:rPr>
              <w:t>临时占地主要是施工区和材料堆放的占地，总共约2.0亩。</w:t>
            </w:r>
            <w:r>
              <w:rPr>
                <w:rFonts w:hint="eastAsia" w:hAnsi="宋体"/>
                <w:color w:val="auto"/>
                <w:sz w:val="24"/>
                <w:lang w:val="en-US" w:eastAsia="zh-CN"/>
              </w:rPr>
              <w:t>本工程占用土地为集体用地，主要为沟谷荒草地，</w:t>
            </w:r>
            <w:r>
              <w:rPr>
                <w:rFonts w:hint="eastAsia" w:hAnsi="宋体"/>
                <w:color w:val="auto"/>
                <w:sz w:val="24"/>
              </w:rPr>
              <w:t>不考虑征地。</w:t>
            </w:r>
          </w:p>
          <w:p>
            <w:pPr>
              <w:spacing w:line="360" w:lineRule="auto"/>
              <w:ind w:firstLine="560" w:firstLineChars="200"/>
              <w:rPr>
                <w:rFonts w:hint="default" w:ascii="Times New Roman" w:hAnsi="Times New Roman" w:cs="Times New Roman"/>
                <w:b/>
                <w:color w:val="auto"/>
                <w:sz w:val="28"/>
                <w:szCs w:val="28"/>
                <w:lang w:val="en-US" w:eastAsia="zh-CN"/>
              </w:rPr>
            </w:pPr>
            <w:r>
              <w:rPr>
                <w:rFonts w:hint="eastAsia" w:ascii="Times New Roman" w:hAnsi="Times New Roman" w:cs="Times New Roman"/>
                <w:b/>
                <w:color w:val="auto"/>
                <w:sz w:val="28"/>
                <w:szCs w:val="28"/>
                <w:lang w:val="en-US" w:eastAsia="zh-CN"/>
              </w:rPr>
              <w:t>七、公用工程</w:t>
            </w:r>
          </w:p>
          <w:p>
            <w:pPr>
              <w:adjustRightInd w:val="0"/>
              <w:snapToGrid w:val="0"/>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（1）供水</w:t>
            </w:r>
          </w:p>
          <w:p>
            <w:pPr>
              <w:pStyle w:val="16"/>
              <w:adjustRightInd w:val="0"/>
              <w:snapToGrid w:val="0"/>
              <w:spacing w:before="0" w:line="360" w:lineRule="auto"/>
              <w:ind w:firstLine="480" w:firstLineChars="200"/>
              <w:rPr>
                <w:rFonts w:ascii="Times New Roman" w:hAnsi="Times New Roman" w:cs="Times New Roman" w:eastAsiaTheme="minorEastAsia"/>
                <w:color w:val="auto"/>
              </w:rPr>
            </w:pPr>
            <w:r>
              <w:rPr>
                <w:rFonts w:hint="eastAsia" w:ascii="Times New Roman" w:hAnsi="Times New Roman" w:cs="Times New Roman" w:eastAsiaTheme="minorEastAsia"/>
                <w:color w:val="auto"/>
              </w:rPr>
              <w:t>本工程施工供水主要用于砂浆生产、砼生产及养护用水，施工人员的生活用水以及施工期消防用水。施工用水可直接由JX9038型潜水泵从河道直接抽取解决。工程生活用水由村</w:t>
            </w:r>
            <w:r>
              <w:rPr>
                <w:rFonts w:hint="eastAsia" w:ascii="Times New Roman" w:hAnsi="Times New Roman" w:cs="Times New Roman" w:eastAsiaTheme="minorEastAsia"/>
                <w:color w:val="auto"/>
                <w:lang w:val="en-US" w:eastAsia="zh-CN"/>
              </w:rPr>
              <w:t>居民饮水</w:t>
            </w:r>
            <w:r>
              <w:rPr>
                <w:rFonts w:hint="eastAsia" w:ascii="Times New Roman" w:hAnsi="Times New Roman" w:cs="Times New Roman" w:eastAsiaTheme="minorEastAsia"/>
                <w:color w:val="auto"/>
              </w:rPr>
              <w:t>提供。</w:t>
            </w:r>
          </w:p>
          <w:p>
            <w:pPr>
              <w:pStyle w:val="16"/>
              <w:adjustRightInd w:val="0"/>
              <w:snapToGrid w:val="0"/>
              <w:spacing w:before="0" w:line="360" w:lineRule="auto"/>
              <w:ind w:firstLine="480" w:firstLineChars="200"/>
              <w:rPr>
                <w:rFonts w:ascii="Times New Roman" w:hAnsi="Times New Roman" w:cs="Times New Roman" w:eastAsiaTheme="minorEastAsia"/>
                <w:color w:val="auto"/>
              </w:rPr>
            </w:pPr>
            <w:r>
              <w:rPr>
                <w:rFonts w:hint="eastAsia" w:ascii="Times New Roman" w:hAnsi="Times New Roman" w:cs="Times New Roman" w:eastAsiaTheme="minorEastAsia"/>
                <w:color w:val="auto"/>
              </w:rPr>
              <w:t>（2）排水</w:t>
            </w:r>
          </w:p>
          <w:p>
            <w:pPr>
              <w:pStyle w:val="16"/>
              <w:adjustRightInd w:val="0"/>
              <w:snapToGrid w:val="0"/>
              <w:spacing w:before="0" w:line="360" w:lineRule="auto"/>
              <w:ind w:firstLine="480" w:firstLineChars="200"/>
              <w:rPr>
                <w:rFonts w:ascii="Times New Roman" w:hAnsi="Times New Roman" w:cs="Times New Roman" w:eastAsiaTheme="minorEastAsia"/>
                <w:color w:val="auto"/>
              </w:rPr>
            </w:pPr>
            <w:bookmarkStart w:id="2" w:name="OLE_LINK4"/>
            <w:bookmarkStart w:id="3" w:name="OLE_LINK3"/>
            <w:r>
              <w:rPr>
                <w:rFonts w:hint="eastAsia" w:ascii="Times New Roman" w:hAnsi="Times New Roman" w:cs="Times New Roman" w:eastAsiaTheme="minorEastAsia"/>
                <w:color w:val="auto"/>
              </w:rPr>
              <w:t>项目废水实行雨污分流，雨水排至附近沟渠，废水经处理后综合利用，不排放。</w:t>
            </w:r>
          </w:p>
          <w:p>
            <w:pPr>
              <w:pStyle w:val="16"/>
              <w:adjustRightInd w:val="0"/>
              <w:snapToGrid w:val="0"/>
              <w:spacing w:before="0" w:line="360" w:lineRule="auto"/>
              <w:ind w:firstLine="480" w:firstLineChars="200"/>
              <w:rPr>
                <w:rFonts w:ascii="Times New Roman" w:hAnsi="Times New Roman" w:cs="Times New Roman" w:eastAsiaTheme="minorEastAsia"/>
                <w:color w:val="auto"/>
              </w:rPr>
            </w:pPr>
            <w:r>
              <w:rPr>
                <w:rFonts w:hint="eastAsia" w:ascii="Times New Roman" w:hAnsi="Times New Roman" w:cs="Times New Roman" w:eastAsiaTheme="minorEastAsia"/>
                <w:color w:val="auto"/>
              </w:rPr>
              <w:t>项目清洗废水经沉淀池沉淀后回用，不对外排放；项目生产过程需加水混料，此部分水全部消耗。</w:t>
            </w:r>
          </w:p>
          <w:bookmarkEnd w:id="2"/>
          <w:bookmarkEnd w:id="3"/>
          <w:p>
            <w:pPr>
              <w:pStyle w:val="16"/>
              <w:adjustRightInd w:val="0"/>
              <w:snapToGrid w:val="0"/>
              <w:spacing w:before="0" w:line="360" w:lineRule="auto"/>
              <w:ind w:firstLine="480" w:firstLineChars="200"/>
              <w:rPr>
                <w:rFonts w:ascii="Times New Roman" w:hAnsi="Times New Roman" w:cs="Times New Roman" w:eastAsiaTheme="minorEastAsia"/>
                <w:color w:val="auto"/>
              </w:rPr>
            </w:pPr>
            <w:r>
              <w:rPr>
                <w:rFonts w:hint="eastAsia" w:ascii="Times New Roman" w:hAnsi="Times New Roman" w:cs="Times New Roman" w:eastAsiaTheme="minorEastAsia"/>
                <w:color w:val="auto"/>
              </w:rPr>
              <w:t>（3）供电</w:t>
            </w:r>
          </w:p>
          <w:p>
            <w:pPr>
              <w:pStyle w:val="16"/>
              <w:adjustRightInd w:val="0"/>
              <w:snapToGrid w:val="0"/>
              <w:spacing w:before="0" w:line="360" w:lineRule="auto"/>
              <w:ind w:firstLine="480" w:firstLineChars="200"/>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t>施工区电网配套，电力供应充足。施工用电方便，照明可接居民用电，不需要自备发电机组。施工区水源条件好，可就近从沟道取水作为施工用水。</w:t>
            </w:r>
          </w:p>
          <w:p>
            <w:pPr>
              <w:pStyle w:val="16"/>
              <w:adjustRightInd w:val="0"/>
              <w:snapToGrid w:val="0"/>
              <w:spacing w:before="0" w:line="360" w:lineRule="auto"/>
              <w:ind w:firstLine="480" w:firstLineChars="20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eastAsia="zh-CN"/>
              </w:rPr>
              <w:t>（</w:t>
            </w:r>
            <w:r>
              <w:rPr>
                <w:rFonts w:hint="eastAsia" w:ascii="Times New Roman" w:hAnsi="Times New Roman" w:cs="Times New Roman" w:eastAsiaTheme="minorEastAsia"/>
                <w:color w:val="auto"/>
                <w:lang w:val="en-US" w:eastAsia="zh-CN"/>
              </w:rPr>
              <w:t>4</w:t>
            </w:r>
            <w:r>
              <w:rPr>
                <w:rFonts w:hint="eastAsia" w:ascii="Times New Roman" w:hAnsi="Times New Roman" w:cs="Times New Roman" w:eastAsiaTheme="minorEastAsia"/>
                <w:color w:val="auto"/>
                <w:lang w:eastAsia="zh-CN"/>
              </w:rPr>
              <w:t>）</w:t>
            </w:r>
            <w:r>
              <w:rPr>
                <w:rFonts w:hint="eastAsia" w:ascii="Times New Roman" w:hAnsi="Times New Roman" w:cs="Times New Roman" w:eastAsiaTheme="minorEastAsia"/>
                <w:color w:val="auto"/>
                <w:lang w:val="en-US" w:eastAsia="zh-CN"/>
              </w:rPr>
              <w:t>交通</w:t>
            </w:r>
          </w:p>
          <w:p>
            <w:pPr>
              <w:pStyle w:val="16"/>
              <w:adjustRightInd w:val="0"/>
              <w:snapToGrid w:val="0"/>
              <w:spacing w:before="0" w:line="360" w:lineRule="auto"/>
              <w:ind w:firstLine="480" w:firstLineChars="200"/>
              <w:rPr>
                <w:rFonts w:hint="eastAsia" w:ascii="Times New Roman" w:hAnsi="Times New Roman" w:cs="Times New Roman" w:eastAsiaTheme="minorEastAsia"/>
                <w:color w:val="auto"/>
                <w:lang w:val="en-US" w:eastAsia="zh-CN"/>
              </w:rPr>
            </w:pPr>
            <w:r>
              <w:rPr>
                <w:rFonts w:hint="eastAsia" w:ascii="宋体" w:hAnsi="宋体"/>
                <w:color w:val="auto"/>
                <w:sz w:val="24"/>
              </w:rPr>
              <w:t>璜环沟泥石流位于阿坝州松潘县白羊乡茶园坪村，中心地理位置坐标为：东经104°08′3″，北纬32°09′45″，位于茶园坪村居民安置点后山，与白羊乡政府隔河相望，距白羊乡政府约1.6km，距松潘县城（进安镇）289km，距绵阳市约140km，距省会成都约230.5km。道路多为高速公路及高等级公路，部分路段为乡村公路，但沟道上游治理工程交通条件差，仅为1m宽小路，材料需二次转运，运距100m</w:t>
            </w:r>
            <w:r>
              <w:rPr>
                <w:rFonts w:hint="eastAsia" w:ascii="Times New Roman" w:hAnsi="Times New Roman" w:cs="Times New Roman" w:eastAsiaTheme="minorEastAsia"/>
                <w:color w:val="auto"/>
                <w:lang w:val="en-US" w:eastAsia="zh-CN"/>
              </w:rPr>
              <w:t>。</w:t>
            </w:r>
          </w:p>
          <w:p>
            <w:pPr>
              <w:spacing w:line="360" w:lineRule="auto"/>
              <w:ind w:firstLine="480" w:firstLineChars="200"/>
              <w:jc w:val="left"/>
              <w:rPr>
                <w:rFonts w:hint="eastAsia" w:ascii="Times New Roman" w:hAnsi="Times New Roman" w:cs="Times New Roman"/>
                <w:snapToGrid w:val="0"/>
                <w:color w:val="auto"/>
                <w:kern w:val="0"/>
                <w:sz w:val="24"/>
                <w:lang w:val="en-US" w:eastAsia="zh-CN"/>
              </w:rPr>
            </w:pPr>
          </w:p>
          <w:p>
            <w:pPr>
              <w:spacing w:line="360" w:lineRule="auto"/>
              <w:ind w:firstLine="560" w:firstLineChars="200"/>
              <w:rPr>
                <w:rFonts w:ascii="Times New Roman" w:cs="Times New Roman" w:hAnsiTheme="minorEastAsia"/>
                <w:b/>
                <w:color w:val="auto"/>
                <w:sz w:val="28"/>
                <w:szCs w:val="28"/>
              </w:rPr>
            </w:pPr>
          </w:p>
          <w:p>
            <w:pPr>
              <w:spacing w:line="360" w:lineRule="auto"/>
              <w:ind w:firstLine="560" w:firstLineChars="200"/>
              <w:rPr>
                <w:rFonts w:ascii="Times New Roman" w:cs="Times New Roman" w:hAnsiTheme="minorEastAsia"/>
                <w:b/>
                <w:color w:val="auto"/>
                <w:sz w:val="28"/>
                <w:szCs w:val="28"/>
              </w:rPr>
            </w:pPr>
          </w:p>
          <w:p>
            <w:pPr>
              <w:spacing w:line="360" w:lineRule="auto"/>
              <w:ind w:firstLine="560" w:firstLineChars="200"/>
              <w:rPr>
                <w:rFonts w:ascii="Times New Roman" w:cs="Times New Roman" w:hAnsiTheme="minorEastAsia"/>
                <w:b/>
                <w:color w:val="auto"/>
                <w:sz w:val="28"/>
                <w:szCs w:val="28"/>
              </w:rPr>
            </w:pPr>
          </w:p>
          <w:p>
            <w:pPr>
              <w:spacing w:line="360" w:lineRule="auto"/>
              <w:ind w:firstLine="560" w:firstLineChars="200"/>
              <w:rPr>
                <w:rFonts w:hint="eastAsia" w:ascii="Times New Roman" w:cs="Times New Roman" w:hAnsiTheme="minorEastAsia"/>
                <w:b/>
                <w:color w:val="auto"/>
                <w:sz w:val="28"/>
                <w:szCs w:val="28"/>
              </w:rPr>
            </w:pPr>
          </w:p>
          <w:p>
            <w:pPr>
              <w:spacing w:line="360" w:lineRule="auto"/>
              <w:ind w:firstLine="560" w:firstLineChars="200"/>
              <w:rPr>
                <w:rFonts w:hint="eastAsia" w:ascii="Times New Roman" w:cs="Times New Roman" w:hAnsiTheme="minorEastAsia"/>
                <w:b/>
                <w:color w:val="auto"/>
                <w:sz w:val="28"/>
                <w:szCs w:val="28"/>
              </w:rPr>
            </w:pPr>
          </w:p>
          <w:p>
            <w:pPr>
              <w:spacing w:line="360" w:lineRule="auto"/>
              <w:ind w:firstLine="560" w:firstLineChars="200"/>
              <w:rPr>
                <w:rFonts w:hint="eastAsia" w:ascii="Times New Roman" w:cs="Times New Roman" w:hAnsiTheme="minorEastAsia"/>
                <w:b/>
                <w:color w:val="auto"/>
                <w:sz w:val="28"/>
                <w:szCs w:val="28"/>
              </w:rPr>
            </w:pPr>
          </w:p>
          <w:p>
            <w:pPr>
              <w:pStyle w:val="31"/>
              <w:rPr>
                <w:rFonts w:ascii="Times New Roman" w:cs="Times New Roman" w:hAnsiTheme="minorEastAsia"/>
                <w:b/>
                <w:color w:val="auto"/>
                <w:sz w:val="28"/>
                <w:szCs w:val="28"/>
              </w:rPr>
            </w:pPr>
          </w:p>
          <w:p>
            <w:pPr>
              <w:spacing w:line="360" w:lineRule="auto"/>
              <w:ind w:firstLine="480" w:firstLineChars="200"/>
              <w:rPr>
                <w:rFonts w:ascii="Times New Roman" w:hAnsi="Times New Roman" w:cs="Times New Roman"/>
                <w:bCs/>
                <w:color w:val="auto"/>
                <w:sz w:val="24"/>
              </w:rPr>
            </w:pPr>
          </w:p>
        </w:tc>
      </w:tr>
    </w:tbl>
    <w:p>
      <w:pPr>
        <w:rPr>
          <w:color w:val="auto"/>
        </w:rPr>
      </w:pPr>
      <w:r>
        <w:rPr>
          <w:color w:val="auto"/>
        </w:rPr>
        <w:br w:type="page"/>
      </w:r>
    </w:p>
    <w:tbl>
      <w:tblPr>
        <w:tblStyle w:val="51"/>
        <w:tblW w:w="92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2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1" w:hRule="atLeast"/>
          <w:jc w:val="center"/>
        </w:trPr>
        <w:tc>
          <w:tcPr>
            <w:tcW w:w="9286" w:type="dxa"/>
          </w:tcPr>
          <w:p>
            <w:pPr>
              <w:spacing w:after="120" w:line="440" w:lineRule="exact"/>
              <w:rPr>
                <w:rFonts w:ascii="Times New Roman" w:hAnsi="Times New Roman" w:cs="Times New Roman"/>
                <w:b/>
                <w:color w:val="auto"/>
                <w:sz w:val="28"/>
                <w:szCs w:val="28"/>
              </w:rPr>
            </w:pPr>
            <w:r>
              <w:rPr>
                <w:rFonts w:ascii="Times New Roman" w:hAnsi="Times New Roman" w:cs="Times New Roman"/>
                <w:b/>
                <w:color w:val="auto"/>
                <w:sz w:val="28"/>
                <w:szCs w:val="28"/>
              </w:rPr>
              <w:t>与本项目有关的原有污染情况及主要环境问题：</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rPr>
              <w:t>根据现场踏勘及建设单位提供的资料，松潘县白羊乡茶园坪村璜环沟泥石流治理工程</w:t>
            </w:r>
            <w:r>
              <w:rPr>
                <w:rFonts w:hint="eastAsia" w:ascii="Times New Roman" w:hAnsi="Times New Roman" w:cs="Times New Roman"/>
                <w:color w:val="auto"/>
                <w:sz w:val="24"/>
                <w:lang w:val="en-US" w:eastAsia="zh-CN"/>
              </w:rPr>
              <w:t>存在的主要环境问题为泥石流</w:t>
            </w:r>
            <w:r>
              <w:rPr>
                <w:rFonts w:hint="eastAsia"/>
                <w:color w:val="auto"/>
                <w:sz w:val="24"/>
              </w:rPr>
              <w:t>沟口村道外侧为近10m的陡坎，陡坎下部为乡道，乡道外侧为白草河电站库区，特殊的地形限制了泥石流的排导</w:t>
            </w:r>
            <w:r>
              <w:rPr>
                <w:rFonts w:hint="eastAsia"/>
                <w:color w:val="auto"/>
                <w:sz w:val="24"/>
                <w:lang w:eastAsia="zh-CN"/>
              </w:rPr>
              <w:t>。</w:t>
            </w:r>
            <w:r>
              <w:rPr>
                <w:rFonts w:hint="eastAsia"/>
                <w:color w:val="auto"/>
                <w:sz w:val="24"/>
                <w:lang w:val="en-US" w:eastAsia="zh-CN"/>
              </w:rPr>
              <w:t>现状图如下</w:t>
            </w:r>
            <w:r>
              <w:rPr>
                <w:rFonts w:hint="eastAsia" w:ascii="Times New Roman" w:hAnsi="Times New Roman" w:cs="Times New Roman"/>
                <w:color w:val="auto"/>
                <w:sz w:val="24"/>
                <w:lang w:val="en-US" w:eastAsia="zh-CN"/>
              </w:rPr>
              <w:t>：</w:t>
            </w:r>
          </w:p>
          <w:tbl>
            <w:tblPr>
              <w:tblStyle w:val="52"/>
              <w:tblW w:w="9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spacing w:line="360" w:lineRule="auto"/>
                    <w:jc w:val="center"/>
                    <w:rPr>
                      <w:rFonts w:hint="eastAsia" w:ascii="Times New Roman" w:hAnsi="Times New Roman" w:cs="Times New Roman"/>
                      <w:color w:val="auto"/>
                      <w:sz w:val="24"/>
                      <w:vertAlign w:val="baseline"/>
                      <w:lang w:val="en-US" w:eastAsia="zh-CN"/>
                    </w:rPr>
                  </w:pPr>
                  <w:r>
                    <w:rPr>
                      <w:rFonts w:hint="eastAsia" w:ascii="Times New Roman" w:hAnsi="Times New Roman" w:cs="Times New Roman"/>
                      <w:color w:val="auto"/>
                      <w:sz w:val="24"/>
                      <w:vertAlign w:val="baseline"/>
                      <w:lang w:val="en-US" w:eastAsia="zh-CN"/>
                    </w:rPr>
                    <w:drawing>
                      <wp:inline distT="0" distB="0" distL="114300" distR="114300">
                        <wp:extent cx="2839720" cy="2129790"/>
                        <wp:effectExtent l="0" t="0" r="17780" b="3810"/>
                        <wp:docPr id="10" name="图片 10" descr="IMG_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310"/>
                                <pic:cNvPicPr>
                                  <a:picLocks noChangeAspect="1"/>
                                </pic:cNvPicPr>
                              </pic:nvPicPr>
                              <pic:blipFill>
                                <a:blip r:embed="rId74"/>
                                <a:stretch>
                                  <a:fillRect/>
                                </a:stretch>
                              </pic:blipFill>
                              <pic:spPr>
                                <a:xfrm>
                                  <a:off x="0" y="0"/>
                                  <a:ext cx="2839720" cy="2129790"/>
                                </a:xfrm>
                                <a:prstGeom prst="rect">
                                  <a:avLst/>
                                </a:prstGeom>
                              </pic:spPr>
                            </pic:pic>
                          </a:graphicData>
                        </a:graphic>
                      </wp:inline>
                    </w:drawing>
                  </w:r>
                </w:p>
              </w:tc>
              <w:tc>
                <w:tcPr>
                  <w:tcW w:w="4535" w:type="dxa"/>
                </w:tcPr>
                <w:p>
                  <w:pPr>
                    <w:spacing w:line="360" w:lineRule="auto"/>
                    <w:jc w:val="center"/>
                    <w:rPr>
                      <w:rFonts w:hint="eastAsia" w:ascii="Times New Roman" w:hAnsi="Times New Roman" w:cs="Times New Roman"/>
                      <w:color w:val="auto"/>
                      <w:sz w:val="24"/>
                      <w:vertAlign w:val="baseline"/>
                      <w:lang w:val="en-US" w:eastAsia="zh-CN"/>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236220</wp:posOffset>
                            </wp:positionH>
                            <wp:positionV relativeFrom="paragraph">
                              <wp:posOffset>1228725</wp:posOffset>
                            </wp:positionV>
                            <wp:extent cx="1064895" cy="285750"/>
                            <wp:effectExtent l="6350" t="6350" r="14605" b="279400"/>
                            <wp:wrapNone/>
                            <wp:docPr id="13" name="矩形标注 13"/>
                            <wp:cNvGraphicFramePr/>
                            <a:graphic xmlns:a="http://schemas.openxmlformats.org/drawingml/2006/main">
                              <a:graphicData uri="http://schemas.microsoft.com/office/word/2010/wordprocessingShape">
                                <wps:wsp>
                                  <wps:cNvSpPr/>
                                  <wps:spPr>
                                    <a:xfrm>
                                      <a:off x="0" y="0"/>
                                      <a:ext cx="1064895" cy="285750"/>
                                    </a:xfrm>
                                    <a:prstGeom prst="wedgeRectCallout">
                                      <a:avLst>
                                        <a:gd name="adj1" fmla="val -30620"/>
                                        <a:gd name="adj2" fmla="val 13822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default" w:eastAsiaTheme="minorEastAsia"/>
                                            <w:lang w:val="en-US" w:eastAsia="zh-CN"/>
                                          </w:rPr>
                                        </w:pPr>
                                        <w:r>
                                          <w:rPr>
                                            <w:rFonts w:hint="eastAsia"/>
                                            <w:lang w:val="en-US" w:eastAsia="zh-CN"/>
                                          </w:rPr>
                                          <w:t>防护堤的位置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6pt;margin-top:96.75pt;height:22.5pt;width:83.85pt;z-index:251663360;v-text-anchor:middle;mso-width-relative:page;mso-height-relative:page;" filled="f" stroked="t" coordsize="21600,21600" o:gfxdata="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N00ifbZAAAACgEAAA8AAAAAAAAAAQAgAAAAIgAAAGRycy9kb3ducmV2LnhtbFBL&#10;AQIUABQAAAAIAIdO4kCzkUGzoAIAABAFAAAOAAAAAAAAAAEAIAAAACgBAABkcnMvZTJvRG9jLnht&#10;bFBLBQYAAAAABgAGAFkBAAA6BgAAAAA=&#10;" adj="4186,40656">
                            <v:fill on="f" focussize="0,0"/>
                            <v:stroke weight="1pt" color="#41719C [3204]" miterlimit="8" joinstyle="miter"/>
                            <v:imagedata o:title=""/>
                            <o:lock v:ext="edit" aspectratio="f"/>
                            <v:textbox>
                              <w:txbxContent>
                                <w:p>
                                  <w:pPr>
                                    <w:jc w:val="both"/>
                                    <w:rPr>
                                      <w:rFonts w:hint="default" w:eastAsiaTheme="minorEastAsia"/>
                                      <w:lang w:val="en-US" w:eastAsia="zh-CN"/>
                                    </w:rPr>
                                  </w:pPr>
                                  <w:r>
                                    <w:rPr>
                                      <w:rFonts w:hint="eastAsia"/>
                                      <w:lang w:val="en-US" w:eastAsia="zh-CN"/>
                                    </w:rPr>
                                    <w:t>防护堤的位置</w:t>
                                  </w:r>
                                </w:p>
                              </w:txbxContent>
                            </v:textbox>
                          </v:shap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1180465</wp:posOffset>
                            </wp:positionH>
                            <wp:positionV relativeFrom="paragraph">
                              <wp:posOffset>770255</wp:posOffset>
                            </wp:positionV>
                            <wp:extent cx="1064895" cy="285750"/>
                            <wp:effectExtent l="6350" t="6350" r="14605" b="260350"/>
                            <wp:wrapNone/>
                            <wp:docPr id="12" name="矩形标注 12"/>
                            <wp:cNvGraphicFramePr/>
                            <a:graphic xmlns:a="http://schemas.openxmlformats.org/drawingml/2006/main">
                              <a:graphicData uri="http://schemas.microsoft.com/office/word/2010/wordprocessingShape">
                                <wps:wsp>
                                  <wps:cNvSpPr/>
                                  <wps:spPr>
                                    <a:xfrm>
                                      <a:off x="5032375" y="2927350"/>
                                      <a:ext cx="1064895" cy="285750"/>
                                    </a:xfrm>
                                    <a:prstGeom prst="wedgeRectCallout">
                                      <a:avLst>
                                        <a:gd name="adj1" fmla="val 11657"/>
                                        <a:gd name="adj2" fmla="val 13511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lang w:val="en-US" w:eastAsia="zh-CN"/>
                                          </w:rPr>
                                        </w:pPr>
                                        <w:r>
                                          <w:rPr>
                                            <w:rFonts w:hint="eastAsia"/>
                                            <w:lang w:val="en-US" w:eastAsia="zh-CN"/>
                                          </w:rPr>
                                          <w:t>拦挡坝的位置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2.95pt;margin-top:60.65pt;height:22.5pt;width:83.85pt;z-index:251660288;v-text-anchor:middle;mso-width-relative:page;mso-height-relative:page;" filled="f" stroked="t" coordsize="21600,21600" o:gfxdata="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BQxMtDaAAAACwEAAA8AAAAAAAAAAQAgAAAAIgAAAGRycy9kb3du&#10;cmV2LnhtbFBLAQIUABQAAAAIAIdO4kA+dQw0qAIAABsFAAAOAAAAAAAAAAEAIAAAACkBAABkcnMv&#10;ZTJvRG9jLnhtbFBLBQYAAAAABgAGAFkBAABDBgAAAAA=&#10;" adj="13318,39984">
                            <v:fill on="f" focussize="0,0"/>
                            <v:stroke weight="1pt" color="#41719C [3204]" miterlimit="8" joinstyle="miter"/>
                            <v:imagedata o:title=""/>
                            <o:lock v:ext="edit" aspectratio="f"/>
                            <v:textbox>
                              <w:txbxContent>
                                <w:p>
                                  <w:pPr>
                                    <w:jc w:val="center"/>
                                    <w:rPr>
                                      <w:rFonts w:hint="default" w:eastAsiaTheme="minorEastAsia"/>
                                      <w:lang w:val="en-US" w:eastAsia="zh-CN"/>
                                    </w:rPr>
                                  </w:pPr>
                                  <w:r>
                                    <w:rPr>
                                      <w:rFonts w:hint="eastAsia"/>
                                      <w:lang w:val="en-US" w:eastAsia="zh-CN"/>
                                    </w:rPr>
                                    <w:t>拦挡坝的位置</w:t>
                                  </w:r>
                                </w:p>
                              </w:txbxContent>
                            </v:textbox>
                          </v:shape>
                        </w:pict>
                      </mc:Fallback>
                    </mc:AlternateContent>
                  </w:r>
                  <w:r>
                    <w:rPr>
                      <w:rFonts w:hint="eastAsia" w:ascii="Times New Roman" w:hAnsi="Times New Roman" w:cs="Times New Roman"/>
                      <w:color w:val="auto"/>
                      <w:sz w:val="24"/>
                      <w:vertAlign w:val="baseline"/>
                      <w:lang w:val="en-US" w:eastAsia="zh-CN"/>
                    </w:rPr>
                    <w:drawing>
                      <wp:inline distT="0" distB="0" distL="114300" distR="114300">
                        <wp:extent cx="2781300" cy="2108200"/>
                        <wp:effectExtent l="0" t="0" r="0" b="6350"/>
                        <wp:docPr id="11" name="图片 11" descr="1587093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7093467(1)"/>
                                <pic:cNvPicPr>
                                  <a:picLocks noChangeAspect="1"/>
                                </pic:cNvPicPr>
                              </pic:nvPicPr>
                              <pic:blipFill>
                                <a:blip r:embed="rId75"/>
                                <a:srcRect l="13259" r="4688"/>
                                <a:stretch>
                                  <a:fillRect/>
                                </a:stretch>
                              </pic:blipFill>
                              <pic:spPr>
                                <a:xfrm>
                                  <a:off x="0" y="0"/>
                                  <a:ext cx="2781300" cy="2108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5" w:type="dxa"/>
                </w:tcPr>
                <w:p>
                  <w:pPr>
                    <w:spacing w:line="360" w:lineRule="auto"/>
                    <w:jc w:val="center"/>
                    <w:rPr>
                      <w:rFonts w:hint="default" w:ascii="Times New Roman" w:hAnsi="Times New Roman" w:cs="Times New Roman"/>
                      <w:color w:val="auto"/>
                      <w:sz w:val="24"/>
                      <w:vertAlign w:val="baseline"/>
                      <w:lang w:val="en-US" w:eastAsia="zh-CN"/>
                    </w:rPr>
                  </w:pPr>
                  <w:r>
                    <w:rPr>
                      <w:rFonts w:hint="eastAsia" w:ascii="Times New Roman" w:hAnsi="Times New Roman" w:cs="Times New Roman"/>
                      <w:color w:val="auto"/>
                      <w:sz w:val="24"/>
                      <w:vertAlign w:val="baseline"/>
                      <w:lang w:val="en-US" w:eastAsia="zh-CN"/>
                    </w:rPr>
                    <w:t>本项目现状图</w:t>
                  </w:r>
                </w:p>
              </w:tc>
              <w:tc>
                <w:tcPr>
                  <w:tcW w:w="4535" w:type="dxa"/>
                </w:tcPr>
                <w:p>
                  <w:pPr>
                    <w:spacing w:line="360" w:lineRule="auto"/>
                    <w:jc w:val="center"/>
                    <w:rPr>
                      <w:rFonts w:hint="default" w:ascii="Times New Roman" w:hAnsi="Times New Roman" w:cs="Times New Roman"/>
                      <w:color w:val="auto"/>
                      <w:sz w:val="24"/>
                      <w:vertAlign w:val="baseline"/>
                      <w:lang w:val="en-US" w:eastAsia="zh-CN"/>
                    </w:rPr>
                  </w:pPr>
                  <w:r>
                    <w:rPr>
                      <w:rFonts w:hint="eastAsia" w:ascii="Times New Roman" w:hAnsi="Times New Roman" w:cs="Times New Roman"/>
                      <w:color w:val="auto"/>
                      <w:sz w:val="24"/>
                      <w:vertAlign w:val="baseline"/>
                      <w:lang w:val="en-US" w:eastAsia="zh-CN"/>
                    </w:rPr>
                    <w:t>本项目建设位置卫星图</w:t>
                  </w:r>
                </w:p>
              </w:tc>
            </w:tr>
          </w:tbl>
          <w:p>
            <w:pPr>
              <w:spacing w:line="360" w:lineRule="auto"/>
              <w:jc w:val="center"/>
              <w:rPr>
                <w:rFonts w:hint="eastAsia" w:ascii="Times New Roman" w:hAnsi="Times New Roman" w:cs="Times New Roman"/>
                <w:color w:val="auto"/>
                <w:sz w:val="24"/>
                <w:lang w:val="en-US" w:eastAsia="zh-CN"/>
              </w:rPr>
            </w:pPr>
          </w:p>
          <w:p>
            <w:pPr>
              <w:jc w:val="center"/>
              <w:rPr>
                <w:rFonts w:hint="default"/>
                <w:b/>
                <w:bCs/>
                <w:color w:val="auto"/>
                <w:szCs w:val="21"/>
                <w:lang w:val="en-US" w:eastAsia="zh-CN"/>
              </w:rPr>
            </w:pPr>
            <w:r>
              <w:rPr>
                <w:rFonts w:hint="eastAsia"/>
                <w:b/>
                <w:bCs/>
                <w:color w:val="auto"/>
                <w:szCs w:val="21"/>
                <w:lang w:val="en-US" w:eastAsia="zh-CN"/>
              </w:rPr>
              <w:t>图1-3 本项目现状图</w:t>
            </w:r>
          </w:p>
          <w:p>
            <w:pPr>
              <w:spacing w:line="360" w:lineRule="auto"/>
              <w:ind w:firstLine="480" w:firstLineChars="200"/>
              <w:rPr>
                <w:rFonts w:hint="eastAsia" w:ascii="Times New Roman" w:hAnsi="Times New Roman" w:cs="Times New Roman"/>
                <w:color w:val="auto"/>
                <w:sz w:val="24"/>
                <w:lang w:val="en-US" w:eastAsia="zh-CN"/>
              </w:rPr>
            </w:pPr>
          </w:p>
          <w:p>
            <w:pPr>
              <w:spacing w:line="360" w:lineRule="auto"/>
              <w:ind w:firstLine="480" w:firstLineChars="200"/>
              <w:rPr>
                <w:rFonts w:hint="eastAsia" w:ascii="Times New Roman" w:hAnsi="Times New Roman" w:cs="Times New Roman"/>
                <w:color w:val="auto"/>
                <w:sz w:val="24"/>
                <w:lang w:val="en-US" w:eastAsia="zh-CN"/>
              </w:rPr>
            </w:pPr>
          </w:p>
          <w:p>
            <w:pPr>
              <w:spacing w:line="360" w:lineRule="auto"/>
              <w:ind w:firstLine="480" w:firstLineChars="200"/>
              <w:rPr>
                <w:rFonts w:hint="eastAsia" w:ascii="Times New Roman" w:hAnsi="Times New Roman" w:cs="Times New Roman"/>
                <w:color w:val="auto"/>
                <w:sz w:val="24"/>
                <w:lang w:val="en-US" w:eastAsia="zh-CN"/>
              </w:rPr>
            </w:pPr>
          </w:p>
          <w:p>
            <w:pPr>
              <w:spacing w:line="360" w:lineRule="auto"/>
              <w:ind w:firstLine="480" w:firstLineChars="200"/>
              <w:rPr>
                <w:rFonts w:hint="eastAsia" w:ascii="Times New Roman" w:hAnsi="Times New Roman" w:cs="Times New Roman"/>
                <w:color w:val="auto"/>
                <w:sz w:val="24"/>
                <w:lang w:val="en-US" w:eastAsia="zh-CN"/>
              </w:rPr>
            </w:pPr>
          </w:p>
          <w:p>
            <w:pPr>
              <w:spacing w:line="360" w:lineRule="auto"/>
              <w:ind w:firstLine="480" w:firstLineChars="200"/>
              <w:rPr>
                <w:rFonts w:hint="eastAsia" w:ascii="Times New Roman" w:hAnsi="Times New Roman" w:cs="Times New Roman"/>
                <w:color w:val="auto"/>
                <w:sz w:val="24"/>
                <w:lang w:val="en-US" w:eastAsia="zh-CN"/>
              </w:rPr>
            </w:pPr>
          </w:p>
          <w:p>
            <w:pPr>
              <w:spacing w:line="360" w:lineRule="auto"/>
              <w:ind w:firstLine="480" w:firstLineChars="200"/>
              <w:rPr>
                <w:rFonts w:hint="eastAsia" w:ascii="Times New Roman" w:hAnsi="Times New Roman" w:cs="Times New Roman"/>
                <w:color w:val="auto"/>
                <w:sz w:val="24"/>
                <w:lang w:val="en-US" w:eastAsia="zh-CN"/>
              </w:rPr>
            </w:pPr>
          </w:p>
          <w:p>
            <w:pPr>
              <w:spacing w:line="360" w:lineRule="auto"/>
              <w:ind w:firstLine="480" w:firstLineChars="200"/>
              <w:rPr>
                <w:rFonts w:hint="eastAsia" w:ascii="Times New Roman" w:hAnsi="Times New Roman" w:cs="Times New Roman"/>
                <w:color w:val="auto"/>
                <w:sz w:val="24"/>
                <w:lang w:val="en-US" w:eastAsia="zh-CN"/>
              </w:rPr>
            </w:pPr>
          </w:p>
          <w:p>
            <w:pPr>
              <w:spacing w:line="360" w:lineRule="auto"/>
              <w:ind w:firstLine="480" w:firstLineChars="200"/>
              <w:rPr>
                <w:rFonts w:hint="default" w:ascii="Times New Roman" w:hAnsi="Times New Roman" w:cs="Times New Roman" w:eastAsiaTheme="minorEastAsia"/>
                <w:color w:val="auto"/>
                <w:sz w:val="24"/>
                <w:lang w:val="en-US" w:eastAsia="zh-CN"/>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p>
            <w:pPr>
              <w:spacing w:line="360" w:lineRule="auto"/>
              <w:ind w:firstLine="480" w:firstLineChars="200"/>
              <w:rPr>
                <w:rFonts w:ascii="Times New Roman" w:hAnsi="Times New Roman" w:cs="Times New Roman"/>
                <w:color w:val="auto"/>
                <w:sz w:val="24"/>
              </w:rPr>
            </w:pPr>
          </w:p>
        </w:tc>
      </w:tr>
    </w:tbl>
    <w:p>
      <w:pPr>
        <w:tabs>
          <w:tab w:val="left" w:pos="5760"/>
        </w:tabs>
        <w:adjustRightInd w:val="0"/>
        <w:snapToGrid w:val="0"/>
        <w:spacing w:before="156" w:beforeLines="50" w:after="156" w:afterLines="50"/>
        <w:outlineLvl w:val="0"/>
        <w:rPr>
          <w:rFonts w:ascii="Times New Roman" w:hAnsi="Times New Roman" w:cs="Times New Roman"/>
          <w:b/>
          <w:color w:val="auto"/>
          <w:sz w:val="30"/>
          <w:szCs w:val="30"/>
        </w:rPr>
        <w:sectPr>
          <w:footerReference r:id="rId3"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auto"/>
          <w:sz w:val="30"/>
          <w:szCs w:val="30"/>
        </w:rPr>
      </w:pPr>
      <w:r>
        <w:rPr>
          <w:rFonts w:hint="eastAsia" w:ascii="Times New Roman" w:hAnsi="Times New Roman" w:cs="Times New Roman"/>
          <w:b/>
          <w:color w:val="auto"/>
          <w:sz w:val="30"/>
          <w:szCs w:val="30"/>
        </w:rPr>
        <w:t>建设项目所在地自然环境社会环境简况                   (</w:t>
      </w:r>
      <w:r>
        <w:rPr>
          <w:rFonts w:hint="eastAsia" w:ascii="Times New Roman" w:hAnsi="Times New Roman" w:cs="Times New Roman"/>
          <w:b/>
          <w:snapToGrid w:val="0"/>
          <w:color w:val="auto"/>
          <w:kern w:val="0"/>
          <w:sz w:val="30"/>
          <w:szCs w:val="30"/>
        </w:rPr>
        <w:t>表二)</w:t>
      </w:r>
    </w:p>
    <w:tbl>
      <w:tblPr>
        <w:tblStyle w:val="51"/>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trPr>
        <w:tc>
          <w:tcPr>
            <w:tcW w:w="9286" w:type="dxa"/>
          </w:tcPr>
          <w:p>
            <w:pPr>
              <w:spacing w:line="360" w:lineRule="auto"/>
              <w:rPr>
                <w:b/>
                <w:bCs/>
                <w:color w:val="auto"/>
                <w:sz w:val="24"/>
              </w:rPr>
            </w:pPr>
            <w:r>
              <w:rPr>
                <w:rFonts w:hint="eastAsia"/>
                <w:b/>
                <w:bCs/>
                <w:color w:val="auto"/>
                <w:sz w:val="24"/>
              </w:rPr>
              <w:t>自然环境简况</w:t>
            </w:r>
            <w:r>
              <w:rPr>
                <w:b/>
                <w:bCs/>
                <w:color w:val="auto"/>
                <w:sz w:val="24"/>
              </w:rPr>
              <w:t>(</w:t>
            </w:r>
            <w:r>
              <w:rPr>
                <w:rFonts w:hint="eastAsia"/>
                <w:b/>
                <w:bCs/>
                <w:color w:val="auto"/>
                <w:sz w:val="24"/>
              </w:rPr>
              <w:t>地形、地貌、地质、气侯、气象、水文、植被、生物多样性等</w:t>
            </w:r>
            <w:r>
              <w:rPr>
                <w:b/>
                <w:bCs/>
                <w:color w:val="auto"/>
                <w:sz w:val="24"/>
              </w:rPr>
              <w:t>)</w:t>
            </w:r>
            <w:r>
              <w:rPr>
                <w:rFonts w:hint="eastAsia"/>
                <w:b/>
                <w:bCs/>
                <w:color w:val="auto"/>
                <w:sz w:val="24"/>
              </w:rPr>
              <w:t>：</w:t>
            </w:r>
          </w:p>
          <w:p>
            <w:pPr>
              <w:spacing w:line="360" w:lineRule="auto"/>
              <w:ind w:right="105" w:rightChars="50"/>
              <w:rPr>
                <w:rFonts w:ascii="Times New Roman" w:hAnsi="Times New Roman" w:cs="Times New Roman"/>
                <w:b/>
                <w:bCs/>
                <w:color w:val="auto"/>
                <w:sz w:val="24"/>
              </w:rPr>
            </w:pPr>
            <w:r>
              <w:rPr>
                <w:rFonts w:hint="eastAsia" w:ascii="Times New Roman" w:cs="Times New Roman"/>
                <w:b/>
                <w:bCs/>
                <w:color w:val="auto"/>
                <w:sz w:val="24"/>
              </w:rPr>
              <w:t>一、地理位置</w:t>
            </w:r>
          </w:p>
          <w:p>
            <w:pPr>
              <w:spacing w:line="360" w:lineRule="auto"/>
              <w:ind w:firstLine="480" w:firstLineChars="200"/>
              <w:jc w:val="left"/>
              <w:rPr>
                <w:color w:val="auto"/>
                <w:sz w:val="24"/>
              </w:rPr>
            </w:pPr>
            <w:r>
              <w:rPr>
                <w:color w:val="auto"/>
                <w:sz w:val="24"/>
              </w:rPr>
              <w:t>松潘县位于四川省西北部、阿坝藏族羌族自治州东部，界于东经102°38′35″—104°15′36"，北纬32°06′54"—33°09′35"之间。东与绵阳市的平武县、北川县接壤，东北与九寨沟县相连，南依茂县，西及西南紧靠红原县，西北毗邻若尔盖县。全县东西长149公里，南北宽113公里，幅员面积8486平方公里。</w:t>
            </w:r>
          </w:p>
          <w:p>
            <w:pPr>
              <w:spacing w:line="360" w:lineRule="auto"/>
              <w:ind w:firstLine="480" w:firstLineChars="200"/>
              <w:jc w:val="left"/>
              <w:rPr>
                <w:color w:val="auto"/>
                <w:sz w:val="24"/>
              </w:rPr>
            </w:pPr>
            <w:r>
              <w:rPr>
                <w:color w:val="auto"/>
                <w:sz w:val="24"/>
              </w:rPr>
              <w:t>县城西北经红原县至州府马尔康431公里，距省会成都335公里，距著名的世界自然遗产、国家级风景名胜区黄龙56公里、牟尼沟风景区36公里，距世界自然遗产九寨沟风景名胜区104公里，距九寨黄龙机场28公里，距离县域唯一城镇川主寺17公里，位于四川西部旅游黄金路线的中心位置，“九环线”西线沿岷江纵贯全县。</w:t>
            </w:r>
          </w:p>
          <w:p>
            <w:pPr>
              <w:spacing w:line="360" w:lineRule="auto"/>
              <w:ind w:firstLine="480" w:firstLineChars="200"/>
              <w:jc w:val="left"/>
              <w:rPr>
                <w:rFonts w:hint="eastAsia" w:ascii="宋体" w:hAnsi="宋体"/>
                <w:color w:val="auto"/>
                <w:sz w:val="24"/>
              </w:rPr>
            </w:pPr>
            <w:r>
              <w:rPr>
                <w:rFonts w:hint="eastAsia" w:ascii="宋体" w:hAnsi="宋体"/>
                <w:color w:val="auto"/>
                <w:sz w:val="24"/>
              </w:rPr>
              <w:t>本次开展勘查工作的璜环沟泥石流位于阿坝州松潘县白羊乡茶园坪村，中心地理位置坐标为：东经104°08′3″，北纬32°09′45″，位于茶园坪村居民安置点后山，与白羊乡政府隔河相望，距白羊乡政府约1.6km，距松潘县城（进安镇）289km，距绵阳市约140km，距省会成都约230.5km。从成都至灾害点主要有线路：成都市→绵阳市→北川县→曲山镇→禹里乡→小坝乡→片口乡→白羊乡→璜环沟泥石流隐患点，线路中道路多为高速公路及高等级公路，部分路段为乡村公路，交通较便利。</w:t>
            </w:r>
          </w:p>
          <w:p>
            <w:pPr>
              <w:spacing w:line="360" w:lineRule="auto"/>
              <w:ind w:firstLine="480" w:firstLineChars="200"/>
              <w:jc w:val="left"/>
              <w:rPr>
                <w:rFonts w:hint="eastAsia"/>
                <w:color w:val="auto"/>
              </w:rPr>
            </w:pPr>
            <w:r>
              <w:rPr>
                <w:rFonts w:hint="default" w:ascii="Times New Roman" w:hAnsi="Times New Roman" w:eastAsia="宋体" w:cs="Times New Roman"/>
                <w:color w:val="auto"/>
                <w:kern w:val="0"/>
                <w:sz w:val="24"/>
                <w:shd w:val="clear" w:color="auto" w:fill="FFFFFF"/>
              </w:rPr>
              <w:t>具体地理位置见附图1。</w:t>
            </w:r>
          </w:p>
          <w:p>
            <w:pPr>
              <w:spacing w:line="360" w:lineRule="auto"/>
              <w:jc w:val="left"/>
              <w:rPr>
                <w:rFonts w:ascii="Times New Roman" w:hAnsi="Times New Roman" w:cs="Times New Roman"/>
                <w:b/>
                <w:bCs/>
                <w:color w:val="auto"/>
                <w:kern w:val="0"/>
                <w:sz w:val="24"/>
              </w:rPr>
            </w:pPr>
            <w:r>
              <w:rPr>
                <w:rFonts w:hint="eastAsia" w:ascii="Times New Roman" w:cs="Times New Roman"/>
                <w:b/>
                <w:bCs/>
                <w:color w:val="auto"/>
                <w:kern w:val="0"/>
                <w:sz w:val="24"/>
              </w:rPr>
              <w:t>二、地形、地貌、地质条件</w:t>
            </w:r>
          </w:p>
          <w:p>
            <w:pPr>
              <w:spacing w:line="360" w:lineRule="auto"/>
              <w:ind w:firstLine="480" w:firstLineChars="200"/>
              <w:rPr>
                <w:rFonts w:hint="eastAsia" w:eastAsiaTheme="minorEastAsia"/>
                <w:bCs/>
                <w:color w:val="auto"/>
                <w:sz w:val="24"/>
                <w:lang w:val="en-US" w:eastAsia="zh-CN"/>
              </w:rPr>
            </w:pPr>
            <w:r>
              <w:rPr>
                <w:rFonts w:hint="eastAsia"/>
                <w:bCs/>
                <w:color w:val="auto"/>
                <w:sz w:val="24"/>
                <w:lang w:val="en-US" w:eastAsia="zh-CN"/>
              </w:rPr>
              <w:t>1、地形地貌</w:t>
            </w:r>
          </w:p>
          <w:p>
            <w:pPr>
              <w:spacing w:line="360" w:lineRule="auto"/>
              <w:ind w:firstLine="480" w:firstLineChars="200"/>
              <w:rPr>
                <w:bCs/>
                <w:color w:val="auto"/>
                <w:sz w:val="24"/>
              </w:rPr>
            </w:pPr>
            <w:r>
              <w:rPr>
                <w:bCs/>
                <w:color w:val="auto"/>
                <w:sz w:val="24"/>
              </w:rPr>
              <w:t>松潘县位于川西北丘状高山高原区。主要为岷山邛崃山高山区北部，西部、西北部为阿坝若尔盖丘状高原区边缘，其毛儿盖、漳腊区地势平缓，相对高差小为丘状高原；东南部为龙门山山区，具有丘状高原地貌与高山山地地貌之特征，其黄龙、小河、镇江一线地区山高谷深，但山顶平坦开阔，属山原地形，中部城关、红土地区处于山原向丘状高原的过渡地带，由东南向西北沟壑逐渐展开，山峰逐渐低矮。</w:t>
            </w:r>
          </w:p>
          <w:p>
            <w:pPr>
              <w:spacing w:line="360" w:lineRule="auto"/>
              <w:ind w:firstLine="480" w:firstLineChars="200"/>
              <w:rPr>
                <w:bCs/>
                <w:color w:val="auto"/>
                <w:sz w:val="24"/>
              </w:rPr>
            </w:pPr>
            <w:r>
              <w:rPr>
                <w:bCs/>
                <w:color w:val="auto"/>
                <w:sz w:val="24"/>
              </w:rPr>
              <w:t>县境内总体地形是西北高，东南低，境内地势随山脉走向由西北向东南倾斜，其地貌特征大致可划分为西北高原和东南高山峡谷两大部分，高原又可分为丘状高原和高山高原两个部分，根据地貌特征和组合分布规律，划分为三个地貌区。</w:t>
            </w:r>
          </w:p>
          <w:p>
            <w:pPr>
              <w:spacing w:line="360" w:lineRule="auto"/>
              <w:ind w:firstLine="480" w:firstLineChars="200"/>
              <w:rPr>
                <w:bCs/>
                <w:color w:val="auto"/>
                <w:sz w:val="24"/>
              </w:rPr>
            </w:pPr>
            <w:r>
              <w:rPr>
                <w:bCs/>
                <w:color w:val="auto"/>
                <w:sz w:val="24"/>
              </w:rPr>
              <w:t>丘状高原区：分布在县境西北的毛儿盖、燕云、尕</w:t>
            </w:r>
            <w:r>
              <w:rPr>
                <w:rFonts w:hint="eastAsia"/>
                <w:bCs/>
                <w:color w:val="auto"/>
                <w:sz w:val="24"/>
                <w:lang w:val="en-US" w:eastAsia="zh-CN"/>
              </w:rPr>
              <w:t>里</w:t>
            </w:r>
            <w:r>
              <w:rPr>
                <w:bCs/>
                <w:color w:val="auto"/>
                <w:sz w:val="24"/>
              </w:rPr>
              <w:t>台、漳腊一带，地形波状起伏、丘谷相间，谷地宽阔平坦，丘顶平缓，U型槽状洼地积水成沼泽，河沟曲折迂回，流速缓慢。在毛儿盖河、热务曲河源头地区，由于受到新构造运动的不断挤压、抬升，河流下切。</w:t>
            </w:r>
          </w:p>
          <w:p>
            <w:pPr>
              <w:spacing w:line="360" w:lineRule="auto"/>
              <w:rPr>
                <w:color w:val="auto"/>
              </w:rPr>
            </w:pPr>
            <w:r>
              <w:rPr>
                <w:color w:val="auto"/>
              </w:rPr>
              <w:drawing>
                <wp:inline distT="0" distB="0" distL="114300" distR="114300">
                  <wp:extent cx="5629910" cy="3679825"/>
                  <wp:effectExtent l="0" t="0" r="8890" b="15875"/>
                  <wp:docPr id="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2"/>
                          <pic:cNvPicPr>
                            <a:picLocks noChangeAspect="1"/>
                          </pic:cNvPicPr>
                        </pic:nvPicPr>
                        <pic:blipFill>
                          <a:blip r:embed="rId76"/>
                          <a:srcRect t="3849"/>
                          <a:stretch>
                            <a:fillRect/>
                          </a:stretch>
                        </pic:blipFill>
                        <pic:spPr>
                          <a:xfrm>
                            <a:off x="0" y="0"/>
                            <a:ext cx="5629910" cy="3679825"/>
                          </a:xfrm>
                          <a:prstGeom prst="rect">
                            <a:avLst/>
                          </a:prstGeom>
                          <a:noFill/>
                          <a:ln>
                            <a:noFill/>
                          </a:ln>
                        </pic:spPr>
                      </pic:pic>
                    </a:graphicData>
                  </a:graphic>
                </wp:inline>
              </w:drawing>
            </w:r>
          </w:p>
          <w:p>
            <w:pPr>
              <w:spacing w:line="360" w:lineRule="auto"/>
              <w:jc w:val="center"/>
              <w:rPr>
                <w:rFonts w:hint="eastAsia"/>
                <w:b/>
                <w:bCs/>
                <w:color w:val="auto"/>
                <w:sz w:val="24"/>
                <w:szCs w:val="24"/>
                <w:lang w:val="en-US" w:eastAsia="zh-CN"/>
              </w:rPr>
            </w:pPr>
            <w:r>
              <w:rPr>
                <w:rFonts w:hint="eastAsia"/>
                <w:b/>
                <w:bCs/>
                <w:color w:val="auto"/>
                <w:sz w:val="24"/>
                <w:szCs w:val="24"/>
                <w:lang w:eastAsia="zh-CN"/>
              </w:rPr>
              <w:t>图</w:t>
            </w:r>
            <w:r>
              <w:rPr>
                <w:rFonts w:hint="eastAsia"/>
                <w:b/>
                <w:bCs/>
                <w:color w:val="auto"/>
                <w:sz w:val="24"/>
                <w:szCs w:val="24"/>
                <w:lang w:val="en-US" w:eastAsia="zh-CN"/>
              </w:rPr>
              <w:t>2-1 松潘县地貌图</w:t>
            </w:r>
          </w:p>
          <w:p>
            <w:pPr>
              <w:spacing w:line="360" w:lineRule="auto"/>
              <w:ind w:firstLine="480" w:firstLineChars="200"/>
              <w:rPr>
                <w:bCs/>
                <w:color w:val="auto"/>
                <w:sz w:val="24"/>
              </w:rPr>
            </w:pPr>
            <w:r>
              <w:rPr>
                <w:bCs/>
                <w:color w:val="auto"/>
                <w:sz w:val="24"/>
              </w:rPr>
              <w:t>高山高原区：分布于黄龙、进安镇、镇江关、热务沟大部分地区，是高原向高山峡谷过渡地带，岭平坡缓、谷地较宽，沿岷江两岸有二、三级阶地和冲洪积扇。断裂构造突出，褶皱、地震强烈，易发生地质灾害。</w:t>
            </w:r>
          </w:p>
          <w:p>
            <w:pPr>
              <w:spacing w:line="360" w:lineRule="auto"/>
              <w:ind w:firstLine="480" w:firstLineChars="200"/>
              <w:rPr>
                <w:bCs/>
                <w:color w:val="auto"/>
                <w:sz w:val="24"/>
              </w:rPr>
            </w:pPr>
            <w:r>
              <w:rPr>
                <w:bCs/>
                <w:color w:val="auto"/>
                <w:sz w:val="24"/>
              </w:rPr>
              <w:t>高山地貌：分布于东南部的小河地区和白洋乡，山峰林立、山脊带锯齿状、峡谷幽深、峭壁悬崖、河谷深切、水流湍急、地表破碎、岭谷高差悬殊。从地形地貌上看，在坡度为25°—50°的斜坡地带系发育斜坡类地灾等，特别是软岩层形成的30°—40°斜坡，既有利于松散物质形成堆积，又易于形成剪切滑动面，是斜坡主要发生区，在大于50°的地区，一般发生崩塌。坡度陡有利于泥石流固体物堆积沟谷纵坡大易形成泥石流。在松潘境内灾害主要分布在高山高原、高山区。</w:t>
            </w:r>
          </w:p>
          <w:p>
            <w:pPr>
              <w:spacing w:line="360" w:lineRule="auto"/>
              <w:ind w:firstLine="480" w:firstLineChars="200"/>
              <w:rPr>
                <w:rFonts w:hint="eastAsia" w:ascii="宋体" w:hAnsi="宋体"/>
                <w:color w:val="auto"/>
                <w:sz w:val="24"/>
              </w:rPr>
            </w:pPr>
            <w:r>
              <w:rPr>
                <w:rFonts w:hint="eastAsia"/>
                <w:bCs/>
                <w:color w:val="auto"/>
                <w:sz w:val="24"/>
                <w:lang w:eastAsia="zh-CN"/>
              </w:rPr>
              <w:t>本项目</w:t>
            </w:r>
            <w:r>
              <w:rPr>
                <w:bCs/>
                <w:color w:val="auto"/>
                <w:sz w:val="24"/>
              </w:rPr>
              <w:t>区位于四川省西北部中、高山区，地处青藏高原东南部。</w:t>
            </w:r>
            <w:r>
              <w:rPr>
                <w:rFonts w:hint="eastAsia"/>
                <w:bCs/>
                <w:color w:val="auto"/>
                <w:sz w:val="24"/>
                <w:lang w:val="en-US" w:eastAsia="zh-CN"/>
              </w:rPr>
              <w:t>位于松潘县白羊乡茶园坪村</w:t>
            </w:r>
            <w:r>
              <w:rPr>
                <w:rFonts w:hint="eastAsia" w:ascii="宋体" w:hAnsi="宋体"/>
                <w:color w:val="auto"/>
                <w:sz w:val="24"/>
              </w:rPr>
              <w:t>璜环沟</w:t>
            </w:r>
            <w:r>
              <w:rPr>
                <w:rFonts w:hint="eastAsia" w:ascii="宋体" w:hAnsi="宋体"/>
                <w:color w:val="auto"/>
                <w:sz w:val="24"/>
                <w:lang w:eastAsia="zh-CN"/>
              </w:rPr>
              <w:t>，</w:t>
            </w:r>
            <w:r>
              <w:rPr>
                <w:rFonts w:hint="eastAsia" w:ascii="宋体" w:hAnsi="宋体"/>
                <w:color w:val="auto"/>
                <w:sz w:val="24"/>
              </w:rPr>
              <w:t>璜环沟所处地区属构造侵蚀中山区，海拔高程1070～1360m，相对高差290m，沟道平均纵坡比降439.4‰。沟域整体呈上宽下窄，顶部为缓坡平台，其下沟道上游为相对宽缓的环形凹地，平均宽度190-220m，主要为林地和耕地，西侧耕地呈阶梯状，坎高一般0.5-1m，东侧为林地，斜坡地形，坡度30°左右。沟道中段陡急，沟底宽约3～5m，植被发育，两岸斜坡局部基岩裸露，坡度40～70°，主要为林地，中下段坡度逐渐变缓，沟底宽约10～25m，出山口至白草河交汇段，地形较缓，为泥石流堆积区。</w:t>
            </w:r>
          </w:p>
          <w:p>
            <w:pPr>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2、地层岩性</w:t>
            </w:r>
          </w:p>
          <w:p>
            <w:pPr>
              <w:spacing w:line="360" w:lineRule="auto"/>
              <w:ind w:firstLine="480" w:firstLineChars="200"/>
              <w:rPr>
                <w:rFonts w:hint="default" w:eastAsiaTheme="minorEastAsia"/>
                <w:b w:val="0"/>
                <w:bCs w:val="0"/>
                <w:color w:val="auto"/>
                <w:sz w:val="24"/>
                <w:lang w:val="en-US" w:eastAsia="zh-CN"/>
              </w:rPr>
            </w:pPr>
            <w:r>
              <w:rPr>
                <w:bCs/>
                <w:color w:val="auto"/>
                <w:sz w:val="24"/>
              </w:rPr>
              <w:t>松潘地层属昆仑秦岭地层区，以岷江断裂，虎牙断裂和雪山断裂为界，以北、以东为西秦岭地层分区摩天岭小区；以南以西为马尔康地层分区金川小区。两小区地层在岩性、层序、沉积古地理等方面有较大的差异，地质略图见图</w:t>
            </w:r>
            <w:r>
              <w:rPr>
                <w:rFonts w:hint="eastAsia"/>
                <w:bCs/>
                <w:color w:val="auto"/>
                <w:sz w:val="24"/>
                <w:lang w:val="en-US" w:eastAsia="zh-CN"/>
              </w:rPr>
              <w:t>2-4。</w:t>
            </w:r>
          </w:p>
          <w:p>
            <w:pPr>
              <w:spacing w:line="360" w:lineRule="auto"/>
              <w:jc w:val="center"/>
              <w:rPr>
                <w:color w:val="auto"/>
              </w:rPr>
            </w:pPr>
            <w:r>
              <w:rPr>
                <w:color w:val="auto"/>
              </w:rPr>
              <w:drawing>
                <wp:inline distT="0" distB="0" distL="114300" distR="114300">
                  <wp:extent cx="5010150" cy="3419475"/>
                  <wp:effectExtent l="0" t="0" r="0" b="9525"/>
                  <wp:docPr id="2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
                          <pic:cNvPicPr>
                            <a:picLocks noChangeAspect="1"/>
                          </pic:cNvPicPr>
                        </pic:nvPicPr>
                        <pic:blipFill>
                          <a:blip r:embed="rId77"/>
                          <a:srcRect l="22989" t="9547" r="45525" b="40269"/>
                          <a:stretch>
                            <a:fillRect/>
                          </a:stretch>
                        </pic:blipFill>
                        <pic:spPr>
                          <a:xfrm>
                            <a:off x="0" y="0"/>
                            <a:ext cx="5010150" cy="3419475"/>
                          </a:xfrm>
                          <a:prstGeom prst="rect">
                            <a:avLst/>
                          </a:prstGeom>
                          <a:noFill/>
                          <a:ln>
                            <a:noFill/>
                          </a:ln>
                        </pic:spPr>
                      </pic:pic>
                    </a:graphicData>
                  </a:graphic>
                </wp:inline>
              </w:drawing>
            </w:r>
          </w:p>
          <w:p>
            <w:pPr>
              <w:spacing w:line="360" w:lineRule="auto"/>
              <w:jc w:val="center"/>
              <w:rPr>
                <w:rFonts w:hint="default" w:eastAsiaTheme="minorEastAsia"/>
                <w:b/>
                <w:bCs/>
                <w:color w:val="auto"/>
                <w:lang w:val="en-US" w:eastAsia="zh-CN"/>
              </w:rPr>
            </w:pPr>
            <w:r>
              <w:rPr>
                <w:rFonts w:hint="eastAsia"/>
                <w:b/>
                <w:bCs/>
                <w:color w:val="auto"/>
                <w:lang w:eastAsia="zh-CN"/>
              </w:rPr>
              <w:t>图</w:t>
            </w:r>
            <w:r>
              <w:rPr>
                <w:rFonts w:hint="eastAsia"/>
                <w:b/>
                <w:bCs/>
                <w:color w:val="auto"/>
                <w:lang w:val="en-US" w:eastAsia="zh-CN"/>
              </w:rPr>
              <w:t>2-2 松潘县地质略图</w:t>
            </w:r>
          </w:p>
          <w:p>
            <w:pPr>
              <w:spacing w:line="360" w:lineRule="auto"/>
              <w:ind w:firstLine="480" w:firstLineChars="200"/>
              <w:rPr>
                <w:rFonts w:hint="eastAsia" w:ascii="宋体" w:hAnsi="宋体"/>
                <w:color w:val="auto"/>
                <w:sz w:val="24"/>
              </w:rPr>
            </w:pPr>
            <w:r>
              <w:rPr>
                <w:color w:val="auto"/>
                <w:sz w:val="24"/>
              </w:rPr>
              <w:t>通过实地调查，</w:t>
            </w:r>
            <w:r>
              <w:rPr>
                <w:rFonts w:hint="eastAsia" w:ascii="宋体" w:hAnsi="宋体"/>
                <w:color w:val="auto"/>
                <w:sz w:val="24"/>
              </w:rPr>
              <w:t>璜环沟沟域内出露地层主要有第四系(Q)松散堆积层和</w:t>
            </w:r>
            <w:r>
              <w:rPr>
                <w:color w:val="auto"/>
                <w:sz w:val="24"/>
              </w:rPr>
              <w:t>泥盆系危关群（D</w:t>
            </w:r>
            <w:r>
              <w:rPr>
                <w:color w:val="auto"/>
                <w:sz w:val="24"/>
                <w:vertAlign w:val="subscript"/>
              </w:rPr>
              <w:t>wg</w:t>
            </w:r>
            <w:r>
              <w:rPr>
                <w:color w:val="auto"/>
                <w:sz w:val="24"/>
              </w:rPr>
              <w:t>）</w:t>
            </w:r>
            <w:r>
              <w:rPr>
                <w:rFonts w:hint="eastAsia" w:ascii="宋体" w:hAnsi="宋体"/>
                <w:color w:val="auto"/>
                <w:sz w:val="24"/>
              </w:rPr>
              <w:t>，由老到新分述如下：</w:t>
            </w:r>
          </w:p>
          <w:p>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eastAsia="zh-CN"/>
              </w:rPr>
              <w:t>）</w:t>
            </w:r>
            <w:r>
              <w:rPr>
                <w:color w:val="auto"/>
                <w:sz w:val="24"/>
              </w:rPr>
              <w:t>泥盆系危关群（D</w:t>
            </w:r>
            <w:r>
              <w:rPr>
                <w:color w:val="auto"/>
                <w:sz w:val="24"/>
                <w:vertAlign w:val="subscript"/>
              </w:rPr>
              <w:t>wg</w:t>
            </w:r>
            <w:r>
              <w:rPr>
                <w:color w:val="auto"/>
                <w:sz w:val="24"/>
              </w:rPr>
              <w:t>）：主要出露于白羊乡白草河两侧的斜坡上，岩性主要为灰～黄灰色千枚岩、板岩夹灰岩等，中厚层状，产状70°</w:t>
            </w:r>
            <w:r>
              <w:rPr>
                <w:rFonts w:hint="eastAsia" w:ascii="宋体" w:hAnsi="宋体"/>
                <w:color w:val="auto"/>
                <w:sz w:val="24"/>
              </w:rPr>
              <w:t>～</w:t>
            </w:r>
            <w:r>
              <w:rPr>
                <w:color w:val="auto"/>
                <w:sz w:val="24"/>
              </w:rPr>
              <w:t>90°</w:t>
            </w:r>
            <w:r>
              <w:rPr>
                <w:rFonts w:hint="eastAsia" w:ascii="宋体" w:hAnsi="宋体" w:cs="宋体"/>
                <w:color w:val="auto"/>
                <w:sz w:val="24"/>
              </w:rPr>
              <w:t>∠</w:t>
            </w:r>
            <w:r>
              <w:rPr>
                <w:color w:val="auto"/>
                <w:sz w:val="24"/>
              </w:rPr>
              <w:t>40°</w:t>
            </w:r>
            <w:r>
              <w:rPr>
                <w:rFonts w:hint="eastAsia" w:ascii="宋体" w:hAnsi="宋体"/>
                <w:color w:val="auto"/>
                <w:sz w:val="24"/>
              </w:rPr>
              <w:t>～</w:t>
            </w:r>
            <w:r>
              <w:rPr>
                <w:color w:val="auto"/>
                <w:sz w:val="24"/>
              </w:rPr>
              <w:t>55°。</w:t>
            </w:r>
          </w:p>
          <w:p>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eastAsia="zh-CN"/>
              </w:rPr>
              <w:t>）</w:t>
            </w:r>
            <w:r>
              <w:rPr>
                <w:rFonts w:hint="eastAsia" w:ascii="宋体" w:hAnsi="宋体"/>
                <w:color w:val="auto"/>
                <w:sz w:val="24"/>
              </w:rPr>
              <w:t>第四系（Q）</w:t>
            </w:r>
          </w:p>
          <w:p>
            <w:pPr>
              <w:spacing w:line="360" w:lineRule="auto"/>
              <w:ind w:firstLine="480" w:firstLineChars="200"/>
              <w:rPr>
                <w:rFonts w:hint="eastAsia" w:ascii="宋体" w:hAnsi="宋体"/>
                <w:color w:val="auto"/>
                <w:sz w:val="24"/>
              </w:rPr>
            </w:pPr>
            <w:r>
              <w:rPr>
                <w:rFonts w:hint="eastAsia" w:ascii="宋体" w:hAnsi="宋体"/>
                <w:color w:val="auto"/>
                <w:sz w:val="24"/>
              </w:rPr>
              <w:t>（1）第四系残坡积碎块石土（Q</w:t>
            </w:r>
            <w:r>
              <w:rPr>
                <w:rFonts w:hint="eastAsia" w:ascii="宋体" w:hAnsi="宋体"/>
                <w:color w:val="auto"/>
                <w:sz w:val="24"/>
                <w:vertAlign w:val="subscript"/>
              </w:rPr>
              <w:t>4</w:t>
            </w:r>
            <w:r>
              <w:rPr>
                <w:rFonts w:hint="eastAsia" w:ascii="宋体" w:hAnsi="宋体"/>
                <w:color w:val="auto"/>
                <w:sz w:val="24"/>
                <w:vertAlign w:val="superscript"/>
              </w:rPr>
              <w:t>el+dl</w:t>
            </w:r>
            <w:r>
              <w:rPr>
                <w:rFonts w:hint="eastAsia" w:ascii="宋体" w:hAnsi="宋体"/>
                <w:color w:val="auto"/>
                <w:sz w:val="24"/>
              </w:rPr>
              <w:t>）:</w:t>
            </w:r>
            <w:r>
              <w:rPr>
                <w:rFonts w:hint="eastAsia"/>
                <w:color w:val="auto"/>
                <w:sz w:val="24"/>
              </w:rPr>
              <w:t xml:space="preserve"> 广泛分布于斜坡表面，</w:t>
            </w:r>
            <w:r>
              <w:rPr>
                <w:color w:val="auto"/>
                <w:sz w:val="24"/>
              </w:rPr>
              <w:t>其岩性主要为碎块石土，物质组成为灰～黄灰色千枚岩、板岩夹灰岩等，碎块石</w:t>
            </w:r>
            <w:r>
              <w:rPr>
                <w:rFonts w:hint="eastAsia" w:ascii="宋体" w:hAnsi="宋体"/>
                <w:color w:val="auto"/>
                <w:sz w:val="24"/>
              </w:rPr>
              <w:t>含量约60%，</w:t>
            </w:r>
            <w:r>
              <w:rPr>
                <w:color w:val="auto"/>
                <w:sz w:val="24"/>
              </w:rPr>
              <w:t>粒径一般为</w:t>
            </w:r>
            <w:r>
              <w:rPr>
                <w:rFonts w:hint="eastAsia"/>
                <w:color w:val="auto"/>
                <w:sz w:val="24"/>
              </w:rPr>
              <w:t>0.05</w:t>
            </w:r>
            <w:r>
              <w:rPr>
                <w:color w:val="auto"/>
                <w:sz w:val="24"/>
              </w:rPr>
              <w:t>～</w:t>
            </w:r>
            <w:r>
              <w:rPr>
                <w:rFonts w:hint="eastAsia"/>
                <w:color w:val="auto"/>
                <w:sz w:val="24"/>
              </w:rPr>
              <w:t>0.5</w:t>
            </w:r>
            <w:r>
              <w:rPr>
                <w:color w:val="auto"/>
                <w:sz w:val="24"/>
              </w:rPr>
              <w:t>m，次棱角状，分选性差。</w:t>
            </w:r>
          </w:p>
          <w:p>
            <w:pPr>
              <w:spacing w:line="360" w:lineRule="auto"/>
              <w:ind w:firstLine="480" w:firstLineChars="200"/>
              <w:rPr>
                <w:rFonts w:hint="eastAsia" w:ascii="宋体" w:hAnsi="宋体"/>
                <w:color w:val="auto"/>
                <w:sz w:val="24"/>
              </w:rPr>
            </w:pPr>
            <w:r>
              <w:rPr>
                <w:rFonts w:hint="eastAsia" w:ascii="宋体" w:hAnsi="宋体"/>
                <w:color w:val="auto"/>
                <w:sz w:val="24"/>
              </w:rPr>
              <w:t>（2）第四系泥石流堆积碎块石土（Q</w:t>
            </w:r>
            <w:r>
              <w:rPr>
                <w:rFonts w:hint="eastAsia" w:ascii="宋体" w:hAnsi="宋体"/>
                <w:color w:val="auto"/>
                <w:sz w:val="24"/>
                <w:vertAlign w:val="subscript"/>
              </w:rPr>
              <w:t>4</w:t>
            </w:r>
            <w:r>
              <w:rPr>
                <w:rFonts w:hint="eastAsia" w:ascii="宋体" w:hAnsi="宋体"/>
                <w:color w:val="auto"/>
                <w:sz w:val="24"/>
                <w:vertAlign w:val="superscript"/>
              </w:rPr>
              <w:t>sef</w:t>
            </w:r>
            <w:r>
              <w:rPr>
                <w:rFonts w:hint="eastAsia" w:ascii="宋体" w:hAnsi="宋体"/>
                <w:color w:val="auto"/>
                <w:sz w:val="24"/>
              </w:rPr>
              <w:t>）：主要分布在璜环沟下游沟道内，为前期泥石流淤积所成，物质组成以</w:t>
            </w:r>
            <w:r>
              <w:rPr>
                <w:color w:val="auto"/>
                <w:sz w:val="24"/>
              </w:rPr>
              <w:t>灰～黄灰色千枚岩、板岩夹灰岩</w:t>
            </w:r>
            <w:r>
              <w:rPr>
                <w:rFonts w:hint="eastAsia" w:ascii="宋体" w:hAnsi="宋体"/>
                <w:color w:val="auto"/>
                <w:sz w:val="24"/>
              </w:rPr>
              <w:t>为主，含量55%，粒径0.02～0.4m，偶夹大漂石，块径可达0.5～1.5m，充填砾砂、粗砂和粉质粘土等物质。</w:t>
            </w:r>
          </w:p>
          <w:p>
            <w:pPr>
              <w:spacing w:line="360" w:lineRule="auto"/>
              <w:ind w:firstLine="480" w:firstLineChars="200"/>
              <w:rPr>
                <w:color w:val="auto"/>
                <w:sz w:val="24"/>
              </w:rPr>
            </w:pPr>
            <w:r>
              <w:rPr>
                <w:rFonts w:hint="eastAsia" w:ascii="宋体" w:hAnsi="宋体"/>
                <w:color w:val="auto"/>
                <w:sz w:val="24"/>
              </w:rPr>
              <w:t>（3）第四系滑坡堆积碎块石土（Q</w:t>
            </w:r>
            <w:r>
              <w:rPr>
                <w:rFonts w:hint="eastAsia" w:ascii="宋体" w:hAnsi="宋体"/>
                <w:color w:val="auto"/>
                <w:sz w:val="24"/>
                <w:vertAlign w:val="subscript"/>
              </w:rPr>
              <w:t>4</w:t>
            </w:r>
            <w:r>
              <w:rPr>
                <w:rFonts w:hint="eastAsia" w:ascii="宋体" w:hAnsi="宋体"/>
                <w:color w:val="auto"/>
                <w:sz w:val="24"/>
                <w:vertAlign w:val="superscript"/>
              </w:rPr>
              <w:t>del</w:t>
            </w:r>
            <w:r>
              <w:rPr>
                <w:rFonts w:hint="eastAsia" w:ascii="宋体" w:hAnsi="宋体"/>
                <w:color w:val="auto"/>
                <w:sz w:val="24"/>
              </w:rPr>
              <w:t>）：主要分布在璜环沟上游沟道两侧，物质组成以</w:t>
            </w:r>
            <w:r>
              <w:rPr>
                <w:color w:val="auto"/>
                <w:sz w:val="24"/>
              </w:rPr>
              <w:t>灰～黄灰色千枚岩、板岩夹灰岩</w:t>
            </w:r>
            <w:r>
              <w:rPr>
                <w:rFonts w:hint="eastAsia" w:ascii="宋体" w:hAnsi="宋体"/>
                <w:color w:val="auto"/>
                <w:sz w:val="24"/>
              </w:rPr>
              <w:t>为主，含量60%，粒径0.05～0.5m，厚1-3m。</w:t>
            </w:r>
          </w:p>
          <w:p>
            <w:pPr>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3、地质构造与地震</w:t>
            </w:r>
          </w:p>
          <w:p>
            <w:pPr>
              <w:spacing w:line="360" w:lineRule="auto"/>
              <w:ind w:firstLine="480" w:firstLineChars="200"/>
              <w:rPr>
                <w:rFonts w:hint="eastAsia"/>
                <w:b w:val="0"/>
                <w:bCs w:val="0"/>
                <w:color w:val="auto"/>
                <w:sz w:val="24"/>
                <w:lang w:val="en-US" w:eastAsia="zh-CN"/>
              </w:rPr>
            </w:pPr>
            <w:r>
              <w:rPr>
                <w:rFonts w:hint="eastAsia"/>
                <w:b w:val="0"/>
                <w:bCs w:val="0"/>
                <w:color w:val="auto"/>
                <w:sz w:val="24"/>
                <w:lang w:val="en-US" w:eastAsia="zh-CN"/>
              </w:rPr>
              <w:t>1）地质构造</w:t>
            </w:r>
          </w:p>
          <w:p>
            <w:pPr>
              <w:spacing w:line="360" w:lineRule="auto"/>
              <w:ind w:firstLine="480" w:firstLineChars="200"/>
              <w:rPr>
                <w:rFonts w:hint="eastAsia"/>
                <w:color w:val="auto"/>
                <w:sz w:val="24"/>
              </w:rPr>
            </w:pPr>
            <w:r>
              <w:rPr>
                <w:rFonts w:hint="eastAsia"/>
                <w:color w:val="auto"/>
                <w:sz w:val="24"/>
              </w:rPr>
              <w:t>松潘县域内地质构造发育，主要表现为褶皱及断裂。主要褶皱构造有雪宝顶倒转背斜、黄龙复背斜、磨子坪倒转复向斜、花海子复背斜、香腊台复背斜等褶皱。主要断裂有虎牙大断层、岷江断裂、雪山断裂、红星崖断裂、小河断裂、四沟断裂、垮石崖～香腊台断裂、牟泥沟～热摩柯断裂。其中虎牙大断层、岷江断裂是二条活动性断裂，新构造运动活动强烈，地震频繁，而诱发地质灾害。褶皱、断裂发育区，岩体节理、裂隙等结构面发育，部分岩体呈碎裂或镶嵌碎裂结构，使地形切割大的地区，滑坡、崩塌较发育，第四系松散堆积成因多样，河谷及斜坡分布较多，易形成不稳定斜坡。</w:t>
            </w:r>
          </w:p>
          <w:p>
            <w:pPr>
              <w:spacing w:line="360" w:lineRule="auto"/>
              <w:ind w:firstLine="480" w:firstLineChars="200"/>
              <w:rPr>
                <w:rFonts w:hint="eastAsia" w:ascii="宋体" w:hAnsi="宋体"/>
                <w:color w:val="auto"/>
                <w:sz w:val="24"/>
              </w:rPr>
            </w:pPr>
            <w:r>
              <w:rPr>
                <w:rFonts w:hint="eastAsia"/>
                <w:color w:val="auto"/>
                <w:sz w:val="24"/>
              </w:rPr>
              <w:t>据最新研究成果（黄润秋等，2001），工作区所属的地质构造格架为“川西北三角形断块”，属青藏地块北部可可西里—巴颜喀拉构造带东部在印支期地槽褶皱带基础上发展起来的断块构造。该断块在青藏地块岩石圈物质向东侧挤出作用的驱动下，沿其北部及南东部边界断裂向东强力推移，由此而控制着边界断裂的剪切滑移动力学性质和断块内部地壳应力—形变特征。</w:t>
            </w:r>
          </w:p>
          <w:p>
            <w:pPr>
              <w:spacing w:line="360" w:lineRule="auto"/>
              <w:ind w:firstLine="480" w:firstLineChars="200"/>
              <w:rPr>
                <w:rFonts w:hint="eastAsia" w:hAnsi="宋体"/>
                <w:color w:val="auto"/>
                <w:sz w:val="24"/>
              </w:rPr>
            </w:pPr>
            <w:r>
              <w:rPr>
                <w:rFonts w:hAnsi="宋体"/>
                <w:color w:val="auto"/>
                <w:sz w:val="24"/>
              </w:rPr>
              <w:t>调查区属摩天岭</w:t>
            </w:r>
            <w:r>
              <w:rPr>
                <w:rFonts w:hint="eastAsia" w:hAnsi="宋体"/>
                <w:color w:val="auto"/>
                <w:sz w:val="24"/>
              </w:rPr>
              <w:t>东西向</w:t>
            </w:r>
            <w:r>
              <w:rPr>
                <w:rFonts w:hAnsi="宋体"/>
                <w:color w:val="auto"/>
                <w:sz w:val="24"/>
              </w:rPr>
              <w:t>构造带，主要有一系列紧密残状褶皱和高角度的逆断层构成。</w:t>
            </w:r>
            <w:r>
              <w:rPr>
                <w:color w:val="auto"/>
                <w:sz w:val="24"/>
              </w:rPr>
              <w:t>NNW向断裂沿</w:t>
            </w:r>
            <w:r>
              <w:rPr>
                <w:rFonts w:hint="eastAsia" w:hAnsi="宋体"/>
                <w:color w:val="auto"/>
                <w:sz w:val="24"/>
              </w:rPr>
              <w:t>从灾害点西侧通过。</w:t>
            </w:r>
          </w:p>
          <w:p>
            <w:pPr>
              <w:spacing w:line="360" w:lineRule="auto"/>
              <w:ind w:firstLine="480" w:firstLineChars="200"/>
              <w:rPr>
                <w:rFonts w:hint="eastAsia" w:hAnsi="宋体"/>
                <w:color w:val="auto"/>
                <w:sz w:val="24"/>
              </w:rPr>
            </w:pPr>
          </w:p>
          <w:p>
            <w:pPr>
              <w:spacing w:line="360" w:lineRule="auto"/>
              <w:ind w:firstLine="480" w:firstLineChars="200"/>
              <w:rPr>
                <w:rFonts w:hint="eastAsia" w:hAnsi="宋体"/>
                <w:color w:val="auto"/>
                <w:sz w:val="24"/>
              </w:rPr>
            </w:pPr>
          </w:p>
          <w:p>
            <w:pPr>
              <w:spacing w:line="360" w:lineRule="auto"/>
              <w:ind w:firstLine="480" w:firstLineChars="200"/>
              <w:rPr>
                <w:rFonts w:hint="eastAsia" w:hAnsi="宋体"/>
                <w:color w:val="auto"/>
                <w:sz w:val="24"/>
              </w:rPr>
            </w:pPr>
          </w:p>
          <w:p>
            <w:pPr>
              <w:spacing w:line="360" w:lineRule="auto"/>
              <w:ind w:firstLine="480" w:firstLineChars="200"/>
              <w:rPr>
                <w:rFonts w:hint="eastAsia" w:hAnsi="宋体"/>
                <w:color w:val="auto"/>
                <w:sz w:val="24"/>
              </w:rPr>
            </w:pPr>
          </w:p>
          <w:p>
            <w:pPr>
              <w:spacing w:line="360" w:lineRule="auto"/>
              <w:ind w:firstLine="480" w:firstLineChars="200"/>
              <w:rPr>
                <w:rFonts w:hint="eastAsia" w:hAnsi="宋体"/>
                <w:color w:val="auto"/>
                <w:sz w:val="24"/>
              </w:rPr>
            </w:pPr>
          </w:p>
          <w:p>
            <w:pPr>
              <w:spacing w:line="360" w:lineRule="auto"/>
              <w:ind w:firstLine="480" w:firstLineChars="200"/>
              <w:rPr>
                <w:rFonts w:hint="eastAsia" w:hAnsi="宋体"/>
                <w:color w:val="auto"/>
                <w:sz w:val="24"/>
              </w:rPr>
            </w:pPr>
          </w:p>
          <w:p>
            <w:pPr>
              <w:spacing w:line="360" w:lineRule="auto"/>
              <w:ind w:firstLine="480" w:firstLineChars="200"/>
              <w:rPr>
                <w:rFonts w:hint="eastAsia" w:hAnsi="宋体"/>
                <w:color w:val="auto"/>
                <w:sz w:val="24"/>
              </w:rPr>
            </w:pPr>
          </w:p>
          <w:p>
            <w:pPr>
              <w:spacing w:line="360" w:lineRule="auto"/>
              <w:rPr>
                <w:rFonts w:hint="eastAsia" w:ascii="宋体" w:hAnsi="宋体" w:eastAsiaTheme="minorEastAsia"/>
                <w:color w:val="auto"/>
                <w:sz w:val="24"/>
                <w:lang w:eastAsia="zh-CN"/>
              </w:rPr>
            </w:pPr>
          </w:p>
          <w:p>
            <w:pPr>
              <w:spacing w:line="360" w:lineRule="auto"/>
              <w:jc w:val="center"/>
              <w:rPr>
                <w:rFonts w:hint="eastAsia"/>
                <w:b w:val="0"/>
                <w:bCs w:val="0"/>
                <w:color w:val="auto"/>
                <w:sz w:val="24"/>
                <w:lang w:val="en-US" w:eastAsia="zh-CN"/>
              </w:rPr>
            </w:pPr>
            <w:r>
              <w:rPr>
                <w:rFonts w:hint="eastAsia"/>
                <w:b w:val="0"/>
                <w:bCs w:val="0"/>
                <w:color w:val="auto"/>
                <w:sz w:val="24"/>
                <w:lang w:val="en-US" w:eastAsia="zh-CN"/>
              </w:rPr>
              <w:drawing>
                <wp:inline distT="0" distB="0" distL="114300" distR="114300">
                  <wp:extent cx="4842510" cy="4048125"/>
                  <wp:effectExtent l="0" t="0" r="15240" b="9525"/>
                  <wp:docPr id="15" name="图片 15" descr="1587096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7096218(1)"/>
                          <pic:cNvPicPr>
                            <a:picLocks noChangeAspect="1"/>
                          </pic:cNvPicPr>
                        </pic:nvPicPr>
                        <pic:blipFill>
                          <a:blip r:embed="rId78"/>
                          <a:stretch>
                            <a:fillRect/>
                          </a:stretch>
                        </pic:blipFill>
                        <pic:spPr>
                          <a:xfrm>
                            <a:off x="0" y="0"/>
                            <a:ext cx="4842510" cy="4048125"/>
                          </a:xfrm>
                          <a:prstGeom prst="rect">
                            <a:avLst/>
                          </a:prstGeom>
                        </pic:spPr>
                      </pic:pic>
                    </a:graphicData>
                  </a:graphic>
                </wp:inline>
              </w:drawing>
            </w:r>
          </w:p>
          <w:p>
            <w:pPr>
              <w:jc w:val="center"/>
              <w:rPr>
                <w:rFonts w:hint="default"/>
                <w:b/>
                <w:bCs/>
                <w:color w:val="auto"/>
                <w:szCs w:val="21"/>
                <w:lang w:val="en-US" w:eastAsia="zh-CN"/>
              </w:rPr>
            </w:pPr>
            <w:r>
              <w:rPr>
                <w:rFonts w:hint="eastAsia"/>
                <w:b/>
                <w:bCs/>
                <w:color w:val="auto"/>
                <w:szCs w:val="21"/>
                <w:lang w:val="en-US" w:eastAsia="zh-CN"/>
              </w:rPr>
              <w:t>图2-3 松潘县地质略图</w:t>
            </w:r>
          </w:p>
          <w:p>
            <w:pPr>
              <w:spacing w:line="360" w:lineRule="auto"/>
              <w:ind w:firstLine="480" w:firstLineChars="200"/>
              <w:rPr>
                <w:rFonts w:hint="eastAsia" w:ascii="宋体" w:hAnsi="宋体"/>
                <w:color w:val="auto"/>
                <w:sz w:val="24"/>
              </w:rPr>
            </w:pPr>
            <w:r>
              <w:rPr>
                <w:rFonts w:hint="eastAsia" w:ascii="宋体" w:hAnsi="宋体"/>
                <w:color w:val="auto"/>
                <w:sz w:val="24"/>
              </w:rPr>
              <w:t>2）新构造运动</w:t>
            </w:r>
          </w:p>
          <w:p>
            <w:pPr>
              <w:spacing w:line="360" w:lineRule="auto"/>
              <w:ind w:firstLine="480" w:firstLineChars="200"/>
              <w:rPr>
                <w:rFonts w:hint="eastAsia" w:ascii="宋体" w:hAnsi="宋体"/>
                <w:color w:val="auto"/>
                <w:sz w:val="24"/>
              </w:rPr>
            </w:pPr>
            <w:r>
              <w:rPr>
                <w:rFonts w:hint="eastAsia" w:ascii="宋体" w:hAnsi="宋体"/>
                <w:color w:val="auto"/>
                <w:sz w:val="24"/>
              </w:rPr>
              <w:t>由于新构造运动剧烈，区内地貌有如下特点：</w:t>
            </w:r>
          </w:p>
          <w:p>
            <w:pPr>
              <w:spacing w:line="360" w:lineRule="auto"/>
              <w:ind w:firstLine="480" w:firstLineChars="200"/>
              <w:rPr>
                <w:rFonts w:hint="eastAsia" w:ascii="宋体" w:hAnsi="宋体"/>
                <w:color w:val="auto"/>
                <w:sz w:val="24"/>
              </w:rPr>
            </w:pPr>
            <w:r>
              <w:rPr>
                <w:rFonts w:hint="eastAsia" w:ascii="宋体" w:hAnsi="宋体"/>
                <w:color w:val="auto"/>
                <w:sz w:val="24"/>
              </w:rPr>
              <w:t>（1）阶地发育，河床横剖面多呈“V”字形，少数河段河床呈“U”字形，且阶地级数多，可见工作区在隆升中存在多阶段隆升的特点。相对高度由老到新依次递减，从上游往下游，同级阶地相对高度依次减低，除一级阶地部分为堆积阶地外，其余皆属基座阶地。</w:t>
            </w:r>
          </w:p>
          <w:p>
            <w:pPr>
              <w:spacing w:line="360" w:lineRule="auto"/>
              <w:ind w:firstLine="480" w:firstLineChars="200"/>
              <w:rPr>
                <w:rFonts w:hint="eastAsia" w:ascii="宋体" w:hAnsi="宋体"/>
                <w:color w:val="auto"/>
                <w:sz w:val="24"/>
              </w:rPr>
            </w:pPr>
            <w:r>
              <w:rPr>
                <w:rFonts w:hint="eastAsia" w:ascii="宋体" w:hAnsi="宋体"/>
                <w:color w:val="auto"/>
                <w:sz w:val="24"/>
              </w:rPr>
              <w:t>（2）区内河流支流众多，在流水切割下，区内多为山地，沟、坡、梁随处可见，河流下切和溯源侵蚀强烈，分水岭单薄，河谷深切。</w:t>
            </w:r>
          </w:p>
          <w:p>
            <w:pPr>
              <w:spacing w:line="360" w:lineRule="auto"/>
              <w:ind w:firstLine="480" w:firstLineChars="200"/>
              <w:rPr>
                <w:rFonts w:hint="eastAsia" w:ascii="宋体" w:hAnsi="宋体"/>
                <w:color w:val="auto"/>
                <w:sz w:val="24"/>
              </w:rPr>
            </w:pPr>
            <w:r>
              <w:rPr>
                <w:rFonts w:hint="eastAsia" w:ascii="宋体" w:hAnsi="宋体"/>
                <w:color w:val="auto"/>
                <w:sz w:val="24"/>
              </w:rPr>
              <w:t>3）地震及地震效应</w:t>
            </w:r>
          </w:p>
          <w:p>
            <w:pPr>
              <w:spacing w:line="360" w:lineRule="auto"/>
              <w:ind w:firstLine="480" w:firstLineChars="200"/>
              <w:rPr>
                <w:rFonts w:hint="eastAsia"/>
                <w:b w:val="0"/>
                <w:bCs w:val="0"/>
                <w:color w:val="auto"/>
                <w:sz w:val="24"/>
                <w:lang w:val="en-US" w:eastAsia="zh-CN"/>
              </w:rPr>
            </w:pPr>
            <w:r>
              <w:rPr>
                <w:rFonts w:ascii="宋体" w:hAnsi="宋体"/>
                <w:color w:val="auto"/>
                <w:sz w:val="24"/>
              </w:rPr>
              <w:t>区域构造处于扬子准地台龙门山褶皱带与松潘甘孜印支褶皱带的过渡地带，据中国地震局（GB18306-2001）《中国地震动参数区划图》国家标准第1号修改本，</w:t>
            </w:r>
            <w:r>
              <w:rPr>
                <w:rFonts w:hint="eastAsia" w:ascii="宋体" w:hAnsi="宋体"/>
                <w:color w:val="auto"/>
                <w:sz w:val="24"/>
              </w:rPr>
              <w:t>调查</w:t>
            </w:r>
            <w:r>
              <w:rPr>
                <w:rFonts w:ascii="宋体" w:hAnsi="宋体"/>
                <w:color w:val="auto"/>
                <w:sz w:val="24"/>
              </w:rPr>
              <w:t>区内地震动峰值加速度为0.</w:t>
            </w:r>
            <w:r>
              <w:rPr>
                <w:rFonts w:hint="eastAsia" w:ascii="宋体" w:hAnsi="宋体"/>
                <w:color w:val="auto"/>
                <w:sz w:val="24"/>
              </w:rPr>
              <w:t>20g</w:t>
            </w:r>
            <w:r>
              <w:rPr>
                <w:rFonts w:ascii="宋体" w:hAnsi="宋体"/>
                <w:color w:val="auto"/>
                <w:sz w:val="24"/>
              </w:rPr>
              <w:t>，地震基本烈度为Ⅷ度，地震</w:t>
            </w:r>
            <w:r>
              <w:rPr>
                <w:rFonts w:hint="eastAsia" w:ascii="宋体" w:hAnsi="宋体"/>
                <w:color w:val="auto"/>
                <w:sz w:val="24"/>
              </w:rPr>
              <w:t>加速度反应谱特征周期</w:t>
            </w:r>
            <w:r>
              <w:rPr>
                <w:rFonts w:ascii="宋体" w:hAnsi="宋体"/>
                <w:color w:val="auto"/>
                <w:sz w:val="24"/>
              </w:rPr>
              <w:t>为0.40</w:t>
            </w:r>
            <w:r>
              <w:rPr>
                <w:rFonts w:hint="eastAsia" w:ascii="宋体" w:hAnsi="宋体"/>
                <w:color w:val="auto"/>
                <w:sz w:val="24"/>
              </w:rPr>
              <w:t>s</w:t>
            </w:r>
            <w:r>
              <w:rPr>
                <w:rFonts w:ascii="宋体" w:hAnsi="宋体"/>
                <w:color w:val="auto"/>
                <w:sz w:val="24"/>
              </w:rPr>
              <w:t>，地壳稳定性较差。</w:t>
            </w:r>
          </w:p>
          <w:p>
            <w:pPr>
              <w:spacing w:line="360" w:lineRule="auto"/>
              <w:rPr>
                <w:rFonts w:ascii="Times New Roman" w:hAnsi="Times New Roman" w:cs="Times New Roman"/>
                <w:b/>
                <w:bCs/>
                <w:color w:val="auto"/>
                <w:kern w:val="0"/>
                <w:sz w:val="24"/>
              </w:rPr>
            </w:pPr>
            <w:r>
              <w:rPr>
                <w:rFonts w:hint="eastAsia" w:ascii="Times New Roman" w:cs="Times New Roman"/>
                <w:b/>
                <w:bCs/>
                <w:color w:val="auto"/>
                <w:kern w:val="0"/>
                <w:sz w:val="24"/>
              </w:rPr>
              <w:t>三、气候、气象</w:t>
            </w:r>
          </w:p>
          <w:p>
            <w:pPr>
              <w:spacing w:line="360" w:lineRule="auto"/>
              <w:ind w:firstLine="480" w:firstLineChars="200"/>
              <w:rPr>
                <w:rFonts w:hint="eastAsia" w:ascii="宋体" w:hAnsi="宋体"/>
                <w:bCs/>
                <w:color w:val="auto"/>
                <w:sz w:val="24"/>
              </w:rPr>
            </w:pPr>
            <w:r>
              <w:rPr>
                <w:rFonts w:hint="eastAsia" w:ascii="宋体" w:hAnsi="宋体"/>
                <w:bCs/>
                <w:color w:val="auto"/>
                <w:sz w:val="24"/>
              </w:rPr>
              <w:t>松潘县主要受高空西风气流和印度洋西南季风影响，明显具有青藏高原季风气候特征。旱季（11月～次年3月）降水稀少，天气晴朗，日照强烈，空气寒冷干燥、多大风。雨季（4月～10月）西南季风加强，水蒸气增大，降水明显增多。在7、8月往往出现连晴高湿天气（伏旱），且易出现暴雨，9、10月出现秋绵雨天气。降水分布不均、干雨季分明，地域差异性大，灾害性气候活动频繁，季节不明显的特点。</w:t>
            </w:r>
          </w:p>
          <w:p>
            <w:pPr>
              <w:spacing w:line="360" w:lineRule="auto"/>
              <w:ind w:firstLine="480" w:firstLineChars="200"/>
              <w:rPr>
                <w:rFonts w:hint="eastAsia" w:ascii="宋体" w:hAnsi="宋体"/>
                <w:bCs/>
                <w:color w:val="auto"/>
                <w:sz w:val="24"/>
              </w:rPr>
            </w:pPr>
            <w:r>
              <w:rPr>
                <w:rFonts w:hint="eastAsia" w:ascii="宋体" w:hAnsi="宋体"/>
                <w:bCs/>
                <w:color w:val="auto"/>
                <w:sz w:val="24"/>
              </w:rPr>
              <w:t>县境内很难找到降水与海拔高度的严格对应关系，受地形、植被等多种因素影响，降水的地域性特点十分明显。降水最多的施家堡比最少的解放村多出400mm以上。就各月份情况而言，各地之间这种差异也同样明显存在，冬天变化要相对稳定一些。</w:t>
            </w:r>
          </w:p>
          <w:p>
            <w:pPr>
              <w:spacing w:line="360" w:lineRule="auto"/>
              <w:ind w:firstLine="480" w:firstLineChars="200"/>
              <w:rPr>
                <w:rFonts w:hint="eastAsia" w:ascii="宋体" w:hAnsi="宋体"/>
                <w:bCs/>
                <w:color w:val="auto"/>
                <w:sz w:val="24"/>
              </w:rPr>
            </w:pPr>
            <w:r>
              <w:rPr>
                <w:rFonts w:hint="eastAsia" w:ascii="宋体" w:hAnsi="宋体"/>
                <w:bCs/>
                <w:color w:val="auto"/>
                <w:sz w:val="24"/>
              </w:rPr>
              <w:t>降水要素的年、月变化规律各地基本一致。在城关地区从1951年至1980年的30年中，降水最多的1954年，为975.4mm，最少的1959年，只有513.7mm，其变幅461.7mm，最多年份是最少年份的2倍。30年平均值为729.7mm，低于平均线和高于平均线的年份分别为14和16年，正负浮动比较均一，极端年份不多。1958年至1970年，正振幅都较小，这些年份的灾害频率较大。1974年至1984年，降水量变化一直比较平稳（年降水均在700mm正负5%的范围内），各种灾害发生相对平稳。</w:t>
            </w:r>
          </w:p>
          <w:p>
            <w:pPr>
              <w:spacing w:line="360" w:lineRule="auto"/>
              <w:ind w:firstLine="480" w:firstLineChars="200"/>
              <w:rPr>
                <w:rFonts w:hint="eastAsia" w:ascii="宋体" w:hAnsi="宋体"/>
                <w:color w:val="auto"/>
                <w:sz w:val="24"/>
              </w:rPr>
            </w:pPr>
            <w:r>
              <w:rPr>
                <w:rFonts w:hint="eastAsia" w:ascii="宋体" w:hAnsi="宋体"/>
                <w:bCs/>
                <w:color w:val="auto"/>
                <w:sz w:val="24"/>
              </w:rPr>
              <w:t>一年中降水量最多的是9月，最高达134.2mm以上，5—7月降水都维持在100mm，构成一个高峰区，8月份出现相对低点。全年降水集中在5—9月，占全年总降水量的72%，其余7个月降水量不足总量的30%，其中11、12月到次年的1、2月降水量仅占全年总量的4.7%。有时4个月降水总量不足1mm，出现严重冬干的月份。</w:t>
            </w:r>
          </w:p>
          <w:p>
            <w:pPr>
              <w:jc w:val="center"/>
              <w:rPr>
                <w:rFonts w:hint="eastAsia"/>
                <w:b/>
                <w:bCs/>
                <w:color w:val="auto"/>
                <w:szCs w:val="21"/>
                <w:lang w:val="en-US" w:eastAsia="zh-CN"/>
              </w:rPr>
            </w:pPr>
            <w:r>
              <w:rPr>
                <w:rFonts w:hint="eastAsia"/>
                <w:b/>
                <w:bCs/>
                <w:color w:val="auto"/>
                <w:szCs w:val="21"/>
                <w:lang w:val="en-US" w:eastAsia="zh-CN"/>
              </w:rPr>
              <w:t>表1-1   县内各地各月降水量表    单位：毫米</w:t>
            </w:r>
          </w:p>
          <w:tbl>
            <w:tblPr>
              <w:tblStyle w:val="5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588"/>
              <w:gridCol w:w="588"/>
              <w:gridCol w:w="589"/>
              <w:gridCol w:w="589"/>
              <w:gridCol w:w="680"/>
              <w:gridCol w:w="680"/>
              <w:gridCol w:w="680"/>
              <w:gridCol w:w="680"/>
              <w:gridCol w:w="680"/>
              <w:gridCol w:w="589"/>
              <w:gridCol w:w="589"/>
              <w:gridCol w:w="496"/>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54"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月份</w:t>
                  </w:r>
                </w:p>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地名</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毛儿盖</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26.8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56.7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106.5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124.0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119.5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96.9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134.2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74.8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4.4</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下八寨</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6.0</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27.1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56.7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104.2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121.8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120.0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96.9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133.1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75.5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4.7</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草  原</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6.1</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27.5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58.6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107.6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121.8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117.4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95.2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130.8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73.3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4.2</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小  河</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7.8</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20.7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42.4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177.7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177.7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142.7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98.1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65.1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11.3</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4.6</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施家堡</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12.5</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19.5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45.8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78.1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104.4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166.4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166.4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148.6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126.0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76.8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25.5</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7.4</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黄  龙</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1.5</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25.3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88.7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118.5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118.5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105.5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101.5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61.3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5.9</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黄龙前寺</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9.7</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27.1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57.3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116.9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116.9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88.2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101.5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61.3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12.4</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漳  腊</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9.9</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31.1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82.2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115.1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6.4</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川主寺</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9.7</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9.9</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31.1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98.7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96.9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96.9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83.0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115.1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65.8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13.0</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5.7</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693.2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山  巴</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10.7</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31.1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79.6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115.1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61.3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13.3</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6.6</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水  晶</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10.5</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31.1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63.5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94.3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93.4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93.4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80.4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115.1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60.6</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13.3</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6.6</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国营牧场</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9.5</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30.8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93.2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110.8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110.9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91.7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118.4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63.6</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5.5</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十  里</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7.4</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30.8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109.8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105.5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105.5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85.6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113.9</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71.7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13.0</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4.5</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大  寨</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7.8</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30.8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62.3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107.6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107.7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107.7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86.5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112.8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68.8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13.7</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4.9</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牟  尼</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6.5</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30.5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61.7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110.9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108.8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108.8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87.4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115.0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74.8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12.7</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4.1</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青  云</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6.9</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28.7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61.7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109.8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102.3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102.3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85.6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111.7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71.8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13.1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3.8</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安  宏</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6.2</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25.9</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60.4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107.6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98.7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96.9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77.9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107.2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70.3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12.2</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3.7</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镇江关</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1.8</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20.7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57.3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103.1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91.1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63.1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82.3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53.9</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2.1</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大  姓</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3.2</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6.6</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22.9</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57.9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100.9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94.8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77.9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101.5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59.8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10.4</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2.9</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岷  江</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2.2</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21.4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58.6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94.3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94.8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72.7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101.5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62.1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10.8</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2.9</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镇  坪</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1.5</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20.4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43.6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87.6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94.3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58.8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77.8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55.4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8.6</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2.9</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白  羊</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8.1</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35.1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71.6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86.1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126.1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123.8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99.5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129.7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86.0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15.0</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4.7</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热务沟</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4.6</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28.1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57.3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102.0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97.6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98.5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77.0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110.5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73.3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12.7</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2.7</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燕  云</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6.4</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27.8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61.1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110.9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114.1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110.9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90.0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121.8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80.8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13.1</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4.1</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红  扎</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5.0</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8.9</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28.5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58.6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105.4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99.8</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100.2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81.3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111.7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74.1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12.9</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3.1</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红  土</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5.0</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8.7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28.7</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57.9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106.5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100.9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102.3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82.2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112.8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74.8</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12.7</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3.2</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小  姓</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3.2</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27.5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57.3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102.0</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92.1</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93.7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60.6</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92.5</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61.3</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9.9</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2.3</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解  放</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1.5</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4.6</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20.4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35.5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86.5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96.5</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74.3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56.2</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75.6</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50.1</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8.6</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3.0</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54" w:type="dxa"/>
                  <w:noWrap w:val="0"/>
                  <w:vAlign w:val="top"/>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川  盘</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11.6</w:t>
                  </w:r>
                </w:p>
              </w:tc>
              <w:tc>
                <w:tcPr>
                  <w:tcW w:w="58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9.0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textAlignment w:val="auto"/>
                    <w:rPr>
                      <w:rFonts w:hint="eastAsia" w:ascii="宋体" w:hAnsi="宋体"/>
                      <w:color w:val="auto"/>
                      <w:sz w:val="18"/>
                      <w:szCs w:val="18"/>
                    </w:rPr>
                  </w:pPr>
                  <w:r>
                    <w:rPr>
                      <w:rFonts w:hint="eastAsia" w:ascii="宋体" w:hAnsi="宋体"/>
                      <w:color w:val="auto"/>
                      <w:sz w:val="18"/>
                      <w:szCs w:val="18"/>
                    </w:rPr>
                    <w:t>31.4</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52.9</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94.3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105.3</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93.7</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80.4</w:t>
                  </w:r>
                </w:p>
              </w:tc>
              <w:tc>
                <w:tcPr>
                  <w:tcW w:w="680"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116.2</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77.0</w:t>
                  </w:r>
                </w:p>
              </w:tc>
              <w:tc>
                <w:tcPr>
                  <w:tcW w:w="589"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13.3</w:t>
                  </w:r>
                </w:p>
              </w:tc>
              <w:tc>
                <w:tcPr>
                  <w:tcW w:w="496"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6.7</w:t>
                  </w:r>
                </w:p>
              </w:tc>
              <w:tc>
                <w:tcPr>
                  <w:tcW w:w="678" w:type="dxa"/>
                  <w:noWrap w:val="0"/>
                  <w:vAlign w:val="center"/>
                </w:tcPr>
                <w:p>
                  <w:pPr>
                    <w:keepNext w:val="0"/>
                    <w:keepLines w:val="0"/>
                    <w:pageBreakBefore w:val="0"/>
                    <w:widowControl w:val="0"/>
                    <w:kinsoku/>
                    <w:wordWrap/>
                    <w:overflowPunct/>
                    <w:topLinePunct w:val="0"/>
                    <w:autoSpaceDE/>
                    <w:autoSpaceDN/>
                    <w:bidi w:val="0"/>
                    <w:adjustRightInd w:val="0"/>
                    <w:snapToGrid w:val="0"/>
                    <w:ind w:right="0" w:rightChars="0" w:firstLine="0" w:firstLineChars="0"/>
                    <w:jc w:val="center"/>
                    <w:textAlignment w:val="auto"/>
                    <w:rPr>
                      <w:rFonts w:hint="eastAsia" w:ascii="宋体" w:hAnsi="宋体"/>
                      <w:color w:val="auto"/>
                      <w:sz w:val="18"/>
                      <w:szCs w:val="18"/>
                    </w:rPr>
                  </w:pPr>
                  <w:r>
                    <w:rPr>
                      <w:rFonts w:hint="eastAsia" w:ascii="宋体" w:hAnsi="宋体"/>
                      <w:color w:val="auto"/>
                      <w:sz w:val="18"/>
                      <w:szCs w:val="18"/>
                    </w:rPr>
                    <w:t>701.8</w:t>
                  </w:r>
                </w:p>
              </w:tc>
            </w:tr>
          </w:tbl>
          <w:p>
            <w:pPr>
              <w:spacing w:line="360" w:lineRule="auto"/>
              <w:ind w:firstLine="480" w:firstLineChars="200"/>
              <w:rPr>
                <w:rFonts w:ascii="宋体" w:hAnsi="宋体" w:cs="宋体"/>
                <w:color w:val="auto"/>
                <w:kern w:val="0"/>
                <w:sz w:val="24"/>
              </w:rPr>
            </w:pPr>
            <w:r>
              <w:rPr>
                <w:rFonts w:hint="eastAsia" w:ascii="宋体" w:hAnsi="宋体" w:cs="宋体"/>
                <w:color w:val="auto"/>
                <w:kern w:val="0"/>
                <w:sz w:val="24"/>
              </w:rPr>
              <w:t>璜环沟泥石流的水源主要来源于大气降水。沟域内地表水不丰富，不构成引发泥石流的主要水源，因此暴雨形成的地表径流是引发泥石流的主要水源，暴雨是泥石流的主要激发因素。</w:t>
            </w:r>
          </w:p>
          <w:p>
            <w:pPr>
              <w:spacing w:line="360" w:lineRule="auto"/>
              <w:ind w:firstLine="480" w:firstLineChars="200"/>
              <w:rPr>
                <w:rFonts w:hint="default" w:ascii="Times New Roman" w:cs="Times New Roman" w:eastAsiaTheme="minorEastAsia"/>
                <w:b/>
                <w:bCs/>
                <w:color w:val="auto"/>
                <w:sz w:val="24"/>
                <w:lang w:val="en-US" w:eastAsia="zh-CN"/>
              </w:rPr>
            </w:pPr>
            <w:r>
              <w:rPr>
                <w:rFonts w:hint="eastAsia" w:ascii="Times New Roman" w:cs="Times New Roman"/>
                <w:b/>
                <w:bCs/>
                <w:color w:val="auto"/>
                <w:sz w:val="24"/>
              </w:rPr>
              <w:t>四、</w:t>
            </w:r>
            <w:r>
              <w:rPr>
                <w:rFonts w:hint="eastAsia" w:ascii="Times New Roman" w:cs="Times New Roman"/>
                <w:b/>
                <w:bCs/>
                <w:color w:val="auto"/>
                <w:sz w:val="24"/>
                <w:lang w:val="en-US" w:eastAsia="zh-CN"/>
              </w:rPr>
              <w:t>水文条件</w:t>
            </w:r>
          </w:p>
          <w:p>
            <w:pPr>
              <w:spacing w:line="360" w:lineRule="auto"/>
              <w:ind w:firstLine="480" w:firstLineChars="200"/>
              <w:rPr>
                <w:rFonts w:hint="default" w:eastAsiaTheme="minorEastAsia"/>
                <w:bCs/>
                <w:color w:val="auto"/>
                <w:sz w:val="24"/>
                <w:lang w:val="en-US" w:eastAsia="zh-CN"/>
              </w:rPr>
            </w:pPr>
            <w:r>
              <w:rPr>
                <w:rFonts w:hint="eastAsia"/>
                <w:bCs/>
                <w:color w:val="auto"/>
                <w:sz w:val="24"/>
                <w:lang w:val="en-US" w:eastAsia="zh-CN"/>
              </w:rPr>
              <w:t>1、水文条件</w:t>
            </w:r>
          </w:p>
          <w:p>
            <w:pPr>
              <w:spacing w:line="360" w:lineRule="auto"/>
              <w:ind w:firstLine="480" w:firstLineChars="200"/>
              <w:rPr>
                <w:bCs/>
                <w:color w:val="auto"/>
                <w:sz w:val="24"/>
              </w:rPr>
            </w:pPr>
            <w:r>
              <w:rPr>
                <w:bCs/>
                <w:color w:val="auto"/>
                <w:sz w:val="24"/>
              </w:rPr>
              <w:t>松潘县内的水系属长江水系和黄河水系，县内以长江水系的河流为主，次为黄河水系的河流，均为上游地段。</w:t>
            </w:r>
          </w:p>
          <w:p>
            <w:pPr>
              <w:spacing w:line="360" w:lineRule="auto"/>
              <w:ind w:firstLine="480" w:firstLineChars="200"/>
              <w:rPr>
                <w:bCs/>
                <w:color w:val="auto"/>
                <w:sz w:val="24"/>
              </w:rPr>
            </w:pPr>
            <w:r>
              <w:rPr>
                <w:rFonts w:hint="eastAsia" w:ascii="宋体" w:hAnsi="宋体" w:cs="宋体"/>
                <w:bCs/>
                <w:color w:val="auto"/>
                <w:sz w:val="24"/>
              </w:rPr>
              <w:t>①</w:t>
            </w:r>
            <w:r>
              <w:rPr>
                <w:bCs/>
                <w:color w:val="auto"/>
                <w:sz w:val="24"/>
              </w:rPr>
              <w:t>长江水系：主要支流有若尔盖河、热务沟、黄胜关河和戈绒沟等支流。由北向南流径漳腊、城关、镇江关入茂县境内流长150km，热务河源于哲波山麓，由北西向东南于镇江关注入岷江，全长100km。在松潘以北除虹桥关一段河谷狭窄紧闭。两岸陡立，河床比降大外，一般谷底宽阔而平坦，河床迂回曲折浅而窄。松潘西宁关以南河谷逐渐呈“V”形谷。谷底狭窄比降大，据镇江关水文站资料，镇江关以上，岷江汇水面积4486km²，多年平均流量57.7 m</w:t>
            </w:r>
            <w:r>
              <w:rPr>
                <w:bCs/>
                <w:color w:val="auto"/>
                <w:sz w:val="24"/>
                <w:vertAlign w:val="superscript"/>
              </w:rPr>
              <w:t>3</w:t>
            </w:r>
            <w:r>
              <w:rPr>
                <w:bCs/>
                <w:color w:val="auto"/>
                <w:sz w:val="24"/>
              </w:rPr>
              <w:t>/s，多年平均径流总量18.2×108m³；1967年7月12日发生最大流量453 m</w:t>
            </w:r>
            <w:r>
              <w:rPr>
                <w:bCs/>
                <w:color w:val="auto"/>
                <w:sz w:val="24"/>
                <w:vertAlign w:val="superscript"/>
              </w:rPr>
              <w:t>3</w:t>
            </w:r>
            <w:r>
              <w:rPr>
                <w:bCs/>
                <w:color w:val="auto"/>
                <w:sz w:val="24"/>
              </w:rPr>
              <w:t>/S，1960年1月3日发生最小流量为9.9 m</w:t>
            </w:r>
            <w:r>
              <w:rPr>
                <w:bCs/>
                <w:color w:val="auto"/>
                <w:sz w:val="24"/>
                <w:vertAlign w:val="superscript"/>
              </w:rPr>
              <w:t>3</w:t>
            </w:r>
            <w:r>
              <w:rPr>
                <w:bCs/>
                <w:color w:val="auto"/>
                <w:sz w:val="24"/>
              </w:rPr>
              <w:t>/S，其流量变化，一般多雨年一年多80～83 m</w:t>
            </w:r>
            <w:r>
              <w:rPr>
                <w:bCs/>
                <w:color w:val="auto"/>
                <w:sz w:val="24"/>
                <w:vertAlign w:val="superscript"/>
              </w:rPr>
              <w:t>3</w:t>
            </w:r>
            <w:r>
              <w:rPr>
                <w:bCs/>
                <w:color w:val="auto"/>
                <w:sz w:val="24"/>
              </w:rPr>
              <w:t>/S，少雨年少156～159 m</w:t>
            </w:r>
            <w:r>
              <w:rPr>
                <w:bCs/>
                <w:color w:val="auto"/>
                <w:sz w:val="24"/>
                <w:vertAlign w:val="superscript"/>
              </w:rPr>
              <w:t>3</w:t>
            </w:r>
            <w:r>
              <w:rPr>
                <w:bCs/>
                <w:color w:val="auto"/>
                <w:sz w:val="24"/>
              </w:rPr>
              <w:t>/S，其相对变化率为42%，而降雨量变化率为79%，远大于流量的变化率。表明流量水源主要来自天然降雨外，还受高山雪水及森林涵养水的调节。</w:t>
            </w:r>
          </w:p>
          <w:p>
            <w:pPr>
              <w:spacing w:line="360" w:lineRule="auto"/>
              <w:ind w:firstLine="480" w:firstLineChars="200"/>
              <w:rPr>
                <w:bCs/>
                <w:color w:val="auto"/>
                <w:sz w:val="24"/>
              </w:rPr>
            </w:pPr>
            <w:r>
              <w:rPr>
                <w:bCs/>
                <w:color w:val="auto"/>
                <w:sz w:val="24"/>
              </w:rPr>
              <w:t>涪江发源于雪宝顶北坡的三岔子。在松潘境内流长60km，河谷地形以高、中山为主，除黄龙乡一段为较平坦的似“U”形谷外，均为“V”形谷，尤其是丹云峡段河谷狭窄，两岸陡峭如削，水流湍急，出丹云峡后，虽然河谷略为变宽。但由于两岸密集的规模巨大的滑坡、崩塌、泥石流堆积体迫使河床向一岸偏离，河流弯曲，堵塞严重，侧蚀作用强。施家堡临时水文观站所测。涪江流量48.95～196.60m</w:t>
            </w:r>
            <w:r>
              <w:rPr>
                <w:bCs/>
                <w:color w:val="auto"/>
                <w:sz w:val="24"/>
                <w:vertAlign w:val="superscript"/>
              </w:rPr>
              <w:t>3</w:t>
            </w:r>
            <w:r>
              <w:rPr>
                <w:bCs/>
                <w:color w:val="auto"/>
                <w:sz w:val="24"/>
              </w:rPr>
              <w:t>/s。水位最大变幅2.35m，流速3.03～4.38m/s。涪江水源雨季主要由降雨补给，补给源携带泥砂汇入江水中，江水呈黄褐色，经测试涪江含砂量9.42g/L（岷江含砂量0.5g/L以上）；枯水季节主要由冰雪融水及森林涵养水调节，一般清澈透明，无色无味，含砂量极少。毛儿盖河源于腊子山，纵贯毛儿盖区后入黑水县。山区河流不利航行，但支流落差大，水力资源丰富，四条支流的迳流总量70.27m</w:t>
            </w:r>
            <w:r>
              <w:rPr>
                <w:bCs/>
                <w:color w:val="auto"/>
                <w:sz w:val="24"/>
                <w:vertAlign w:val="superscript"/>
              </w:rPr>
              <w:t>3</w:t>
            </w:r>
            <w:r>
              <w:rPr>
                <w:bCs/>
                <w:color w:val="auto"/>
                <w:sz w:val="24"/>
              </w:rPr>
              <w:t>/s，可开发成梯级水电站。其四大支流水文情况见表</w:t>
            </w:r>
            <w:r>
              <w:rPr>
                <w:rFonts w:hint="eastAsia"/>
                <w:bCs/>
                <w:color w:val="auto"/>
                <w:sz w:val="24"/>
              </w:rPr>
              <w:t>2</w:t>
            </w:r>
            <w:r>
              <w:rPr>
                <w:bCs/>
                <w:color w:val="auto"/>
                <w:sz w:val="24"/>
              </w:rPr>
              <w:t>-</w:t>
            </w:r>
            <w:r>
              <w:rPr>
                <w:rFonts w:hint="eastAsia"/>
                <w:bCs/>
                <w:color w:val="auto"/>
                <w:sz w:val="24"/>
              </w:rPr>
              <w:t>3</w:t>
            </w:r>
            <w:r>
              <w:rPr>
                <w:bCs/>
                <w:color w:val="auto"/>
                <w:sz w:val="24"/>
              </w:rPr>
              <w:t>。</w:t>
            </w:r>
          </w:p>
          <w:p>
            <w:pPr>
              <w:ind w:firstLine="420" w:firstLineChars="200"/>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2</w:t>
            </w:r>
            <w:r>
              <w:rPr>
                <w:b/>
                <w:color w:val="auto"/>
                <w:szCs w:val="21"/>
              </w:rPr>
              <w:t xml:space="preserve">  四大支流水文情况</w:t>
            </w:r>
          </w:p>
          <w:tbl>
            <w:tblPr>
              <w:tblStyle w:val="51"/>
              <w:tblW w:w="90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632"/>
              <w:gridCol w:w="1555"/>
              <w:gridCol w:w="1432"/>
              <w:gridCol w:w="1595"/>
              <w:gridCol w:w="16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264" w:type="dxa"/>
                  <w:tcBorders>
                    <w:tl2br w:val="nil"/>
                    <w:tr2bl w:val="nil"/>
                  </w:tcBorders>
                  <w:noWrap w:val="0"/>
                  <w:vAlign w:val="center"/>
                </w:tcPr>
                <w:p>
                  <w:pPr>
                    <w:jc w:val="center"/>
                    <w:rPr>
                      <w:color w:val="auto"/>
                      <w:sz w:val="21"/>
                      <w:szCs w:val="21"/>
                    </w:rPr>
                  </w:pPr>
                  <w:r>
                    <w:rPr>
                      <w:color w:val="auto"/>
                      <w:sz w:val="21"/>
                      <w:szCs w:val="21"/>
                    </w:rPr>
                    <w:t>支流名称</w:t>
                  </w:r>
                </w:p>
              </w:tc>
              <w:tc>
                <w:tcPr>
                  <w:tcW w:w="1632" w:type="dxa"/>
                  <w:tcBorders>
                    <w:tl2br w:val="nil"/>
                    <w:tr2bl w:val="nil"/>
                  </w:tcBorders>
                  <w:noWrap w:val="0"/>
                  <w:vAlign w:val="center"/>
                </w:tcPr>
                <w:p>
                  <w:pPr>
                    <w:jc w:val="center"/>
                    <w:rPr>
                      <w:rFonts w:hint="eastAsia" w:eastAsiaTheme="minorEastAsia"/>
                      <w:color w:val="auto"/>
                      <w:sz w:val="21"/>
                      <w:szCs w:val="21"/>
                      <w:lang w:eastAsia="zh-CN"/>
                    </w:rPr>
                  </w:pPr>
                  <w:r>
                    <w:rPr>
                      <w:color w:val="auto"/>
                      <w:sz w:val="21"/>
                      <w:szCs w:val="21"/>
                    </w:rPr>
                    <w:t>汇水面积</w:t>
                  </w:r>
                  <w:r>
                    <w:rPr>
                      <w:rFonts w:hint="eastAsia"/>
                      <w:color w:val="auto"/>
                      <w:sz w:val="21"/>
                      <w:szCs w:val="21"/>
                      <w:lang w:val="en-US" w:eastAsia="zh-CN"/>
                    </w:rPr>
                    <w:t>(</w:t>
                  </w:r>
                  <w:r>
                    <w:rPr>
                      <w:color w:val="auto"/>
                      <w:sz w:val="21"/>
                      <w:szCs w:val="21"/>
                    </w:rPr>
                    <w:t>km</w:t>
                  </w:r>
                  <w:r>
                    <w:rPr>
                      <w:color w:val="auto"/>
                      <w:sz w:val="21"/>
                      <w:szCs w:val="21"/>
                      <w:vertAlign w:val="superscript"/>
                    </w:rPr>
                    <w:t>2</w:t>
                  </w:r>
                  <w:r>
                    <w:rPr>
                      <w:rFonts w:hint="eastAsia"/>
                      <w:color w:val="auto"/>
                      <w:sz w:val="21"/>
                      <w:szCs w:val="21"/>
                      <w:lang w:val="en-US" w:eastAsia="zh-CN"/>
                    </w:rPr>
                    <w:t>)</w:t>
                  </w:r>
                </w:p>
              </w:tc>
              <w:tc>
                <w:tcPr>
                  <w:tcW w:w="1555" w:type="dxa"/>
                  <w:tcBorders>
                    <w:tl2br w:val="nil"/>
                    <w:tr2bl w:val="nil"/>
                  </w:tcBorders>
                  <w:noWrap w:val="0"/>
                  <w:vAlign w:val="center"/>
                </w:tcPr>
                <w:p>
                  <w:pPr>
                    <w:jc w:val="center"/>
                    <w:rPr>
                      <w:rFonts w:hint="eastAsia" w:eastAsiaTheme="minorEastAsia"/>
                      <w:color w:val="auto"/>
                      <w:sz w:val="21"/>
                      <w:szCs w:val="21"/>
                      <w:lang w:eastAsia="zh-CN"/>
                    </w:rPr>
                  </w:pPr>
                  <w:r>
                    <w:rPr>
                      <w:color w:val="auto"/>
                      <w:sz w:val="21"/>
                      <w:szCs w:val="21"/>
                    </w:rPr>
                    <w:t>河流长度</w:t>
                  </w:r>
                  <w:r>
                    <w:rPr>
                      <w:rFonts w:hint="eastAsia"/>
                      <w:color w:val="auto"/>
                      <w:sz w:val="21"/>
                      <w:szCs w:val="21"/>
                      <w:lang w:val="en-US" w:eastAsia="zh-CN"/>
                    </w:rPr>
                    <w:t>(</w:t>
                  </w:r>
                  <w:r>
                    <w:rPr>
                      <w:color w:val="auto"/>
                      <w:sz w:val="21"/>
                      <w:szCs w:val="21"/>
                    </w:rPr>
                    <w:t>km</w:t>
                  </w:r>
                  <w:r>
                    <w:rPr>
                      <w:rFonts w:hint="eastAsia"/>
                      <w:color w:val="auto"/>
                      <w:sz w:val="21"/>
                      <w:szCs w:val="21"/>
                      <w:lang w:val="en-US" w:eastAsia="zh-CN"/>
                    </w:rPr>
                    <w:t>)</w:t>
                  </w:r>
                </w:p>
              </w:tc>
              <w:tc>
                <w:tcPr>
                  <w:tcW w:w="1432" w:type="dxa"/>
                  <w:tcBorders>
                    <w:tl2br w:val="nil"/>
                    <w:tr2bl w:val="nil"/>
                  </w:tcBorders>
                  <w:noWrap w:val="0"/>
                  <w:vAlign w:val="center"/>
                </w:tcPr>
                <w:p>
                  <w:pPr>
                    <w:jc w:val="center"/>
                    <w:rPr>
                      <w:rFonts w:hint="eastAsia" w:eastAsiaTheme="minorEastAsia"/>
                      <w:color w:val="auto"/>
                      <w:sz w:val="21"/>
                      <w:szCs w:val="21"/>
                      <w:lang w:eastAsia="zh-CN"/>
                    </w:rPr>
                  </w:pPr>
                  <w:r>
                    <w:rPr>
                      <w:color w:val="auto"/>
                      <w:sz w:val="21"/>
                      <w:szCs w:val="21"/>
                    </w:rPr>
                    <w:t>天然落差</w:t>
                  </w:r>
                  <w:r>
                    <w:rPr>
                      <w:rFonts w:hint="eastAsia"/>
                      <w:color w:val="auto"/>
                      <w:sz w:val="21"/>
                      <w:szCs w:val="21"/>
                      <w:lang w:val="en-US" w:eastAsia="zh-CN"/>
                    </w:rPr>
                    <w:t>(</w:t>
                  </w:r>
                  <w:r>
                    <w:rPr>
                      <w:color w:val="auto"/>
                      <w:sz w:val="21"/>
                      <w:szCs w:val="21"/>
                    </w:rPr>
                    <w:t>m</w:t>
                  </w:r>
                  <w:r>
                    <w:rPr>
                      <w:rFonts w:hint="eastAsia"/>
                      <w:color w:val="auto"/>
                      <w:sz w:val="21"/>
                      <w:szCs w:val="21"/>
                      <w:lang w:val="en-US" w:eastAsia="zh-CN"/>
                    </w:rPr>
                    <w:t>)</w:t>
                  </w:r>
                </w:p>
              </w:tc>
              <w:tc>
                <w:tcPr>
                  <w:tcW w:w="1595" w:type="dxa"/>
                  <w:tcBorders>
                    <w:tl2br w:val="nil"/>
                    <w:tr2bl w:val="nil"/>
                  </w:tcBorders>
                  <w:noWrap w:val="0"/>
                  <w:vAlign w:val="center"/>
                </w:tcPr>
                <w:p>
                  <w:pPr>
                    <w:jc w:val="center"/>
                    <w:rPr>
                      <w:rFonts w:hint="eastAsia" w:eastAsiaTheme="minorEastAsia"/>
                      <w:color w:val="auto"/>
                      <w:sz w:val="21"/>
                      <w:szCs w:val="21"/>
                      <w:lang w:eastAsia="zh-CN"/>
                    </w:rPr>
                  </w:pPr>
                  <w:r>
                    <w:rPr>
                      <w:color w:val="auto"/>
                      <w:sz w:val="21"/>
                      <w:szCs w:val="21"/>
                    </w:rPr>
                    <w:t>河口流量</w:t>
                  </w:r>
                  <w:r>
                    <w:rPr>
                      <w:rFonts w:hint="eastAsia"/>
                      <w:color w:val="auto"/>
                      <w:sz w:val="21"/>
                      <w:szCs w:val="21"/>
                      <w:lang w:val="en-US" w:eastAsia="zh-CN"/>
                    </w:rPr>
                    <w:t>(</w:t>
                  </w:r>
                  <w:r>
                    <w:rPr>
                      <w:color w:val="auto"/>
                      <w:sz w:val="21"/>
                      <w:szCs w:val="21"/>
                    </w:rPr>
                    <w:t>m</w:t>
                  </w:r>
                  <w:r>
                    <w:rPr>
                      <w:color w:val="auto"/>
                      <w:sz w:val="21"/>
                      <w:szCs w:val="21"/>
                      <w:vertAlign w:val="superscript"/>
                    </w:rPr>
                    <w:t>3</w:t>
                  </w:r>
                  <w:r>
                    <w:rPr>
                      <w:color w:val="auto"/>
                      <w:sz w:val="21"/>
                      <w:szCs w:val="21"/>
                    </w:rPr>
                    <w:t>/s</w:t>
                  </w:r>
                  <w:r>
                    <w:rPr>
                      <w:rFonts w:hint="eastAsia"/>
                      <w:color w:val="auto"/>
                      <w:sz w:val="21"/>
                      <w:szCs w:val="21"/>
                      <w:lang w:val="en-US" w:eastAsia="zh-CN"/>
                    </w:rPr>
                    <w:t>)</w:t>
                  </w:r>
                </w:p>
              </w:tc>
              <w:tc>
                <w:tcPr>
                  <w:tcW w:w="1616" w:type="dxa"/>
                  <w:tcBorders>
                    <w:tl2br w:val="nil"/>
                    <w:tr2bl w:val="nil"/>
                  </w:tcBorders>
                  <w:noWrap w:val="0"/>
                  <w:vAlign w:val="center"/>
                </w:tcPr>
                <w:p>
                  <w:pPr>
                    <w:jc w:val="center"/>
                    <w:rPr>
                      <w:rFonts w:hint="eastAsia" w:eastAsiaTheme="minorEastAsia"/>
                      <w:color w:val="auto"/>
                      <w:sz w:val="21"/>
                      <w:szCs w:val="21"/>
                      <w:lang w:eastAsia="zh-CN"/>
                    </w:rPr>
                  </w:pPr>
                  <w:r>
                    <w:rPr>
                      <w:color w:val="auto"/>
                      <w:sz w:val="21"/>
                      <w:szCs w:val="21"/>
                    </w:rPr>
                    <w:t>水力蕴藏</w:t>
                  </w:r>
                  <w:r>
                    <w:rPr>
                      <w:rFonts w:hint="eastAsia"/>
                      <w:color w:val="auto"/>
                      <w:sz w:val="21"/>
                      <w:szCs w:val="21"/>
                      <w:lang w:val="en-US" w:eastAsia="zh-CN"/>
                    </w:rPr>
                    <w:t>(</w:t>
                  </w:r>
                  <w:r>
                    <w:rPr>
                      <w:color w:val="auto"/>
                      <w:sz w:val="21"/>
                      <w:szCs w:val="21"/>
                    </w:rPr>
                    <w:t>MW</w:t>
                  </w: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64" w:type="dxa"/>
                  <w:tcBorders>
                    <w:tl2br w:val="nil"/>
                    <w:tr2bl w:val="nil"/>
                  </w:tcBorders>
                  <w:noWrap w:val="0"/>
                  <w:vAlign w:val="center"/>
                </w:tcPr>
                <w:p>
                  <w:pPr>
                    <w:spacing w:line="240" w:lineRule="atLeast"/>
                    <w:jc w:val="center"/>
                    <w:rPr>
                      <w:color w:val="auto"/>
                      <w:sz w:val="21"/>
                      <w:szCs w:val="21"/>
                    </w:rPr>
                  </w:pPr>
                  <w:r>
                    <w:rPr>
                      <w:color w:val="auto"/>
                      <w:sz w:val="21"/>
                      <w:szCs w:val="21"/>
                    </w:rPr>
                    <w:t>毛尔盖河</w:t>
                  </w:r>
                </w:p>
              </w:tc>
              <w:tc>
                <w:tcPr>
                  <w:tcW w:w="1632" w:type="dxa"/>
                  <w:tcBorders>
                    <w:tl2br w:val="nil"/>
                    <w:tr2bl w:val="nil"/>
                  </w:tcBorders>
                  <w:noWrap w:val="0"/>
                  <w:vAlign w:val="center"/>
                </w:tcPr>
                <w:p>
                  <w:pPr>
                    <w:spacing w:line="240" w:lineRule="atLeast"/>
                    <w:jc w:val="center"/>
                    <w:rPr>
                      <w:color w:val="auto"/>
                      <w:sz w:val="21"/>
                      <w:szCs w:val="21"/>
                    </w:rPr>
                  </w:pPr>
                  <w:r>
                    <w:rPr>
                      <w:color w:val="auto"/>
                      <w:sz w:val="21"/>
                      <w:szCs w:val="21"/>
                    </w:rPr>
                    <w:t>1835</w:t>
                  </w:r>
                </w:p>
              </w:tc>
              <w:tc>
                <w:tcPr>
                  <w:tcW w:w="1555" w:type="dxa"/>
                  <w:tcBorders>
                    <w:tl2br w:val="nil"/>
                    <w:tr2bl w:val="nil"/>
                  </w:tcBorders>
                  <w:noWrap w:val="0"/>
                  <w:vAlign w:val="center"/>
                </w:tcPr>
                <w:p>
                  <w:pPr>
                    <w:spacing w:line="240" w:lineRule="atLeast"/>
                    <w:jc w:val="center"/>
                    <w:rPr>
                      <w:color w:val="auto"/>
                      <w:sz w:val="21"/>
                      <w:szCs w:val="21"/>
                    </w:rPr>
                  </w:pPr>
                  <w:r>
                    <w:rPr>
                      <w:color w:val="auto"/>
                      <w:sz w:val="21"/>
                      <w:szCs w:val="21"/>
                    </w:rPr>
                    <w:t>90.2</w:t>
                  </w:r>
                </w:p>
              </w:tc>
              <w:tc>
                <w:tcPr>
                  <w:tcW w:w="1432" w:type="dxa"/>
                  <w:tcBorders>
                    <w:tl2br w:val="nil"/>
                    <w:tr2bl w:val="nil"/>
                  </w:tcBorders>
                  <w:noWrap w:val="0"/>
                  <w:vAlign w:val="center"/>
                </w:tcPr>
                <w:p>
                  <w:pPr>
                    <w:spacing w:line="240" w:lineRule="atLeast"/>
                    <w:jc w:val="center"/>
                    <w:rPr>
                      <w:color w:val="auto"/>
                      <w:sz w:val="21"/>
                      <w:szCs w:val="21"/>
                    </w:rPr>
                  </w:pPr>
                  <w:r>
                    <w:rPr>
                      <w:color w:val="auto"/>
                      <w:sz w:val="21"/>
                      <w:szCs w:val="21"/>
                    </w:rPr>
                    <w:t>1028</w:t>
                  </w:r>
                </w:p>
              </w:tc>
              <w:tc>
                <w:tcPr>
                  <w:tcW w:w="1595" w:type="dxa"/>
                  <w:tcBorders>
                    <w:tl2br w:val="nil"/>
                    <w:tr2bl w:val="nil"/>
                  </w:tcBorders>
                  <w:noWrap w:val="0"/>
                  <w:vAlign w:val="center"/>
                </w:tcPr>
                <w:p>
                  <w:pPr>
                    <w:spacing w:line="240" w:lineRule="atLeast"/>
                    <w:jc w:val="center"/>
                    <w:rPr>
                      <w:color w:val="auto"/>
                      <w:sz w:val="21"/>
                      <w:szCs w:val="21"/>
                    </w:rPr>
                  </w:pPr>
                  <w:r>
                    <w:rPr>
                      <w:color w:val="auto"/>
                      <w:sz w:val="21"/>
                      <w:szCs w:val="21"/>
                    </w:rPr>
                    <w:t>27.6</w:t>
                  </w:r>
                </w:p>
              </w:tc>
              <w:tc>
                <w:tcPr>
                  <w:tcW w:w="1616" w:type="dxa"/>
                  <w:tcBorders>
                    <w:tl2br w:val="nil"/>
                    <w:tr2bl w:val="nil"/>
                  </w:tcBorders>
                  <w:noWrap w:val="0"/>
                  <w:vAlign w:val="center"/>
                </w:tcPr>
                <w:p>
                  <w:pPr>
                    <w:spacing w:line="240" w:lineRule="atLeast"/>
                    <w:jc w:val="center"/>
                    <w:rPr>
                      <w:color w:val="auto"/>
                      <w:sz w:val="21"/>
                      <w:szCs w:val="21"/>
                    </w:rPr>
                  </w:pPr>
                  <w:r>
                    <w:rPr>
                      <w:color w:val="auto"/>
                      <w:sz w:val="21"/>
                      <w:szCs w:val="21"/>
                    </w:rPr>
                    <w:t>203.5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64" w:type="dxa"/>
                  <w:tcBorders>
                    <w:tl2br w:val="nil"/>
                    <w:tr2bl w:val="nil"/>
                  </w:tcBorders>
                  <w:noWrap w:val="0"/>
                  <w:vAlign w:val="center"/>
                </w:tcPr>
                <w:p>
                  <w:pPr>
                    <w:spacing w:line="240" w:lineRule="atLeast"/>
                    <w:jc w:val="center"/>
                    <w:rPr>
                      <w:color w:val="auto"/>
                      <w:sz w:val="21"/>
                      <w:szCs w:val="21"/>
                    </w:rPr>
                  </w:pPr>
                  <w:r>
                    <w:rPr>
                      <w:color w:val="auto"/>
                      <w:sz w:val="21"/>
                      <w:szCs w:val="21"/>
                    </w:rPr>
                    <w:t>热务沟</w:t>
                  </w:r>
                </w:p>
              </w:tc>
              <w:tc>
                <w:tcPr>
                  <w:tcW w:w="1632" w:type="dxa"/>
                  <w:tcBorders>
                    <w:tl2br w:val="nil"/>
                    <w:tr2bl w:val="nil"/>
                  </w:tcBorders>
                  <w:noWrap w:val="0"/>
                  <w:vAlign w:val="center"/>
                </w:tcPr>
                <w:p>
                  <w:pPr>
                    <w:spacing w:line="240" w:lineRule="atLeast"/>
                    <w:jc w:val="center"/>
                    <w:rPr>
                      <w:color w:val="auto"/>
                      <w:sz w:val="21"/>
                      <w:szCs w:val="21"/>
                    </w:rPr>
                  </w:pPr>
                  <w:r>
                    <w:rPr>
                      <w:color w:val="auto"/>
                      <w:sz w:val="21"/>
                      <w:szCs w:val="21"/>
                    </w:rPr>
                    <w:t>1760</w:t>
                  </w:r>
                </w:p>
              </w:tc>
              <w:tc>
                <w:tcPr>
                  <w:tcW w:w="1555" w:type="dxa"/>
                  <w:tcBorders>
                    <w:tl2br w:val="nil"/>
                    <w:tr2bl w:val="nil"/>
                  </w:tcBorders>
                  <w:noWrap w:val="0"/>
                  <w:vAlign w:val="center"/>
                </w:tcPr>
                <w:p>
                  <w:pPr>
                    <w:spacing w:line="240" w:lineRule="atLeast"/>
                    <w:jc w:val="center"/>
                    <w:rPr>
                      <w:color w:val="auto"/>
                      <w:sz w:val="21"/>
                      <w:szCs w:val="21"/>
                    </w:rPr>
                  </w:pPr>
                  <w:r>
                    <w:rPr>
                      <w:color w:val="auto"/>
                      <w:sz w:val="21"/>
                      <w:szCs w:val="21"/>
                    </w:rPr>
                    <w:t>127</w:t>
                  </w:r>
                </w:p>
              </w:tc>
              <w:tc>
                <w:tcPr>
                  <w:tcW w:w="1432" w:type="dxa"/>
                  <w:tcBorders>
                    <w:tl2br w:val="nil"/>
                    <w:tr2bl w:val="nil"/>
                  </w:tcBorders>
                  <w:noWrap w:val="0"/>
                  <w:vAlign w:val="center"/>
                </w:tcPr>
                <w:p>
                  <w:pPr>
                    <w:spacing w:line="240" w:lineRule="atLeast"/>
                    <w:jc w:val="center"/>
                    <w:rPr>
                      <w:color w:val="auto"/>
                      <w:sz w:val="21"/>
                      <w:szCs w:val="21"/>
                    </w:rPr>
                  </w:pPr>
                  <w:r>
                    <w:rPr>
                      <w:color w:val="auto"/>
                      <w:sz w:val="21"/>
                      <w:szCs w:val="21"/>
                    </w:rPr>
                    <w:t>1397</w:t>
                  </w:r>
                </w:p>
              </w:tc>
              <w:tc>
                <w:tcPr>
                  <w:tcW w:w="1595" w:type="dxa"/>
                  <w:tcBorders>
                    <w:tl2br w:val="nil"/>
                    <w:tr2bl w:val="nil"/>
                  </w:tcBorders>
                  <w:noWrap w:val="0"/>
                  <w:vAlign w:val="center"/>
                </w:tcPr>
                <w:p>
                  <w:pPr>
                    <w:spacing w:line="240" w:lineRule="atLeast"/>
                    <w:jc w:val="center"/>
                    <w:rPr>
                      <w:color w:val="auto"/>
                      <w:sz w:val="21"/>
                      <w:szCs w:val="21"/>
                    </w:rPr>
                  </w:pPr>
                  <w:r>
                    <w:rPr>
                      <w:color w:val="auto"/>
                      <w:sz w:val="21"/>
                      <w:szCs w:val="21"/>
                    </w:rPr>
                    <w:t>23.9</w:t>
                  </w:r>
                </w:p>
              </w:tc>
              <w:tc>
                <w:tcPr>
                  <w:tcW w:w="1616" w:type="dxa"/>
                  <w:tcBorders>
                    <w:tl2br w:val="nil"/>
                    <w:tr2bl w:val="nil"/>
                  </w:tcBorders>
                  <w:noWrap w:val="0"/>
                  <w:vAlign w:val="center"/>
                </w:tcPr>
                <w:p>
                  <w:pPr>
                    <w:spacing w:line="240" w:lineRule="atLeast"/>
                    <w:jc w:val="center"/>
                    <w:rPr>
                      <w:color w:val="auto"/>
                      <w:sz w:val="21"/>
                      <w:szCs w:val="21"/>
                    </w:rPr>
                  </w:pPr>
                  <w:r>
                    <w:rPr>
                      <w:color w:val="auto"/>
                      <w:sz w:val="21"/>
                      <w:szCs w:val="21"/>
                    </w:rPr>
                    <w:t>86.9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264" w:type="dxa"/>
                  <w:tcBorders>
                    <w:tl2br w:val="nil"/>
                    <w:tr2bl w:val="nil"/>
                  </w:tcBorders>
                  <w:noWrap w:val="0"/>
                  <w:vAlign w:val="center"/>
                </w:tcPr>
                <w:p>
                  <w:pPr>
                    <w:spacing w:line="240" w:lineRule="atLeast"/>
                    <w:jc w:val="center"/>
                    <w:rPr>
                      <w:color w:val="auto"/>
                      <w:sz w:val="21"/>
                      <w:szCs w:val="21"/>
                    </w:rPr>
                  </w:pPr>
                  <w:r>
                    <w:rPr>
                      <w:color w:val="auto"/>
                      <w:sz w:val="21"/>
                      <w:szCs w:val="21"/>
                    </w:rPr>
                    <w:t>黄胆关河</w:t>
                  </w:r>
                </w:p>
              </w:tc>
              <w:tc>
                <w:tcPr>
                  <w:tcW w:w="1632" w:type="dxa"/>
                  <w:tcBorders>
                    <w:tl2br w:val="nil"/>
                    <w:tr2bl w:val="nil"/>
                  </w:tcBorders>
                  <w:noWrap w:val="0"/>
                  <w:vAlign w:val="center"/>
                </w:tcPr>
                <w:p>
                  <w:pPr>
                    <w:spacing w:line="240" w:lineRule="atLeast"/>
                    <w:jc w:val="center"/>
                    <w:rPr>
                      <w:color w:val="auto"/>
                      <w:sz w:val="21"/>
                      <w:szCs w:val="21"/>
                    </w:rPr>
                  </w:pPr>
                  <w:r>
                    <w:rPr>
                      <w:color w:val="auto"/>
                      <w:sz w:val="21"/>
                      <w:szCs w:val="21"/>
                    </w:rPr>
                    <w:t>759</w:t>
                  </w:r>
                </w:p>
              </w:tc>
              <w:tc>
                <w:tcPr>
                  <w:tcW w:w="1555" w:type="dxa"/>
                  <w:tcBorders>
                    <w:tl2br w:val="nil"/>
                    <w:tr2bl w:val="nil"/>
                  </w:tcBorders>
                  <w:noWrap w:val="0"/>
                  <w:vAlign w:val="center"/>
                </w:tcPr>
                <w:p>
                  <w:pPr>
                    <w:spacing w:line="240" w:lineRule="atLeast"/>
                    <w:jc w:val="center"/>
                    <w:rPr>
                      <w:color w:val="auto"/>
                      <w:sz w:val="21"/>
                      <w:szCs w:val="21"/>
                    </w:rPr>
                  </w:pPr>
                  <w:r>
                    <w:rPr>
                      <w:color w:val="auto"/>
                      <w:sz w:val="21"/>
                      <w:szCs w:val="21"/>
                    </w:rPr>
                    <w:t>61</w:t>
                  </w:r>
                </w:p>
              </w:tc>
              <w:tc>
                <w:tcPr>
                  <w:tcW w:w="1432" w:type="dxa"/>
                  <w:tcBorders>
                    <w:tl2br w:val="nil"/>
                    <w:tr2bl w:val="nil"/>
                  </w:tcBorders>
                  <w:noWrap w:val="0"/>
                  <w:vAlign w:val="center"/>
                </w:tcPr>
                <w:p>
                  <w:pPr>
                    <w:spacing w:line="240" w:lineRule="atLeast"/>
                    <w:jc w:val="center"/>
                    <w:rPr>
                      <w:color w:val="auto"/>
                      <w:sz w:val="21"/>
                      <w:szCs w:val="21"/>
                    </w:rPr>
                  </w:pPr>
                  <w:r>
                    <w:rPr>
                      <w:color w:val="auto"/>
                      <w:sz w:val="21"/>
                      <w:szCs w:val="21"/>
                    </w:rPr>
                    <w:t>799</w:t>
                  </w:r>
                </w:p>
              </w:tc>
              <w:tc>
                <w:tcPr>
                  <w:tcW w:w="1595" w:type="dxa"/>
                  <w:tcBorders>
                    <w:tl2br w:val="nil"/>
                    <w:tr2bl w:val="nil"/>
                  </w:tcBorders>
                  <w:noWrap w:val="0"/>
                  <w:vAlign w:val="center"/>
                </w:tcPr>
                <w:p>
                  <w:pPr>
                    <w:spacing w:line="240" w:lineRule="atLeast"/>
                    <w:jc w:val="center"/>
                    <w:rPr>
                      <w:color w:val="auto"/>
                      <w:sz w:val="21"/>
                      <w:szCs w:val="21"/>
                    </w:rPr>
                  </w:pPr>
                  <w:r>
                    <w:rPr>
                      <w:color w:val="auto"/>
                      <w:sz w:val="21"/>
                      <w:szCs w:val="21"/>
                    </w:rPr>
                    <w:t>10.8</w:t>
                  </w:r>
                </w:p>
              </w:tc>
              <w:tc>
                <w:tcPr>
                  <w:tcW w:w="1616" w:type="dxa"/>
                  <w:tcBorders>
                    <w:tl2br w:val="nil"/>
                    <w:tr2bl w:val="nil"/>
                  </w:tcBorders>
                  <w:noWrap w:val="0"/>
                  <w:vAlign w:val="center"/>
                </w:tcPr>
                <w:p>
                  <w:pPr>
                    <w:spacing w:line="240" w:lineRule="atLeast"/>
                    <w:jc w:val="center"/>
                    <w:rPr>
                      <w:color w:val="auto"/>
                      <w:sz w:val="21"/>
                      <w:szCs w:val="21"/>
                    </w:rPr>
                  </w:pPr>
                  <w:r>
                    <w:rPr>
                      <w:color w:val="auto"/>
                      <w:sz w:val="21"/>
                      <w:szCs w:val="21"/>
                    </w:rPr>
                    <w:t>33.7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264" w:type="dxa"/>
                  <w:tcBorders>
                    <w:tl2br w:val="nil"/>
                    <w:tr2bl w:val="nil"/>
                  </w:tcBorders>
                  <w:noWrap w:val="0"/>
                  <w:vAlign w:val="center"/>
                </w:tcPr>
                <w:p>
                  <w:pPr>
                    <w:spacing w:line="240" w:lineRule="atLeast"/>
                    <w:jc w:val="center"/>
                    <w:rPr>
                      <w:color w:val="auto"/>
                      <w:sz w:val="21"/>
                      <w:szCs w:val="21"/>
                    </w:rPr>
                  </w:pPr>
                  <w:r>
                    <w:rPr>
                      <w:color w:val="auto"/>
                      <w:sz w:val="21"/>
                      <w:szCs w:val="21"/>
                    </w:rPr>
                    <w:t>戈绒</w:t>
                  </w:r>
                </w:p>
              </w:tc>
              <w:tc>
                <w:tcPr>
                  <w:tcW w:w="1632" w:type="dxa"/>
                  <w:tcBorders>
                    <w:tl2br w:val="nil"/>
                    <w:tr2bl w:val="nil"/>
                  </w:tcBorders>
                  <w:noWrap w:val="0"/>
                  <w:vAlign w:val="center"/>
                </w:tcPr>
                <w:p>
                  <w:pPr>
                    <w:spacing w:line="240" w:lineRule="atLeast"/>
                    <w:jc w:val="center"/>
                    <w:rPr>
                      <w:color w:val="auto"/>
                      <w:sz w:val="21"/>
                      <w:szCs w:val="21"/>
                    </w:rPr>
                  </w:pPr>
                  <w:r>
                    <w:rPr>
                      <w:color w:val="auto"/>
                      <w:sz w:val="21"/>
                      <w:szCs w:val="21"/>
                    </w:rPr>
                    <w:t>554.9</w:t>
                  </w:r>
                </w:p>
              </w:tc>
              <w:tc>
                <w:tcPr>
                  <w:tcW w:w="1555" w:type="dxa"/>
                  <w:tcBorders>
                    <w:tl2br w:val="nil"/>
                    <w:tr2bl w:val="nil"/>
                  </w:tcBorders>
                  <w:noWrap w:val="0"/>
                  <w:vAlign w:val="center"/>
                </w:tcPr>
                <w:p>
                  <w:pPr>
                    <w:spacing w:line="240" w:lineRule="atLeast"/>
                    <w:jc w:val="center"/>
                    <w:rPr>
                      <w:color w:val="auto"/>
                      <w:sz w:val="21"/>
                      <w:szCs w:val="21"/>
                    </w:rPr>
                  </w:pPr>
                  <w:r>
                    <w:rPr>
                      <w:color w:val="auto"/>
                      <w:sz w:val="21"/>
                      <w:szCs w:val="21"/>
                    </w:rPr>
                    <w:t>30</w:t>
                  </w:r>
                </w:p>
              </w:tc>
              <w:tc>
                <w:tcPr>
                  <w:tcW w:w="1432" w:type="dxa"/>
                  <w:tcBorders>
                    <w:tl2br w:val="nil"/>
                    <w:tr2bl w:val="nil"/>
                  </w:tcBorders>
                  <w:noWrap w:val="0"/>
                  <w:vAlign w:val="center"/>
                </w:tcPr>
                <w:p>
                  <w:pPr>
                    <w:spacing w:line="240" w:lineRule="atLeast"/>
                    <w:jc w:val="center"/>
                    <w:rPr>
                      <w:color w:val="auto"/>
                      <w:sz w:val="21"/>
                      <w:szCs w:val="21"/>
                    </w:rPr>
                  </w:pPr>
                  <w:r>
                    <w:rPr>
                      <w:color w:val="auto"/>
                      <w:sz w:val="21"/>
                      <w:szCs w:val="21"/>
                    </w:rPr>
                    <w:t>700</w:t>
                  </w:r>
                </w:p>
              </w:tc>
              <w:tc>
                <w:tcPr>
                  <w:tcW w:w="1595" w:type="dxa"/>
                  <w:tcBorders>
                    <w:tl2br w:val="nil"/>
                    <w:tr2bl w:val="nil"/>
                  </w:tcBorders>
                  <w:noWrap w:val="0"/>
                  <w:vAlign w:val="center"/>
                </w:tcPr>
                <w:p>
                  <w:pPr>
                    <w:spacing w:line="240" w:lineRule="atLeast"/>
                    <w:jc w:val="center"/>
                    <w:rPr>
                      <w:color w:val="auto"/>
                      <w:sz w:val="21"/>
                      <w:szCs w:val="21"/>
                    </w:rPr>
                  </w:pPr>
                  <w:r>
                    <w:rPr>
                      <w:color w:val="auto"/>
                      <w:sz w:val="21"/>
                      <w:szCs w:val="21"/>
                    </w:rPr>
                    <w:t>12.8</w:t>
                  </w:r>
                </w:p>
              </w:tc>
              <w:tc>
                <w:tcPr>
                  <w:tcW w:w="1616" w:type="dxa"/>
                  <w:tcBorders>
                    <w:tl2br w:val="nil"/>
                    <w:tr2bl w:val="nil"/>
                  </w:tcBorders>
                  <w:noWrap w:val="0"/>
                  <w:vAlign w:val="center"/>
                </w:tcPr>
                <w:p>
                  <w:pPr>
                    <w:spacing w:line="240" w:lineRule="atLeast"/>
                    <w:jc w:val="center"/>
                    <w:rPr>
                      <w:color w:val="auto"/>
                      <w:sz w:val="21"/>
                      <w:szCs w:val="21"/>
                    </w:rPr>
                  </w:pPr>
                  <w:r>
                    <w:rPr>
                      <w:color w:val="auto"/>
                      <w:sz w:val="21"/>
                      <w:szCs w:val="21"/>
                    </w:rPr>
                    <w:t>107.1</w:t>
                  </w:r>
                </w:p>
              </w:tc>
            </w:tr>
          </w:tbl>
          <w:p>
            <w:pPr>
              <w:spacing w:line="360" w:lineRule="auto"/>
              <w:ind w:firstLine="480" w:firstLineChars="200"/>
              <w:rPr>
                <w:bCs/>
                <w:color w:val="auto"/>
                <w:sz w:val="24"/>
              </w:rPr>
            </w:pPr>
            <w:r>
              <w:rPr>
                <w:rFonts w:hint="eastAsia" w:ascii="宋体" w:hAnsi="宋体" w:cs="宋体"/>
                <w:bCs/>
                <w:color w:val="auto"/>
                <w:sz w:val="24"/>
              </w:rPr>
              <w:t>②</w:t>
            </w:r>
            <w:r>
              <w:rPr>
                <w:bCs/>
                <w:color w:val="auto"/>
                <w:sz w:val="24"/>
              </w:rPr>
              <w:t>黄河水系：所提柯沟从东南向北西注入黑河，流域面积在县境为67.9km</w:t>
            </w:r>
            <w:r>
              <w:rPr>
                <w:bCs/>
                <w:color w:val="auto"/>
                <w:sz w:val="24"/>
                <w:vertAlign w:val="superscript"/>
              </w:rPr>
              <w:t>2</w:t>
            </w:r>
            <w:r>
              <w:rPr>
                <w:bCs/>
                <w:color w:val="auto"/>
                <w:sz w:val="24"/>
              </w:rPr>
              <w:t>，占全县面积的8％，多年平均含沙量0.78㎏∕m</w:t>
            </w:r>
            <w:r>
              <w:rPr>
                <w:bCs/>
                <w:color w:val="auto"/>
                <w:sz w:val="24"/>
                <w:vertAlign w:val="superscript"/>
              </w:rPr>
              <w:t>3</w:t>
            </w:r>
            <w:r>
              <w:rPr>
                <w:bCs/>
                <w:color w:val="auto"/>
                <w:sz w:val="24"/>
              </w:rPr>
              <w:t>，多年平均输砂率0.2㎏∕m</w:t>
            </w:r>
            <w:r>
              <w:rPr>
                <w:bCs/>
                <w:color w:val="auto"/>
                <w:sz w:val="24"/>
                <w:vertAlign w:val="superscript"/>
              </w:rPr>
              <w:t>3</w:t>
            </w:r>
            <w:r>
              <w:rPr>
                <w:bCs/>
                <w:color w:val="auto"/>
                <w:sz w:val="24"/>
              </w:rPr>
              <w:t>，多年平均输砂量8000t，多年平均流量0.3㎏∕m</w:t>
            </w:r>
            <w:r>
              <w:rPr>
                <w:bCs/>
                <w:color w:val="auto"/>
                <w:sz w:val="24"/>
                <w:vertAlign w:val="superscript"/>
              </w:rPr>
              <w:t>3</w:t>
            </w:r>
            <w:r>
              <w:rPr>
                <w:bCs/>
                <w:color w:val="auto"/>
                <w:sz w:val="24"/>
              </w:rPr>
              <w:t>。</w:t>
            </w:r>
          </w:p>
          <w:p>
            <w:pPr>
              <w:spacing w:line="360" w:lineRule="auto"/>
              <w:ind w:firstLine="480" w:firstLineChars="200"/>
              <w:rPr>
                <w:rFonts w:hint="default" w:eastAsiaTheme="minorEastAsia"/>
                <w:bCs/>
                <w:color w:val="auto"/>
                <w:sz w:val="24"/>
                <w:lang w:val="en-US" w:eastAsia="zh-CN"/>
              </w:rPr>
            </w:pPr>
            <w:r>
              <w:rPr>
                <w:rFonts w:hint="eastAsia"/>
                <w:bCs/>
                <w:color w:val="auto"/>
                <w:sz w:val="24"/>
                <w:lang w:val="en-US" w:eastAsia="zh-CN"/>
              </w:rPr>
              <w:t>2、水文地质条件</w:t>
            </w:r>
          </w:p>
          <w:p>
            <w:pPr>
              <w:spacing w:line="360" w:lineRule="auto"/>
              <w:ind w:firstLine="480" w:firstLineChars="200"/>
              <w:rPr>
                <w:rFonts w:hint="eastAsia" w:ascii="宋体" w:hAnsi="宋体"/>
                <w:color w:val="auto"/>
                <w:sz w:val="24"/>
              </w:rPr>
            </w:pPr>
            <w:r>
              <w:rPr>
                <w:rFonts w:hint="eastAsia" w:ascii="宋体" w:hAnsi="宋体"/>
                <w:color w:val="auto"/>
                <w:sz w:val="24"/>
              </w:rPr>
              <w:t>松潘县境内岷江河、涪江河、热务沟、毛儿盖河、白草河及大小支流200余条婉延其间，最终汇成了年平均径流总量为40.2亿立方米的岷江和涪江两大水系。</w:t>
            </w:r>
          </w:p>
          <w:p>
            <w:pPr>
              <w:spacing w:line="360" w:lineRule="auto"/>
              <w:ind w:firstLine="480" w:firstLineChars="200"/>
              <w:rPr>
                <w:rFonts w:hint="eastAsia" w:ascii="宋体" w:hAnsi="宋体"/>
                <w:color w:val="auto"/>
                <w:sz w:val="24"/>
              </w:rPr>
            </w:pPr>
            <w:r>
              <w:rPr>
                <w:rFonts w:ascii="宋体" w:hAnsi="宋体"/>
                <w:color w:val="auto"/>
                <w:sz w:val="24"/>
              </w:rPr>
              <w:t>白草河为</w:t>
            </w:r>
            <w:r>
              <w:rPr>
                <w:rFonts w:hint="eastAsia" w:ascii="宋体" w:hAnsi="宋体"/>
                <w:color w:val="auto"/>
                <w:sz w:val="24"/>
              </w:rPr>
              <w:t>工作</w:t>
            </w:r>
            <w:r>
              <w:rPr>
                <w:rFonts w:ascii="宋体" w:hAnsi="宋体"/>
                <w:color w:val="auto"/>
                <w:sz w:val="24"/>
              </w:rPr>
              <w:t>区内主要河流，也是</w:t>
            </w:r>
            <w:r>
              <w:rPr>
                <w:rFonts w:hint="eastAsia" w:ascii="宋体" w:hAnsi="宋体"/>
                <w:color w:val="auto"/>
                <w:sz w:val="24"/>
              </w:rPr>
              <w:t>璜环沟泥石流沟</w:t>
            </w:r>
            <w:r>
              <w:rPr>
                <w:rFonts w:ascii="宋体" w:hAnsi="宋体"/>
                <w:color w:val="auto"/>
                <w:sz w:val="24"/>
              </w:rPr>
              <w:t>的主河</w:t>
            </w:r>
            <w:r>
              <w:rPr>
                <w:rFonts w:hint="eastAsia" w:ascii="宋体" w:hAnsi="宋体"/>
                <w:color w:val="auto"/>
                <w:sz w:val="24"/>
              </w:rPr>
              <w:t>，</w:t>
            </w:r>
            <w:r>
              <w:rPr>
                <w:rFonts w:ascii="宋体" w:hAnsi="宋体"/>
                <w:color w:val="auto"/>
                <w:sz w:val="24"/>
              </w:rPr>
              <w:t>发源于境内</w:t>
            </w:r>
            <w:r>
              <w:rPr>
                <w:rFonts w:hint="eastAsia" w:ascii="宋体" w:hAnsi="宋体"/>
                <w:color w:val="auto"/>
                <w:sz w:val="24"/>
              </w:rPr>
              <w:t>西北边的小白草坝，系常年性河流，境内流长42公里，汇入涪江，总体呈南北向穿过白羊乡一带。白草河纵坡较大，两侧</w:t>
            </w:r>
            <w:r>
              <w:rPr>
                <w:rFonts w:ascii="宋体" w:hAnsi="宋体"/>
                <w:color w:val="auto"/>
                <w:sz w:val="24"/>
              </w:rPr>
              <w:t>河谷深切，水流</w:t>
            </w:r>
            <w:r>
              <w:rPr>
                <w:rFonts w:hint="eastAsia" w:ascii="宋体" w:hAnsi="宋体"/>
                <w:color w:val="auto"/>
                <w:sz w:val="24"/>
              </w:rPr>
              <w:t>较为</w:t>
            </w:r>
            <w:r>
              <w:rPr>
                <w:rFonts w:ascii="宋体" w:hAnsi="宋体"/>
                <w:color w:val="auto"/>
                <w:sz w:val="24"/>
              </w:rPr>
              <w:t>湍急</w:t>
            </w:r>
            <w:r>
              <w:rPr>
                <w:rFonts w:hint="eastAsia" w:ascii="宋体" w:hAnsi="宋体"/>
                <w:color w:val="auto"/>
                <w:sz w:val="24"/>
              </w:rPr>
              <w:t>。据调查，白草河在调查区周边河宽一般15-30m，平均约20m，平均径流深度约2.0m，流速约1.5m/s，据当地居民介绍，估计历史上最大洪水位超出现河面约2.0m，推测流速达到4.2m/s，推测洪峰流量约392m</w:t>
            </w:r>
            <w:r>
              <w:rPr>
                <w:rFonts w:hint="eastAsia" w:ascii="宋体" w:hAnsi="宋体"/>
                <w:color w:val="auto"/>
                <w:sz w:val="24"/>
                <w:vertAlign w:val="superscript"/>
              </w:rPr>
              <w:t>3</w:t>
            </w:r>
            <w:r>
              <w:rPr>
                <w:rFonts w:hint="eastAsia" w:ascii="宋体" w:hAnsi="宋体"/>
                <w:color w:val="auto"/>
                <w:sz w:val="24"/>
              </w:rPr>
              <w:t>/s，可见其水源较为丰富。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olor w:val="auto"/>
                <w:sz w:val="24"/>
              </w:rPr>
            </w:pPr>
            <w:r>
              <w:rPr>
                <w:rFonts w:hint="eastAsia" w:ascii="宋体" w:hAnsi="宋体"/>
                <w:color w:val="auto"/>
                <w:sz w:val="24"/>
              </w:rPr>
              <w:t>璜环沟总体切割较浅，海拔在1070米至1360米，沟域平均纵向长度0.7km，呈上宽下窄，上部宽度190-220m，下部宽度10-25m，沟域汇水面积0.2km</w:t>
            </w:r>
            <w:r>
              <w:rPr>
                <w:rFonts w:hint="eastAsia" w:ascii="宋体" w:hAnsi="宋体"/>
                <w:color w:val="auto"/>
                <w:sz w:val="24"/>
                <w:vertAlign w:val="superscript"/>
              </w:rPr>
              <w:t>2</w:t>
            </w:r>
            <w:r>
              <w:rPr>
                <w:rFonts w:hint="eastAsia" w:ascii="宋体" w:hAnsi="宋体"/>
                <w:color w:val="auto"/>
                <w:sz w:val="24"/>
              </w:rPr>
              <w:t>，沟道上下缓，中部陡，整体坡降439.4‰，中部坡降538.5‰。沟道中上部出露多处泉水，汇流至沟道，踏勘期间平均流量0.5L</w:t>
            </w:r>
            <w:r>
              <w:rPr>
                <w:rFonts w:ascii="宋体" w:hAnsi="宋体"/>
                <w:color w:val="auto"/>
                <w:sz w:val="24"/>
              </w:rPr>
              <w:t>/s</w:t>
            </w:r>
            <w:r>
              <w:rPr>
                <w:rFonts w:hint="eastAsia" w:ascii="宋体" w:hAnsi="宋体"/>
                <w:color w:val="auto"/>
                <w:sz w:val="24"/>
              </w:rPr>
              <w:t>左右，汛期受降雨影响，流量变化较大</w:t>
            </w:r>
            <w:r>
              <w:rPr>
                <w:rFonts w:ascii="宋体" w:hAnsi="宋体"/>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imes New Roman" w:hAnsi="Times New Roman" w:cs="Times New Roman"/>
                <w:b/>
                <w:bCs w:val="0"/>
                <w:color w:val="auto"/>
                <w:sz w:val="28"/>
                <w:szCs w:val="28"/>
                <w:lang w:val="en-US" w:eastAsia="zh-CN"/>
              </w:rPr>
            </w:pPr>
            <w:r>
              <w:rPr>
                <w:rFonts w:hint="eastAsia" w:ascii="Times New Roman" w:hAnsi="Times New Roman" w:cs="Times New Roman"/>
                <w:b/>
                <w:bCs w:val="0"/>
                <w:color w:val="auto"/>
                <w:sz w:val="28"/>
                <w:szCs w:val="28"/>
                <w:lang w:val="en-US" w:eastAsia="zh-CN"/>
              </w:rPr>
              <w:t>本项目区域内泥石流形成条件及基本特征：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olor w:val="auto"/>
                <w:sz w:val="24"/>
              </w:rPr>
            </w:pPr>
            <w:bookmarkStart w:id="4" w:name="_Toc3589"/>
            <w:bookmarkStart w:id="5" w:name="_Toc225668653"/>
            <w:r>
              <w:rPr>
                <w:rFonts w:hint="eastAsia" w:ascii="宋体" w:hAnsi="宋体"/>
                <w:color w:val="auto"/>
                <w:sz w:val="24"/>
              </w:rPr>
              <w:t>璜环沟沟域形态呈“漏斗”形。后缘至山体分水岭，前缘沟口与白草河交汇，两侧至山脊，流域汇水面积约0.2km</w:t>
            </w:r>
            <w:r>
              <w:rPr>
                <w:rFonts w:hint="eastAsia" w:ascii="宋体" w:hAnsi="宋体"/>
                <w:color w:val="auto"/>
                <w:sz w:val="24"/>
                <w:vertAlign w:val="superscript"/>
              </w:rPr>
              <w:t>2</w:t>
            </w:r>
            <w:r>
              <w:rPr>
                <w:rFonts w:hint="eastAsia" w:ascii="宋体" w:hAnsi="宋体"/>
                <w:color w:val="auto"/>
                <w:sz w:val="24"/>
              </w:rPr>
              <w:t>，沟域最高点高程1360</w:t>
            </w:r>
            <w:r>
              <w:rPr>
                <w:rFonts w:ascii="宋体" w:hAnsi="宋体"/>
                <w:color w:val="auto"/>
                <w:sz w:val="24"/>
              </w:rPr>
              <w:t>m</w:t>
            </w:r>
            <w:r>
              <w:rPr>
                <w:rFonts w:hint="eastAsia" w:ascii="宋体" w:hAnsi="宋体"/>
                <w:color w:val="auto"/>
                <w:sz w:val="24"/>
              </w:rPr>
              <w:t>，最低点位于沟口与白草河交汇处，高程1070</w:t>
            </w:r>
            <w:r>
              <w:rPr>
                <w:rFonts w:ascii="宋体" w:hAnsi="宋体"/>
                <w:color w:val="auto"/>
                <w:sz w:val="24"/>
              </w:rPr>
              <w:t>m</w:t>
            </w:r>
            <w:r>
              <w:rPr>
                <w:rFonts w:hint="eastAsia" w:ascii="宋体" w:hAnsi="宋体"/>
                <w:color w:val="auto"/>
                <w:sz w:val="24"/>
              </w:rPr>
              <w:t>，相对高差290</w:t>
            </w:r>
            <w:r>
              <w:rPr>
                <w:rFonts w:ascii="宋体" w:hAnsi="宋体"/>
                <w:color w:val="auto"/>
                <w:sz w:val="24"/>
              </w:rPr>
              <w:t>m。</w:t>
            </w:r>
            <w:r>
              <w:rPr>
                <w:rFonts w:hint="eastAsia" w:ascii="宋体" w:hAnsi="宋体"/>
                <w:color w:val="auto"/>
                <w:sz w:val="24"/>
              </w:rPr>
              <w:t>发育1条坡面主沟，沟道长度约0.65km；沟道上下缓，中部陡，整体坡降448.2‰。</w:t>
            </w:r>
          </w:p>
          <w:p>
            <w:pPr>
              <w:spacing w:line="360" w:lineRule="auto"/>
              <w:ind w:firstLine="480" w:firstLineChars="200"/>
              <w:rPr>
                <w:rFonts w:hint="eastAsia" w:ascii="宋体" w:hAnsi="宋体"/>
                <w:color w:val="auto"/>
                <w:sz w:val="24"/>
              </w:rPr>
            </w:pPr>
            <w:r>
              <w:rPr>
                <w:rFonts w:hint="eastAsia" w:ascii="宋体" w:hAnsi="宋体"/>
                <w:color w:val="auto"/>
                <w:sz w:val="24"/>
              </w:rPr>
              <w:t>通过调查，该泥石流从整体上可分为三个特征分区：清水区、形成流通区和堆积区。</w:t>
            </w:r>
            <w:r>
              <w:rPr>
                <w:rFonts w:hint="eastAsia" w:ascii="宋体" w:hAnsi="宋体"/>
                <w:color w:val="auto"/>
                <w:sz w:val="24"/>
                <w:szCs w:val="20"/>
              </w:rPr>
              <w:t>主沟1255m以上段，</w:t>
            </w:r>
            <w:r>
              <w:rPr>
                <w:rFonts w:hint="eastAsia" w:ascii="宋体" w:hAnsi="宋体"/>
                <w:color w:val="auto"/>
                <w:sz w:val="24"/>
              </w:rPr>
              <w:t>植被发育，局部基岩出露，地形坡度较小，呈环形漏斗状，有利于水源汇集，</w:t>
            </w:r>
            <w:r>
              <w:rPr>
                <w:rFonts w:hint="eastAsia" w:ascii="宋体" w:hAnsi="宋体"/>
                <w:color w:val="auto"/>
                <w:sz w:val="24"/>
                <w:szCs w:val="20"/>
              </w:rPr>
              <w:t>沟道两侧亦未见侧侵现象，几乎无物源分布，主要</w:t>
            </w:r>
            <w:r>
              <w:rPr>
                <w:rFonts w:hint="eastAsia" w:ascii="宋体" w:hAnsi="宋体"/>
                <w:color w:val="auto"/>
                <w:sz w:val="24"/>
              </w:rPr>
              <w:t>为泥石流形成提供水源条件，划分为泥石流的清水区；</w:t>
            </w:r>
            <w:r>
              <w:rPr>
                <w:rFonts w:hint="eastAsia" w:ascii="宋体" w:hAnsi="宋体"/>
                <w:color w:val="auto"/>
                <w:sz w:val="24"/>
                <w:szCs w:val="20"/>
              </w:rPr>
              <w:t>1115m至1255m段，</w:t>
            </w:r>
            <w:r>
              <w:rPr>
                <w:rFonts w:hint="eastAsia" w:ascii="宋体" w:hAnsi="宋体"/>
                <w:color w:val="auto"/>
                <w:sz w:val="24"/>
              </w:rPr>
              <w:t>沟道纵坡降大，两侧岸坡坡度多在40°至70°之间，沟道切割较深，一般5-10m，第四系松散覆盖层堆积较厚，在雨水的持续冲刷下，</w:t>
            </w:r>
            <w:r>
              <w:rPr>
                <w:rFonts w:hint="eastAsia" w:ascii="宋体" w:hAnsi="宋体"/>
                <w:color w:val="auto"/>
                <w:sz w:val="24"/>
                <w:szCs w:val="20"/>
              </w:rPr>
              <w:t>沟道两岸存在一定侵蚀现象，局部地段发育滑坡，</w:t>
            </w:r>
            <w:r>
              <w:rPr>
                <w:rFonts w:hint="eastAsia" w:ascii="宋体" w:hAnsi="宋体"/>
                <w:color w:val="auto"/>
                <w:sz w:val="24"/>
              </w:rPr>
              <w:t>为泥石流形成提供了最为重要的物源条件，划分为泥石流的形成流通区；</w:t>
            </w:r>
            <w:r>
              <w:rPr>
                <w:rFonts w:hint="eastAsia" w:ascii="宋体" w:hAnsi="宋体"/>
                <w:color w:val="auto"/>
                <w:sz w:val="24"/>
                <w:szCs w:val="20"/>
              </w:rPr>
              <w:t>1115m至沟口段</w:t>
            </w:r>
            <w:r>
              <w:rPr>
                <w:rFonts w:hint="eastAsia" w:ascii="宋体" w:hAnsi="宋体"/>
                <w:color w:val="auto"/>
                <w:sz w:val="24"/>
              </w:rPr>
              <w:t>，沟道坡降减小，沟宽增大，有利于泥石流固体物质堆积，为泥石流的堆积区，也是该泥石流的危险区。</w:t>
            </w:r>
          </w:p>
          <w:p>
            <w:pPr>
              <w:jc w:val="center"/>
              <w:rPr>
                <w:rFonts w:hint="eastAsia"/>
                <w:b/>
                <w:bCs/>
                <w:color w:val="auto"/>
                <w:szCs w:val="21"/>
                <w:lang w:val="en-US" w:eastAsia="zh-CN"/>
              </w:rPr>
            </w:pPr>
            <w:r>
              <w:rPr>
                <w:rFonts w:hint="eastAsia"/>
                <w:b/>
                <w:bCs/>
                <w:color w:val="auto"/>
                <w:szCs w:val="21"/>
                <w:lang w:val="en-US" w:eastAsia="zh-CN"/>
              </w:rPr>
              <w:t>表2-3  泥石流沟道特征表</w:t>
            </w:r>
          </w:p>
          <w:tbl>
            <w:tblPr>
              <w:tblStyle w:val="51"/>
              <w:tblW w:w="90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314"/>
              <w:gridCol w:w="1181"/>
              <w:gridCol w:w="1969"/>
              <w:gridCol w:w="1313"/>
              <w:gridCol w:w="18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412" w:type="dxa"/>
                  <w:tcBorders>
                    <w:tl2br w:val="nil"/>
                    <w:tr2bl w:val="nil"/>
                  </w:tcBorders>
                  <w:noWrap w:val="0"/>
                  <w:vAlign w:val="center"/>
                </w:tcPr>
                <w:p>
                  <w:pPr>
                    <w:spacing w:line="300" w:lineRule="exact"/>
                    <w:jc w:val="center"/>
                    <w:rPr>
                      <w:rFonts w:ascii="宋体" w:hAnsi="宋体" w:cs="宋体"/>
                      <w:b/>
                      <w:bCs/>
                      <w:color w:val="auto"/>
                      <w:kern w:val="0"/>
                      <w:szCs w:val="21"/>
                      <w:lang w:eastAsia="en-US"/>
                    </w:rPr>
                  </w:pPr>
                  <w:r>
                    <w:rPr>
                      <w:rFonts w:hint="eastAsia" w:ascii="宋体" w:hAnsi="宋体" w:cs="宋体"/>
                      <w:b/>
                      <w:bCs/>
                      <w:color w:val="auto"/>
                      <w:kern w:val="0"/>
                      <w:szCs w:val="21"/>
                      <w:lang w:eastAsia="en-US"/>
                    </w:rPr>
                    <w:t>区域</w:t>
                  </w:r>
                </w:p>
              </w:tc>
              <w:tc>
                <w:tcPr>
                  <w:tcW w:w="1314" w:type="dxa"/>
                  <w:tcBorders>
                    <w:tl2br w:val="nil"/>
                    <w:tr2bl w:val="nil"/>
                  </w:tcBorders>
                  <w:noWrap w:val="0"/>
                  <w:vAlign w:val="center"/>
                </w:tcPr>
                <w:p>
                  <w:pPr>
                    <w:spacing w:line="300" w:lineRule="exact"/>
                    <w:jc w:val="center"/>
                    <w:rPr>
                      <w:rFonts w:ascii="宋体" w:hAnsi="宋体" w:cs="宋体"/>
                      <w:b/>
                      <w:bCs/>
                      <w:color w:val="auto"/>
                      <w:kern w:val="0"/>
                      <w:szCs w:val="21"/>
                      <w:lang w:eastAsia="en-US"/>
                    </w:rPr>
                  </w:pPr>
                  <w:r>
                    <w:rPr>
                      <w:rFonts w:hint="eastAsia" w:ascii="宋体" w:hAnsi="宋体" w:cs="宋体"/>
                      <w:b/>
                      <w:bCs/>
                      <w:color w:val="auto"/>
                      <w:kern w:val="0"/>
                      <w:szCs w:val="21"/>
                      <w:lang w:eastAsia="en-US"/>
                    </w:rPr>
                    <w:t>面积（km</w:t>
                  </w:r>
                  <w:r>
                    <w:rPr>
                      <w:rFonts w:hint="eastAsia" w:ascii="宋体" w:hAnsi="宋体" w:cs="宋体"/>
                      <w:b/>
                      <w:bCs/>
                      <w:color w:val="auto"/>
                      <w:kern w:val="0"/>
                      <w:szCs w:val="21"/>
                      <w:vertAlign w:val="superscript"/>
                      <w:lang w:eastAsia="en-US"/>
                    </w:rPr>
                    <w:t>2</w:t>
                  </w:r>
                  <w:r>
                    <w:rPr>
                      <w:rFonts w:hint="eastAsia" w:ascii="宋体" w:hAnsi="宋体" w:cs="宋体"/>
                      <w:b/>
                      <w:bCs/>
                      <w:color w:val="auto"/>
                      <w:kern w:val="0"/>
                      <w:szCs w:val="21"/>
                      <w:lang w:eastAsia="en-US"/>
                    </w:rPr>
                    <w:t>）</w:t>
                  </w:r>
                </w:p>
              </w:tc>
              <w:tc>
                <w:tcPr>
                  <w:tcW w:w="1181" w:type="dxa"/>
                  <w:tcBorders>
                    <w:tl2br w:val="nil"/>
                    <w:tr2bl w:val="nil"/>
                  </w:tcBorders>
                  <w:noWrap w:val="0"/>
                  <w:vAlign w:val="center"/>
                </w:tcPr>
                <w:p>
                  <w:pPr>
                    <w:spacing w:line="300" w:lineRule="exact"/>
                    <w:jc w:val="center"/>
                    <w:rPr>
                      <w:rFonts w:ascii="宋体" w:hAnsi="宋体" w:cs="宋体"/>
                      <w:b/>
                      <w:bCs/>
                      <w:color w:val="auto"/>
                      <w:kern w:val="0"/>
                      <w:szCs w:val="21"/>
                      <w:lang w:eastAsia="en-US"/>
                    </w:rPr>
                  </w:pPr>
                  <w:r>
                    <w:rPr>
                      <w:rFonts w:hint="eastAsia" w:ascii="宋体" w:hAnsi="宋体" w:cs="宋体"/>
                      <w:b/>
                      <w:bCs/>
                      <w:color w:val="auto"/>
                      <w:kern w:val="0"/>
                      <w:szCs w:val="21"/>
                      <w:lang w:eastAsia="en-US"/>
                    </w:rPr>
                    <w:t>沟长（m）</w:t>
                  </w:r>
                </w:p>
              </w:tc>
              <w:tc>
                <w:tcPr>
                  <w:tcW w:w="1969" w:type="dxa"/>
                  <w:tcBorders>
                    <w:tl2br w:val="nil"/>
                    <w:tr2bl w:val="nil"/>
                  </w:tcBorders>
                  <w:noWrap w:val="0"/>
                  <w:vAlign w:val="center"/>
                </w:tcPr>
                <w:p>
                  <w:pPr>
                    <w:spacing w:line="300" w:lineRule="exact"/>
                    <w:jc w:val="center"/>
                    <w:rPr>
                      <w:rFonts w:ascii="宋体" w:hAnsi="宋体" w:cs="宋体"/>
                      <w:b/>
                      <w:bCs/>
                      <w:color w:val="auto"/>
                      <w:kern w:val="0"/>
                      <w:szCs w:val="21"/>
                      <w:lang w:eastAsia="en-US"/>
                    </w:rPr>
                  </w:pPr>
                  <w:r>
                    <w:rPr>
                      <w:rFonts w:hint="eastAsia" w:ascii="宋体" w:hAnsi="宋体" w:cs="宋体"/>
                      <w:b/>
                      <w:bCs/>
                      <w:color w:val="auto"/>
                      <w:kern w:val="0"/>
                      <w:szCs w:val="21"/>
                      <w:lang w:eastAsia="en-US"/>
                    </w:rPr>
                    <w:t>沟道高程范围（m）</w:t>
                  </w:r>
                </w:p>
              </w:tc>
              <w:tc>
                <w:tcPr>
                  <w:tcW w:w="1313" w:type="dxa"/>
                  <w:tcBorders>
                    <w:tl2br w:val="nil"/>
                    <w:tr2bl w:val="nil"/>
                  </w:tcBorders>
                  <w:noWrap w:val="0"/>
                  <w:vAlign w:val="center"/>
                </w:tcPr>
                <w:p>
                  <w:pPr>
                    <w:spacing w:line="300" w:lineRule="exact"/>
                    <w:jc w:val="center"/>
                    <w:rPr>
                      <w:rFonts w:ascii="宋体" w:hAnsi="宋体" w:cs="宋体"/>
                      <w:b/>
                      <w:bCs/>
                      <w:color w:val="auto"/>
                      <w:kern w:val="0"/>
                      <w:szCs w:val="21"/>
                      <w:lang w:eastAsia="en-US"/>
                    </w:rPr>
                  </w:pPr>
                  <w:r>
                    <w:rPr>
                      <w:rFonts w:hint="eastAsia" w:ascii="宋体" w:hAnsi="宋体" w:cs="宋体"/>
                      <w:b/>
                      <w:bCs/>
                      <w:color w:val="auto"/>
                      <w:kern w:val="0"/>
                      <w:szCs w:val="21"/>
                      <w:lang w:eastAsia="en-US"/>
                    </w:rPr>
                    <w:t>高差（m）</w:t>
                  </w:r>
                </w:p>
              </w:tc>
              <w:tc>
                <w:tcPr>
                  <w:tcW w:w="1826" w:type="dxa"/>
                  <w:tcBorders>
                    <w:tl2br w:val="nil"/>
                    <w:tr2bl w:val="nil"/>
                  </w:tcBorders>
                  <w:noWrap w:val="0"/>
                  <w:vAlign w:val="center"/>
                </w:tcPr>
                <w:p>
                  <w:pPr>
                    <w:spacing w:line="300" w:lineRule="exact"/>
                    <w:jc w:val="center"/>
                    <w:rPr>
                      <w:rFonts w:ascii="宋体" w:hAnsi="宋体" w:cs="宋体"/>
                      <w:b/>
                      <w:bCs/>
                      <w:color w:val="auto"/>
                      <w:kern w:val="0"/>
                      <w:szCs w:val="21"/>
                      <w:lang w:eastAsia="en-US"/>
                    </w:rPr>
                  </w:pPr>
                  <w:r>
                    <w:rPr>
                      <w:rFonts w:hint="eastAsia" w:ascii="宋体" w:hAnsi="宋体" w:cs="宋体"/>
                      <w:b/>
                      <w:bCs/>
                      <w:color w:val="auto"/>
                      <w:kern w:val="0"/>
                      <w:szCs w:val="21"/>
                      <w:lang w:eastAsia="en-US"/>
                    </w:rPr>
                    <w:t>沟床纵比降（‰）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412" w:type="dxa"/>
                  <w:tcBorders>
                    <w:tl2br w:val="nil"/>
                    <w:tr2bl w:val="nil"/>
                  </w:tcBorders>
                  <w:noWrap w:val="0"/>
                  <w:vAlign w:val="center"/>
                </w:tcPr>
                <w:p>
                  <w:pPr>
                    <w:spacing w:line="300" w:lineRule="exact"/>
                    <w:jc w:val="center"/>
                    <w:rPr>
                      <w:rFonts w:ascii="宋体" w:hAnsi="宋体" w:cs="宋体"/>
                      <w:bCs/>
                      <w:color w:val="auto"/>
                      <w:kern w:val="0"/>
                      <w:szCs w:val="21"/>
                      <w:lang w:eastAsia="en-US"/>
                    </w:rPr>
                  </w:pPr>
                  <w:r>
                    <w:rPr>
                      <w:rFonts w:hint="eastAsia" w:ascii="宋体" w:hAnsi="宋体" w:cs="宋体"/>
                      <w:bCs/>
                      <w:color w:val="auto"/>
                      <w:kern w:val="0"/>
                      <w:szCs w:val="21"/>
                      <w:lang w:eastAsia="en-US"/>
                    </w:rPr>
                    <w:t>堆积区</w:t>
                  </w:r>
                </w:p>
              </w:tc>
              <w:tc>
                <w:tcPr>
                  <w:tcW w:w="1314"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lang w:eastAsia="en-US"/>
                    </w:rPr>
                    <w:t>0.0</w:t>
                  </w:r>
                  <w:r>
                    <w:rPr>
                      <w:rFonts w:hint="eastAsia" w:ascii="宋体" w:hAnsi="宋体" w:cs="宋体"/>
                      <w:bCs/>
                      <w:color w:val="auto"/>
                      <w:kern w:val="0"/>
                      <w:szCs w:val="21"/>
                    </w:rPr>
                    <w:t>2</w:t>
                  </w:r>
                </w:p>
              </w:tc>
              <w:tc>
                <w:tcPr>
                  <w:tcW w:w="1181"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133</w:t>
                  </w:r>
                </w:p>
              </w:tc>
              <w:tc>
                <w:tcPr>
                  <w:tcW w:w="1969"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1070-1115</w:t>
                  </w:r>
                </w:p>
              </w:tc>
              <w:tc>
                <w:tcPr>
                  <w:tcW w:w="1313"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45</w:t>
                  </w:r>
                </w:p>
              </w:tc>
              <w:tc>
                <w:tcPr>
                  <w:tcW w:w="1826"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338.3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412" w:type="dxa"/>
                  <w:tcBorders>
                    <w:tl2br w:val="nil"/>
                    <w:tr2bl w:val="nil"/>
                  </w:tcBorders>
                  <w:noWrap w:val="0"/>
                  <w:vAlign w:val="center"/>
                </w:tcPr>
                <w:p>
                  <w:pPr>
                    <w:spacing w:line="300" w:lineRule="exact"/>
                    <w:jc w:val="center"/>
                    <w:rPr>
                      <w:rFonts w:ascii="宋体" w:hAnsi="宋体" w:cs="宋体"/>
                      <w:bCs/>
                      <w:color w:val="auto"/>
                      <w:kern w:val="0"/>
                      <w:szCs w:val="21"/>
                      <w:lang w:eastAsia="en-US"/>
                    </w:rPr>
                  </w:pPr>
                  <w:r>
                    <w:rPr>
                      <w:rFonts w:hint="eastAsia" w:ascii="宋体" w:hAnsi="宋体" w:cs="宋体"/>
                      <w:bCs/>
                      <w:color w:val="auto"/>
                      <w:kern w:val="0"/>
                      <w:szCs w:val="21"/>
                      <w:lang w:eastAsia="en-US"/>
                    </w:rPr>
                    <w:t>形成流通区</w:t>
                  </w:r>
                </w:p>
              </w:tc>
              <w:tc>
                <w:tcPr>
                  <w:tcW w:w="1314"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lang w:eastAsia="en-US"/>
                    </w:rPr>
                    <w:t>0.0</w:t>
                  </w:r>
                  <w:r>
                    <w:rPr>
                      <w:rFonts w:hint="eastAsia" w:ascii="宋体" w:hAnsi="宋体" w:cs="宋体"/>
                      <w:bCs/>
                      <w:color w:val="auto"/>
                      <w:kern w:val="0"/>
                      <w:szCs w:val="21"/>
                    </w:rPr>
                    <w:t>8</w:t>
                  </w:r>
                </w:p>
              </w:tc>
              <w:tc>
                <w:tcPr>
                  <w:tcW w:w="1181" w:type="dxa"/>
                  <w:tcBorders>
                    <w:tl2br w:val="nil"/>
                    <w:tr2bl w:val="nil"/>
                  </w:tcBorders>
                  <w:noWrap w:val="0"/>
                  <w:vAlign w:val="center"/>
                </w:tcPr>
                <w:p>
                  <w:pPr>
                    <w:spacing w:line="300" w:lineRule="exact"/>
                    <w:jc w:val="center"/>
                    <w:rPr>
                      <w:rFonts w:ascii="宋体" w:hAnsi="宋体" w:cs="宋体"/>
                      <w:bCs/>
                      <w:color w:val="auto"/>
                      <w:kern w:val="0"/>
                      <w:szCs w:val="21"/>
                      <w:lang w:eastAsia="en-US"/>
                    </w:rPr>
                  </w:pPr>
                  <w:r>
                    <w:rPr>
                      <w:rFonts w:hint="eastAsia" w:ascii="宋体" w:hAnsi="宋体" w:cs="宋体"/>
                      <w:bCs/>
                      <w:color w:val="auto"/>
                      <w:kern w:val="0"/>
                      <w:szCs w:val="21"/>
                    </w:rPr>
                    <w:t>272</w:t>
                  </w:r>
                </w:p>
              </w:tc>
              <w:tc>
                <w:tcPr>
                  <w:tcW w:w="1969"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1115-1255</w:t>
                  </w:r>
                </w:p>
              </w:tc>
              <w:tc>
                <w:tcPr>
                  <w:tcW w:w="1313" w:type="dxa"/>
                  <w:tcBorders>
                    <w:tl2br w:val="nil"/>
                    <w:tr2bl w:val="nil"/>
                  </w:tcBorders>
                  <w:noWrap w:val="0"/>
                  <w:vAlign w:val="center"/>
                </w:tcPr>
                <w:p>
                  <w:pPr>
                    <w:spacing w:line="300" w:lineRule="exact"/>
                    <w:jc w:val="center"/>
                    <w:rPr>
                      <w:rFonts w:ascii="宋体" w:hAnsi="宋体" w:cs="宋体"/>
                      <w:bCs/>
                      <w:color w:val="auto"/>
                      <w:kern w:val="0"/>
                      <w:szCs w:val="21"/>
                      <w:lang w:eastAsia="en-US"/>
                    </w:rPr>
                  </w:pPr>
                  <w:r>
                    <w:rPr>
                      <w:rFonts w:hint="eastAsia" w:ascii="宋体" w:hAnsi="宋体" w:cs="宋体"/>
                      <w:bCs/>
                      <w:color w:val="auto"/>
                      <w:kern w:val="0"/>
                      <w:szCs w:val="21"/>
                    </w:rPr>
                    <w:t>140</w:t>
                  </w:r>
                </w:p>
              </w:tc>
              <w:tc>
                <w:tcPr>
                  <w:tcW w:w="1826"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514.7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12" w:type="dxa"/>
                  <w:tcBorders>
                    <w:tl2br w:val="nil"/>
                    <w:tr2bl w:val="nil"/>
                  </w:tcBorders>
                  <w:noWrap w:val="0"/>
                  <w:vAlign w:val="center"/>
                </w:tcPr>
                <w:p>
                  <w:pPr>
                    <w:spacing w:line="300" w:lineRule="exact"/>
                    <w:jc w:val="center"/>
                    <w:rPr>
                      <w:rFonts w:ascii="宋体" w:hAnsi="宋体" w:cs="宋体"/>
                      <w:bCs/>
                      <w:color w:val="auto"/>
                      <w:kern w:val="0"/>
                      <w:szCs w:val="21"/>
                      <w:lang w:eastAsia="en-US"/>
                    </w:rPr>
                  </w:pPr>
                  <w:r>
                    <w:rPr>
                      <w:rFonts w:hint="eastAsia" w:ascii="宋体" w:hAnsi="宋体" w:cs="宋体"/>
                      <w:bCs/>
                      <w:color w:val="auto"/>
                      <w:kern w:val="0"/>
                      <w:szCs w:val="21"/>
                      <w:lang w:eastAsia="en-US"/>
                    </w:rPr>
                    <w:t>清水区</w:t>
                  </w:r>
                </w:p>
              </w:tc>
              <w:tc>
                <w:tcPr>
                  <w:tcW w:w="1314"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lang w:eastAsia="en-US"/>
                    </w:rPr>
                    <w:t>0.</w:t>
                  </w:r>
                  <w:r>
                    <w:rPr>
                      <w:rFonts w:hint="eastAsia" w:ascii="宋体" w:hAnsi="宋体" w:cs="宋体"/>
                      <w:bCs/>
                      <w:color w:val="auto"/>
                      <w:kern w:val="0"/>
                      <w:szCs w:val="21"/>
                    </w:rPr>
                    <w:t>1</w:t>
                  </w:r>
                </w:p>
              </w:tc>
              <w:tc>
                <w:tcPr>
                  <w:tcW w:w="1181" w:type="dxa"/>
                  <w:tcBorders>
                    <w:tl2br w:val="nil"/>
                    <w:tr2bl w:val="nil"/>
                  </w:tcBorders>
                  <w:noWrap w:val="0"/>
                  <w:vAlign w:val="center"/>
                </w:tcPr>
                <w:p>
                  <w:pPr>
                    <w:spacing w:line="300" w:lineRule="exact"/>
                    <w:jc w:val="center"/>
                    <w:rPr>
                      <w:rFonts w:ascii="宋体" w:hAnsi="宋体" w:cs="宋体"/>
                      <w:bCs/>
                      <w:color w:val="auto"/>
                      <w:kern w:val="0"/>
                      <w:szCs w:val="21"/>
                      <w:lang w:eastAsia="en-US"/>
                    </w:rPr>
                  </w:pPr>
                  <w:r>
                    <w:rPr>
                      <w:rFonts w:hint="eastAsia" w:ascii="宋体" w:hAnsi="宋体" w:cs="宋体"/>
                      <w:bCs/>
                      <w:color w:val="auto"/>
                      <w:kern w:val="0"/>
                      <w:szCs w:val="21"/>
                    </w:rPr>
                    <w:t>242</w:t>
                  </w:r>
                </w:p>
              </w:tc>
              <w:tc>
                <w:tcPr>
                  <w:tcW w:w="1969"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1255-1360</w:t>
                  </w:r>
                </w:p>
              </w:tc>
              <w:tc>
                <w:tcPr>
                  <w:tcW w:w="1313"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105</w:t>
                  </w:r>
                </w:p>
              </w:tc>
              <w:tc>
                <w:tcPr>
                  <w:tcW w:w="1826" w:type="dxa"/>
                  <w:tcBorders>
                    <w:tl2br w:val="nil"/>
                    <w:tr2bl w:val="nil"/>
                  </w:tcBorders>
                  <w:noWrap w:val="0"/>
                  <w:vAlign w:val="center"/>
                </w:tcPr>
                <w:p>
                  <w:pPr>
                    <w:spacing w:line="300" w:lineRule="exact"/>
                    <w:jc w:val="center"/>
                    <w:rPr>
                      <w:rFonts w:ascii="宋体" w:hAnsi="宋体" w:cs="宋体"/>
                      <w:bCs/>
                      <w:color w:val="auto"/>
                      <w:kern w:val="0"/>
                      <w:szCs w:val="21"/>
                    </w:rPr>
                  </w:pPr>
                  <w:r>
                    <w:rPr>
                      <w:rFonts w:hint="eastAsia" w:ascii="宋体" w:hAnsi="宋体" w:cs="宋体"/>
                      <w:bCs/>
                      <w:color w:val="auto"/>
                      <w:kern w:val="0"/>
                      <w:szCs w:val="21"/>
                    </w:rPr>
                    <w:t>433.9</w:t>
                  </w:r>
                </w:p>
              </w:tc>
            </w:tr>
          </w:tbl>
          <w:p>
            <w:pPr>
              <w:spacing w:line="360" w:lineRule="auto"/>
              <w:ind w:firstLine="480" w:firstLineChars="200"/>
              <w:rPr>
                <w:rFonts w:hint="eastAsia" w:ascii="宋体" w:hAnsi="宋体"/>
                <w:color w:val="auto"/>
                <w:sz w:val="24"/>
              </w:rPr>
            </w:pPr>
            <w:r>
              <w:rPr>
                <w:rFonts w:hint="eastAsia" w:ascii="宋体" w:hAnsi="宋体"/>
                <w:color w:val="auto"/>
                <w:sz w:val="24"/>
              </w:rPr>
              <w:t>（1）清水区地形地貌特征</w:t>
            </w:r>
          </w:p>
          <w:p>
            <w:pPr>
              <w:spacing w:line="360" w:lineRule="auto"/>
              <w:ind w:firstLine="480" w:firstLineChars="200"/>
              <w:rPr>
                <w:rFonts w:hint="eastAsia" w:ascii="宋体" w:hAnsi="宋体"/>
                <w:color w:val="auto"/>
                <w:sz w:val="24"/>
              </w:rPr>
            </w:pPr>
            <w:r>
              <w:rPr>
                <w:rFonts w:hint="eastAsia" w:ascii="宋体" w:hAnsi="宋体"/>
                <w:color w:val="auto"/>
                <w:sz w:val="24"/>
              </w:rPr>
              <w:t>从整体沟域上看，清水区位于坡面物源以上沟段,呈环形漏斗状，集水面积约0.1km</w:t>
            </w:r>
            <w:r>
              <w:rPr>
                <w:rFonts w:hint="eastAsia" w:ascii="宋体" w:hAnsi="宋体"/>
                <w:color w:val="auto"/>
                <w:sz w:val="24"/>
                <w:vertAlign w:val="superscript"/>
              </w:rPr>
              <w:t>2</w:t>
            </w:r>
            <w:r>
              <w:rPr>
                <w:rFonts w:hint="eastAsia" w:ascii="宋体" w:hAnsi="宋体"/>
                <w:color w:val="auto"/>
                <w:sz w:val="24"/>
              </w:rPr>
              <w:t>，海拔高程在1255～1360m之间，相对高差约105m，沟长约242m，平均纵坡433.9‰。该沟段在坡面上切割较浅，切割深度约0.5～1m。坡体上松散堆积层覆盖较薄，局部基岩出露，顶部植被发育较好，斜坡稳定性较好，经现场调查，未见不良地质现象发育。</w:t>
            </w:r>
          </w:p>
          <w:p>
            <w:pPr>
              <w:spacing w:line="360" w:lineRule="auto"/>
              <w:ind w:firstLine="480" w:firstLineChars="200"/>
              <w:rPr>
                <w:rFonts w:hint="eastAsia" w:ascii="宋体" w:hAnsi="宋体"/>
                <w:color w:val="auto"/>
                <w:sz w:val="24"/>
              </w:rPr>
            </w:pPr>
            <w:r>
              <w:rPr>
                <w:rFonts w:hint="eastAsia" w:ascii="宋体" w:hAnsi="宋体"/>
                <w:color w:val="auto"/>
                <w:sz w:val="24"/>
              </w:rPr>
              <w:t>该区域特殊的集水地形使地表水汇流后顺坡而下，为泥石流沟提供了重要的水力条件。</w:t>
            </w:r>
          </w:p>
          <w:p>
            <w:pPr>
              <w:spacing w:line="360" w:lineRule="auto"/>
              <w:ind w:firstLine="480" w:firstLineChars="200"/>
              <w:rPr>
                <w:rFonts w:hint="eastAsia" w:ascii="宋体" w:hAnsi="宋体"/>
                <w:color w:val="auto"/>
                <w:sz w:val="24"/>
              </w:rPr>
            </w:pPr>
            <w:r>
              <w:rPr>
                <w:rFonts w:hint="eastAsia" w:ascii="宋体" w:hAnsi="宋体"/>
                <w:color w:val="auto"/>
                <w:sz w:val="24"/>
              </w:rPr>
              <w:t>（2）形成流通区地形地貌特征</w:t>
            </w:r>
          </w:p>
          <w:p>
            <w:pPr>
              <w:spacing w:line="360" w:lineRule="auto"/>
              <w:ind w:firstLine="480" w:firstLineChars="200"/>
              <w:rPr>
                <w:rFonts w:hint="eastAsia" w:ascii="宋体" w:hAnsi="宋体"/>
                <w:color w:val="auto"/>
                <w:sz w:val="24"/>
              </w:rPr>
            </w:pPr>
            <w:r>
              <w:rPr>
                <w:rFonts w:hint="eastAsia" w:ascii="宋体" w:hAnsi="宋体"/>
                <w:color w:val="auto"/>
                <w:sz w:val="24"/>
              </w:rPr>
              <w:t>该区位于清水区以下，沟道中游，汇水面积约0.08km</w:t>
            </w:r>
            <w:r>
              <w:rPr>
                <w:rFonts w:hint="eastAsia" w:ascii="宋体" w:hAnsi="宋体"/>
                <w:color w:val="auto"/>
                <w:sz w:val="24"/>
                <w:vertAlign w:val="superscript"/>
              </w:rPr>
              <w:t>2</w:t>
            </w:r>
            <w:r>
              <w:rPr>
                <w:rFonts w:hint="eastAsia" w:ascii="宋体" w:hAnsi="宋体"/>
                <w:color w:val="auto"/>
                <w:sz w:val="24"/>
              </w:rPr>
              <w:t>，海拔高程在1115～1255m之间，相对高差140m，主沟长约272m，沟道纵坡坡度相对清水区陡，平均纵坡比降约514.7‰，具明显的冲沟形态，呈“V”字形，切割深度一般5-10m，底宽1～3m，沟岸坡度约40°～70°，两侧第四系覆盖层厚约2～5m。</w:t>
            </w:r>
          </w:p>
          <w:p>
            <w:pPr>
              <w:spacing w:line="360" w:lineRule="auto"/>
              <w:ind w:firstLine="480" w:firstLineChars="200"/>
              <w:rPr>
                <w:rFonts w:hint="eastAsia" w:ascii="宋体" w:hAnsi="宋体"/>
                <w:color w:val="auto"/>
                <w:sz w:val="24"/>
              </w:rPr>
            </w:pPr>
            <w:r>
              <w:rPr>
                <w:rFonts w:hint="eastAsia" w:ascii="宋体" w:hAnsi="宋体"/>
                <w:color w:val="auto"/>
                <w:sz w:val="24"/>
              </w:rPr>
              <w:t>该区段上游泥石流运动特征以堵溃为主，同时伴有下切侵蚀冲刷作用。滑坡较发育，松散物质较丰富，为泥石流提供了丰富的松散固体物源。堆积于岸坡的松散体在较长时间雨水浸入情况下易滑移堵塞沟道，沟道内坡降较大，在暴雨作用下发生堵溃，松散物源沿沟道而下形成泥石流。在该区段下游沟段，沟谷相对较宽缓，该区段泥石流主要表现为沟床揭底冲刷的运动特征，同时伴有因流速降低，而表现出的淤积特征。</w:t>
            </w:r>
          </w:p>
          <w:p>
            <w:pPr>
              <w:spacing w:line="360" w:lineRule="auto"/>
              <w:ind w:firstLine="480" w:firstLineChars="200"/>
              <w:rPr>
                <w:rFonts w:hint="eastAsia" w:ascii="宋体" w:hAnsi="宋体"/>
                <w:color w:val="auto"/>
                <w:sz w:val="28"/>
                <w:szCs w:val="28"/>
              </w:rPr>
            </w:pPr>
            <w:r>
              <w:rPr>
                <w:rFonts w:hint="eastAsia" w:ascii="宋体" w:hAnsi="宋体"/>
                <w:color w:val="auto"/>
                <w:sz w:val="24"/>
              </w:rPr>
              <w:t>根据现场调查，该区段不良地质现象较发育，包括2处崩滑物源点和1处坡面侵蚀物源点，为泥石流的发育提供了主要松散固体物源。</w:t>
            </w:r>
          </w:p>
          <w:p>
            <w:pPr>
              <w:spacing w:line="360" w:lineRule="auto"/>
              <w:ind w:firstLine="480" w:firstLineChars="200"/>
              <w:rPr>
                <w:rFonts w:hint="eastAsia" w:ascii="宋体" w:hAnsi="宋体"/>
                <w:color w:val="auto"/>
                <w:sz w:val="24"/>
              </w:rPr>
            </w:pPr>
            <w:r>
              <w:rPr>
                <w:rFonts w:hint="eastAsia" w:ascii="宋体" w:hAnsi="宋体"/>
                <w:color w:val="auto"/>
                <w:sz w:val="24"/>
              </w:rPr>
              <w:t>（3）堆积区地形地貌特征</w:t>
            </w:r>
          </w:p>
          <w:p>
            <w:pPr>
              <w:spacing w:line="360" w:lineRule="auto"/>
              <w:ind w:firstLine="480" w:firstLineChars="200"/>
              <w:rPr>
                <w:rFonts w:hint="eastAsia" w:ascii="宋体" w:hAnsi="宋体"/>
                <w:color w:val="auto"/>
                <w:sz w:val="24"/>
              </w:rPr>
            </w:pPr>
            <w:r>
              <w:rPr>
                <w:rFonts w:hint="eastAsia" w:ascii="宋体" w:hAnsi="宋体"/>
                <w:color w:val="auto"/>
                <w:sz w:val="24"/>
              </w:rPr>
              <w:t>该区位于沟道下游至白草河段，面积约0.02km</w:t>
            </w:r>
            <w:r>
              <w:rPr>
                <w:rFonts w:hint="eastAsia" w:ascii="宋体" w:hAnsi="宋体"/>
                <w:color w:val="auto"/>
                <w:sz w:val="24"/>
                <w:vertAlign w:val="superscript"/>
              </w:rPr>
              <w:t>2</w:t>
            </w:r>
            <w:r>
              <w:rPr>
                <w:rFonts w:hint="eastAsia" w:ascii="宋体" w:hAnsi="宋体"/>
                <w:color w:val="auto"/>
                <w:sz w:val="24"/>
              </w:rPr>
              <w:t xml:space="preserve">，地形坡度较缓，海拔高程在1070～1115m，相对高差约45m，长度约133m，沟道纵坡比降约338.3‰。由于沟道下段地形变得开阔平缓，不利于泥石流排泄，泥石流固体物质大部分堆积于沟口及村道路面，阻塞交通要道。村道外侧为近10m的陡坎，陡坎下部为乡道，均无排导措施，部分泥石流冲过村道后，经陡坎近似垂直跌落于乡道内侧，呈锥形状，掩埋部分公路，乡道外侧为白草河电站库区。 </w:t>
            </w:r>
          </w:p>
          <w:p>
            <w:pPr>
              <w:spacing w:line="360" w:lineRule="auto"/>
              <w:ind w:firstLine="480" w:firstLineChars="200"/>
              <w:rPr>
                <w:rFonts w:hint="eastAsia" w:ascii="宋体" w:hAnsi="宋体"/>
                <w:b/>
                <w:color w:val="auto"/>
                <w:sz w:val="24"/>
              </w:rPr>
            </w:pPr>
            <w:r>
              <w:rPr>
                <w:rFonts w:hint="eastAsia" w:ascii="宋体" w:hAnsi="宋体"/>
                <w:color w:val="auto"/>
                <w:sz w:val="24"/>
              </w:rPr>
              <w:t>由于公路抢通对部分泥石流堆积物进行了清理，目前泥石流堆积扇形态不完整。据访问调查，2019年“8.20”强降雨期间，该沟再次暴发泥石流，泥石流固体物质出沟后形成“长条”状堆积扇。堆积扇长约28m，平均宽约17m，厚0.5～1.5m，平均厚约1m，方量约480m³。</w:t>
            </w:r>
          </w:p>
          <w:bookmarkEnd w:id="4"/>
          <w:bookmarkEnd w:id="5"/>
          <w:p>
            <w:pPr>
              <w:spacing w:line="360" w:lineRule="auto"/>
              <w:ind w:firstLine="480" w:firstLineChars="200"/>
              <w:rPr>
                <w:rFonts w:hint="eastAsia" w:ascii="宋体" w:hAnsi="宋体"/>
                <w:color w:val="auto"/>
                <w:sz w:val="28"/>
                <w:szCs w:val="28"/>
              </w:rPr>
            </w:pPr>
            <w:r>
              <w:rPr>
                <w:rFonts w:hint="eastAsia"/>
                <w:color w:val="auto"/>
                <w:sz w:val="24"/>
              </w:rPr>
              <w:t>璜环沟泥石流的松散固体物源</w:t>
            </w:r>
            <w:r>
              <w:rPr>
                <w:rFonts w:hint="eastAsia" w:ascii="宋体" w:hAnsi="宋体"/>
                <w:color w:val="auto"/>
                <w:sz w:val="24"/>
              </w:rPr>
              <w:t>主要有三类：崩滑堆积物源、沟床堆积物源及坡面侵蚀物源。崩崩滑堆积物源有2处主要分布于沟道上段沟岸两侧；坡面侵蚀物源主要为表层第四系残坡积覆盖层，主要分布于植被覆盖较少的斜坡地带；沟床内松散堆积体是该泥石流的潜在物源，当泥石流发生时，流体通过下蚀作用将沟道内松散堆积体卷入泥石流流体，参与泥石流活动，分布于沟道中下游。根据勘查结论，璜环沟泥石流物源总量为1.04×</w:t>
            </w:r>
            <w:r>
              <w:rPr>
                <w:rFonts w:ascii="宋体" w:hAnsi="宋体"/>
                <w:color w:val="auto"/>
                <w:sz w:val="24"/>
              </w:rPr>
              <w:t>10</w:t>
            </w:r>
            <w:r>
              <w:rPr>
                <w:rFonts w:ascii="宋体" w:hAnsi="宋体"/>
                <w:color w:val="auto"/>
                <w:sz w:val="24"/>
                <w:vertAlign w:val="superscript"/>
              </w:rPr>
              <w:t>4</w:t>
            </w:r>
            <w:r>
              <w:rPr>
                <w:rFonts w:ascii="宋体" w:hAnsi="宋体"/>
                <w:color w:val="auto"/>
                <w:sz w:val="24"/>
              </w:rPr>
              <w:t>m</w:t>
            </w:r>
            <w:r>
              <w:rPr>
                <w:rFonts w:ascii="宋体" w:hAnsi="宋体"/>
                <w:color w:val="auto"/>
                <w:sz w:val="24"/>
                <w:vertAlign w:val="superscript"/>
              </w:rPr>
              <w:t>3</w:t>
            </w:r>
            <w:r>
              <w:rPr>
                <w:rFonts w:hint="eastAsia" w:ascii="宋体" w:hAnsi="宋体"/>
                <w:color w:val="auto"/>
                <w:sz w:val="24"/>
              </w:rPr>
              <w:t>，其中可参与泥石流活动的动储量为0.212×</w:t>
            </w:r>
            <w:r>
              <w:rPr>
                <w:rFonts w:ascii="宋体" w:hAnsi="宋体"/>
                <w:color w:val="auto"/>
                <w:sz w:val="24"/>
              </w:rPr>
              <w:t>10</w:t>
            </w:r>
            <w:r>
              <w:rPr>
                <w:rFonts w:ascii="宋体" w:hAnsi="宋体"/>
                <w:color w:val="auto"/>
                <w:sz w:val="24"/>
                <w:vertAlign w:val="superscript"/>
              </w:rPr>
              <w:t>4</w:t>
            </w:r>
            <w:r>
              <w:rPr>
                <w:rFonts w:ascii="宋体" w:hAnsi="宋体"/>
                <w:color w:val="auto"/>
                <w:sz w:val="24"/>
              </w:rPr>
              <w:t>m</w:t>
            </w:r>
            <w:r>
              <w:rPr>
                <w:rFonts w:ascii="宋体" w:hAnsi="宋体"/>
                <w:color w:val="auto"/>
                <w:sz w:val="24"/>
                <w:vertAlign w:val="superscript"/>
              </w:rPr>
              <w:t>3</w:t>
            </w:r>
            <w:r>
              <w:rPr>
                <w:rFonts w:hint="eastAsia" w:ascii="宋体" w:hAnsi="宋体"/>
                <w:color w:val="auto"/>
                <w:sz w:val="24"/>
              </w:rPr>
              <w:t>。璜环沟泥石流各类物源基本情况汇总如表2－</w:t>
            </w:r>
            <w:r>
              <w:rPr>
                <w:rFonts w:hint="eastAsia" w:ascii="宋体" w:hAnsi="宋体"/>
                <w:color w:val="auto"/>
                <w:sz w:val="24"/>
                <w:lang w:val="en-US" w:eastAsia="zh-CN"/>
              </w:rPr>
              <w:t>4</w:t>
            </w:r>
            <w:r>
              <w:rPr>
                <w:rFonts w:hint="eastAsia" w:ascii="宋体" w:hAnsi="宋体"/>
                <w:color w:val="auto"/>
                <w:sz w:val="24"/>
              </w:rPr>
              <w:t>。</w:t>
            </w:r>
          </w:p>
          <w:p>
            <w:pPr>
              <w:jc w:val="center"/>
              <w:rPr>
                <w:rFonts w:hint="eastAsia"/>
                <w:b/>
                <w:bCs/>
                <w:color w:val="auto"/>
                <w:szCs w:val="21"/>
                <w:lang w:val="en-US" w:eastAsia="zh-CN"/>
              </w:rPr>
            </w:pPr>
            <w:r>
              <w:rPr>
                <w:rFonts w:hint="eastAsia"/>
                <w:b/>
                <w:bCs/>
                <w:color w:val="auto"/>
                <w:szCs w:val="21"/>
                <w:lang w:val="en-US" w:eastAsia="zh-CN"/>
              </w:rPr>
              <w:t>表2-4  璜环沟泥石流物源估算汇总统计表</w:t>
            </w:r>
          </w:p>
          <w:tbl>
            <w:tblPr>
              <w:tblStyle w:val="51"/>
              <w:tblW w:w="907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791"/>
              <w:gridCol w:w="1936"/>
              <w:gridCol w:w="1391"/>
              <w:gridCol w:w="954"/>
              <w:gridCol w:w="1555"/>
              <w:gridCol w:w="9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513"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物源种类</w:t>
                  </w:r>
                </w:p>
              </w:tc>
              <w:tc>
                <w:tcPr>
                  <w:tcW w:w="7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编号</w:t>
                  </w:r>
                </w:p>
              </w:tc>
              <w:tc>
                <w:tcPr>
                  <w:tcW w:w="193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分布位置</w:t>
                  </w:r>
                </w:p>
              </w:tc>
              <w:tc>
                <w:tcPr>
                  <w:tcW w:w="13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总量（10</w:t>
                  </w:r>
                  <w:r>
                    <w:rPr>
                      <w:rFonts w:hint="eastAsia" w:ascii="宋体" w:hAnsi="宋体" w:cs="宋体"/>
                      <w:b/>
                      <w:bCs/>
                      <w:color w:val="auto"/>
                      <w:kern w:val="0"/>
                      <w:szCs w:val="21"/>
                      <w:vertAlign w:val="superscript"/>
                    </w:rPr>
                    <w:t>4</w:t>
                  </w:r>
                  <w:r>
                    <w:rPr>
                      <w:rFonts w:hint="eastAsia" w:ascii="宋体" w:hAnsi="宋体" w:cs="宋体"/>
                      <w:b/>
                      <w:bCs/>
                      <w:color w:val="auto"/>
                      <w:kern w:val="0"/>
                      <w:szCs w:val="21"/>
                    </w:rPr>
                    <w:t>m</w:t>
                  </w:r>
                  <w:r>
                    <w:rPr>
                      <w:rFonts w:hint="eastAsia" w:ascii="宋体" w:hAnsi="宋体" w:cs="宋体"/>
                      <w:b/>
                      <w:bCs/>
                      <w:color w:val="auto"/>
                      <w:kern w:val="0"/>
                      <w:szCs w:val="21"/>
                      <w:vertAlign w:val="superscript"/>
                    </w:rPr>
                    <w:t>3</w:t>
                  </w:r>
                  <w:r>
                    <w:rPr>
                      <w:rFonts w:hint="eastAsia" w:ascii="宋体" w:hAnsi="宋体" w:cs="宋体"/>
                      <w:b/>
                      <w:bCs/>
                      <w:color w:val="auto"/>
                      <w:kern w:val="0"/>
                      <w:szCs w:val="21"/>
                    </w:rPr>
                    <w:t>）</w:t>
                  </w:r>
                </w:p>
              </w:tc>
              <w:tc>
                <w:tcPr>
                  <w:tcW w:w="954"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比例</w:t>
                  </w:r>
                </w:p>
              </w:tc>
              <w:tc>
                <w:tcPr>
                  <w:tcW w:w="1555"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动储量（10</w:t>
                  </w:r>
                  <w:r>
                    <w:rPr>
                      <w:rFonts w:hint="eastAsia" w:ascii="宋体" w:hAnsi="宋体" w:cs="宋体"/>
                      <w:b/>
                      <w:bCs/>
                      <w:color w:val="auto"/>
                      <w:kern w:val="0"/>
                      <w:szCs w:val="21"/>
                      <w:vertAlign w:val="superscript"/>
                    </w:rPr>
                    <w:t>4</w:t>
                  </w:r>
                  <w:r>
                    <w:rPr>
                      <w:rFonts w:hint="eastAsia" w:ascii="宋体" w:hAnsi="宋体" w:cs="宋体"/>
                      <w:b/>
                      <w:bCs/>
                      <w:color w:val="auto"/>
                      <w:kern w:val="0"/>
                      <w:szCs w:val="21"/>
                    </w:rPr>
                    <w:t>m</w:t>
                  </w:r>
                  <w:r>
                    <w:rPr>
                      <w:rFonts w:hint="eastAsia" w:ascii="宋体" w:hAnsi="宋体" w:cs="宋体"/>
                      <w:b/>
                      <w:bCs/>
                      <w:color w:val="auto"/>
                      <w:kern w:val="0"/>
                      <w:szCs w:val="21"/>
                      <w:vertAlign w:val="superscript"/>
                    </w:rPr>
                    <w:t>3</w:t>
                  </w:r>
                  <w:r>
                    <w:rPr>
                      <w:rFonts w:hint="eastAsia" w:ascii="宋体" w:hAnsi="宋体" w:cs="宋体"/>
                      <w:b/>
                      <w:bCs/>
                      <w:color w:val="auto"/>
                      <w:kern w:val="0"/>
                      <w:szCs w:val="21"/>
                    </w:rPr>
                    <w:t>）</w:t>
                  </w:r>
                </w:p>
              </w:tc>
              <w:tc>
                <w:tcPr>
                  <w:tcW w:w="93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13" w:type="dxa"/>
                  <w:vMerge w:val="restart"/>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崩滑堆积物源</w:t>
                  </w:r>
                </w:p>
              </w:tc>
              <w:tc>
                <w:tcPr>
                  <w:tcW w:w="7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H1</w:t>
                  </w:r>
                </w:p>
              </w:tc>
              <w:tc>
                <w:tcPr>
                  <w:tcW w:w="193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主沟上游右侧</w:t>
                  </w:r>
                </w:p>
              </w:tc>
              <w:tc>
                <w:tcPr>
                  <w:tcW w:w="13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0.70</w:t>
                  </w:r>
                </w:p>
              </w:tc>
              <w:tc>
                <w:tcPr>
                  <w:tcW w:w="954"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right"/>
                    <w:textAlignment w:val="auto"/>
                    <w:rPr>
                      <w:rFonts w:ascii="宋体" w:hAnsi="宋体" w:cs="宋体"/>
                      <w:color w:val="auto"/>
                      <w:kern w:val="0"/>
                      <w:szCs w:val="21"/>
                    </w:rPr>
                  </w:pPr>
                  <w:r>
                    <w:rPr>
                      <w:rFonts w:hint="eastAsia" w:ascii="宋体" w:hAnsi="宋体" w:cs="宋体"/>
                      <w:color w:val="auto"/>
                      <w:kern w:val="0"/>
                      <w:szCs w:val="21"/>
                    </w:rPr>
                    <w:t>36.00%</w:t>
                  </w:r>
                </w:p>
              </w:tc>
              <w:tc>
                <w:tcPr>
                  <w:tcW w:w="1555"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0.11</w:t>
                  </w:r>
                </w:p>
              </w:tc>
              <w:tc>
                <w:tcPr>
                  <w:tcW w:w="93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15.71%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13" w:type="dxa"/>
                  <w:vMerge w:val="continue"/>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left"/>
                    <w:textAlignment w:val="auto"/>
                    <w:rPr>
                      <w:rFonts w:ascii="宋体" w:hAnsi="宋体" w:cs="宋体"/>
                      <w:color w:val="auto"/>
                      <w:kern w:val="0"/>
                      <w:szCs w:val="21"/>
                    </w:rPr>
                  </w:pPr>
                </w:p>
              </w:tc>
              <w:tc>
                <w:tcPr>
                  <w:tcW w:w="7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H2</w:t>
                  </w:r>
                </w:p>
              </w:tc>
              <w:tc>
                <w:tcPr>
                  <w:tcW w:w="193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主沟中游右侧</w:t>
                  </w:r>
                </w:p>
              </w:tc>
              <w:tc>
                <w:tcPr>
                  <w:tcW w:w="13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0.06</w:t>
                  </w:r>
                </w:p>
              </w:tc>
              <w:tc>
                <w:tcPr>
                  <w:tcW w:w="954"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right"/>
                    <w:textAlignment w:val="auto"/>
                    <w:rPr>
                      <w:rFonts w:ascii="宋体" w:hAnsi="宋体" w:cs="宋体"/>
                      <w:color w:val="auto"/>
                      <w:kern w:val="0"/>
                      <w:szCs w:val="21"/>
                    </w:rPr>
                  </w:pPr>
                  <w:r>
                    <w:rPr>
                      <w:rFonts w:hint="eastAsia" w:ascii="宋体" w:hAnsi="宋体" w:cs="宋体"/>
                      <w:color w:val="auto"/>
                      <w:kern w:val="0"/>
                      <w:szCs w:val="21"/>
                    </w:rPr>
                    <w:t>32.40%</w:t>
                  </w:r>
                </w:p>
              </w:tc>
              <w:tc>
                <w:tcPr>
                  <w:tcW w:w="1555"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0.012</w:t>
                  </w:r>
                </w:p>
              </w:tc>
              <w:tc>
                <w:tcPr>
                  <w:tcW w:w="93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40" w:type="dxa"/>
                  <w:gridSpan w:val="3"/>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小    计</w:t>
                  </w:r>
                </w:p>
              </w:tc>
              <w:tc>
                <w:tcPr>
                  <w:tcW w:w="13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0.76</w:t>
                  </w:r>
                </w:p>
              </w:tc>
              <w:tc>
                <w:tcPr>
                  <w:tcW w:w="954"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right"/>
                    <w:textAlignment w:val="auto"/>
                    <w:rPr>
                      <w:rFonts w:ascii="宋体" w:hAnsi="宋体" w:cs="宋体"/>
                      <w:color w:val="auto"/>
                      <w:kern w:val="0"/>
                      <w:szCs w:val="21"/>
                    </w:rPr>
                  </w:pPr>
                  <w:r>
                    <w:rPr>
                      <w:rFonts w:hint="eastAsia" w:ascii="宋体" w:hAnsi="宋体" w:cs="宋体"/>
                      <w:color w:val="auto"/>
                      <w:kern w:val="0"/>
                      <w:szCs w:val="21"/>
                    </w:rPr>
                    <w:t>68.40%</w:t>
                  </w:r>
                </w:p>
              </w:tc>
              <w:tc>
                <w:tcPr>
                  <w:tcW w:w="1555"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0.122</w:t>
                  </w:r>
                </w:p>
              </w:tc>
              <w:tc>
                <w:tcPr>
                  <w:tcW w:w="93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16.05%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13"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坡面侵蚀物源</w:t>
                  </w:r>
                </w:p>
              </w:tc>
              <w:tc>
                <w:tcPr>
                  <w:tcW w:w="7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P1</w:t>
                  </w:r>
                </w:p>
              </w:tc>
              <w:tc>
                <w:tcPr>
                  <w:tcW w:w="193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主沟中游左侧</w:t>
                  </w:r>
                </w:p>
              </w:tc>
              <w:tc>
                <w:tcPr>
                  <w:tcW w:w="13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0.12</w:t>
                  </w:r>
                </w:p>
              </w:tc>
              <w:tc>
                <w:tcPr>
                  <w:tcW w:w="954"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right"/>
                    <w:textAlignment w:val="auto"/>
                    <w:rPr>
                      <w:rFonts w:ascii="宋体" w:hAnsi="宋体" w:cs="宋体"/>
                      <w:color w:val="auto"/>
                      <w:kern w:val="0"/>
                      <w:szCs w:val="21"/>
                    </w:rPr>
                  </w:pPr>
                  <w:r>
                    <w:rPr>
                      <w:rFonts w:hint="eastAsia" w:ascii="宋体" w:hAnsi="宋体" w:cs="宋体"/>
                      <w:color w:val="auto"/>
                      <w:kern w:val="0"/>
                      <w:szCs w:val="21"/>
                    </w:rPr>
                    <w:t>10.00%</w:t>
                  </w:r>
                </w:p>
              </w:tc>
              <w:tc>
                <w:tcPr>
                  <w:tcW w:w="1555"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0.01</w:t>
                  </w:r>
                </w:p>
              </w:tc>
              <w:tc>
                <w:tcPr>
                  <w:tcW w:w="93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13"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沟道堆积物源</w:t>
                  </w:r>
                </w:p>
              </w:tc>
              <w:tc>
                <w:tcPr>
                  <w:tcW w:w="7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G1</w:t>
                  </w:r>
                </w:p>
              </w:tc>
              <w:tc>
                <w:tcPr>
                  <w:tcW w:w="1936"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主沟中下游段沟床</w:t>
                  </w:r>
                </w:p>
              </w:tc>
              <w:tc>
                <w:tcPr>
                  <w:tcW w:w="13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0.16</w:t>
                  </w:r>
                </w:p>
              </w:tc>
              <w:tc>
                <w:tcPr>
                  <w:tcW w:w="954"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right"/>
                    <w:textAlignment w:val="auto"/>
                    <w:rPr>
                      <w:rFonts w:ascii="宋体" w:hAnsi="宋体" w:cs="宋体"/>
                      <w:color w:val="auto"/>
                      <w:kern w:val="0"/>
                      <w:szCs w:val="21"/>
                    </w:rPr>
                  </w:pPr>
                  <w:r>
                    <w:rPr>
                      <w:rFonts w:hint="eastAsia" w:ascii="宋体" w:hAnsi="宋体" w:cs="宋体"/>
                      <w:color w:val="auto"/>
                      <w:kern w:val="0"/>
                      <w:szCs w:val="21"/>
                    </w:rPr>
                    <w:t>21.60%</w:t>
                  </w:r>
                </w:p>
              </w:tc>
              <w:tc>
                <w:tcPr>
                  <w:tcW w:w="1555"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0.08</w:t>
                  </w:r>
                </w:p>
              </w:tc>
              <w:tc>
                <w:tcPr>
                  <w:tcW w:w="93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240" w:type="dxa"/>
                  <w:gridSpan w:val="3"/>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合                计</w:t>
                  </w:r>
                </w:p>
              </w:tc>
              <w:tc>
                <w:tcPr>
                  <w:tcW w:w="1391"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 w:val="22"/>
                      <w:szCs w:val="22"/>
                    </w:rPr>
                  </w:pPr>
                  <w:r>
                    <w:rPr>
                      <w:rFonts w:hint="eastAsia" w:ascii="宋体" w:hAnsi="宋体" w:cs="宋体"/>
                      <w:b/>
                      <w:bCs/>
                      <w:color w:val="auto"/>
                      <w:kern w:val="0"/>
                      <w:sz w:val="22"/>
                      <w:szCs w:val="22"/>
                    </w:rPr>
                    <w:t>1.04</w:t>
                  </w:r>
                </w:p>
              </w:tc>
              <w:tc>
                <w:tcPr>
                  <w:tcW w:w="954"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right"/>
                    <w:textAlignment w:val="auto"/>
                    <w:rPr>
                      <w:rFonts w:ascii="宋体" w:hAnsi="宋体" w:cs="宋体"/>
                      <w:color w:val="auto"/>
                      <w:kern w:val="0"/>
                      <w:szCs w:val="21"/>
                    </w:rPr>
                  </w:pPr>
                  <w:r>
                    <w:rPr>
                      <w:rFonts w:hint="eastAsia" w:ascii="宋体" w:hAnsi="宋体" w:cs="宋体"/>
                      <w:color w:val="auto"/>
                      <w:kern w:val="0"/>
                      <w:szCs w:val="21"/>
                    </w:rPr>
                    <w:t>100.00%</w:t>
                  </w:r>
                </w:p>
              </w:tc>
              <w:tc>
                <w:tcPr>
                  <w:tcW w:w="1555"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b/>
                      <w:bCs/>
                      <w:color w:val="auto"/>
                      <w:kern w:val="0"/>
                      <w:szCs w:val="21"/>
                    </w:rPr>
                  </w:pPr>
                  <w:r>
                    <w:rPr>
                      <w:rFonts w:hint="eastAsia" w:ascii="宋体" w:hAnsi="宋体" w:cs="宋体"/>
                      <w:b/>
                      <w:bCs/>
                      <w:color w:val="auto"/>
                      <w:kern w:val="0"/>
                      <w:szCs w:val="21"/>
                    </w:rPr>
                    <w:t>0.212</w:t>
                  </w:r>
                </w:p>
              </w:tc>
              <w:tc>
                <w:tcPr>
                  <w:tcW w:w="930" w:type="dxa"/>
                  <w:tcBorders>
                    <w:tl2br w:val="nil"/>
                    <w:tr2bl w:val="nil"/>
                  </w:tcBorders>
                  <w:shd w:val="clear" w:color="auto" w:fill="auto"/>
                  <w:noWrap w:val="0"/>
                  <w:vAlign w:val="center"/>
                </w:tcPr>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ascii="宋体" w:hAnsi="宋体" w:cs="宋体"/>
                      <w:color w:val="auto"/>
                      <w:kern w:val="0"/>
                      <w:szCs w:val="21"/>
                    </w:rPr>
                  </w:pPr>
                  <w:r>
                    <w:rPr>
                      <w:rFonts w:hint="eastAsia" w:ascii="宋体" w:hAnsi="宋体" w:cs="宋体"/>
                      <w:color w:val="auto"/>
                      <w:kern w:val="0"/>
                      <w:szCs w:val="21"/>
                    </w:rPr>
                    <w:t>20.38%</w:t>
                  </w:r>
                </w:p>
              </w:tc>
            </w:tr>
          </w:tbl>
          <w:p>
            <w:pPr>
              <w:spacing w:line="360" w:lineRule="auto"/>
              <w:rPr>
                <w:rFonts w:ascii="Times New Roman" w:hAnsi="Times New Roman" w:cs="Times New Roman"/>
                <w:color w:val="auto"/>
                <w:sz w:val="24"/>
              </w:rPr>
            </w:pPr>
            <w:r>
              <w:rPr>
                <w:rFonts w:hint="eastAsia" w:ascii="Times New Roman" w:cs="Times New Roman"/>
                <w:b/>
                <w:bCs/>
                <w:color w:val="auto"/>
                <w:sz w:val="24"/>
                <w:lang w:val="en-US" w:eastAsia="zh-CN"/>
              </w:rPr>
              <w:t>五、</w:t>
            </w:r>
            <w:r>
              <w:rPr>
                <w:rFonts w:hint="eastAsia" w:ascii="Times New Roman" w:cs="Times New Roman"/>
                <w:b/>
                <w:bCs/>
                <w:color w:val="auto"/>
                <w:sz w:val="24"/>
              </w:rPr>
              <w:t>河流水系</w:t>
            </w:r>
          </w:p>
          <w:p>
            <w:pPr>
              <w:spacing w:line="360" w:lineRule="auto"/>
              <w:ind w:firstLine="480" w:firstLineChars="200"/>
              <w:rPr>
                <w:bCs/>
                <w:color w:val="auto"/>
                <w:sz w:val="24"/>
              </w:rPr>
            </w:pPr>
            <w:r>
              <w:rPr>
                <w:bCs/>
                <w:color w:val="auto"/>
                <w:sz w:val="24"/>
              </w:rPr>
              <w:t>松潘是长江上游主要支流——岷江和涪江的发源地。主要河流有5条，分别为岷江、涪江、热务曲、毛儿盖河、白草河。流域面积50平方公里以上的支沟共计约39条，总长1227公里。全县河流径流总量40.2亿立方米。河流受山脉走向控制，河床坡度较大，水势湍急，谷坡陡，比降大，径流强，水能资源丰富。</w:t>
            </w:r>
          </w:p>
          <w:p>
            <w:pPr>
              <w:spacing w:line="360" w:lineRule="auto"/>
              <w:ind w:firstLine="480" w:firstLineChars="200"/>
              <w:rPr>
                <w:bCs/>
                <w:color w:val="auto"/>
                <w:sz w:val="24"/>
              </w:rPr>
            </w:pPr>
            <w:r>
              <w:rPr>
                <w:bCs/>
                <w:color w:val="auto"/>
                <w:sz w:val="24"/>
              </w:rPr>
              <w:t>岷江：发源于弓杠岭，东源隆板棚，西源廊架岭，为松潘第一大河。自北向南贯穿中部全境，县境流长150公里。岷江水系流域面积占全县总面积的77.6%。</w:t>
            </w:r>
          </w:p>
          <w:p>
            <w:pPr>
              <w:spacing w:line="360" w:lineRule="auto"/>
              <w:ind w:firstLine="480" w:firstLineChars="200"/>
              <w:rPr>
                <w:bCs/>
                <w:color w:val="auto"/>
                <w:sz w:val="24"/>
              </w:rPr>
            </w:pPr>
            <w:r>
              <w:rPr>
                <w:bCs/>
                <w:color w:val="auto"/>
                <w:sz w:val="24"/>
              </w:rPr>
              <w:t>涪江：发源于雪宝顶（雪山梁子东麓），自西向东流经小河地区全境，县境流长65公里。涪江水系流域面积占全县总面积的20.6%。</w:t>
            </w:r>
          </w:p>
          <w:p>
            <w:pPr>
              <w:spacing w:line="360" w:lineRule="auto"/>
              <w:ind w:firstLine="480" w:firstLineChars="200"/>
              <w:rPr>
                <w:bCs/>
                <w:color w:val="auto"/>
                <w:sz w:val="24"/>
              </w:rPr>
            </w:pPr>
            <w:r>
              <w:rPr>
                <w:bCs/>
                <w:color w:val="auto"/>
                <w:sz w:val="24"/>
              </w:rPr>
              <w:t>热务曲：即热务河，发源于锣锅旋山，为岷江上游一大支流。山北向南流经热务沟地区全境，全河流长127公里；</w:t>
            </w:r>
          </w:p>
          <w:p>
            <w:pPr>
              <w:spacing w:line="360" w:lineRule="auto"/>
              <w:ind w:firstLine="480" w:firstLineChars="200"/>
              <w:rPr>
                <w:bCs/>
                <w:color w:val="auto"/>
                <w:sz w:val="24"/>
              </w:rPr>
            </w:pPr>
            <w:r>
              <w:rPr>
                <w:bCs/>
                <w:color w:val="auto"/>
                <w:sz w:val="24"/>
              </w:rPr>
              <w:t>毛儿盖河：发源于夏沃隆山麓，由北向南流经毛儿盖地区全境，县境流长91公里；</w:t>
            </w:r>
          </w:p>
          <w:p>
            <w:pPr>
              <w:spacing w:line="360" w:lineRule="auto"/>
              <w:ind w:firstLine="480" w:firstLineChars="200"/>
              <w:rPr>
                <w:bCs/>
                <w:color w:val="auto"/>
                <w:sz w:val="24"/>
              </w:rPr>
            </w:pPr>
            <w:r>
              <w:rPr>
                <w:bCs/>
                <w:color w:val="auto"/>
                <w:sz w:val="24"/>
              </w:rPr>
              <w:t>白草河：发源于桦子岭北侧，为涪江上游一大支流。由西向东南流  经白羊乡的15个村，县境流长39公里。</w:t>
            </w:r>
          </w:p>
          <w:p>
            <w:pPr>
              <w:spacing w:line="360" w:lineRule="auto"/>
              <w:ind w:firstLine="480" w:firstLineChars="200"/>
              <w:rPr>
                <w:bCs/>
                <w:color w:val="auto"/>
                <w:sz w:val="24"/>
              </w:rPr>
            </w:pPr>
            <w:r>
              <w:rPr>
                <w:bCs/>
                <w:color w:val="auto"/>
                <w:sz w:val="24"/>
              </w:rPr>
              <w:t>另外县域县境内的湖泊，共有高山湖泊29个，水域总面积2.67平方公里，多分布于海拔3800以上地区。湖泊主要集中于两个地区，西部以毛儿盖的上下羊拱海为主的湖泊有8个，最大的上羊拱海面积630亩。东部红星岩处的湖泊有8个。牟尼沟境内的头道海和二道海，面积在10亩以上。</w:t>
            </w:r>
          </w:p>
          <w:p>
            <w:pPr>
              <w:spacing w:line="360" w:lineRule="auto"/>
              <w:ind w:firstLine="480" w:firstLineChars="200"/>
              <w:rPr>
                <w:bCs/>
                <w:color w:val="auto"/>
                <w:sz w:val="24"/>
              </w:rPr>
            </w:pPr>
            <w:r>
              <w:rPr>
                <w:bCs/>
                <w:color w:val="auto"/>
                <w:sz w:val="24"/>
              </w:rPr>
              <w:t>松潘境内河川溪沟密布，流量充沛，水能资源丰富。全县水能资源的理论蕴藏量为75万千瓦，可开发量11.85万千瓦。已开发量0.62万千瓦，仅占可开发量的5.1%。发展小水电，其潜力很大。</w:t>
            </w:r>
          </w:p>
          <w:p>
            <w:pPr>
              <w:spacing w:line="360" w:lineRule="auto"/>
              <w:rPr>
                <w:rFonts w:ascii="Times New Roman" w:hAnsi="Times New Roman" w:cs="Times New Roman"/>
                <w:b/>
                <w:bCs/>
                <w:color w:val="auto"/>
                <w:kern w:val="0"/>
                <w:sz w:val="24"/>
              </w:rPr>
            </w:pPr>
            <w:r>
              <w:rPr>
                <w:rFonts w:hint="eastAsia" w:ascii="Times New Roman" w:cs="Times New Roman"/>
                <w:b/>
                <w:bCs/>
                <w:color w:val="auto"/>
                <w:kern w:val="0"/>
                <w:sz w:val="24"/>
                <w:lang w:val="en-US" w:eastAsia="zh-CN"/>
              </w:rPr>
              <w:t>六</w:t>
            </w:r>
            <w:r>
              <w:rPr>
                <w:rFonts w:hint="eastAsia" w:ascii="Times New Roman" w:cs="Times New Roman"/>
                <w:b/>
                <w:bCs/>
                <w:color w:val="auto"/>
                <w:kern w:val="0"/>
                <w:sz w:val="24"/>
              </w:rPr>
              <w:t>、旅游资源</w:t>
            </w:r>
          </w:p>
          <w:p>
            <w:pPr>
              <w:spacing w:line="360" w:lineRule="auto"/>
              <w:ind w:firstLine="480" w:firstLineChars="200"/>
              <w:rPr>
                <w:color w:val="auto"/>
                <w:sz w:val="24"/>
              </w:rPr>
            </w:pPr>
            <w:r>
              <w:rPr>
                <w:color w:val="auto"/>
                <w:sz w:val="24"/>
              </w:rPr>
              <w:t xml:space="preserve">松潘历史文化和自然景观资源都极为丰富。自然景观资源以拥有世界自然遗产、世界人与生物圈保护区、绿色环球21、国家级5A景区四项桂冠的黄龙风景名胜区为核心，被誉为“人间瑶池”、“人间仙境”、“浓缩的锦绣中华”；另外，牟尼沟、丹云峡、奇峡沟、雪宝顶、红星岩、大草原等自然风光也吸引着大量的游客。 </w:t>
            </w:r>
          </w:p>
          <w:p>
            <w:pPr>
              <w:spacing w:line="360" w:lineRule="auto"/>
              <w:ind w:firstLine="480" w:firstLineChars="200"/>
              <w:rPr>
                <w:color w:val="auto"/>
                <w:sz w:val="24"/>
              </w:rPr>
            </w:pPr>
            <w:r>
              <w:rPr>
                <w:color w:val="auto"/>
                <w:sz w:val="24"/>
              </w:rPr>
              <w:t>松潘悠久的历史、多样的人口组成，构成了多元共融、历史积淀的独具特色的文化形态。各类古遗迹、古遗址、民族村寨散布松潘境内，四川省历史文化名城松潘古城，体现古代军事争战的国家级文物保护单位松潘古城墙和代表宗教文化的寺院、图腾象征等，都蕴含了极其丰富的文化意义；以红军长征纪念碑碑园、“毛尔盖会议”和“沙窝会议”遗址为载体的红色旅游资源已成为重要的爱国主义教育基地。这些丰富的历史、宗教、文化遗址以及红色旅游资源，是促进松潘县经济增长和社会发展的重要资源，合理有效地开发利用，以此启动文化旅游板块，弥补单纯以自然景观旅游的松潘旅游业的不足，是松潘旅游业可持续发展的必然选择。</w:t>
            </w:r>
          </w:p>
          <w:p>
            <w:pPr>
              <w:spacing w:line="360" w:lineRule="auto"/>
              <w:rPr>
                <w:rFonts w:ascii="Times New Roman" w:hAnsi="Times New Roman" w:cs="Times New Roman"/>
                <w:b/>
                <w:bCs/>
                <w:color w:val="auto"/>
                <w:sz w:val="24"/>
              </w:rPr>
            </w:pPr>
            <w:r>
              <w:rPr>
                <w:rFonts w:hint="eastAsia" w:ascii="Times New Roman" w:cs="Times New Roman"/>
                <w:b/>
                <w:bCs/>
                <w:color w:val="auto"/>
                <w:sz w:val="24"/>
                <w:lang w:val="en-US" w:eastAsia="zh-CN"/>
              </w:rPr>
              <w:t>七</w:t>
            </w:r>
            <w:r>
              <w:rPr>
                <w:rFonts w:hint="eastAsia" w:ascii="Times New Roman" w:cs="Times New Roman"/>
                <w:b/>
                <w:bCs/>
                <w:color w:val="auto"/>
                <w:sz w:val="24"/>
              </w:rPr>
              <w:t>、动植物资源</w:t>
            </w:r>
          </w:p>
          <w:p>
            <w:pPr>
              <w:spacing w:line="360" w:lineRule="auto"/>
              <w:ind w:firstLine="480" w:firstLineChars="200"/>
              <w:rPr>
                <w:color w:val="auto"/>
                <w:sz w:val="24"/>
              </w:rPr>
            </w:pPr>
            <w:r>
              <w:rPr>
                <w:color w:val="auto"/>
                <w:sz w:val="24"/>
              </w:rPr>
              <w:t>松潘县动植物资源丰富，主要牲畜有牦牛、犏牛、黄杂牛、马、骡、驴、绵羊、山羊、猪等；2009年底各类牲畜存栏26.3万头（匹、只）。野生动物种类繁多，仅脊椎动物就有258种，其中：鸟类110种；兽类120种；爬行类14种；两栖类6种；鱼类8种。有大熊猫、金丝猴、云豹、牛羚等国家一级保护珍稀动物10余种，猕猴、大灵猫、盘羊、岩羊、蓝马鸡等国家二级保护动物30余种。松潘的农作物主要为玉米、小麦、胡豆、青稞、洋芋，低海拔地区可一年两熟或三年两熟；有乔木树种230多种，以优质用材林云杉、冷杉、桦木为主。灌丛以竹、沙棘、柳、杜鹃为主。牦牛资源：牦牛肉是世界公认的绿色食品，松潘非常适宜牦牛等优质牲畜的养殖。全县牦牛存栏9.9万头，年出栏3.5万头。野生中药材资源：松潘县盛产贝母、天麻、冬虫夏草、大黄、黄芪等野生中药材，总蕴藏量在250万公斤以上。贝母：川贝母是享誉世界的名贵中药材，松潘贝母是川贝母的代表。我县贝母人工种植技术基本成熟，已发展贝母种子基地20亩、种植基地1000亩。计划种植2万亩。“三木药材”：我县“三木药材”即杜仲、厚朴、黄柏，种植面积已达2.1万余亩，年产量在100万公斤以上。计划种植3.5万亩、年产量达200万公斤以上，建成阿坝州最大的“三木药材”基地。</w:t>
            </w:r>
          </w:p>
          <w:p>
            <w:pPr>
              <w:spacing w:line="360" w:lineRule="auto"/>
              <w:ind w:firstLine="480" w:firstLineChars="200"/>
              <w:rPr>
                <w:color w:val="auto"/>
                <w:sz w:val="24"/>
              </w:rPr>
            </w:pPr>
            <w:r>
              <w:rPr>
                <w:color w:val="auto"/>
                <w:sz w:val="24"/>
              </w:rPr>
              <w:t>岷江上游共有鱼类28种，分隶于4目8科16属：鲑形目的鲑科1属1种；鲤形目的鳅科3属10种，鲤科4属5种。平鳍鳅科2属2种；鲶形目的鲶科1属2种，钝头跪科1属2种，鮡科3属5种；鲈形目的吓虎鱼科1属I种。在岷江上游鱼类中，鲤形目鱼类的种类较多，有17种，占色类总种数的60.71 %；其次鳃形目有9种，占32.14%。这两个目的种类占岷江上游鱼类总种数的92.86%。</w:t>
            </w:r>
          </w:p>
          <w:p>
            <w:pPr>
              <w:spacing w:line="360" w:lineRule="auto"/>
              <w:ind w:firstLine="480" w:firstLineChars="200"/>
              <w:rPr>
                <w:color w:val="auto"/>
                <w:sz w:val="24"/>
              </w:rPr>
            </w:pPr>
            <w:r>
              <w:rPr>
                <w:color w:val="auto"/>
                <w:sz w:val="24"/>
              </w:rPr>
              <w:t>岷江上游有珍稀和特有鱼类及保护鱼类10多种。其中网家和四川省重点保护种类有虎嘉鱼、多带高原鳅、重口裂腹鱼、松潘裸鲤、青石爬鮡和四川鮡等6种。目前虎嘉鱼、青石爬鮡和四川鮡等种类的种群数甚少，在这一段濒临绝迹。如不采取有效措施加以保护，这种鱼的模式标本产地将不复见其踪影。</w:t>
            </w:r>
          </w:p>
          <w:p>
            <w:pPr>
              <w:spacing w:line="360" w:lineRule="auto"/>
              <w:ind w:firstLine="480" w:firstLineChars="200"/>
              <w:rPr>
                <w:color w:val="auto"/>
                <w:sz w:val="24"/>
              </w:rPr>
            </w:pPr>
            <w:r>
              <w:rPr>
                <w:rFonts w:hint="eastAsia"/>
                <w:color w:val="auto"/>
                <w:sz w:val="24"/>
              </w:rPr>
              <w:t>区内植被覆盖较差，特别是沟道上游近乎为裸地，沟道中游可见零星树木，少部分区域可见集中的树林，植被以沙棘、白杨等为主。</w:t>
            </w:r>
            <w:r>
              <w:rPr>
                <w:color w:val="auto"/>
                <w:sz w:val="24"/>
              </w:rPr>
              <w:t>区内土壤以</w:t>
            </w:r>
            <w:r>
              <w:rPr>
                <w:rFonts w:hint="eastAsia"/>
                <w:color w:val="auto"/>
                <w:sz w:val="24"/>
              </w:rPr>
              <w:t>崩坡积层的</w:t>
            </w:r>
            <w:r>
              <w:rPr>
                <w:color w:val="auto"/>
                <w:sz w:val="24"/>
              </w:rPr>
              <w:t>粉质粘土夹碎</w:t>
            </w:r>
            <w:r>
              <w:rPr>
                <w:rFonts w:hint="eastAsia"/>
                <w:color w:val="auto"/>
                <w:sz w:val="24"/>
              </w:rPr>
              <w:t>块</w:t>
            </w:r>
            <w:r>
              <w:rPr>
                <w:color w:val="auto"/>
                <w:sz w:val="24"/>
              </w:rPr>
              <w:t>石为主，一般厚约</w:t>
            </w:r>
            <w:r>
              <w:rPr>
                <w:rFonts w:hint="eastAsia"/>
                <w:color w:val="auto"/>
                <w:sz w:val="24"/>
              </w:rPr>
              <w:t>2</w:t>
            </w:r>
            <w:r>
              <w:rPr>
                <w:color w:val="auto"/>
                <w:sz w:val="24"/>
              </w:rPr>
              <w:t>-</w:t>
            </w:r>
            <w:r>
              <w:rPr>
                <w:rFonts w:hint="eastAsia"/>
                <w:color w:val="auto"/>
                <w:sz w:val="24"/>
              </w:rPr>
              <w:t>3</w:t>
            </w:r>
            <w:r>
              <w:rPr>
                <w:color w:val="auto"/>
                <w:sz w:val="24"/>
              </w:rPr>
              <w:t>m。</w:t>
            </w:r>
          </w:p>
          <w:p>
            <w:pPr>
              <w:spacing w:line="360" w:lineRule="auto"/>
              <w:ind w:firstLine="480" w:firstLineChars="200"/>
              <w:rPr>
                <w:rFonts w:hint="eastAsia" w:eastAsiaTheme="minorEastAsia"/>
                <w:color w:val="auto"/>
                <w:sz w:val="24"/>
                <w:lang w:eastAsia="zh-CN"/>
              </w:rPr>
            </w:pPr>
            <w:r>
              <w:rPr>
                <w:rFonts w:hint="eastAsia"/>
                <w:color w:val="auto"/>
                <w:sz w:val="24"/>
              </w:rPr>
              <w:t>区内</w:t>
            </w:r>
            <w:r>
              <w:rPr>
                <w:color w:val="auto"/>
                <w:sz w:val="24"/>
              </w:rPr>
              <w:t>主要的人类活动为</w:t>
            </w:r>
            <w:r>
              <w:rPr>
                <w:rFonts w:hint="eastAsia"/>
                <w:color w:val="auto"/>
                <w:sz w:val="24"/>
              </w:rPr>
              <w:t>耕地</w:t>
            </w:r>
            <w:r>
              <w:rPr>
                <w:color w:val="auto"/>
                <w:sz w:val="24"/>
              </w:rPr>
              <w:t>种植，</w:t>
            </w:r>
            <w:r>
              <w:rPr>
                <w:rFonts w:hint="eastAsia"/>
                <w:color w:val="auto"/>
                <w:sz w:val="24"/>
              </w:rPr>
              <w:t>近年的封山育林</w:t>
            </w:r>
            <w:r>
              <w:rPr>
                <w:color w:val="auto"/>
                <w:sz w:val="24"/>
              </w:rPr>
              <w:t>对植被</w:t>
            </w:r>
            <w:r>
              <w:rPr>
                <w:rFonts w:hint="eastAsia"/>
                <w:color w:val="auto"/>
                <w:sz w:val="24"/>
              </w:rPr>
              <w:t>具有</w:t>
            </w:r>
            <w:r>
              <w:rPr>
                <w:color w:val="auto"/>
                <w:sz w:val="24"/>
              </w:rPr>
              <w:t>一定的</w:t>
            </w:r>
            <w:r>
              <w:rPr>
                <w:rFonts w:hint="eastAsia"/>
                <w:color w:val="auto"/>
                <w:sz w:val="24"/>
              </w:rPr>
              <w:t>改良，</w:t>
            </w:r>
            <w:r>
              <w:rPr>
                <w:color w:val="auto"/>
                <w:sz w:val="24"/>
              </w:rPr>
              <w:t>自然生态环境</w:t>
            </w:r>
            <w:r>
              <w:rPr>
                <w:rFonts w:hint="eastAsia"/>
                <w:color w:val="auto"/>
                <w:sz w:val="24"/>
              </w:rPr>
              <w:t>逐步改善</w:t>
            </w:r>
            <w:r>
              <w:rPr>
                <w:color w:val="auto"/>
                <w:sz w:val="24"/>
              </w:rPr>
              <w:t>，人类工程活动强度较低，影响较小</w:t>
            </w:r>
            <w:r>
              <w:rPr>
                <w:rFonts w:hint="eastAsia"/>
                <w:color w:val="auto"/>
                <w:sz w:val="24"/>
              </w:rPr>
              <w:t>。</w:t>
            </w:r>
          </w:p>
          <w:p>
            <w:pPr>
              <w:spacing w:line="360" w:lineRule="auto"/>
              <w:rPr>
                <w:rFonts w:ascii="Times New Roman" w:hAnsi="Times New Roman" w:cs="Times New Roman"/>
                <w:b/>
                <w:bCs/>
                <w:color w:val="auto"/>
                <w:sz w:val="24"/>
              </w:rPr>
            </w:pPr>
            <w:r>
              <w:rPr>
                <w:rFonts w:hint="eastAsia" w:ascii="Times New Roman" w:cs="Times New Roman"/>
                <w:b/>
                <w:bCs/>
                <w:color w:val="auto"/>
                <w:sz w:val="24"/>
                <w:lang w:val="en-US" w:eastAsia="zh-CN"/>
              </w:rPr>
              <w:t>八</w:t>
            </w:r>
            <w:r>
              <w:rPr>
                <w:rFonts w:hint="eastAsia" w:ascii="Times New Roman" w:cs="Times New Roman"/>
                <w:b/>
                <w:bCs/>
                <w:color w:val="auto"/>
                <w:sz w:val="24"/>
              </w:rPr>
              <w:t>、水利工程</w:t>
            </w:r>
          </w:p>
          <w:p>
            <w:pPr>
              <w:adjustRightInd w:val="0"/>
              <w:snapToGrid w:val="0"/>
              <w:spacing w:line="360" w:lineRule="auto"/>
              <w:ind w:firstLine="480" w:firstLineChars="200"/>
              <w:rPr>
                <w:color w:val="auto"/>
                <w:sz w:val="24"/>
              </w:rPr>
            </w:pP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-78740</wp:posOffset>
                      </wp:positionH>
                      <wp:positionV relativeFrom="paragraph">
                        <wp:posOffset>2328545</wp:posOffset>
                      </wp:positionV>
                      <wp:extent cx="5915025" cy="0"/>
                      <wp:effectExtent l="0" t="0" r="0" b="0"/>
                      <wp:wrapNone/>
                      <wp:docPr id="1" name="直接连接符 1"/>
                      <wp:cNvGraphicFramePr/>
                      <a:graphic xmlns:a="http://schemas.openxmlformats.org/drawingml/2006/main">
                        <a:graphicData uri="http://schemas.microsoft.com/office/word/2010/wordprocessingShape">
                          <wps:wsp>
                            <wps:cNvCnPr/>
                            <wps:spPr>
                              <a:xfrm>
                                <a:off x="821690" y="3829685"/>
                                <a:ext cx="591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pt;margin-top:183.35pt;height:0pt;width:465.75pt;z-index:251664384;mso-width-relative:page;mso-height-relative:page;" filled="f" stroked="t" coordsize="21600,21600" o:gfxdata="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lVMkzYAAAACwEAAA8AAAAAAAAAAQAg&#10;AAAAIgAAAGRycy9kb3ducmV2LnhtbFBLAQIUABQAAAAIAIdO4kDHoD5l1QEAAG4DAAAOAAAAAAAA&#10;AAEAIAAAACcBAABkcnMvZTJvRG9jLnhtbFBLBQYAAAAABgAGAFkBAABuBQAAAAA=&#10;">
                      <v:fill on="f" focussize="0,0"/>
                      <v:stroke weight="0.5pt" color="#000000 [3200]" miterlimit="8" joinstyle="miter"/>
                      <v:imagedata o:title=""/>
                      <o:lock v:ext="edit" aspectratio="f"/>
                    </v:line>
                  </w:pict>
                </mc:Fallback>
              </mc:AlternateContent>
            </w:r>
            <w:r>
              <w:rPr>
                <w:color w:val="auto"/>
                <w:sz w:val="24"/>
              </w:rPr>
              <w:t>岷江水资源的利用，据1973年资料：农田灌溉50亿立方米，工业用水6.7亿立方米：加工漂木10.4亿立方米（木材年漂运量是50万立方米）。岷江干支流水能理论蕴藏量为1332万千瓦（不包括大渡河、青衣江），其中干流为821.7万千瓦，而灌县至乐山段即育106.3万千瓦。乐山以下287万于瓦。岷江上游河道比降大，汶川至灌县平均每公里河长有水能资源2.5万千瓦。岷江干流上可以作为电站位置的有30处，上游有虹桥关、西宁关、龙滩、五星堡、莲花岩、十里沟、石鼓、桃关等处，据干流梯级开发规划，共有引水式、河床式梯级5处，其中映秀湾电站已经建成；支流黑水河、杂谷脑河、渔子溪、寿江、白沙河还有9个梯级，其中渔子溪一级电站业已建成。</w:t>
            </w:r>
          </w:p>
          <w:p>
            <w:pPr>
              <w:adjustRightInd w:val="0"/>
              <w:snapToGrid w:val="0"/>
              <w:spacing w:line="360" w:lineRule="auto"/>
              <w:rPr>
                <w:rFonts w:hint="default" w:ascii="Times New Roman" w:hAnsi="Times New Roman" w:cs="Times New Roman"/>
                <w:b/>
                <w:bCs/>
                <w:color w:val="auto"/>
                <w:sz w:val="24"/>
                <w:lang w:val="en-US"/>
              </w:rPr>
            </w:pPr>
            <w:r>
              <w:rPr>
                <w:rFonts w:hint="eastAsia" w:ascii="Times New Roman" w:hAnsi="Times New Roman" w:cs="Times New Roman"/>
                <w:b/>
                <w:bCs/>
                <w:color w:val="auto"/>
                <w:sz w:val="24"/>
                <w:lang w:val="en-US" w:eastAsia="zh-CN"/>
              </w:rPr>
              <w:t>九、</w:t>
            </w:r>
            <w:r>
              <w:rPr>
                <w:rFonts w:hint="eastAsia" w:ascii="Times New Roman" w:hAnsi="Times New Roman" w:cs="Times New Roman"/>
                <w:b/>
                <w:bCs/>
                <w:color w:val="auto"/>
                <w:sz w:val="24"/>
              </w:rPr>
              <w:t>社会</w:t>
            </w:r>
            <w:r>
              <w:rPr>
                <w:rFonts w:hint="eastAsia" w:ascii="Times New Roman" w:hAnsi="Times New Roman" w:cs="Times New Roman"/>
                <w:b/>
                <w:bCs/>
                <w:color w:val="auto"/>
                <w:sz w:val="24"/>
                <w:lang w:val="en-US" w:eastAsia="zh-CN"/>
              </w:rPr>
              <w:t>环境简况</w:t>
            </w:r>
          </w:p>
          <w:p>
            <w:pPr>
              <w:adjustRightInd w:val="0"/>
              <w:snapToGrid w:val="0"/>
              <w:spacing w:line="360" w:lineRule="auto"/>
              <w:ind w:firstLine="480" w:firstLineChars="200"/>
              <w:rPr>
                <w:rFonts w:hint="eastAsia" w:ascii="Times New Roman" w:hAnsi="Times New Roman" w:cs="Times New Roman"/>
                <w:bCs/>
                <w:color w:val="auto"/>
                <w:sz w:val="24"/>
              </w:rPr>
            </w:pPr>
            <w:r>
              <w:rPr>
                <w:rFonts w:hint="eastAsia" w:ascii="Times New Roman" w:hAnsi="Times New Roman" w:cs="Times New Roman"/>
                <w:bCs/>
                <w:color w:val="auto"/>
                <w:sz w:val="24"/>
              </w:rPr>
              <w:t>松潘县是高原山区县，属老、少、边、穷、病地区，地域辽阔，人口稀少，是多民族杂居地，境内有2个镇，23个乡，142个村，306个村民小组，387个自然村。全县绝大部分村寨居住在高半山，且居民居住极其分散，高山村寨交通不便，通讯不畅，信息闭塞，生活水平普遍低下。到2017年末，全县总人口74648人，由22个民族构成，藏族占43.53%、羌族占10.38%、回族占15.04%、汉族占30.95%、其他民族占0.1%。非农业人口14567人，农业人口60081人；人口自然增长率6.08‰。全县辖2镇23个乡、142个村、4个居民委员会、306个村民小组，有2个建置镇:川主寺镇、进安镇，2个回族乡:十里乡、进安乡，进安镇为县府所在地。2017年实现地方生产总值107520万元、增长25%。固定资产投资达到466249万元、增长49%。规模以上工业增加值完成7680万元、增长60%。实现旅游综合收入235300万元、增长27%，接待游客210万人次、增长16%。社会消费品零售总额达到29835万元、增长8%。实现财政一般预算收入8395万元、增长25%。城镇登记失业率控制在4%以内。农牧民人均纯收入达到4602元，城镇居民人均可支配收入达到18747元。人口自然增长率控制在6.5‰以内。</w:t>
            </w:r>
          </w:p>
          <w:p>
            <w:pPr>
              <w:adjustRightInd w:val="0"/>
              <w:snapToGrid w:val="0"/>
              <w:spacing w:line="360" w:lineRule="auto"/>
              <w:ind w:firstLine="480" w:firstLineChars="200"/>
              <w:rPr>
                <w:rFonts w:hint="eastAsia" w:ascii="Times New Roman" w:hAnsi="Times New Roman" w:cs="Times New Roman"/>
                <w:bCs/>
                <w:color w:val="auto"/>
                <w:sz w:val="24"/>
                <w:lang w:val="en-US" w:eastAsia="zh-CN"/>
              </w:rPr>
            </w:pPr>
          </w:p>
          <w:p>
            <w:pPr>
              <w:rPr>
                <w:rFonts w:ascii="Times New Roman" w:hAnsi="Times New Roman" w:cs="Times New Roman"/>
                <w:bCs/>
                <w:color w:val="auto"/>
                <w:sz w:val="24"/>
              </w:rPr>
            </w:pPr>
          </w:p>
        </w:tc>
      </w:tr>
    </w:tbl>
    <w:p>
      <w:pPr>
        <w:spacing w:line="360" w:lineRule="auto"/>
        <w:ind w:firstLine="480" w:firstLineChars="200"/>
        <w:rPr>
          <w:rFonts w:ascii="Times New Roman" w:hAnsi="Times New Roman" w:cs="Times New Roman"/>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auto"/>
          <w:sz w:val="30"/>
          <w:szCs w:val="30"/>
        </w:rPr>
      </w:pPr>
      <w:r>
        <w:rPr>
          <w:rFonts w:hint="eastAsia" w:ascii="Times New Roman" w:hAnsi="Times New Roman" w:cs="Times New Roman"/>
          <w:b/>
          <w:color w:val="auto"/>
          <w:sz w:val="30"/>
          <w:szCs w:val="30"/>
        </w:rPr>
        <w:t>环境质量状况                                        (</w:t>
      </w:r>
      <w:r>
        <w:rPr>
          <w:rFonts w:hint="eastAsia" w:ascii="Times New Roman" w:hAnsi="Times New Roman" w:cs="Times New Roman"/>
          <w:b/>
          <w:snapToGrid w:val="0"/>
          <w:color w:val="auto"/>
          <w:kern w:val="0"/>
          <w:sz w:val="30"/>
          <w:szCs w:val="30"/>
        </w:rPr>
        <w:t>表三)</w:t>
      </w:r>
    </w:p>
    <w:tbl>
      <w:tblPr>
        <w:tblStyle w:val="5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9" w:type="dxa"/>
            <w:vAlign w:val="top"/>
          </w:tcPr>
          <w:p>
            <w:pPr>
              <w:spacing w:line="360" w:lineRule="auto"/>
              <w:rPr>
                <w:rFonts w:ascii="Times New Roman" w:hAnsi="Times New Roman" w:cs="Times New Roman"/>
                <w:b/>
                <w:color w:val="auto"/>
                <w:sz w:val="28"/>
                <w:szCs w:val="28"/>
              </w:rPr>
            </w:pPr>
            <w:r>
              <w:rPr>
                <w:rFonts w:ascii="Times New Roman" w:hAnsi="t" w:cs="Times New Roman"/>
                <w:b/>
                <w:color w:val="auto"/>
                <w:sz w:val="28"/>
                <w:szCs w:val="28"/>
              </w:rPr>
              <w:t>建设项目所在地区域环境质量现状及主要环境问题</w:t>
            </w:r>
            <w:r>
              <w:rPr>
                <w:rFonts w:ascii="Times New Roman" w:hAnsi="Times New Roman" w:cs="Times New Roman"/>
                <w:b/>
                <w:color w:val="auto"/>
                <w:sz w:val="28"/>
                <w:szCs w:val="28"/>
              </w:rPr>
              <w:t>(</w:t>
            </w:r>
            <w:r>
              <w:rPr>
                <w:rFonts w:ascii="Times New Roman" w:hAnsi="t" w:cs="Times New Roman"/>
                <w:b/>
                <w:color w:val="auto"/>
                <w:sz w:val="28"/>
                <w:szCs w:val="28"/>
              </w:rPr>
              <w:t>环境空气、地表水、地下水、声环境、生态环境等</w:t>
            </w:r>
            <w:r>
              <w:rPr>
                <w:rFonts w:ascii="Times New Roman" w:hAnsi="Times New Roman" w:cs="Times New Roman"/>
                <w:b/>
                <w:color w:val="auto"/>
                <w:sz w:val="28"/>
                <w:szCs w:val="28"/>
              </w:rPr>
              <w:t>)</w:t>
            </w:r>
            <w:r>
              <w:rPr>
                <w:rFonts w:ascii="Times New Roman" w:hAnsi="t" w:cs="Times New Roman"/>
                <w:b/>
                <w:color w:val="auto"/>
                <w:sz w:val="28"/>
                <w:szCs w:val="28"/>
              </w:rPr>
              <w:t>：</w:t>
            </w:r>
            <w:bookmarkStart w:id="6" w:name="OLE_LINK1"/>
            <w:bookmarkStart w:id="7" w:name="OLE_LINK2"/>
          </w:p>
          <w:p>
            <w:pPr>
              <w:spacing w:line="360" w:lineRule="auto"/>
              <w:rPr>
                <w:rFonts w:ascii="Times New Roman" w:hAnsi="t" w:cs="Times New Roman"/>
                <w:b/>
                <w:color w:val="auto"/>
                <w:sz w:val="24"/>
              </w:rPr>
            </w:pPr>
            <w:r>
              <w:rPr>
                <w:rFonts w:ascii="Times New Roman" w:hAnsi="t" w:cs="Times New Roman"/>
                <w:b/>
                <w:color w:val="auto"/>
                <w:sz w:val="24"/>
              </w:rPr>
              <w:t>一、空气环境质量</w:t>
            </w:r>
          </w:p>
          <w:bookmarkEnd w:id="6"/>
          <w:bookmarkEnd w:id="7"/>
          <w:p>
            <w:pPr>
              <w:pStyle w:val="309"/>
              <w:ind w:firstLine="480"/>
              <w:rPr>
                <w:snapToGrid w:val="0"/>
                <w:color w:val="auto"/>
              </w:rPr>
            </w:pPr>
            <w:r>
              <w:rPr>
                <w:rFonts w:hint="eastAsia"/>
                <w:snapToGrid w:val="0"/>
                <w:color w:val="auto"/>
              </w:rPr>
              <w:t>根据《环境影响评价技术导则 大气环境》（HJ2.2-2018），环境空气质量现状调查与评价中规定，项目所在区域达标判定，优先选用国家或地方生态环境主管部门公开发布的评价基准年环境质量公告或环境质量报告中的数据或结论。</w:t>
            </w:r>
          </w:p>
          <w:p>
            <w:pPr>
              <w:spacing w:line="360" w:lineRule="auto"/>
              <w:ind w:firstLine="480" w:firstLineChars="200"/>
              <w:rPr>
                <w:rFonts w:hint="default" w:ascii="Times New Roman" w:hAnsi="Times New Roman" w:eastAsia="宋体" w:cs="Times New Roman"/>
                <w:snapToGrid w:val="0"/>
                <w:color w:val="auto"/>
                <w:sz w:val="24"/>
                <w:szCs w:val="21"/>
                <w:lang w:val="en-US" w:eastAsia="zh-CN"/>
              </w:rPr>
            </w:pPr>
            <w:r>
              <w:rPr>
                <w:rFonts w:hint="eastAsia" w:ascii="Times New Roman" w:hAnsi="Times New Roman" w:eastAsia="宋体" w:cs="Times New Roman"/>
                <w:snapToGrid w:val="0"/>
                <w:color w:val="auto"/>
                <w:sz w:val="24"/>
                <w:szCs w:val="21"/>
              </w:rPr>
              <w:t>本项目位于松潘县</w:t>
            </w:r>
            <w:r>
              <w:rPr>
                <w:rFonts w:hint="eastAsia" w:ascii="Times New Roman" w:hAnsi="Times New Roman" w:eastAsia="宋体" w:cs="Times New Roman"/>
                <w:snapToGrid w:val="0"/>
                <w:color w:val="auto"/>
                <w:sz w:val="24"/>
                <w:szCs w:val="21"/>
                <w:lang w:val="en-US" w:eastAsia="zh-CN"/>
              </w:rPr>
              <w:t>白羊乡茶园坪村</w:t>
            </w:r>
            <w:r>
              <w:rPr>
                <w:rFonts w:hint="eastAsia" w:ascii="Times New Roman" w:hAnsi="Times New Roman" w:eastAsia="宋体" w:cs="Times New Roman"/>
                <w:snapToGrid w:val="0"/>
                <w:color w:val="auto"/>
                <w:sz w:val="24"/>
                <w:szCs w:val="21"/>
              </w:rPr>
              <w:t>，所在地行政区划属于阿坝州，因此，本次评价选</w:t>
            </w:r>
            <w:r>
              <w:rPr>
                <w:rFonts w:hint="eastAsia" w:ascii="Times New Roman" w:hAnsi="Times New Roman" w:eastAsia="宋体" w:cs="Times New Roman"/>
                <w:snapToGrid w:val="0"/>
                <w:color w:val="auto"/>
                <w:sz w:val="24"/>
                <w:szCs w:val="21"/>
                <w:lang w:val="en-US" w:eastAsia="zh-CN"/>
              </w:rPr>
              <w:t>引用2020年4月阿坝州生态环境局发布的</w:t>
            </w:r>
            <w:r>
              <w:rPr>
                <w:rFonts w:hint="eastAsia" w:ascii="Times New Roman" w:hAnsi="Times New Roman" w:eastAsia="宋体" w:cs="Times New Roman"/>
                <w:snapToGrid w:val="0"/>
                <w:color w:val="auto"/>
                <w:sz w:val="24"/>
                <w:szCs w:val="21"/>
              </w:rPr>
              <w:t>《</w:t>
            </w:r>
            <w:r>
              <w:rPr>
                <w:rFonts w:hint="eastAsia" w:ascii="Times New Roman" w:hAnsi="Times New Roman" w:eastAsia="宋体" w:cs="Times New Roman"/>
                <w:snapToGrid w:val="0"/>
                <w:color w:val="auto"/>
                <w:sz w:val="24"/>
                <w:szCs w:val="21"/>
                <w:lang w:val="en-US" w:eastAsia="zh-CN"/>
              </w:rPr>
              <w:t>阿坝州</w:t>
            </w:r>
            <w:r>
              <w:rPr>
                <w:rFonts w:hint="eastAsia" w:ascii="Times New Roman" w:hAnsi="Times New Roman" w:eastAsia="宋体" w:cs="Times New Roman"/>
                <w:snapToGrid w:val="0"/>
                <w:color w:val="auto"/>
                <w:sz w:val="24"/>
                <w:szCs w:val="21"/>
              </w:rPr>
              <w:t>环境质量</w:t>
            </w:r>
            <w:r>
              <w:rPr>
                <w:rFonts w:hint="eastAsia" w:ascii="Times New Roman" w:hAnsi="Times New Roman" w:eastAsia="宋体" w:cs="Times New Roman"/>
                <w:snapToGrid w:val="0"/>
                <w:color w:val="auto"/>
                <w:sz w:val="24"/>
                <w:szCs w:val="21"/>
                <w:lang w:val="en-US" w:eastAsia="zh-CN"/>
              </w:rPr>
              <w:t>报告书（</w:t>
            </w:r>
            <w:r>
              <w:rPr>
                <w:rFonts w:hint="eastAsia" w:ascii="Times New Roman" w:hAnsi="Times New Roman" w:eastAsia="宋体" w:cs="Times New Roman"/>
                <w:snapToGrid w:val="0"/>
                <w:color w:val="auto"/>
                <w:sz w:val="24"/>
                <w:szCs w:val="21"/>
              </w:rPr>
              <w:t>201</w:t>
            </w:r>
            <w:r>
              <w:rPr>
                <w:rFonts w:hint="eastAsia" w:ascii="Times New Roman" w:hAnsi="Times New Roman" w:eastAsia="宋体" w:cs="Times New Roman"/>
                <w:snapToGrid w:val="0"/>
                <w:color w:val="auto"/>
                <w:sz w:val="24"/>
                <w:szCs w:val="21"/>
                <w:lang w:val="en-US" w:eastAsia="zh-CN"/>
              </w:rPr>
              <w:t>9</w:t>
            </w:r>
            <w:r>
              <w:rPr>
                <w:rFonts w:hint="eastAsia" w:ascii="Times New Roman" w:hAnsi="Times New Roman" w:eastAsia="宋体" w:cs="Times New Roman"/>
                <w:snapToGrid w:val="0"/>
                <w:color w:val="auto"/>
                <w:sz w:val="24"/>
                <w:szCs w:val="21"/>
              </w:rPr>
              <w:t>年</w:t>
            </w:r>
            <w:r>
              <w:rPr>
                <w:rFonts w:hint="eastAsia" w:ascii="Times New Roman" w:hAnsi="Times New Roman" w:eastAsia="宋体" w:cs="Times New Roman"/>
                <w:snapToGrid w:val="0"/>
                <w:color w:val="auto"/>
                <w:sz w:val="24"/>
                <w:szCs w:val="21"/>
                <w:lang w:val="en-US" w:eastAsia="zh-CN"/>
              </w:rPr>
              <w:t>）</w:t>
            </w:r>
            <w:r>
              <w:rPr>
                <w:rFonts w:hint="eastAsia" w:ascii="Times New Roman" w:hAnsi="Times New Roman" w:eastAsia="宋体" w:cs="Times New Roman"/>
                <w:snapToGrid w:val="0"/>
                <w:color w:val="auto"/>
                <w:sz w:val="24"/>
                <w:szCs w:val="21"/>
              </w:rPr>
              <w:t>》</w:t>
            </w:r>
            <w:r>
              <w:rPr>
                <w:rFonts w:hint="eastAsia" w:ascii="Times New Roman" w:hAnsi="Times New Roman" w:eastAsia="宋体" w:cs="Times New Roman"/>
                <w:snapToGrid w:val="0"/>
                <w:color w:val="auto"/>
                <w:sz w:val="24"/>
                <w:szCs w:val="21"/>
                <w:lang w:val="en-US" w:eastAsia="zh-CN"/>
              </w:rPr>
              <w:t>中阿坝州环境</w:t>
            </w:r>
            <w:r>
              <w:rPr>
                <w:rFonts w:hint="eastAsia" w:ascii="Times New Roman" w:hAnsi="Times New Roman" w:eastAsia="宋体" w:cs="Times New Roman"/>
                <w:snapToGrid w:val="0"/>
                <w:color w:val="auto"/>
                <w:sz w:val="24"/>
                <w:szCs w:val="21"/>
              </w:rPr>
              <w:t>空气</w:t>
            </w:r>
            <w:r>
              <w:rPr>
                <w:rFonts w:hint="eastAsia" w:ascii="Times New Roman" w:hAnsi="Times New Roman" w:eastAsia="宋体" w:cs="Times New Roman"/>
                <w:snapToGrid w:val="0"/>
                <w:color w:val="auto"/>
                <w:sz w:val="24"/>
                <w:szCs w:val="21"/>
                <w:lang w:val="en-US" w:eastAsia="zh-CN"/>
              </w:rPr>
              <w:t>中六项基本污染物</w:t>
            </w:r>
            <w:r>
              <w:rPr>
                <w:rFonts w:hint="eastAsia" w:ascii="Times New Roman" w:hAnsi="Times New Roman" w:eastAsia="宋体" w:cs="Times New Roman"/>
                <w:snapToGrid w:val="0"/>
                <w:color w:val="auto"/>
                <w:sz w:val="24"/>
                <w:szCs w:val="21"/>
              </w:rPr>
              <w:t>SO</w:t>
            </w:r>
            <w:r>
              <w:rPr>
                <w:rFonts w:hint="eastAsia" w:ascii="Times New Roman" w:hAnsi="Times New Roman" w:eastAsia="宋体" w:cs="Times New Roman"/>
                <w:snapToGrid w:val="0"/>
                <w:color w:val="auto"/>
                <w:sz w:val="24"/>
                <w:szCs w:val="21"/>
                <w:vertAlign w:val="subscript"/>
              </w:rPr>
              <w:t>2</w:t>
            </w:r>
            <w:r>
              <w:rPr>
                <w:rFonts w:hint="eastAsia" w:ascii="Times New Roman" w:hAnsi="Times New Roman" w:eastAsia="宋体" w:cs="Times New Roman"/>
                <w:snapToGrid w:val="0"/>
                <w:color w:val="auto"/>
                <w:sz w:val="24"/>
                <w:szCs w:val="21"/>
              </w:rPr>
              <w:t>、NO</w:t>
            </w:r>
            <w:r>
              <w:rPr>
                <w:rFonts w:hint="eastAsia" w:ascii="Times New Roman" w:hAnsi="Times New Roman" w:eastAsia="宋体" w:cs="Times New Roman"/>
                <w:snapToGrid w:val="0"/>
                <w:color w:val="auto"/>
                <w:sz w:val="24"/>
                <w:szCs w:val="21"/>
                <w:vertAlign w:val="subscript"/>
              </w:rPr>
              <w:t>2</w:t>
            </w:r>
            <w:r>
              <w:rPr>
                <w:rFonts w:hint="eastAsia" w:ascii="Times New Roman" w:hAnsi="Times New Roman" w:eastAsia="宋体" w:cs="Times New Roman"/>
                <w:snapToGrid w:val="0"/>
                <w:color w:val="auto"/>
                <w:sz w:val="24"/>
                <w:szCs w:val="21"/>
              </w:rPr>
              <w:t>、PM</w:t>
            </w:r>
            <w:r>
              <w:rPr>
                <w:rFonts w:hint="eastAsia" w:ascii="Times New Roman" w:hAnsi="Times New Roman" w:eastAsia="宋体" w:cs="Times New Roman"/>
                <w:snapToGrid w:val="0"/>
                <w:color w:val="auto"/>
                <w:sz w:val="24"/>
                <w:szCs w:val="21"/>
                <w:vertAlign w:val="subscript"/>
              </w:rPr>
              <w:t>10</w:t>
            </w:r>
            <w:r>
              <w:rPr>
                <w:rFonts w:hint="eastAsia" w:ascii="Times New Roman" w:hAnsi="Times New Roman" w:eastAsia="宋体" w:cs="Times New Roman"/>
                <w:snapToGrid w:val="0"/>
                <w:color w:val="auto"/>
                <w:sz w:val="24"/>
                <w:szCs w:val="21"/>
              </w:rPr>
              <w:t>、PM</w:t>
            </w:r>
            <w:r>
              <w:rPr>
                <w:rFonts w:hint="eastAsia" w:ascii="Times New Roman" w:hAnsi="Times New Roman" w:eastAsia="宋体" w:cs="Times New Roman"/>
                <w:snapToGrid w:val="0"/>
                <w:color w:val="auto"/>
                <w:sz w:val="24"/>
                <w:szCs w:val="21"/>
                <w:vertAlign w:val="subscript"/>
              </w:rPr>
              <w:t>2.5</w:t>
            </w:r>
            <w:r>
              <w:rPr>
                <w:rFonts w:hint="eastAsia" w:ascii="Times New Roman" w:hAnsi="Times New Roman" w:eastAsia="宋体" w:cs="Times New Roman"/>
                <w:snapToGrid w:val="0"/>
                <w:color w:val="auto"/>
                <w:sz w:val="24"/>
                <w:szCs w:val="21"/>
              </w:rPr>
              <w:t>、CO、O</w:t>
            </w:r>
            <w:r>
              <w:rPr>
                <w:rFonts w:hint="eastAsia" w:ascii="Times New Roman" w:hAnsi="Times New Roman" w:eastAsia="宋体" w:cs="Times New Roman"/>
                <w:snapToGrid w:val="0"/>
                <w:color w:val="auto"/>
                <w:sz w:val="24"/>
                <w:szCs w:val="21"/>
                <w:vertAlign w:val="subscript"/>
              </w:rPr>
              <w:t>3</w:t>
            </w:r>
            <w:r>
              <w:rPr>
                <w:rFonts w:hint="eastAsia" w:ascii="Times New Roman" w:hAnsi="Times New Roman" w:eastAsia="宋体" w:cs="Times New Roman"/>
                <w:snapToGrid w:val="0"/>
                <w:color w:val="auto"/>
                <w:sz w:val="24"/>
                <w:szCs w:val="21"/>
                <w:vertAlign w:val="baseline"/>
                <w:lang w:val="en-US" w:eastAsia="zh-CN"/>
              </w:rPr>
              <w:t>的检测结果，</w:t>
            </w:r>
            <w:r>
              <w:rPr>
                <w:rFonts w:hint="eastAsia" w:ascii="Times New Roman" w:hAnsi="Times New Roman" w:eastAsia="宋体" w:cs="Times New Roman"/>
                <w:snapToGrid w:val="0"/>
                <w:color w:val="auto"/>
                <w:sz w:val="24"/>
                <w:szCs w:val="21"/>
                <w:lang w:val="en-US" w:eastAsia="zh-CN"/>
              </w:rPr>
              <w:t>对区域环境空气质量现状进行说明。根据</w:t>
            </w:r>
            <w:r>
              <w:rPr>
                <w:rFonts w:hint="eastAsia" w:ascii="Times New Roman" w:hAnsi="Times New Roman" w:eastAsia="宋体" w:cs="Times New Roman"/>
                <w:snapToGrid w:val="0"/>
                <w:color w:val="auto"/>
                <w:sz w:val="24"/>
                <w:szCs w:val="21"/>
              </w:rPr>
              <w:t>《</w:t>
            </w:r>
            <w:r>
              <w:rPr>
                <w:rFonts w:hint="eastAsia" w:ascii="Times New Roman" w:hAnsi="Times New Roman" w:eastAsia="宋体" w:cs="Times New Roman"/>
                <w:snapToGrid w:val="0"/>
                <w:color w:val="auto"/>
                <w:sz w:val="24"/>
                <w:szCs w:val="21"/>
                <w:lang w:val="en-US" w:eastAsia="zh-CN"/>
              </w:rPr>
              <w:t>阿坝州</w:t>
            </w:r>
            <w:r>
              <w:rPr>
                <w:rFonts w:hint="eastAsia" w:ascii="Times New Roman" w:hAnsi="Times New Roman" w:eastAsia="宋体" w:cs="Times New Roman"/>
                <w:snapToGrid w:val="0"/>
                <w:color w:val="auto"/>
                <w:sz w:val="24"/>
                <w:szCs w:val="21"/>
              </w:rPr>
              <w:t>201</w:t>
            </w:r>
            <w:r>
              <w:rPr>
                <w:rFonts w:hint="eastAsia" w:ascii="Times New Roman" w:hAnsi="Times New Roman" w:eastAsia="宋体" w:cs="Times New Roman"/>
                <w:snapToGrid w:val="0"/>
                <w:color w:val="auto"/>
                <w:sz w:val="24"/>
                <w:szCs w:val="21"/>
                <w:lang w:val="en-US" w:eastAsia="zh-CN"/>
              </w:rPr>
              <w:t>9</w:t>
            </w:r>
            <w:r>
              <w:rPr>
                <w:rFonts w:hint="eastAsia" w:ascii="Times New Roman" w:hAnsi="Times New Roman" w:eastAsia="宋体" w:cs="Times New Roman"/>
                <w:snapToGrid w:val="0"/>
                <w:color w:val="auto"/>
                <w:sz w:val="24"/>
                <w:szCs w:val="21"/>
              </w:rPr>
              <w:t>年环境质量公报》</w:t>
            </w:r>
            <w:r>
              <w:rPr>
                <w:rFonts w:hint="eastAsia" w:ascii="Times New Roman" w:hAnsi="Times New Roman" w:eastAsia="宋体" w:cs="Times New Roman"/>
                <w:snapToGrid w:val="0"/>
                <w:color w:val="auto"/>
                <w:sz w:val="24"/>
                <w:szCs w:val="21"/>
                <w:lang w:eastAsia="zh-CN"/>
              </w:rPr>
              <w:t>，</w:t>
            </w:r>
            <w:r>
              <w:rPr>
                <w:rFonts w:hint="eastAsia" w:ascii="Times New Roman" w:hAnsi="Times New Roman" w:eastAsia="宋体" w:cs="Times New Roman"/>
                <w:snapToGrid w:val="0"/>
                <w:color w:val="auto"/>
                <w:sz w:val="24"/>
                <w:szCs w:val="21"/>
                <w:lang w:val="en-US" w:eastAsia="zh-CN"/>
              </w:rPr>
              <w:t>2019年，全州13个县（市）环境空气质量按照《环境空气质量标准》（GB3095-2012）评价，全年环境空气质量平均达标率为100%。</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根据《阿坝州环境质量报告书（2019年）》的数据，2019年阿坝州环境空气质量如下：</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1、二氧化硫（SO</w:t>
            </w:r>
            <w:r>
              <w:rPr>
                <w:rFonts w:hint="eastAsia" w:ascii="Times New Roman" w:hAnsi="t" w:cs="Times New Roman"/>
                <w:b w:val="0"/>
                <w:bCs w:val="0"/>
                <w:sz w:val="24"/>
                <w:vertAlign w:val="subscript"/>
              </w:rPr>
              <w:t>2</w:t>
            </w:r>
            <w:r>
              <w:rPr>
                <w:rFonts w:hint="eastAsia" w:ascii="Times New Roman" w:hAnsi="t" w:cs="Times New Roman"/>
                <w:b w:val="0"/>
                <w:bCs w:val="0"/>
                <w:sz w:val="24"/>
              </w:rPr>
              <w:t>）</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2019年，全州13个县（市）城区二氧化硫年平均浓度范围为4-17微克/立方米，全州年平均浓度为9微克/立方米。13个县（市）年平均浓度均达标。</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2、二氧化氮（NO</w:t>
            </w:r>
            <w:r>
              <w:rPr>
                <w:rFonts w:hint="eastAsia" w:ascii="Times New Roman" w:hAnsi="t" w:cs="Times New Roman"/>
                <w:b w:val="0"/>
                <w:bCs w:val="0"/>
                <w:sz w:val="24"/>
                <w:vertAlign w:val="subscript"/>
              </w:rPr>
              <w:t>2</w:t>
            </w:r>
            <w:r>
              <w:rPr>
                <w:rFonts w:hint="eastAsia" w:ascii="Times New Roman" w:hAnsi="t" w:cs="Times New Roman"/>
                <w:b w:val="0"/>
                <w:bCs w:val="0"/>
                <w:sz w:val="24"/>
              </w:rPr>
              <w:t>）</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2019年，全州13个县（市）城区二氧化氮年平均浓度范围为5-18微克/立方米，全州年平均浓度为11微克/立方米。13个县（市）年平均浓度均达标。</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3、可吸入颗粒物（PM</w:t>
            </w:r>
            <w:r>
              <w:rPr>
                <w:rFonts w:hint="eastAsia" w:ascii="Times New Roman" w:hAnsi="t" w:cs="Times New Roman"/>
                <w:b w:val="0"/>
                <w:bCs w:val="0"/>
                <w:sz w:val="24"/>
                <w:vertAlign w:val="subscript"/>
              </w:rPr>
              <w:t>10</w:t>
            </w:r>
            <w:r>
              <w:rPr>
                <w:rFonts w:hint="eastAsia" w:ascii="Times New Roman" w:hAnsi="t" w:cs="Times New Roman"/>
                <w:b w:val="0"/>
                <w:bCs w:val="0"/>
                <w:sz w:val="24"/>
              </w:rPr>
              <w:t>）</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2019年，全州13个县（市）城区可吸入颗粒物（PM</w:t>
            </w:r>
            <w:r>
              <w:rPr>
                <w:rFonts w:hint="eastAsia" w:ascii="Times New Roman" w:hAnsi="t" w:cs="Times New Roman"/>
                <w:b w:val="0"/>
                <w:bCs w:val="0"/>
                <w:sz w:val="24"/>
                <w:vertAlign w:val="subscript"/>
              </w:rPr>
              <w:t>10</w:t>
            </w:r>
            <w:r>
              <w:rPr>
                <w:rFonts w:hint="eastAsia" w:ascii="Times New Roman" w:hAnsi="t" w:cs="Times New Roman"/>
                <w:b w:val="0"/>
                <w:bCs w:val="0"/>
                <w:sz w:val="24"/>
              </w:rPr>
              <w:t>）年平均浓度范围为15-43微克/立方米，全州年平均浓度为25微克/立方米。13个县（市）年平均浓度均达标。</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4、细颗粒物（PM</w:t>
            </w:r>
            <w:r>
              <w:rPr>
                <w:rFonts w:hint="eastAsia" w:ascii="Times New Roman" w:hAnsi="t" w:cs="Times New Roman"/>
                <w:b w:val="0"/>
                <w:bCs w:val="0"/>
                <w:sz w:val="24"/>
                <w:vertAlign w:val="subscript"/>
              </w:rPr>
              <w:t>2.5</w:t>
            </w:r>
            <w:r>
              <w:rPr>
                <w:rFonts w:hint="eastAsia" w:ascii="Times New Roman" w:hAnsi="t" w:cs="Times New Roman"/>
                <w:b w:val="0"/>
                <w:bCs w:val="0"/>
                <w:sz w:val="24"/>
              </w:rPr>
              <w:t>）</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2019年，全州13个县（市）城区细颗粒物（PM</w:t>
            </w:r>
            <w:r>
              <w:rPr>
                <w:rFonts w:hint="eastAsia" w:ascii="Times New Roman" w:hAnsi="t" w:cs="Times New Roman"/>
                <w:b w:val="0"/>
                <w:bCs w:val="0"/>
                <w:sz w:val="24"/>
                <w:vertAlign w:val="subscript"/>
              </w:rPr>
              <w:t>2.5</w:t>
            </w:r>
            <w:r>
              <w:rPr>
                <w:rFonts w:hint="eastAsia" w:ascii="Times New Roman" w:hAnsi="t" w:cs="Times New Roman"/>
                <w:b w:val="0"/>
                <w:bCs w:val="0"/>
                <w:sz w:val="24"/>
              </w:rPr>
              <w:t>）年平均浓度范围为7-20微克/立方米，全州年平均浓度为13微克/立方米。13个县（市）年平均浓度均达标。</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5、臭氧（O</w:t>
            </w:r>
            <w:r>
              <w:rPr>
                <w:rFonts w:hint="eastAsia" w:ascii="Times New Roman" w:hAnsi="t" w:cs="Times New Roman"/>
                <w:b w:val="0"/>
                <w:bCs w:val="0"/>
                <w:sz w:val="24"/>
                <w:vertAlign w:val="subscript"/>
              </w:rPr>
              <w:t>3</w:t>
            </w:r>
            <w:r>
              <w:rPr>
                <w:rFonts w:hint="eastAsia" w:ascii="Times New Roman" w:hAnsi="t" w:cs="Times New Roman"/>
                <w:b w:val="0"/>
                <w:bCs w:val="0"/>
                <w:sz w:val="24"/>
              </w:rPr>
              <w:t>）</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2019年，全州13个县（市）城区臭氧日最大8小时滑动平均值的第90百分位数浓度范围为82-124微克/立方米，全州年平均浓度为106微克/立方米。13个县（市）日最大8小时滑动平均值的第90百分位数浓度均达标。</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6、一氧化碳（CO）</w:t>
            </w:r>
          </w:p>
          <w:p>
            <w:pPr>
              <w:pStyle w:val="5"/>
              <w:spacing w:before="0" w:after="0" w:line="360" w:lineRule="auto"/>
              <w:ind w:firstLine="470" w:firstLineChars="196"/>
              <w:rPr>
                <w:rFonts w:hint="eastAsia" w:ascii="Times New Roman" w:hAnsi="t" w:cs="Times New Roman"/>
                <w:b w:val="0"/>
                <w:bCs w:val="0"/>
                <w:sz w:val="24"/>
              </w:rPr>
            </w:pPr>
            <w:r>
              <w:rPr>
                <w:rFonts w:hint="eastAsia" w:ascii="Times New Roman" w:hAnsi="t" w:cs="Times New Roman"/>
                <w:b w:val="0"/>
                <w:bCs w:val="0"/>
                <w:sz w:val="24"/>
              </w:rPr>
              <w:t>2019年，全州13个县（市）城区一氧化碳24小时平均第95百分位数浓度范围为0.6-2.8微克/立方米，全州年平均浓度为1.2微克/立方米。13个县（市）24小时平均第95百分位数浓度均达标。</w:t>
            </w:r>
          </w:p>
          <w:p>
            <w:pPr>
              <w:pStyle w:val="5"/>
              <w:spacing w:before="0" w:after="0" w:line="360" w:lineRule="auto"/>
              <w:ind w:firstLine="470" w:firstLineChars="196"/>
              <w:rPr>
                <w:rFonts w:asciiTheme="minorEastAsia" w:hAnsiTheme="minorEastAsia"/>
                <w:b w:val="0"/>
                <w:color w:val="auto"/>
                <w:sz w:val="24"/>
                <w:szCs w:val="24"/>
              </w:rPr>
            </w:pPr>
            <w:r>
              <w:rPr>
                <w:rFonts w:hint="eastAsia" w:ascii="Times New Roman" w:hAnsi="t" w:cs="Times New Roman"/>
                <w:color w:val="auto"/>
                <w:sz w:val="24"/>
              </w:rPr>
              <w:t>综上所述，本项目所在区域内环境质量均达标，因此本项目属于达标区域。</w:t>
            </w:r>
            <w:bookmarkStart w:id="8" w:name="_Toc251838768"/>
          </w:p>
          <w:bookmarkEnd w:id="8"/>
          <w:p>
            <w:pPr>
              <w:spacing w:line="360" w:lineRule="auto"/>
              <w:rPr>
                <w:rFonts w:ascii="Times New Roman" w:cs="Times New Roman"/>
                <w:b/>
                <w:bCs/>
                <w:color w:val="auto"/>
                <w:sz w:val="24"/>
              </w:rPr>
            </w:pPr>
            <w:r>
              <w:rPr>
                <w:rFonts w:hint="eastAsia" w:ascii="Times New Roman" w:cs="Times New Roman"/>
                <w:b/>
                <w:bCs/>
                <w:color w:val="auto"/>
                <w:sz w:val="24"/>
              </w:rPr>
              <w:t>二、地表水环境质量</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为了了解本项目地区的地表水环境质量现状，本次评价采用阿坝州生态环境局发布的“阿坝州环境质量报告书（2019年）”的地表水环境质量现状的有关数据及结论对本项目所在地区地表水环境质量现状进行说明。</w:t>
            </w:r>
          </w:p>
          <w:p>
            <w:pPr>
              <w:spacing w:line="360" w:lineRule="auto"/>
              <w:ind w:firstLine="480" w:firstLineChars="200"/>
              <w:rPr>
                <w:rFonts w:cs="Times New Roman" w:asciiTheme="minorEastAsia" w:hAnsiTheme="minorEastAsia"/>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全州水质：2019年，全州32个河流监测断面，水质断面达标率为100%，其中5个国控监测断面达标率为100%，2个省控监测断面水质达标率为100%，</w:t>
            </w:r>
            <w:r>
              <w:rPr>
                <w:rFonts w:hint="eastAsia" w:cs="Times New Roman" w:asciiTheme="minorEastAsia" w:hAnsiTheme="minorEastAsia"/>
                <w:color w:val="000000" w:themeColor="text1"/>
                <w:sz w:val="24"/>
                <w14:textFill>
                  <w14:solidFill>
                    <w14:schemeClr w14:val="tx1"/>
                  </w14:solidFill>
                </w14:textFill>
              </w:rPr>
              <w:t>25个县控监测断面达标率为100%。</w:t>
            </w:r>
          </w:p>
          <w:p>
            <w:pPr>
              <w:spacing w:line="360" w:lineRule="auto"/>
              <w:ind w:firstLine="480" w:firstLineChars="200"/>
              <w:rPr>
                <w:rFonts w:cs="Times New Roman" w:asciiTheme="minorEastAsia" w:hAnsiTheme="minorEastAsia"/>
                <w:color w:val="000000" w:themeColor="text1"/>
                <w:sz w:val="24"/>
                <w14:textFill>
                  <w14:solidFill>
                    <w14:schemeClr w14:val="tx1"/>
                  </w14:solidFill>
                </w14:textFill>
              </w:rPr>
            </w:pPr>
            <w:r>
              <w:rPr>
                <w:rFonts w:hint="eastAsia" w:cs="Times New Roman" w:asciiTheme="minorEastAsia" w:hAnsiTheme="minorEastAsia"/>
                <w:color w:val="000000" w:themeColor="text1"/>
                <w:sz w:val="24"/>
                <w14:textFill>
                  <w14:solidFill>
                    <w14:schemeClr w14:val="tx1"/>
                  </w14:solidFill>
                </w14:textFill>
              </w:rPr>
              <w:t>6个出州断面：嘉陵江青龙桥（九寨沟县流入甘肃省）、嘉陵江冻列乡（若尔盖县流入甘肃省）、黄河泽修村（若尔盖县流入甘肃省）、岷江映秀（汶川县流入成都市）、岷江新格乡松矶砂石场（小金县流入甘孜州）和马尔邦碉王山庄（金川县流入甘孜州）均达到</w:t>
            </w:r>
            <w:r>
              <w:rPr>
                <w:rFonts w:hint="eastAsia" w:ascii="黑体" w:hAnsi="黑体" w:eastAsia="黑体" w:cs="黑体"/>
                <w:color w:val="000000" w:themeColor="text1"/>
                <w:sz w:val="24"/>
                <w14:textFill>
                  <w14:solidFill>
                    <w14:schemeClr w14:val="tx1"/>
                  </w14:solidFill>
                </w14:textFill>
              </w:rPr>
              <w:t>Ⅱ</w:t>
            </w:r>
            <w:r>
              <w:rPr>
                <w:rFonts w:hint="eastAsia" w:cs="Times New Roman" w:asciiTheme="minorEastAsia" w:hAnsiTheme="minorEastAsia"/>
                <w:color w:val="000000" w:themeColor="text1"/>
                <w:sz w:val="24"/>
                <w14:textFill>
                  <w14:solidFill>
                    <w14:schemeClr w14:val="tx1"/>
                  </w14:solidFill>
                </w14:textFill>
              </w:rPr>
              <w:t>类水质，水质全部达标。</w:t>
            </w:r>
          </w:p>
          <w:p>
            <w:pPr>
              <w:spacing w:line="360" w:lineRule="auto"/>
              <w:ind w:firstLine="480" w:firstLineChars="200"/>
              <w:rPr>
                <w:rFonts w:hint="eastAsia" w:ascii="Times New Roman" w:hAnsi="Times New Roman" w:cs="Times New Roman"/>
                <w:sz w:val="24"/>
              </w:rPr>
            </w:pPr>
            <w:r>
              <w:rPr>
                <w:rFonts w:hint="eastAsia" w:cs="Times New Roman" w:asciiTheme="minorEastAsia" w:hAnsiTheme="minorEastAsia"/>
                <w:color w:val="000000" w:themeColor="text1"/>
                <w:sz w:val="24"/>
                <w14:textFill>
                  <w14:solidFill>
                    <w14:schemeClr w14:val="tx1"/>
                  </w14:solidFill>
                </w14:textFill>
              </w:rPr>
              <w:t>全州32个地表水监测断面，10个监测断面达到</w:t>
            </w:r>
            <w:r>
              <w:rPr>
                <w:rFonts w:hint="eastAsia" w:ascii="宋体" w:hAnsi="宋体" w:eastAsia="宋体" w:cs="宋体"/>
                <w:color w:val="000000" w:themeColor="text1"/>
                <w:sz w:val="24"/>
                <w14:textFill>
                  <w14:solidFill>
                    <w14:schemeClr w14:val="tx1"/>
                  </w14:solidFill>
                </w14:textFill>
              </w:rPr>
              <w:t>Ⅰ</w:t>
            </w:r>
            <w:r>
              <w:rPr>
                <w:rFonts w:hint="eastAsia" w:cs="Times New Roman" w:asciiTheme="minorEastAsia" w:hAnsiTheme="minorEastAsia"/>
                <w:color w:val="000000" w:themeColor="text1"/>
                <w:sz w:val="24"/>
                <w14:textFill>
                  <w14:solidFill>
                    <w14:schemeClr w14:val="tx1"/>
                  </w14:solidFill>
                </w14:textFill>
              </w:rPr>
              <w:t>类水质，22个监测断面达到</w:t>
            </w:r>
            <w:r>
              <w:rPr>
                <w:rFonts w:hint="eastAsia" w:ascii="黑体" w:hAnsi="黑体" w:eastAsia="黑体" w:cs="黑体"/>
                <w:color w:val="000000" w:themeColor="text1"/>
                <w:sz w:val="24"/>
                <w14:textFill>
                  <w14:solidFill>
                    <w14:schemeClr w14:val="tx1"/>
                  </w14:solidFill>
                </w14:textFill>
              </w:rPr>
              <w:t>Ⅱ</w:t>
            </w:r>
            <w:r>
              <w:rPr>
                <w:rFonts w:hint="eastAsia" w:cs="Times New Roman" w:asciiTheme="minorEastAsia" w:hAnsiTheme="minorEastAsia"/>
                <w:color w:val="000000" w:themeColor="text1"/>
                <w:sz w:val="24"/>
                <w14:textFill>
                  <w14:solidFill>
                    <w14:schemeClr w14:val="tx1"/>
                  </w14:solidFill>
                </w14:textFill>
              </w:rPr>
              <w:t>类水质。</w:t>
            </w:r>
          </w:p>
          <w:p>
            <w:pPr>
              <w:spacing w:line="360" w:lineRule="auto"/>
              <w:ind w:firstLine="480" w:firstLineChars="200"/>
              <w:rPr>
                <w:rFonts w:cs="Times New Roman" w:asciiTheme="minorEastAsia" w:hAnsiTheme="minorEastAsia"/>
                <w:color w:val="000000" w:themeColor="text1"/>
                <w:sz w:val="24"/>
                <w14:textFill>
                  <w14:solidFill>
                    <w14:schemeClr w14:val="tx1"/>
                  </w14:solidFill>
                </w14:textFill>
              </w:rPr>
            </w:pPr>
            <w:r>
              <w:rPr>
                <w:rFonts w:hint="eastAsia" w:cs="Times New Roman" w:asciiTheme="minorEastAsia" w:hAnsiTheme="minorEastAsia"/>
                <w:color w:val="000000" w:themeColor="text1"/>
                <w:sz w:val="24"/>
                <w14:textFill>
                  <w14:solidFill>
                    <w14:schemeClr w14:val="tx1"/>
                  </w14:solidFill>
                </w14:textFill>
              </w:rPr>
              <w:t>2019年，三大水系水质总体保持优，黄河流域3个断面，达标率为100%；岷江流域22个断面，达标率为100%，嘉陵江流域7个断面，达标率为100%。</w:t>
            </w:r>
          </w:p>
          <w:p>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color w:val="000000" w:themeColor="text1"/>
                <w:sz w:val="24"/>
                <w14:textFill>
                  <w14:solidFill>
                    <w14:schemeClr w14:val="tx1"/>
                  </w14:solidFill>
                </w14:textFill>
              </w:rPr>
              <w:t>本项目位于四川省阿坝藏族羌族自治州松潘县</w:t>
            </w:r>
            <w:r>
              <w:rPr>
                <w:rFonts w:hint="eastAsia" w:ascii="Times New Roman" w:hAnsi="Times New Roman" w:cs="Times New Roman"/>
                <w:color w:val="000000" w:themeColor="text1"/>
                <w:sz w:val="24"/>
                <w:lang w:val="en-US" w:eastAsia="zh-CN"/>
                <w14:textFill>
                  <w14:solidFill>
                    <w14:schemeClr w14:val="tx1"/>
                  </w14:solidFill>
                </w14:textFill>
              </w:rPr>
              <w:t>白羊</w:t>
            </w:r>
            <w:r>
              <w:rPr>
                <w:rFonts w:hint="eastAsia" w:ascii="Times New Roman" w:hAnsi="Times New Roman" w:cs="Times New Roman"/>
                <w:color w:val="000000" w:themeColor="text1"/>
                <w:sz w:val="24"/>
                <w14:textFill>
                  <w14:solidFill>
                    <w14:schemeClr w14:val="tx1"/>
                  </w14:solidFill>
                </w14:textFill>
              </w:rPr>
              <w:t>乡，项目所在区域属于</w:t>
            </w:r>
            <w:r>
              <w:rPr>
                <w:rFonts w:hint="eastAsia" w:ascii="Times New Roman" w:hAnsi="Times New Roman" w:cs="Times New Roman"/>
                <w:color w:val="000000" w:themeColor="text1"/>
                <w:sz w:val="24"/>
                <w:lang w:val="en-US" w:eastAsia="zh-CN"/>
                <w14:textFill>
                  <w14:solidFill>
                    <w14:schemeClr w14:val="tx1"/>
                  </w14:solidFill>
                </w14:textFill>
              </w:rPr>
              <w:t>沱</w:t>
            </w:r>
            <w:r>
              <w:rPr>
                <w:rFonts w:hint="eastAsia" w:ascii="Times New Roman" w:hAnsi="Times New Roman" w:cs="Times New Roman"/>
                <w:color w:val="000000" w:themeColor="text1"/>
                <w:sz w:val="24"/>
                <w14:textFill>
                  <w14:solidFill>
                    <w14:schemeClr w14:val="tx1"/>
                  </w14:solidFill>
                </w14:textFill>
              </w:rPr>
              <w:t>江水系，地表水水质达标率100%。因此，本项目所在区水质情况良好，尚有一定环境容量。</w:t>
            </w:r>
          </w:p>
          <w:p>
            <w:pPr>
              <w:spacing w:line="360" w:lineRule="auto"/>
              <w:ind w:firstLine="480" w:firstLineChars="200"/>
              <w:rPr>
                <w:rFonts w:ascii="Times New Roman" w:cs="Times New Roman"/>
                <w:color w:val="auto"/>
                <w:sz w:val="24"/>
              </w:rPr>
            </w:pPr>
            <w:r>
              <w:rPr>
                <w:rFonts w:hint="eastAsia" w:ascii="Times New Roman" w:hAnsi="Times New Roman" w:cs="Times New Roman"/>
                <w:color w:val="auto"/>
                <w:sz w:val="24"/>
              </w:rPr>
              <w:t>为掌握区域内地表水环境质量现状情况，本次地表水现状评价委托四川</w:t>
            </w:r>
            <w:r>
              <w:rPr>
                <w:rFonts w:hint="eastAsia" w:ascii="Times New Roman" w:hAnsi="Times New Roman" w:cs="Times New Roman"/>
                <w:color w:val="auto"/>
                <w:sz w:val="24"/>
                <w:lang w:val="en-US" w:eastAsia="zh-CN"/>
              </w:rPr>
              <w:t>中斯诺检测服务</w:t>
            </w:r>
            <w:r>
              <w:rPr>
                <w:rFonts w:hint="eastAsia" w:ascii="Times New Roman" w:hAnsi="Times New Roman" w:cs="Times New Roman"/>
                <w:color w:val="auto"/>
                <w:sz w:val="24"/>
              </w:rPr>
              <w:t>有限公司于20</w:t>
            </w:r>
            <w:r>
              <w:rPr>
                <w:rFonts w:hint="eastAsia" w:ascii="Times New Roman" w:hAnsi="Times New Roman" w:cs="Times New Roman"/>
                <w:color w:val="auto"/>
                <w:sz w:val="24"/>
                <w:lang w:val="en-US" w:eastAsia="zh-CN"/>
              </w:rPr>
              <w:t>20</w:t>
            </w:r>
            <w:r>
              <w:rPr>
                <w:rFonts w:hint="eastAsia" w:ascii="Times New Roman" w:hAnsi="Times New Roman" w:cs="Times New Roman"/>
                <w:color w:val="auto"/>
                <w:sz w:val="24"/>
              </w:rPr>
              <w:t>年</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rPr>
              <w:t>月</w:t>
            </w:r>
            <w:r>
              <w:rPr>
                <w:rFonts w:hint="eastAsia" w:ascii="Times New Roman" w:hAnsi="Times New Roman" w:cs="Times New Roman"/>
                <w:color w:val="auto"/>
                <w:sz w:val="24"/>
                <w:lang w:val="en-US" w:eastAsia="zh-CN"/>
              </w:rPr>
              <w:t>30</w:t>
            </w:r>
            <w:r>
              <w:rPr>
                <w:rFonts w:hint="eastAsia" w:ascii="Times New Roman" w:hAnsi="Times New Roman" w:cs="Times New Roman"/>
                <w:color w:val="auto"/>
                <w:sz w:val="24"/>
              </w:rPr>
              <w:t>日——</w:t>
            </w:r>
            <w:r>
              <w:rPr>
                <w:rFonts w:hint="eastAsia" w:ascii="Times New Roman" w:hAnsi="Times New Roman" w:cs="Times New Roman"/>
                <w:color w:val="auto"/>
                <w:sz w:val="24"/>
                <w:lang w:val="en-US" w:eastAsia="zh-CN"/>
              </w:rPr>
              <w:t>4月1</w:t>
            </w:r>
            <w:r>
              <w:rPr>
                <w:rFonts w:hint="eastAsia" w:ascii="Times New Roman" w:hAnsi="Times New Roman" w:cs="Times New Roman"/>
                <w:color w:val="auto"/>
                <w:sz w:val="24"/>
              </w:rPr>
              <w:t>日对项目所在地区域内地表水进行实测，监测的数据如下</w:t>
            </w:r>
            <w:r>
              <w:rPr>
                <w:rFonts w:hint="eastAsia" w:ascii="Times New Roman" w:cs="Times New Roman"/>
                <w:color w:val="auto"/>
                <w:sz w:val="24"/>
              </w:rPr>
              <w:t>。</w:t>
            </w:r>
          </w:p>
          <w:p>
            <w:pPr>
              <w:spacing w:line="360" w:lineRule="auto"/>
              <w:ind w:firstLine="480" w:firstLineChars="200"/>
              <w:jc w:val="left"/>
              <w:rPr>
                <w:rFonts w:ascii="Times New Roman" w:hAnsi="Times New Roman" w:cs="Times New Roman"/>
                <w:color w:val="auto"/>
                <w:sz w:val="24"/>
              </w:rPr>
            </w:pPr>
            <w:r>
              <w:rPr>
                <w:rFonts w:hint="eastAsia" w:ascii="Times New Roman" w:cs="Times New Roman" w:hAnsiTheme="minorEastAsia"/>
                <w:bCs/>
                <w:color w:val="auto"/>
                <w:sz w:val="24"/>
              </w:rPr>
              <w:t>1</w:t>
            </w:r>
            <w:r>
              <w:rPr>
                <w:rFonts w:ascii="Times New Roman" w:cs="Times New Roman" w:hAnsiTheme="minorEastAsia"/>
                <w:bCs/>
                <w:color w:val="auto"/>
                <w:sz w:val="24"/>
              </w:rPr>
              <w:t>、监测项目：</w:t>
            </w:r>
            <w:r>
              <w:rPr>
                <w:rFonts w:ascii="Times New Roman" w:hAnsi="Times New Roman" w:cs="Times New Roman"/>
                <w:color w:val="auto"/>
                <w:sz w:val="24"/>
              </w:rPr>
              <w:t>pH</w:t>
            </w:r>
            <w:r>
              <w:rPr>
                <w:rFonts w:ascii="Times New Roman" w:cs="Times New Roman" w:hAnsiTheme="minorEastAsia"/>
                <w:color w:val="auto"/>
                <w:sz w:val="24"/>
              </w:rPr>
              <w:t>、</w:t>
            </w:r>
            <w:r>
              <w:rPr>
                <w:rFonts w:hint="eastAsia" w:ascii="Times New Roman" w:cs="Times New Roman" w:hAnsiTheme="minorEastAsia"/>
                <w:color w:val="auto"/>
                <w:sz w:val="24"/>
              </w:rPr>
              <w:t>SS、</w:t>
            </w:r>
            <w:r>
              <w:rPr>
                <w:rFonts w:ascii="Times New Roman" w:cs="Times New Roman" w:hAnsiTheme="minorEastAsia"/>
                <w:color w:val="auto"/>
                <w:sz w:val="24"/>
              </w:rPr>
              <w:t>化学需氧量、五日生化需氧量、氨氮、总磷</w:t>
            </w:r>
            <w:r>
              <w:rPr>
                <w:rFonts w:hint="eastAsia" w:ascii="Times New Roman" w:cs="Times New Roman" w:hAnsiTheme="minorEastAsia"/>
                <w:color w:val="auto"/>
                <w:sz w:val="24"/>
              </w:rPr>
              <w:t>、石油类</w:t>
            </w:r>
            <w:r>
              <w:rPr>
                <w:rFonts w:ascii="Times New Roman" w:cs="Times New Roman" w:hAnsiTheme="minorEastAsia"/>
                <w:color w:val="auto"/>
                <w:sz w:val="24"/>
              </w:rPr>
              <w:t>共</w:t>
            </w:r>
            <w:r>
              <w:rPr>
                <w:rFonts w:hint="eastAsia" w:ascii="Times New Roman" w:hAnsi="Times New Roman" w:cs="Times New Roman"/>
                <w:color w:val="auto"/>
                <w:sz w:val="24"/>
              </w:rPr>
              <w:t>7</w:t>
            </w:r>
            <w:r>
              <w:rPr>
                <w:rFonts w:ascii="Times New Roman" w:cs="Times New Roman" w:hAnsiTheme="minorEastAsia"/>
                <w:color w:val="auto"/>
                <w:sz w:val="24"/>
              </w:rPr>
              <w:t>项。</w:t>
            </w:r>
          </w:p>
          <w:p>
            <w:pPr>
              <w:spacing w:line="360" w:lineRule="auto"/>
              <w:ind w:firstLine="480" w:firstLineChars="200"/>
              <w:jc w:val="left"/>
              <w:textAlignment w:val="baseline"/>
              <w:rPr>
                <w:rFonts w:ascii="Times New Roman" w:hAnsi="Times New Roman" w:cs="Times New Roman"/>
                <w:color w:val="auto"/>
                <w:sz w:val="24"/>
              </w:rPr>
            </w:pPr>
            <w:r>
              <w:rPr>
                <w:rFonts w:hint="eastAsia" w:ascii="Times New Roman" w:hAnsi="Times New Roman" w:cs="Times New Roman"/>
                <w:bCs/>
                <w:color w:val="auto"/>
                <w:sz w:val="24"/>
              </w:rPr>
              <w:t>2</w:t>
            </w:r>
            <w:r>
              <w:rPr>
                <w:rFonts w:ascii="Times New Roman" w:cs="Times New Roman" w:hAnsiTheme="minorEastAsia"/>
                <w:bCs/>
                <w:color w:val="auto"/>
                <w:sz w:val="24"/>
              </w:rPr>
              <w:t>、监测断面：</w:t>
            </w:r>
            <w:r>
              <w:rPr>
                <w:rFonts w:ascii="Times New Roman" w:cs="Times New Roman" w:hAnsiTheme="minorEastAsia"/>
                <w:color w:val="auto"/>
                <w:sz w:val="24"/>
              </w:rPr>
              <w:t>共设置</w:t>
            </w:r>
            <w:r>
              <w:rPr>
                <w:rFonts w:hint="eastAsia" w:ascii="Times New Roman" w:hAnsi="Times New Roman" w:cs="Times New Roman"/>
                <w:color w:val="auto"/>
                <w:sz w:val="24"/>
              </w:rPr>
              <w:t>3</w:t>
            </w:r>
            <w:r>
              <w:rPr>
                <w:rFonts w:ascii="Times New Roman" w:cs="Times New Roman" w:hAnsiTheme="minorEastAsia"/>
                <w:color w:val="auto"/>
                <w:sz w:val="24"/>
              </w:rPr>
              <w:t>个监测断面，具体为：</w:t>
            </w:r>
          </w:p>
          <w:p>
            <w:pPr>
              <w:spacing w:line="360" w:lineRule="auto"/>
              <w:jc w:val="center"/>
              <w:textAlignment w:val="baseline"/>
              <w:rPr>
                <w:rFonts w:ascii="Times New Roman" w:cs="Times New Roman" w:hAnsiTheme="minorEastAsia"/>
                <w:b/>
                <w:color w:val="auto"/>
                <w:szCs w:val="21"/>
              </w:rPr>
            </w:pPr>
          </w:p>
          <w:p>
            <w:pPr>
              <w:jc w:val="center"/>
              <w:rPr>
                <w:rFonts w:hint="eastAsia"/>
                <w:b/>
                <w:bCs/>
                <w:color w:val="auto"/>
                <w:szCs w:val="21"/>
                <w:lang w:val="en-US" w:eastAsia="zh-CN"/>
              </w:rPr>
            </w:pPr>
          </w:p>
          <w:p>
            <w:pPr>
              <w:jc w:val="center"/>
              <w:rPr>
                <w:rFonts w:hint="eastAsia"/>
                <w:b/>
                <w:bCs/>
                <w:color w:val="auto"/>
                <w:szCs w:val="21"/>
                <w:lang w:val="en-US" w:eastAsia="zh-CN"/>
              </w:rPr>
            </w:pPr>
            <w:r>
              <w:rPr>
                <w:rFonts w:hint="eastAsia"/>
                <w:b/>
                <w:bCs/>
                <w:color w:val="auto"/>
                <w:szCs w:val="21"/>
                <w:lang w:val="en-US" w:eastAsia="zh-CN"/>
              </w:rPr>
              <w:t>表3-1  地表水体监测断面布设一览表</w:t>
            </w:r>
          </w:p>
          <w:tbl>
            <w:tblPr>
              <w:tblStyle w:val="51"/>
              <w:tblW w:w="933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3270"/>
              <w:gridCol w:w="437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6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监测点位</w:t>
                  </w:r>
                </w:p>
              </w:tc>
              <w:tc>
                <w:tcPr>
                  <w:tcW w:w="3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检测点名称</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bCs/>
                      <w:color w:val="auto"/>
                      <w:sz w:val="21"/>
                      <w:szCs w:val="21"/>
                      <w:lang w:eastAsia="zh-CN"/>
                    </w:rPr>
                  </w:pPr>
                  <w:r>
                    <w:rPr>
                      <w:rFonts w:hint="eastAsia" w:asciiTheme="minorEastAsia" w:hAnsiTheme="minorEastAsia" w:eastAsiaTheme="minorEastAsia" w:cstheme="minorEastAsia"/>
                      <w:bCs/>
                      <w:color w:val="auto"/>
                      <w:sz w:val="21"/>
                      <w:szCs w:val="21"/>
                      <w:lang w:val="en-US" w:eastAsia="zh-CN"/>
                    </w:rPr>
                    <w:t>经纬度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16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3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sz w:val="21"/>
                      <w:szCs w:val="21"/>
                    </w:rPr>
                    <w:t>施工点上游</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E:104.1268；N:32.1694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16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w:t>
                  </w:r>
                </w:p>
              </w:tc>
              <w:tc>
                <w:tcPr>
                  <w:tcW w:w="32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heme="minorEastAsia" w:hAnsiTheme="minorEastAsia" w:eastAsiaTheme="minorEastAsia" w:cstheme="minorEastAsia"/>
                      <w:b/>
                      <w:color w:val="auto"/>
                      <w:kern w:val="2"/>
                      <w:sz w:val="21"/>
                      <w:szCs w:val="21"/>
                      <w:lang w:val="en-US" w:eastAsia="zh-CN" w:bidi="ar-SA"/>
                    </w:rPr>
                  </w:pPr>
                  <w:r>
                    <w:rPr>
                      <w:rFonts w:hint="eastAsia" w:asciiTheme="minorEastAsia" w:hAnsiTheme="minorEastAsia" w:eastAsiaTheme="minorEastAsia" w:cstheme="minorEastAsia"/>
                      <w:color w:val="auto"/>
                      <w:sz w:val="21"/>
                      <w:szCs w:val="21"/>
                    </w:rPr>
                    <w:t>施工点</w:t>
                  </w:r>
                  <w:r>
                    <w:rPr>
                      <w:rFonts w:hint="eastAsia" w:asciiTheme="minorEastAsia" w:hAnsiTheme="minorEastAsia" w:eastAsiaTheme="minorEastAsia" w:cstheme="minorEastAsia"/>
                      <w:color w:val="auto"/>
                      <w:sz w:val="21"/>
                      <w:szCs w:val="21"/>
                      <w:lang w:val="en-US" w:eastAsia="zh-CN"/>
                    </w:rPr>
                    <w:t>下</w:t>
                  </w:r>
                  <w:r>
                    <w:rPr>
                      <w:rFonts w:hint="eastAsia" w:asciiTheme="minorEastAsia" w:hAnsiTheme="minorEastAsia" w:eastAsiaTheme="minorEastAsia" w:cstheme="minorEastAsia"/>
                      <w:color w:val="auto"/>
                      <w:sz w:val="21"/>
                      <w:szCs w:val="21"/>
                    </w:rPr>
                    <w:t>游</w:t>
                  </w:r>
                </w:p>
              </w:tc>
              <w:tc>
                <w:tcPr>
                  <w:tcW w:w="4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rPr>
                    <w:t>E:104.1357；N:32.1604</w:t>
                  </w:r>
                </w:p>
              </w:tc>
            </w:tr>
          </w:tbl>
          <w:p>
            <w:pPr>
              <w:spacing w:line="360" w:lineRule="auto"/>
              <w:ind w:firstLine="480" w:firstLineChars="200"/>
              <w:jc w:val="left"/>
              <w:textAlignment w:val="baseline"/>
              <w:rPr>
                <w:rFonts w:ascii="Times New Roman" w:hAnsi="Times New Roman" w:cs="Times New Roman"/>
                <w:color w:val="auto"/>
                <w:sz w:val="24"/>
              </w:rPr>
            </w:pPr>
            <w:r>
              <w:rPr>
                <w:rFonts w:ascii="Times New Roman" w:hAnsi="Times New Roman" w:cs="Times New Roman"/>
                <w:bCs/>
                <w:color w:val="auto"/>
                <w:sz w:val="24"/>
              </w:rPr>
              <w:t>3</w:t>
            </w:r>
            <w:r>
              <w:rPr>
                <w:rFonts w:ascii="Times New Roman" w:cs="Times New Roman" w:hAnsiTheme="minorEastAsia"/>
                <w:bCs/>
                <w:color w:val="auto"/>
                <w:sz w:val="24"/>
              </w:rPr>
              <w:t>、采样时间：</w:t>
            </w:r>
            <w:r>
              <w:rPr>
                <w:rFonts w:ascii="Times New Roman" w:hAnsi="Times New Roman" w:cs="Times New Roman"/>
                <w:color w:val="auto"/>
                <w:sz w:val="24"/>
              </w:rPr>
              <w:t>20</w:t>
            </w:r>
            <w:r>
              <w:rPr>
                <w:rFonts w:hint="eastAsia" w:ascii="Times New Roman" w:hAnsi="Times New Roman" w:cs="Times New Roman"/>
                <w:color w:val="auto"/>
                <w:sz w:val="24"/>
                <w:lang w:val="en-US" w:eastAsia="zh-CN"/>
              </w:rPr>
              <w:t>20</w:t>
            </w:r>
            <w:r>
              <w:rPr>
                <w:rFonts w:ascii="Times New Roman" w:cs="Times New Roman" w:hAnsiTheme="minorEastAsia"/>
                <w:color w:val="auto"/>
                <w:sz w:val="24"/>
              </w:rPr>
              <w:t>年</w:t>
            </w:r>
            <w:r>
              <w:rPr>
                <w:rFonts w:hint="eastAsia" w:ascii="Times New Roman" w:hAnsi="Times New Roman" w:cs="Times New Roman"/>
                <w:color w:val="auto"/>
                <w:sz w:val="24"/>
                <w:lang w:val="en-US" w:eastAsia="zh-CN"/>
              </w:rPr>
              <w:t>3</w:t>
            </w:r>
            <w:r>
              <w:rPr>
                <w:rFonts w:ascii="Times New Roman" w:cs="Times New Roman" w:hAnsiTheme="minorEastAsia"/>
                <w:color w:val="auto"/>
                <w:sz w:val="24"/>
              </w:rPr>
              <w:t>月</w:t>
            </w:r>
            <w:r>
              <w:rPr>
                <w:rFonts w:hint="eastAsia" w:ascii="Times New Roman" w:hAnsi="Times New Roman" w:cs="Times New Roman"/>
                <w:color w:val="auto"/>
                <w:sz w:val="24"/>
                <w:lang w:val="en-US" w:eastAsia="zh-CN"/>
              </w:rPr>
              <w:t>30</w:t>
            </w:r>
            <w:r>
              <w:rPr>
                <w:rFonts w:ascii="Times New Roman" w:cs="Times New Roman" w:hAnsiTheme="minorEastAsia"/>
                <w:color w:val="auto"/>
                <w:sz w:val="24"/>
              </w:rPr>
              <w:t>日</w:t>
            </w:r>
            <w:r>
              <w:rPr>
                <w:rFonts w:ascii="Times New Roman" w:hAnsi="Times New Roman" w:cs="Times New Roman"/>
                <w:color w:val="auto"/>
                <w:sz w:val="24"/>
              </w:rPr>
              <w:t>~</w:t>
            </w:r>
            <w:r>
              <w:rPr>
                <w:rFonts w:hint="eastAsia" w:ascii="Times New Roman" w:hAnsi="Times New Roman" w:cs="Times New Roman"/>
                <w:color w:val="auto"/>
                <w:sz w:val="24"/>
                <w:lang w:val="en-US" w:eastAsia="zh-CN"/>
              </w:rPr>
              <w:t>4月1日</w:t>
            </w:r>
            <w:r>
              <w:rPr>
                <w:rFonts w:ascii="Times New Roman" w:cs="Times New Roman" w:hAnsiTheme="minorEastAsia"/>
                <w:color w:val="auto"/>
                <w:sz w:val="24"/>
              </w:rPr>
              <w:t>。</w:t>
            </w:r>
          </w:p>
          <w:p>
            <w:pPr>
              <w:spacing w:line="360" w:lineRule="auto"/>
              <w:ind w:firstLine="480" w:firstLineChars="200"/>
              <w:jc w:val="left"/>
              <w:textAlignment w:val="baseline"/>
              <w:rPr>
                <w:rFonts w:ascii="Times New Roman" w:hAnsi="Times New Roman" w:cs="Times New Roman"/>
                <w:color w:val="auto"/>
                <w:sz w:val="24"/>
              </w:rPr>
            </w:pPr>
            <w:r>
              <w:rPr>
                <w:rFonts w:ascii="Times New Roman" w:hAnsi="Times New Roman" w:cs="Times New Roman"/>
                <w:bCs/>
                <w:color w:val="auto"/>
                <w:sz w:val="24"/>
              </w:rPr>
              <w:t>4</w:t>
            </w:r>
            <w:r>
              <w:rPr>
                <w:rFonts w:ascii="Times New Roman" w:cs="Times New Roman" w:hAnsiTheme="minorEastAsia"/>
                <w:bCs/>
                <w:color w:val="auto"/>
                <w:sz w:val="24"/>
              </w:rPr>
              <w:t>、采样及监测方法：</w:t>
            </w:r>
            <w:r>
              <w:rPr>
                <w:rFonts w:ascii="Times New Roman" w:cs="Times New Roman" w:hAnsiTheme="minorEastAsia"/>
                <w:color w:val="auto"/>
                <w:sz w:val="24"/>
              </w:rPr>
              <w:t>按《地表水环境质量标准》（</w:t>
            </w:r>
            <w:r>
              <w:rPr>
                <w:rFonts w:ascii="Times New Roman" w:hAnsi="Times New Roman" w:cs="Times New Roman"/>
                <w:color w:val="auto"/>
                <w:sz w:val="24"/>
              </w:rPr>
              <w:t>GB3838-2002</w:t>
            </w:r>
            <w:r>
              <w:rPr>
                <w:rFonts w:ascii="Times New Roman" w:cs="Times New Roman" w:hAnsiTheme="minorEastAsia"/>
                <w:color w:val="auto"/>
                <w:sz w:val="24"/>
              </w:rPr>
              <w:t>）推荐的方法进行。</w:t>
            </w:r>
          </w:p>
          <w:p>
            <w:pPr>
              <w:tabs>
                <w:tab w:val="left" w:pos="2105"/>
              </w:tabs>
              <w:spacing w:line="360" w:lineRule="auto"/>
              <w:ind w:firstLine="480" w:firstLineChars="200"/>
              <w:jc w:val="left"/>
              <w:rPr>
                <w:rFonts w:ascii="Times New Roman" w:hAnsi="Times New Roman" w:cs="Times New Roman"/>
                <w:bCs/>
                <w:color w:val="auto"/>
                <w:sz w:val="24"/>
              </w:rPr>
            </w:pPr>
            <w:r>
              <w:rPr>
                <w:rFonts w:ascii="Times New Roman" w:hAnsi="Times New Roman" w:cs="Times New Roman"/>
                <w:bCs/>
                <w:color w:val="auto"/>
                <w:sz w:val="24"/>
              </w:rPr>
              <w:t>5</w:t>
            </w:r>
            <w:r>
              <w:rPr>
                <w:rFonts w:ascii="Times New Roman" w:cs="Times New Roman" w:hAnsiTheme="minorEastAsia"/>
                <w:bCs/>
                <w:color w:val="auto"/>
                <w:sz w:val="24"/>
              </w:rPr>
              <w:t>、评价标准</w:t>
            </w:r>
          </w:p>
          <w:p>
            <w:pPr>
              <w:spacing w:line="360" w:lineRule="auto"/>
              <w:ind w:firstLine="480" w:firstLineChars="200"/>
              <w:jc w:val="left"/>
              <w:rPr>
                <w:rFonts w:ascii="Times New Roman" w:hAnsi="Times New Roman" w:cs="Times New Roman"/>
                <w:color w:val="auto"/>
                <w:sz w:val="24"/>
              </w:rPr>
            </w:pPr>
            <w:r>
              <w:rPr>
                <w:rFonts w:ascii="Times New Roman" w:cs="Times New Roman" w:hAnsiTheme="minorEastAsia"/>
                <w:color w:val="auto"/>
                <w:sz w:val="24"/>
              </w:rPr>
              <w:t>地表水执行《地表水环境质量标准》</w:t>
            </w:r>
            <w:r>
              <w:rPr>
                <w:rFonts w:ascii="Times New Roman" w:hAnsi="Times New Roman" w:cs="Times New Roman"/>
                <w:color w:val="auto"/>
                <w:sz w:val="24"/>
              </w:rPr>
              <w:t>GB3838-2002</w:t>
            </w:r>
            <w:r>
              <w:rPr>
                <w:rFonts w:ascii="Times New Roman" w:cs="Times New Roman" w:hAnsiTheme="minorEastAsia"/>
                <w:color w:val="auto"/>
                <w:sz w:val="24"/>
              </w:rPr>
              <w:t>中</w:t>
            </w:r>
            <w:r>
              <w:rPr>
                <w:rFonts w:hint="eastAsia" w:ascii="微软雅黑" w:hAnsi="微软雅黑" w:eastAsia="微软雅黑" w:cs="微软雅黑"/>
                <w:color w:val="auto"/>
                <w:sz w:val="24"/>
              </w:rPr>
              <w:t>Ⅲ</w:t>
            </w:r>
            <w:r>
              <w:rPr>
                <w:rFonts w:ascii="Times New Roman" w:cs="Times New Roman" w:hAnsiTheme="minorEastAsia"/>
                <w:color w:val="auto"/>
                <w:sz w:val="24"/>
              </w:rPr>
              <w:t>类水域标准。</w:t>
            </w:r>
          </w:p>
          <w:p>
            <w:pPr>
              <w:numPr>
                <w:ilvl w:val="0"/>
                <w:numId w:val="2"/>
              </w:numPr>
              <w:tabs>
                <w:tab w:val="left" w:pos="2105"/>
              </w:tabs>
              <w:spacing w:line="360" w:lineRule="auto"/>
              <w:ind w:firstLine="480" w:firstLineChars="200"/>
              <w:jc w:val="left"/>
              <w:rPr>
                <w:rFonts w:hint="eastAsia" w:ascii="Times New Roman" w:cs="Times New Roman" w:hAnsiTheme="minorEastAsia"/>
                <w:bCs/>
                <w:color w:val="auto"/>
                <w:sz w:val="24"/>
                <w:lang w:val="en-US" w:eastAsia="zh-CN"/>
              </w:rPr>
            </w:pPr>
            <w:r>
              <w:rPr>
                <w:rFonts w:hint="eastAsia" w:ascii="Times New Roman" w:cs="Times New Roman" w:hAnsiTheme="minorEastAsia"/>
                <w:bCs/>
                <w:color w:val="auto"/>
                <w:sz w:val="24"/>
                <w:lang w:val="en-US" w:eastAsia="zh-CN"/>
              </w:rPr>
              <w:t>监测结果</w:t>
            </w:r>
          </w:p>
          <w:p>
            <w:pPr>
              <w:spacing w:line="360" w:lineRule="auto"/>
              <w:ind w:firstLine="480" w:firstLineChars="200"/>
              <w:jc w:val="left"/>
              <w:textAlignment w:val="baseline"/>
              <w:rPr>
                <w:rFonts w:ascii="Times New Roman" w:hAnsi="Times New Roman" w:cs="Times New Roman"/>
                <w:color w:val="auto"/>
                <w:sz w:val="24"/>
              </w:rPr>
            </w:pPr>
            <w:r>
              <w:rPr>
                <w:rFonts w:ascii="Times New Roman" w:cs="Times New Roman" w:hAnsiTheme="minorEastAsia"/>
                <w:color w:val="auto"/>
                <w:sz w:val="24"/>
              </w:rPr>
              <w:t>地表水现状监测结果统计表见表</w:t>
            </w:r>
            <w:r>
              <w:rPr>
                <w:rFonts w:ascii="Times New Roman" w:hAnsi="Times New Roman" w:cs="Times New Roman"/>
                <w:color w:val="auto"/>
                <w:sz w:val="24"/>
              </w:rPr>
              <w:t>3-</w:t>
            </w:r>
            <w:r>
              <w:rPr>
                <w:rFonts w:hint="eastAsia" w:ascii="Times New Roman" w:hAnsi="Times New Roman" w:cs="Times New Roman"/>
                <w:color w:val="auto"/>
                <w:sz w:val="24"/>
              </w:rPr>
              <w:t>2</w:t>
            </w:r>
            <w:r>
              <w:rPr>
                <w:rFonts w:ascii="Times New Roman" w:cs="Times New Roman" w:hAnsiTheme="minorEastAsia"/>
                <w:color w:val="auto"/>
                <w:sz w:val="24"/>
              </w:rPr>
              <w:t>。</w:t>
            </w:r>
          </w:p>
          <w:p>
            <w:pPr>
              <w:jc w:val="center"/>
              <w:rPr>
                <w:rFonts w:hint="eastAsia"/>
                <w:b/>
                <w:bCs/>
                <w:color w:val="auto"/>
                <w:szCs w:val="21"/>
                <w:lang w:val="en-US" w:eastAsia="zh-CN"/>
              </w:rPr>
            </w:pPr>
            <w:r>
              <w:rPr>
                <w:rFonts w:hint="eastAsia"/>
                <w:b/>
                <w:bCs/>
                <w:color w:val="auto"/>
                <w:szCs w:val="21"/>
                <w:lang w:val="en-US" w:eastAsia="zh-CN"/>
              </w:rPr>
              <w:t>表3-2  地表水环境现状监测结果统计表       单位：mg/L</w:t>
            </w:r>
          </w:p>
          <w:tbl>
            <w:tblPr>
              <w:tblStyle w:val="51"/>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977"/>
              <w:gridCol w:w="956"/>
              <w:gridCol w:w="1366"/>
              <w:gridCol w:w="1265"/>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restart"/>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检测</w:t>
                  </w:r>
                </w:p>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点位</w:t>
                  </w:r>
                </w:p>
              </w:tc>
              <w:tc>
                <w:tcPr>
                  <w:tcW w:w="1977" w:type="dxa"/>
                  <w:vMerge w:val="restart"/>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检测</w:t>
                  </w:r>
                </w:p>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项目</w:t>
                  </w:r>
                </w:p>
              </w:tc>
              <w:tc>
                <w:tcPr>
                  <w:tcW w:w="956" w:type="dxa"/>
                  <w:vMerge w:val="restart"/>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单位</w:t>
                  </w:r>
                </w:p>
              </w:tc>
              <w:tc>
                <w:tcPr>
                  <w:tcW w:w="3903" w:type="dxa"/>
                  <w:gridSpan w:val="3"/>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vMerge w:val="continue"/>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956" w:type="dxa"/>
                  <w:vMerge w:val="continue"/>
                  <w:vAlign w:val="center"/>
                </w:tcPr>
                <w:p>
                  <w:pPr>
                    <w:jc w:val="center"/>
                    <w:rPr>
                      <w:rFonts w:hint="default" w:ascii="Times New Roman" w:hAnsi="Times New Roman" w:cs="Times New Roman" w:eastAsiaTheme="minorEastAsia"/>
                      <w:color w:val="auto"/>
                      <w:szCs w:val="21"/>
                      <w:lang w:val="en-US" w:eastAsia="zh-CN"/>
                    </w:rPr>
                  </w:pP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3月30日</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3</w:t>
                  </w:r>
                  <w:r>
                    <w:rPr>
                      <w:rFonts w:ascii="Times New Roman" w:hAnsi="Times New Roman" w:cs="Times New Roman" w:eastAsiaTheme="minorEastAsia"/>
                      <w:color w:val="auto"/>
                      <w:szCs w:val="21"/>
                    </w:rPr>
                    <w:t>月</w:t>
                  </w:r>
                  <w:r>
                    <w:rPr>
                      <w:rFonts w:hint="eastAsia" w:ascii="Times New Roman" w:hAnsi="Times New Roman" w:cs="Times New Roman" w:eastAsiaTheme="minorEastAsia"/>
                      <w:color w:val="auto"/>
                      <w:szCs w:val="21"/>
                    </w:rPr>
                    <w:t>31</w:t>
                  </w:r>
                  <w:r>
                    <w:rPr>
                      <w:rFonts w:ascii="Times New Roman" w:hAnsi="Times New Roman" w:cs="Times New Roman" w:eastAsiaTheme="minorEastAsia"/>
                      <w:color w:val="auto"/>
                      <w:szCs w:val="21"/>
                    </w:rPr>
                    <w:t>日</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w:t>
                  </w:r>
                  <w:r>
                    <w:rPr>
                      <w:rFonts w:ascii="Times New Roman" w:hAnsi="Times New Roman" w:cs="Times New Roman" w:eastAsiaTheme="minorEastAsia"/>
                      <w:color w:val="auto"/>
                      <w:szCs w:val="21"/>
                    </w:rPr>
                    <w:t>月</w:t>
                  </w:r>
                  <w:r>
                    <w:rPr>
                      <w:rFonts w:hint="eastAsia" w:ascii="Times New Roman" w:hAnsi="Times New Roman" w:cs="Times New Roman" w:eastAsiaTheme="minorEastAsia"/>
                      <w:color w:val="auto"/>
                      <w:szCs w:val="21"/>
                    </w:rPr>
                    <w:t>1</w:t>
                  </w:r>
                  <w:r>
                    <w:rPr>
                      <w:rFonts w:ascii="Times New Roman" w:hAnsi="Times New Roman" w:cs="Times New Roman" w:eastAsiaTheme="minorEastAsia"/>
                      <w:color w:val="auto"/>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restart"/>
                  <w:tcBorders>
                    <w:left w:val="nil"/>
                    <w:righ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w:t>
                  </w:r>
                </w:p>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项目所在地上游</w:t>
                  </w:r>
                </w:p>
              </w:tc>
              <w:tc>
                <w:tcPr>
                  <w:tcW w:w="1977" w:type="dxa"/>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pH值</w:t>
                  </w:r>
                </w:p>
              </w:tc>
              <w:tc>
                <w:tcPr>
                  <w:tcW w:w="956" w:type="dxa"/>
                  <w:vAlign w:val="center"/>
                </w:tcPr>
                <w:p>
                  <w:pPr>
                    <w:jc w:val="both"/>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无量纲</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6.92</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6.94</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总磷</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0.015</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0.020</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悬浮物</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17</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18</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石油类</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0.013</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0.015</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化学需氧量</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12</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11</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五日生化需氧量</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2.5</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2.2</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氨氮</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0.116</w:t>
                  </w:r>
                </w:p>
              </w:tc>
              <w:tc>
                <w:tcPr>
                  <w:tcW w:w="1265" w:type="dxa"/>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rPr>
                    <w:t>0.118</w:t>
                  </w:r>
                </w:p>
              </w:tc>
              <w:tc>
                <w:tcPr>
                  <w:tcW w:w="1272" w:type="dxa"/>
                  <w:tcBorders>
                    <w:right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rPr>
                    <w:t>0.113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restart"/>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2#项目所在地下游</w:t>
                  </w:r>
                </w:p>
              </w:tc>
              <w:tc>
                <w:tcPr>
                  <w:tcW w:w="1977" w:type="dxa"/>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pH值</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无量纲</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6.89</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6.92</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总磷</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0.025</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0.022</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悬浮物</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14</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13</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石油类</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0.016</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0.018</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化学需氧量</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14</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13</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五日生化需氧量</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2.8</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2.6</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1" w:type="dxa"/>
                  <w:vMerge w:val="continue"/>
                  <w:tcBorders>
                    <w:left w:val="nil"/>
                    <w:right w:val="single" w:color="auto" w:sz="4" w:space="0"/>
                  </w:tcBorders>
                  <w:vAlign w:val="center"/>
                </w:tcPr>
                <w:p>
                  <w:pPr>
                    <w:jc w:val="center"/>
                    <w:rPr>
                      <w:rFonts w:hint="default" w:ascii="Times New Roman" w:hAnsi="Times New Roman" w:cs="Times New Roman" w:eastAsiaTheme="minorEastAsia"/>
                      <w:color w:val="auto"/>
                      <w:szCs w:val="21"/>
                      <w:lang w:val="en-US" w:eastAsia="zh-CN"/>
                    </w:rPr>
                  </w:pPr>
                </w:p>
              </w:tc>
              <w:tc>
                <w:tcPr>
                  <w:tcW w:w="1977" w:type="dxa"/>
                  <w:tcBorders>
                    <w:left w:val="single" w:color="auto" w:sz="4" w:space="0"/>
                  </w:tcBorders>
                  <w:vAlign w:val="center"/>
                </w:tcPr>
                <w:p>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氨氮</w:t>
                  </w:r>
                </w:p>
              </w:tc>
              <w:tc>
                <w:tcPr>
                  <w:tcW w:w="956" w:type="dxa"/>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mg/L</w:t>
                  </w:r>
                </w:p>
              </w:tc>
              <w:tc>
                <w:tcPr>
                  <w:tcW w:w="1366"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0.127</w:t>
                  </w:r>
                </w:p>
              </w:tc>
              <w:tc>
                <w:tcPr>
                  <w:tcW w:w="1265" w:type="dxa"/>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0.132</w:t>
                  </w:r>
                </w:p>
              </w:tc>
              <w:tc>
                <w:tcPr>
                  <w:tcW w:w="1272" w:type="dxa"/>
                  <w:tcBorders>
                    <w:right w:val="nil"/>
                  </w:tcBorders>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0.129</w:t>
                  </w:r>
                </w:p>
              </w:tc>
            </w:tr>
          </w:tbl>
          <w:p>
            <w:pPr>
              <w:numPr>
                <w:ilvl w:val="0"/>
                <w:numId w:val="2"/>
              </w:numPr>
              <w:tabs>
                <w:tab w:val="left" w:pos="2105"/>
              </w:tabs>
              <w:spacing w:line="360" w:lineRule="auto"/>
              <w:ind w:left="0" w:leftChars="0" w:firstLine="480" w:firstLineChars="200"/>
              <w:jc w:val="left"/>
              <w:rPr>
                <w:rFonts w:hint="eastAsia" w:ascii="Times New Roman" w:hAnsi="Times New Roman" w:cs="Times New Roman"/>
                <w:bCs/>
                <w:color w:val="auto"/>
                <w:sz w:val="24"/>
                <w:lang w:val="en-US" w:eastAsia="zh-CN"/>
              </w:rPr>
            </w:pPr>
            <w:r>
              <w:rPr>
                <w:rFonts w:hint="eastAsia" w:ascii="Times New Roman" w:hAnsi="Times New Roman" w:cs="Times New Roman"/>
                <w:bCs/>
                <w:color w:val="auto"/>
                <w:sz w:val="24"/>
                <w:lang w:val="en-US" w:eastAsia="zh-CN"/>
              </w:rPr>
              <w:t>评价方法</w:t>
            </w:r>
          </w:p>
          <w:p>
            <w:pPr>
              <w:spacing w:line="360" w:lineRule="auto"/>
              <w:ind w:firstLine="480" w:firstLineChars="200"/>
              <w:rPr>
                <w:color w:val="auto"/>
                <w:kern w:val="0"/>
                <w:sz w:val="24"/>
                <w:szCs w:val="24"/>
              </w:rPr>
            </w:pPr>
            <w:r>
              <w:rPr>
                <w:color w:val="auto"/>
                <w:kern w:val="0"/>
                <w:sz w:val="24"/>
                <w:szCs w:val="24"/>
              </w:rPr>
              <w:t>采用单项标准指数法。标准指数P</w:t>
            </w:r>
            <w:r>
              <w:rPr>
                <w:color w:val="auto"/>
                <w:kern w:val="0"/>
                <w:sz w:val="24"/>
                <w:szCs w:val="24"/>
                <w:vertAlign w:val="subscript"/>
              </w:rPr>
              <w:t>i</w:t>
            </w:r>
            <w:r>
              <w:rPr>
                <w:color w:val="auto"/>
                <w:kern w:val="0"/>
                <w:sz w:val="24"/>
                <w:szCs w:val="24"/>
              </w:rPr>
              <w:t>计算表达式：</w:t>
            </w:r>
          </w:p>
          <w:p>
            <w:pPr>
              <w:spacing w:line="360" w:lineRule="auto"/>
              <w:ind w:firstLine="1200" w:firstLineChars="500"/>
              <w:rPr>
                <w:bCs/>
                <w:color w:val="auto"/>
                <w:kern w:val="0"/>
                <w:sz w:val="24"/>
                <w:szCs w:val="24"/>
              </w:rPr>
            </w:pPr>
            <w:r>
              <w:rPr>
                <w:bCs/>
                <w:color w:val="auto"/>
                <w:kern w:val="0"/>
                <w:sz w:val="24"/>
                <w:szCs w:val="24"/>
              </w:rPr>
              <w:t>P</w:t>
            </w:r>
            <w:r>
              <w:rPr>
                <w:bCs/>
                <w:color w:val="auto"/>
                <w:kern w:val="0"/>
                <w:sz w:val="24"/>
                <w:szCs w:val="24"/>
                <w:vertAlign w:val="subscript"/>
              </w:rPr>
              <w:t>i</w:t>
            </w:r>
            <w:r>
              <w:rPr>
                <w:bCs/>
                <w:color w:val="auto"/>
                <w:kern w:val="0"/>
                <w:sz w:val="24"/>
                <w:szCs w:val="24"/>
              </w:rPr>
              <w:t>=C</w:t>
            </w:r>
            <w:r>
              <w:rPr>
                <w:bCs/>
                <w:color w:val="auto"/>
                <w:kern w:val="0"/>
                <w:sz w:val="24"/>
                <w:szCs w:val="24"/>
                <w:vertAlign w:val="subscript"/>
              </w:rPr>
              <w:t>i</w:t>
            </w:r>
            <w:r>
              <w:rPr>
                <w:bCs/>
                <w:color w:val="auto"/>
                <w:kern w:val="0"/>
                <w:sz w:val="24"/>
                <w:szCs w:val="24"/>
              </w:rPr>
              <w:t>/Co</w:t>
            </w:r>
            <w:r>
              <w:rPr>
                <w:bCs/>
                <w:color w:val="auto"/>
                <w:kern w:val="0"/>
                <w:sz w:val="24"/>
                <w:szCs w:val="24"/>
                <w:vertAlign w:val="subscript"/>
              </w:rPr>
              <w:t>i</w:t>
            </w:r>
          </w:p>
          <w:p>
            <w:pPr>
              <w:spacing w:line="360" w:lineRule="auto"/>
              <w:ind w:firstLine="480" w:firstLineChars="200"/>
              <w:rPr>
                <w:color w:val="auto"/>
                <w:kern w:val="0"/>
                <w:sz w:val="24"/>
                <w:szCs w:val="24"/>
              </w:rPr>
            </w:pPr>
            <w:r>
              <w:rPr>
                <w:color w:val="auto"/>
                <w:kern w:val="0"/>
                <w:sz w:val="24"/>
                <w:szCs w:val="24"/>
              </w:rPr>
              <w:t xml:space="preserve"> 式中：P</w:t>
            </w:r>
            <w:r>
              <w:rPr>
                <w:color w:val="auto"/>
                <w:kern w:val="0"/>
                <w:sz w:val="24"/>
                <w:szCs w:val="24"/>
                <w:vertAlign w:val="subscript"/>
              </w:rPr>
              <w:t>i</w:t>
            </w:r>
            <w:r>
              <w:rPr>
                <w:color w:val="auto"/>
                <w:kern w:val="0"/>
                <w:sz w:val="24"/>
                <w:szCs w:val="24"/>
              </w:rPr>
              <w:t>——i种污染物标准指数值；</w:t>
            </w:r>
          </w:p>
          <w:p>
            <w:pPr>
              <w:spacing w:line="360" w:lineRule="auto"/>
              <w:ind w:firstLine="1200" w:firstLineChars="500"/>
              <w:rPr>
                <w:color w:val="auto"/>
                <w:kern w:val="0"/>
                <w:sz w:val="24"/>
                <w:szCs w:val="24"/>
              </w:rPr>
            </w:pPr>
            <w:r>
              <w:rPr>
                <w:color w:val="auto"/>
                <w:kern w:val="0"/>
                <w:sz w:val="24"/>
                <w:szCs w:val="24"/>
              </w:rPr>
              <w:t>C</w:t>
            </w:r>
            <w:r>
              <w:rPr>
                <w:color w:val="auto"/>
                <w:kern w:val="0"/>
                <w:sz w:val="24"/>
                <w:szCs w:val="24"/>
                <w:vertAlign w:val="subscript"/>
              </w:rPr>
              <w:t>i</w:t>
            </w:r>
            <w:r>
              <w:rPr>
                <w:color w:val="auto"/>
                <w:kern w:val="0"/>
                <w:sz w:val="24"/>
                <w:szCs w:val="24"/>
              </w:rPr>
              <w:t>——i种污染物实测浓度值，mg/</w:t>
            </w:r>
            <w:r>
              <w:rPr>
                <w:rFonts w:hint="eastAsia"/>
                <w:color w:val="auto"/>
                <w:kern w:val="0"/>
                <w:sz w:val="24"/>
                <w:szCs w:val="24"/>
              </w:rPr>
              <w:t>L</w:t>
            </w:r>
            <w:r>
              <w:rPr>
                <w:color w:val="auto"/>
                <w:kern w:val="0"/>
                <w:sz w:val="24"/>
                <w:szCs w:val="24"/>
              </w:rPr>
              <w:t>；</w:t>
            </w:r>
          </w:p>
          <w:p>
            <w:pPr>
              <w:spacing w:line="360" w:lineRule="auto"/>
              <w:ind w:firstLine="1200" w:firstLineChars="500"/>
              <w:rPr>
                <w:color w:val="auto"/>
                <w:kern w:val="0"/>
                <w:sz w:val="24"/>
                <w:szCs w:val="24"/>
              </w:rPr>
            </w:pPr>
            <w:r>
              <w:rPr>
                <w:color w:val="auto"/>
                <w:kern w:val="0"/>
                <w:sz w:val="24"/>
                <w:szCs w:val="24"/>
              </w:rPr>
              <w:t>Co</w:t>
            </w:r>
            <w:r>
              <w:rPr>
                <w:color w:val="auto"/>
                <w:kern w:val="0"/>
                <w:sz w:val="24"/>
                <w:szCs w:val="24"/>
                <w:vertAlign w:val="subscript"/>
              </w:rPr>
              <w:t>i</w:t>
            </w:r>
            <w:r>
              <w:rPr>
                <w:color w:val="auto"/>
                <w:kern w:val="0"/>
                <w:sz w:val="24"/>
                <w:szCs w:val="24"/>
              </w:rPr>
              <w:t>——i种污染物标准浓度值，mg/</w:t>
            </w:r>
            <w:r>
              <w:rPr>
                <w:rFonts w:hint="eastAsia"/>
                <w:color w:val="auto"/>
                <w:kern w:val="0"/>
                <w:sz w:val="24"/>
                <w:szCs w:val="24"/>
              </w:rPr>
              <w:t>L</w:t>
            </w:r>
            <w:r>
              <w:rPr>
                <w:color w:val="auto"/>
                <w:kern w:val="0"/>
                <w:sz w:val="24"/>
                <w:szCs w:val="24"/>
              </w:rPr>
              <w:t>。</w:t>
            </w:r>
          </w:p>
          <w:p>
            <w:pPr>
              <w:spacing w:line="360" w:lineRule="auto"/>
              <w:ind w:firstLine="600" w:firstLineChars="250"/>
              <w:rPr>
                <w:color w:val="auto"/>
                <w:kern w:val="0"/>
                <w:sz w:val="24"/>
                <w:szCs w:val="24"/>
              </w:rPr>
            </w:pPr>
            <w:r>
              <w:rPr>
                <w:color w:val="auto"/>
                <w:kern w:val="0"/>
                <w:sz w:val="24"/>
                <w:szCs w:val="24"/>
              </w:rPr>
              <w:t>pH的标准指数为：</w:t>
            </w:r>
          </w:p>
          <w:p>
            <w:pPr>
              <w:spacing w:line="360" w:lineRule="auto"/>
              <w:ind w:firstLine="1200" w:firstLineChars="500"/>
              <w:rPr>
                <w:color w:val="auto"/>
                <w:kern w:val="0"/>
                <w:sz w:val="24"/>
                <w:szCs w:val="24"/>
              </w:rPr>
            </w:pPr>
            <w:r>
              <w:rPr>
                <w:color w:val="auto"/>
                <w:kern w:val="0"/>
                <w:sz w:val="24"/>
                <w:szCs w:val="24"/>
              </w:rPr>
              <w:t>P</w:t>
            </w:r>
            <w:r>
              <w:rPr>
                <w:color w:val="auto"/>
                <w:kern w:val="0"/>
                <w:sz w:val="24"/>
                <w:szCs w:val="24"/>
                <w:vertAlign w:val="subscript"/>
              </w:rPr>
              <w:t>i</w:t>
            </w:r>
            <w:r>
              <w:rPr>
                <w:color w:val="auto"/>
                <w:kern w:val="0"/>
                <w:sz w:val="24"/>
                <w:szCs w:val="24"/>
              </w:rPr>
              <w:t>=(pH</w:t>
            </w:r>
            <w:r>
              <w:rPr>
                <w:color w:val="auto"/>
                <w:kern w:val="0"/>
                <w:sz w:val="24"/>
                <w:szCs w:val="24"/>
                <w:vertAlign w:val="subscript"/>
              </w:rPr>
              <w:t>i</w:t>
            </w:r>
            <w:r>
              <w:rPr>
                <w:color w:val="auto"/>
                <w:kern w:val="0"/>
                <w:sz w:val="24"/>
                <w:szCs w:val="24"/>
              </w:rPr>
              <w:t>-7.0)/( pH</w:t>
            </w:r>
            <w:r>
              <w:rPr>
                <w:color w:val="auto"/>
                <w:kern w:val="0"/>
                <w:sz w:val="24"/>
                <w:szCs w:val="24"/>
                <w:vertAlign w:val="subscript"/>
              </w:rPr>
              <w:t>S</w:t>
            </w:r>
            <w:r>
              <w:rPr>
                <w:color w:val="auto"/>
                <w:kern w:val="0"/>
                <w:sz w:val="24"/>
                <w:szCs w:val="24"/>
              </w:rPr>
              <w:t xml:space="preserve"> -7.0)         当pH&gt;7.0时</w:t>
            </w:r>
          </w:p>
          <w:p>
            <w:pPr>
              <w:spacing w:line="360" w:lineRule="auto"/>
              <w:ind w:firstLine="1200" w:firstLineChars="500"/>
              <w:rPr>
                <w:color w:val="auto"/>
                <w:kern w:val="0"/>
                <w:sz w:val="24"/>
                <w:szCs w:val="24"/>
              </w:rPr>
            </w:pPr>
            <w:r>
              <w:rPr>
                <w:color w:val="auto"/>
                <w:kern w:val="0"/>
                <w:sz w:val="24"/>
                <w:szCs w:val="24"/>
              </w:rPr>
              <w:t>P</w:t>
            </w:r>
            <w:r>
              <w:rPr>
                <w:color w:val="auto"/>
                <w:kern w:val="0"/>
                <w:sz w:val="24"/>
                <w:szCs w:val="24"/>
                <w:vertAlign w:val="subscript"/>
              </w:rPr>
              <w:t>i</w:t>
            </w:r>
            <w:r>
              <w:rPr>
                <w:color w:val="auto"/>
                <w:kern w:val="0"/>
                <w:sz w:val="24"/>
                <w:szCs w:val="24"/>
              </w:rPr>
              <w:t>=(7.0- pH</w:t>
            </w:r>
            <w:r>
              <w:rPr>
                <w:color w:val="auto"/>
                <w:kern w:val="0"/>
                <w:sz w:val="24"/>
                <w:szCs w:val="24"/>
                <w:vertAlign w:val="subscript"/>
              </w:rPr>
              <w:t>i</w:t>
            </w:r>
            <w:r>
              <w:rPr>
                <w:color w:val="auto"/>
                <w:kern w:val="0"/>
                <w:sz w:val="24"/>
                <w:szCs w:val="24"/>
              </w:rPr>
              <w:t>)/( 7.0 -pH</w:t>
            </w:r>
            <w:r>
              <w:rPr>
                <w:color w:val="auto"/>
                <w:kern w:val="0"/>
                <w:sz w:val="24"/>
                <w:szCs w:val="24"/>
                <w:vertAlign w:val="subscript"/>
              </w:rPr>
              <w:t>S</w:t>
            </w:r>
            <w:r>
              <w:rPr>
                <w:color w:val="auto"/>
                <w:kern w:val="0"/>
                <w:sz w:val="24"/>
                <w:szCs w:val="24"/>
              </w:rPr>
              <w:t>)        当pH≤7.0时</w:t>
            </w:r>
          </w:p>
          <w:p>
            <w:pPr>
              <w:spacing w:line="360" w:lineRule="auto"/>
              <w:ind w:firstLine="600" w:firstLineChars="250"/>
              <w:rPr>
                <w:color w:val="auto"/>
                <w:kern w:val="0"/>
                <w:sz w:val="24"/>
                <w:szCs w:val="24"/>
              </w:rPr>
            </w:pPr>
            <w:r>
              <w:rPr>
                <w:color w:val="auto"/>
                <w:kern w:val="0"/>
                <w:sz w:val="24"/>
                <w:szCs w:val="24"/>
              </w:rPr>
              <w:t>式中：P</w:t>
            </w:r>
            <w:r>
              <w:rPr>
                <w:color w:val="auto"/>
                <w:kern w:val="0"/>
                <w:sz w:val="24"/>
                <w:szCs w:val="24"/>
                <w:vertAlign w:val="subscript"/>
              </w:rPr>
              <w:t>i</w:t>
            </w:r>
            <w:r>
              <w:rPr>
                <w:color w:val="auto"/>
                <w:kern w:val="0"/>
                <w:sz w:val="24"/>
                <w:szCs w:val="24"/>
              </w:rPr>
              <w:t xml:space="preserve"> ------为pH因子的标准质量指数值；</w:t>
            </w:r>
          </w:p>
          <w:p>
            <w:pPr>
              <w:spacing w:line="360" w:lineRule="auto"/>
              <w:rPr>
                <w:color w:val="auto"/>
                <w:kern w:val="0"/>
                <w:sz w:val="24"/>
                <w:szCs w:val="24"/>
              </w:rPr>
            </w:pPr>
            <w:r>
              <w:rPr>
                <w:color w:val="auto"/>
                <w:kern w:val="0"/>
                <w:sz w:val="24"/>
                <w:szCs w:val="24"/>
              </w:rPr>
              <w:t xml:space="preserve">           pH</w:t>
            </w:r>
            <w:r>
              <w:rPr>
                <w:color w:val="auto"/>
                <w:kern w:val="0"/>
                <w:sz w:val="24"/>
                <w:szCs w:val="24"/>
                <w:vertAlign w:val="subscript"/>
              </w:rPr>
              <w:t>i</w:t>
            </w:r>
            <w:r>
              <w:rPr>
                <w:color w:val="auto"/>
                <w:kern w:val="0"/>
                <w:sz w:val="24"/>
                <w:szCs w:val="24"/>
              </w:rPr>
              <w:t xml:space="preserve">  ------为pH的实测pH值；</w:t>
            </w:r>
          </w:p>
          <w:p>
            <w:pPr>
              <w:spacing w:line="360" w:lineRule="auto"/>
              <w:rPr>
                <w:color w:val="auto"/>
                <w:kern w:val="0"/>
                <w:sz w:val="24"/>
                <w:szCs w:val="24"/>
              </w:rPr>
            </w:pPr>
            <w:r>
              <w:rPr>
                <w:color w:val="auto"/>
                <w:kern w:val="0"/>
                <w:sz w:val="24"/>
                <w:szCs w:val="24"/>
              </w:rPr>
              <w:t xml:space="preserve">           pH</w:t>
            </w:r>
            <w:r>
              <w:rPr>
                <w:color w:val="auto"/>
                <w:kern w:val="0"/>
                <w:sz w:val="24"/>
                <w:szCs w:val="24"/>
                <w:vertAlign w:val="subscript"/>
              </w:rPr>
              <w:t>S</w:t>
            </w:r>
            <w:r>
              <w:rPr>
                <w:color w:val="auto"/>
                <w:kern w:val="0"/>
                <w:sz w:val="24"/>
                <w:szCs w:val="24"/>
              </w:rPr>
              <w:t xml:space="preserve">  ------为pH的评价标准上限值或下限值。</w:t>
            </w:r>
          </w:p>
          <w:p>
            <w:pPr>
              <w:spacing w:line="360" w:lineRule="auto"/>
              <w:ind w:firstLine="600" w:firstLineChars="250"/>
              <w:rPr>
                <w:color w:val="auto"/>
                <w:kern w:val="0"/>
                <w:sz w:val="24"/>
                <w:szCs w:val="24"/>
              </w:rPr>
            </w:pPr>
            <w:r>
              <w:rPr>
                <w:color w:val="auto"/>
                <w:kern w:val="0"/>
                <w:sz w:val="24"/>
                <w:szCs w:val="24"/>
              </w:rPr>
              <w:t>当P</w:t>
            </w:r>
            <w:r>
              <w:rPr>
                <w:color w:val="auto"/>
                <w:kern w:val="0"/>
                <w:sz w:val="24"/>
                <w:szCs w:val="24"/>
                <w:vertAlign w:val="subscript"/>
              </w:rPr>
              <w:t>i</w:t>
            </w:r>
            <w:r>
              <w:rPr>
                <w:color w:val="auto"/>
                <w:kern w:val="0"/>
                <w:sz w:val="24"/>
                <w:szCs w:val="24"/>
              </w:rPr>
              <w:t>值大于1.0时，表明地表水体已受到该项评价因子所表征的污染物的污染，Pi值越大，水体受污染程度越重，否则反之。</w:t>
            </w:r>
          </w:p>
          <w:p>
            <w:pPr>
              <w:spacing w:line="360" w:lineRule="auto"/>
              <w:ind w:firstLine="480" w:firstLineChars="200"/>
              <w:jc w:val="left"/>
              <w:rPr>
                <w:rFonts w:hint="default" w:ascii="Times New Roman" w:cs="Times New Roman" w:hAnsiTheme="minorEastAsia" w:eastAsiaTheme="minorEastAsia"/>
                <w:bCs/>
                <w:color w:val="auto"/>
                <w:sz w:val="24"/>
                <w:lang w:val="en-US" w:eastAsia="zh-CN"/>
              </w:rPr>
            </w:pPr>
            <w:r>
              <w:rPr>
                <w:rFonts w:hint="eastAsia" w:ascii="Times New Roman" w:cs="Times New Roman" w:hAnsiTheme="minorEastAsia"/>
                <w:bCs/>
                <w:color w:val="auto"/>
                <w:sz w:val="24"/>
                <w:lang w:val="en-US" w:eastAsia="zh-CN"/>
              </w:rPr>
              <w:t>8、评价结果</w:t>
            </w:r>
          </w:p>
          <w:p>
            <w:pPr>
              <w:jc w:val="center"/>
              <w:rPr>
                <w:rFonts w:hint="eastAsia"/>
                <w:b/>
                <w:bCs/>
                <w:color w:val="auto"/>
                <w:szCs w:val="21"/>
                <w:lang w:val="en-US" w:eastAsia="zh-CN"/>
              </w:rPr>
            </w:pPr>
            <w:r>
              <w:rPr>
                <w:rFonts w:hint="eastAsia"/>
                <w:b/>
                <w:bCs/>
                <w:color w:val="auto"/>
                <w:szCs w:val="21"/>
                <w:lang w:val="en-US" w:eastAsia="zh-CN"/>
              </w:rPr>
              <w:t xml:space="preserve">表3-3    地表水环境质量评价结果 </w:t>
            </w:r>
          </w:p>
          <w:tbl>
            <w:tblPr>
              <w:tblStyle w:val="51"/>
              <w:tblW w:w="9253"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674"/>
              <w:gridCol w:w="1694"/>
              <w:gridCol w:w="1813"/>
              <w:gridCol w:w="1719"/>
              <w:gridCol w:w="1527"/>
              <w:gridCol w:w="826"/>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315" w:hRule="atLeast"/>
                <w:jc w:val="center"/>
              </w:trPr>
              <w:tc>
                <w:tcPr>
                  <w:tcW w:w="1674" w:type="dxa"/>
                  <w:vMerge w:val="restart"/>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项目</w:t>
                  </w:r>
                </w:p>
              </w:tc>
              <w:tc>
                <w:tcPr>
                  <w:tcW w:w="3507" w:type="dxa"/>
                  <w:gridSpan w:val="2"/>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Ⅰ</w:t>
                  </w:r>
                  <w:r>
                    <w:rPr>
                      <w:rStyle w:val="320"/>
                      <w:rFonts w:hint="default" w:ascii="Times New Roman" w:hAnsi="Times New Roman" w:eastAsia="宋体" w:cs="Times New Roman"/>
                      <w:color w:val="auto"/>
                      <w:sz w:val="21"/>
                      <w:szCs w:val="21"/>
                      <w:lang w:val="en-US" w:eastAsia="zh-CN" w:bidi="ar"/>
                    </w:rPr>
                    <w:t>断面</w:t>
                  </w:r>
                </w:p>
              </w:tc>
              <w:tc>
                <w:tcPr>
                  <w:tcW w:w="3246" w:type="dxa"/>
                  <w:gridSpan w:val="2"/>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Ⅱ</w:t>
                  </w:r>
                  <w:r>
                    <w:rPr>
                      <w:rStyle w:val="320"/>
                      <w:rFonts w:hint="default" w:ascii="Times New Roman" w:hAnsi="Times New Roman" w:eastAsia="宋体" w:cs="Times New Roman"/>
                      <w:color w:val="auto"/>
                      <w:sz w:val="21"/>
                      <w:szCs w:val="21"/>
                      <w:lang w:val="en-US" w:eastAsia="zh-CN" w:bidi="ar"/>
                    </w:rPr>
                    <w:t>断面</w:t>
                  </w:r>
                </w:p>
              </w:tc>
              <w:tc>
                <w:tcPr>
                  <w:tcW w:w="826" w:type="dxa"/>
                  <w:vMerge w:val="restart"/>
                  <w:tcBorders>
                    <w:tl2br w:val="nil"/>
                    <w:tr2bl w:val="nil"/>
                  </w:tcBorders>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标准值</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5" w:hRule="atLeast"/>
                <w:jc w:val="center"/>
              </w:trPr>
              <w:tc>
                <w:tcPr>
                  <w:tcW w:w="1674" w:type="dxa"/>
                  <w:vMerge w:val="continue"/>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rPr>
                  </w:pP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实测值</w:t>
                  </w:r>
                </w:p>
              </w:tc>
              <w:tc>
                <w:tcPr>
                  <w:tcW w:w="181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Pi</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实测值</w:t>
                  </w:r>
                </w:p>
              </w:tc>
              <w:tc>
                <w:tcPr>
                  <w:tcW w:w="15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Pi</w:t>
                  </w:r>
                </w:p>
              </w:tc>
              <w:tc>
                <w:tcPr>
                  <w:tcW w:w="826" w:type="dxa"/>
                  <w:vMerge w:val="continue"/>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5" w:hRule="atLeast"/>
                <w:jc w:val="center"/>
              </w:trPr>
              <w:tc>
                <w:tcPr>
                  <w:tcW w:w="1674"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cs="Times New Roman" w:eastAsiaTheme="minorEastAsia"/>
                      <w:color w:val="auto"/>
                      <w:szCs w:val="21"/>
                      <w:lang w:val="en-US" w:eastAsia="zh-CN"/>
                    </w:rPr>
                    <w:t>pH值</w:t>
                  </w: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6.90~6.94</w:t>
                  </w:r>
                </w:p>
              </w:tc>
              <w:tc>
                <w:tcPr>
                  <w:tcW w:w="1813"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0.06~0.1</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6.87~6.92</w:t>
                  </w:r>
                </w:p>
              </w:tc>
              <w:tc>
                <w:tcPr>
                  <w:tcW w:w="1527"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0.08~0.13</w:t>
                  </w:r>
                </w:p>
              </w:tc>
              <w:tc>
                <w:tcPr>
                  <w:tcW w:w="82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cs="Times New Roman"/>
                      <w:snapToGrid w:val="0"/>
                      <w:color w:val="auto"/>
                      <w:kern w:val="0"/>
                      <w:sz w:val="18"/>
                      <w:szCs w:val="18"/>
                    </w:rPr>
                    <w:t>6—9</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5" w:hRule="atLeast"/>
                <w:jc w:val="center"/>
              </w:trPr>
              <w:tc>
                <w:tcPr>
                  <w:tcW w:w="1674"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cs="Times New Roman" w:eastAsiaTheme="minorEastAsia"/>
                      <w:color w:val="auto"/>
                      <w:szCs w:val="21"/>
                      <w:lang w:val="en-US" w:eastAsia="zh-CN"/>
                    </w:rPr>
                    <w:t>总磷</w:t>
                  </w: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0.015~0.020</w:t>
                  </w:r>
                </w:p>
              </w:tc>
              <w:tc>
                <w:tcPr>
                  <w:tcW w:w="1813"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0.3~0.4</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0.022~0.026</w:t>
                  </w:r>
                </w:p>
              </w:tc>
              <w:tc>
                <w:tcPr>
                  <w:tcW w:w="1527"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i w:val="0"/>
                      <w:color w:val="auto"/>
                      <w:kern w:val="0"/>
                      <w:sz w:val="21"/>
                      <w:szCs w:val="21"/>
                      <w:u w:val="none"/>
                      <w:lang w:val="en-US" w:eastAsia="zh-CN" w:bidi="ar"/>
                    </w:rPr>
                    <w:t>0.44~0.52</w:t>
                  </w:r>
                </w:p>
              </w:tc>
              <w:tc>
                <w:tcPr>
                  <w:tcW w:w="82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w:t>
                  </w:r>
                  <w:r>
                    <w:rPr>
                      <w:rFonts w:hint="eastAsia" w:ascii="Times New Roman" w:hAnsi="Times New Roman" w:eastAsia="宋体" w:cs="Times New Roman"/>
                      <w:i w:val="0"/>
                      <w:color w:val="auto"/>
                      <w:kern w:val="0"/>
                      <w:sz w:val="21"/>
                      <w:szCs w:val="21"/>
                      <w:u w:val="none"/>
                      <w:lang w:val="en-US" w:eastAsia="zh-CN" w:bidi="ar"/>
                    </w:rPr>
                    <w:t>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5" w:hRule="atLeast"/>
                <w:jc w:val="center"/>
              </w:trPr>
              <w:tc>
                <w:tcPr>
                  <w:tcW w:w="1674"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eastAsiaTheme="minorEastAsia"/>
                      <w:color w:val="auto"/>
                      <w:szCs w:val="21"/>
                      <w:lang w:val="en-US" w:eastAsia="zh-CN"/>
                    </w:rPr>
                    <w:t>悬浮物</w:t>
                  </w: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16~18</w:t>
                  </w:r>
                </w:p>
              </w:tc>
              <w:tc>
                <w:tcPr>
                  <w:tcW w:w="181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12~14</w:t>
                  </w:r>
                </w:p>
              </w:tc>
              <w:tc>
                <w:tcPr>
                  <w:tcW w:w="15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82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0" w:hRule="atLeast"/>
                <w:jc w:val="center"/>
              </w:trPr>
              <w:tc>
                <w:tcPr>
                  <w:tcW w:w="1674"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eastAsiaTheme="minorEastAsia"/>
                      <w:color w:val="auto"/>
                      <w:szCs w:val="21"/>
                      <w:lang w:val="en-US" w:eastAsia="zh-CN"/>
                    </w:rPr>
                    <w:t>石油类</w:t>
                  </w: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0.013~0.015</w:t>
                  </w:r>
                </w:p>
              </w:tc>
              <w:tc>
                <w:tcPr>
                  <w:tcW w:w="181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0.26~0.3</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0.016~0.018</w:t>
                  </w:r>
                </w:p>
              </w:tc>
              <w:tc>
                <w:tcPr>
                  <w:tcW w:w="15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0.32~0.36</w:t>
                  </w:r>
                </w:p>
              </w:tc>
              <w:tc>
                <w:tcPr>
                  <w:tcW w:w="82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w:t>
                  </w:r>
                  <w:r>
                    <w:rPr>
                      <w:rFonts w:hint="eastAsia" w:ascii="Times New Roman" w:hAnsi="Times New Roman" w:eastAsia="宋体" w:cs="Times New Roman"/>
                      <w:i w:val="0"/>
                      <w:color w:val="auto"/>
                      <w:kern w:val="0"/>
                      <w:sz w:val="21"/>
                      <w:szCs w:val="21"/>
                      <w:u w:val="none"/>
                      <w:lang w:val="en-US" w:eastAsia="zh-CN" w:bidi="ar"/>
                    </w:rPr>
                    <w:t>0.05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0" w:hRule="atLeast"/>
                <w:jc w:val="center"/>
              </w:trPr>
              <w:tc>
                <w:tcPr>
                  <w:tcW w:w="1674"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eastAsiaTheme="minorEastAsia"/>
                      <w:color w:val="auto"/>
                      <w:szCs w:val="21"/>
                      <w:lang w:val="en-US" w:eastAsia="zh-CN"/>
                    </w:rPr>
                    <w:t>化学需氧量</w:t>
                  </w: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11~12</w:t>
                  </w:r>
                </w:p>
              </w:tc>
              <w:tc>
                <w:tcPr>
                  <w:tcW w:w="181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0.55~0.6</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12~14</w:t>
                  </w:r>
                </w:p>
              </w:tc>
              <w:tc>
                <w:tcPr>
                  <w:tcW w:w="15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0.6~0.7</w:t>
                  </w:r>
                </w:p>
              </w:tc>
              <w:tc>
                <w:tcPr>
                  <w:tcW w:w="826"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w:t>
                  </w:r>
                  <w:r>
                    <w:rPr>
                      <w:rStyle w:val="320"/>
                      <w:rFonts w:hint="eastAsia" w:ascii="Times New Roman" w:hAnsi="Times New Roman" w:eastAsia="宋体" w:cs="Times New Roman"/>
                      <w:color w:val="auto"/>
                      <w:sz w:val="21"/>
                      <w:szCs w:val="21"/>
                      <w:lang w:val="en-US" w:eastAsia="zh-CN" w:bidi="ar"/>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5" w:hRule="atLeast"/>
                <w:jc w:val="center"/>
              </w:trPr>
              <w:tc>
                <w:tcPr>
                  <w:tcW w:w="1674"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eastAsiaTheme="minorEastAsia"/>
                      <w:color w:val="auto"/>
                      <w:szCs w:val="21"/>
                      <w:lang w:val="en-US" w:eastAsia="zh-CN"/>
                    </w:rPr>
                    <w:t>五日生化需氧量</w:t>
                  </w: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2.2~2.5</w:t>
                  </w:r>
                </w:p>
              </w:tc>
              <w:tc>
                <w:tcPr>
                  <w:tcW w:w="181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0.55~0.625</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2.4~2.8</w:t>
                  </w:r>
                </w:p>
              </w:tc>
              <w:tc>
                <w:tcPr>
                  <w:tcW w:w="15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0.6~0.7</w:t>
                  </w:r>
                </w:p>
              </w:tc>
              <w:tc>
                <w:tcPr>
                  <w:tcW w:w="826" w:type="dxa"/>
                  <w:tcBorders>
                    <w:tl2br w:val="nil"/>
                    <w:tr2bl w:val="nil"/>
                  </w:tcBorders>
                  <w:noWrap w:val="0"/>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color w:val="auto"/>
                      <w:kern w:val="0"/>
                      <w:sz w:val="21"/>
                      <w:szCs w:val="21"/>
                      <w:u w:val="none"/>
                      <w:lang w:val="en-US" w:eastAsia="zh-CN" w:bidi="ar"/>
                    </w:rPr>
                    <w:t>≤</w:t>
                  </w:r>
                  <w:r>
                    <w:rPr>
                      <w:rStyle w:val="320"/>
                      <w:rFonts w:hint="eastAsia" w:ascii="Times New Roman" w:hAnsi="Times New Roman" w:eastAsia="宋体" w:cs="Times New Roman"/>
                      <w:color w:val="auto"/>
                      <w:sz w:val="21"/>
                      <w:szCs w:val="21"/>
                      <w:lang w:val="en-US" w:eastAsia="zh-CN" w:bidi="ar"/>
                    </w:rPr>
                    <w:t>4</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5" w:hRule="atLeast"/>
                <w:jc w:val="center"/>
              </w:trPr>
              <w:tc>
                <w:tcPr>
                  <w:tcW w:w="1674" w:type="dxa"/>
                  <w:tcBorders>
                    <w:tl2br w:val="nil"/>
                    <w:tr2bl w:val="nil"/>
                  </w:tcBorders>
                  <w:noWrap w:val="0"/>
                  <w:tcMar>
                    <w:top w:w="15" w:type="dxa"/>
                    <w:left w:w="15" w:type="dxa"/>
                    <w:right w:w="15" w:type="dxa"/>
                  </w:tcMar>
                  <w:vAlign w:val="center"/>
                </w:tcPr>
                <w:p>
                  <w:pPr>
                    <w:jc w:val="center"/>
                    <w:rPr>
                      <w:rFonts w:hint="default" w:ascii="Times New Roman" w:hAnsi="Times New Roman" w:eastAsia="宋体" w:cs="Times New Roman"/>
                      <w:i w:val="0"/>
                      <w:color w:val="auto"/>
                      <w:sz w:val="21"/>
                      <w:szCs w:val="21"/>
                      <w:u w:val="none"/>
                    </w:rPr>
                  </w:pPr>
                  <w:r>
                    <w:rPr>
                      <w:rFonts w:hint="eastAsia" w:ascii="Times New Roman" w:hAnsi="Times New Roman" w:cs="Times New Roman" w:eastAsiaTheme="minorEastAsia"/>
                      <w:color w:val="auto"/>
                      <w:szCs w:val="21"/>
                      <w:lang w:val="en-US" w:eastAsia="zh-CN"/>
                    </w:rPr>
                    <w:t>氨氮</w:t>
                  </w:r>
                </w:p>
              </w:tc>
              <w:tc>
                <w:tcPr>
                  <w:tcW w:w="1694"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0.113~0.118</w:t>
                  </w:r>
                </w:p>
              </w:tc>
              <w:tc>
                <w:tcPr>
                  <w:tcW w:w="1813"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0.113~0.118</w:t>
                  </w:r>
                </w:p>
              </w:tc>
              <w:tc>
                <w:tcPr>
                  <w:tcW w:w="1719"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0.127~0.132</w:t>
                  </w:r>
                </w:p>
              </w:tc>
              <w:tc>
                <w:tcPr>
                  <w:tcW w:w="1527" w:type="dxa"/>
                  <w:tcBorders>
                    <w:tl2br w:val="nil"/>
                    <w:tr2bl w:val="nil"/>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0.127~0.132</w:t>
                  </w:r>
                </w:p>
              </w:tc>
              <w:tc>
                <w:tcPr>
                  <w:tcW w:w="826" w:type="dxa"/>
                  <w:tcBorders>
                    <w:tl2br w:val="nil"/>
                    <w:tr2bl w:val="nil"/>
                  </w:tcBorders>
                  <w:noWrap w:val="0"/>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color w:val="auto"/>
                      <w:kern w:val="0"/>
                      <w:sz w:val="21"/>
                      <w:szCs w:val="21"/>
                      <w:u w:val="none"/>
                      <w:lang w:val="en-US" w:eastAsia="zh-CN" w:bidi="ar"/>
                    </w:rPr>
                    <w:t>≤</w:t>
                  </w:r>
                  <w:r>
                    <w:rPr>
                      <w:rStyle w:val="320"/>
                      <w:rFonts w:hint="eastAsia" w:ascii="Times New Roman" w:hAnsi="Times New Roman" w:eastAsia="宋体" w:cs="Times New Roman"/>
                      <w:color w:val="auto"/>
                      <w:sz w:val="21"/>
                      <w:szCs w:val="21"/>
                      <w:lang w:val="en-US" w:eastAsia="zh-CN" w:bidi="ar"/>
                    </w:rPr>
                    <w:t>1.0</w:t>
                  </w:r>
                </w:p>
              </w:tc>
            </w:tr>
          </w:tbl>
          <w:p>
            <w:pPr>
              <w:spacing w:line="360" w:lineRule="auto"/>
              <w:ind w:firstLine="480" w:firstLineChars="200"/>
              <w:jc w:val="left"/>
              <w:rPr>
                <w:rFonts w:ascii="Times New Roman" w:hAnsi="Times New Roman" w:cs="Times New Roman"/>
                <w:color w:val="auto"/>
                <w:sz w:val="24"/>
              </w:rPr>
            </w:pPr>
            <w:r>
              <w:rPr>
                <w:rFonts w:ascii="Times New Roman" w:cs="Times New Roman" w:hAnsiTheme="minorEastAsia"/>
                <w:bCs/>
                <w:color w:val="auto"/>
                <w:sz w:val="24"/>
              </w:rPr>
              <w:t>从监测结果可看出，在五项水质监测项目中，</w:t>
            </w:r>
            <w:r>
              <w:rPr>
                <w:rFonts w:ascii="Times New Roman" w:hAnsi="Times New Roman" w:cs="Times New Roman"/>
                <w:bCs/>
                <w:color w:val="auto"/>
                <w:sz w:val="24"/>
              </w:rPr>
              <w:t>COD</w:t>
            </w:r>
            <w:r>
              <w:rPr>
                <w:rFonts w:ascii="Times New Roman" w:hAnsi="Times New Roman" w:cs="Times New Roman"/>
                <w:bCs/>
                <w:color w:val="auto"/>
                <w:sz w:val="24"/>
                <w:vertAlign w:val="subscript"/>
              </w:rPr>
              <w:t>Cr</w:t>
            </w:r>
            <w:r>
              <w:rPr>
                <w:rFonts w:ascii="Times New Roman" w:cs="Times New Roman" w:hAnsiTheme="minorEastAsia"/>
                <w:bCs/>
                <w:color w:val="auto"/>
                <w:sz w:val="24"/>
              </w:rPr>
              <w:t>、</w:t>
            </w:r>
            <w:r>
              <w:rPr>
                <w:rFonts w:ascii="Times New Roman" w:hAnsi="Times New Roman" w:cs="Times New Roman"/>
                <w:bCs/>
                <w:color w:val="auto"/>
                <w:sz w:val="24"/>
              </w:rPr>
              <w:t>NH</w:t>
            </w:r>
            <w:r>
              <w:rPr>
                <w:rFonts w:ascii="Times New Roman" w:hAnsi="Times New Roman" w:cs="Times New Roman"/>
                <w:bCs/>
                <w:color w:val="auto"/>
                <w:sz w:val="24"/>
                <w:vertAlign w:val="subscript"/>
              </w:rPr>
              <w:t>3</w:t>
            </w:r>
            <w:r>
              <w:rPr>
                <w:rFonts w:ascii="Times New Roman" w:hAnsi="Times New Roman" w:cs="Times New Roman"/>
                <w:bCs/>
                <w:color w:val="auto"/>
                <w:sz w:val="24"/>
              </w:rPr>
              <w:t>-N</w:t>
            </w:r>
            <w:r>
              <w:rPr>
                <w:rFonts w:ascii="Times New Roman" w:cs="Times New Roman" w:hAnsiTheme="minorEastAsia"/>
                <w:bCs/>
                <w:color w:val="auto"/>
                <w:sz w:val="24"/>
              </w:rPr>
              <w:t>、生化需氧量、悬浮物</w:t>
            </w:r>
            <w:r>
              <w:rPr>
                <w:rFonts w:hint="eastAsia" w:ascii="Times New Roman" w:cs="Times New Roman" w:hAnsiTheme="minorEastAsia"/>
                <w:bCs/>
                <w:color w:val="auto"/>
                <w:sz w:val="24"/>
              </w:rPr>
              <w:t>、氨氮、总磷、石油类</w:t>
            </w:r>
            <w:r>
              <w:rPr>
                <w:rFonts w:ascii="Times New Roman" w:cs="Times New Roman" w:hAnsiTheme="minorEastAsia"/>
                <w:bCs/>
                <w:color w:val="auto"/>
                <w:sz w:val="24"/>
              </w:rPr>
              <w:t>均达标，这表明项目评价河段水质能够满足《地表水环境质量标准》（</w:t>
            </w:r>
            <w:r>
              <w:rPr>
                <w:rFonts w:ascii="Times New Roman" w:hAnsi="Times New Roman" w:cs="Times New Roman"/>
                <w:bCs/>
                <w:color w:val="auto"/>
                <w:sz w:val="24"/>
              </w:rPr>
              <w:t>GB3838-2002</w:t>
            </w:r>
            <w:r>
              <w:rPr>
                <w:rFonts w:ascii="Times New Roman" w:cs="Times New Roman" w:hAnsiTheme="minorEastAsia"/>
                <w:bCs/>
                <w:color w:val="auto"/>
                <w:sz w:val="24"/>
              </w:rPr>
              <w:t>）中</w:t>
            </w:r>
            <w:r>
              <w:rPr>
                <w:rFonts w:hint="eastAsia" w:ascii="微软雅黑" w:hAnsi="微软雅黑" w:eastAsia="微软雅黑" w:cs="微软雅黑"/>
                <w:color w:val="auto"/>
                <w:sz w:val="24"/>
              </w:rPr>
              <w:t>Ⅲ</w:t>
            </w:r>
            <w:r>
              <w:rPr>
                <w:rFonts w:ascii="Times New Roman" w:cs="Times New Roman" w:hAnsiTheme="minorEastAsia"/>
                <w:bCs/>
                <w:color w:val="auto"/>
                <w:sz w:val="24"/>
              </w:rPr>
              <w:t>类水域标准要求，</w:t>
            </w:r>
            <w:r>
              <w:rPr>
                <w:rFonts w:ascii="Times New Roman" w:cs="Times New Roman" w:hAnsiTheme="minorEastAsia"/>
                <w:color w:val="auto"/>
                <w:sz w:val="24"/>
              </w:rPr>
              <w:t>总体来看，项目所在地地表水环境现状质量良好。</w:t>
            </w:r>
          </w:p>
          <w:p>
            <w:pPr>
              <w:spacing w:line="360" w:lineRule="auto"/>
              <w:jc w:val="left"/>
              <w:rPr>
                <w:rFonts w:ascii="Times New Roman" w:hAnsi="Times New Roman" w:cs="Times New Roman"/>
                <w:b/>
                <w:color w:val="auto"/>
                <w:sz w:val="24"/>
              </w:rPr>
            </w:pPr>
            <w:r>
              <w:rPr>
                <w:rFonts w:hint="eastAsia" w:ascii="Times New Roman" w:hAnsi="Times New Roman" w:cs="Times New Roman"/>
                <w:b/>
                <w:color w:val="auto"/>
                <w:sz w:val="24"/>
              </w:rPr>
              <w:t>三、声环境现状评价</w:t>
            </w:r>
          </w:p>
          <w:p>
            <w:pPr>
              <w:spacing w:line="360" w:lineRule="auto"/>
              <w:ind w:firstLine="480" w:firstLineChars="200"/>
              <w:rPr>
                <w:rFonts w:ascii="Times New Roman" w:cs="Times New Roman"/>
                <w:color w:val="auto"/>
                <w:sz w:val="24"/>
              </w:rPr>
            </w:pPr>
            <w:r>
              <w:rPr>
                <w:rFonts w:hint="eastAsia" w:ascii="Times New Roman" w:hAnsi="Times New Roman" w:cs="Times New Roman"/>
                <w:color w:val="auto"/>
                <w:sz w:val="24"/>
              </w:rPr>
              <w:t>为掌握区域内声环境质量现状情况，本次环境空气现状评价采用实测，由四川</w:t>
            </w:r>
            <w:r>
              <w:rPr>
                <w:rFonts w:hint="eastAsia" w:ascii="Times New Roman" w:hAnsi="Times New Roman" w:cs="Times New Roman"/>
                <w:color w:val="auto"/>
                <w:sz w:val="24"/>
                <w:lang w:val="en-US" w:eastAsia="zh-CN"/>
              </w:rPr>
              <w:t>中斯诺检测服务</w:t>
            </w:r>
            <w:r>
              <w:rPr>
                <w:rFonts w:hint="eastAsia" w:ascii="Times New Roman" w:hAnsi="Times New Roman" w:cs="Times New Roman"/>
                <w:color w:val="auto"/>
                <w:sz w:val="24"/>
              </w:rPr>
              <w:t>有限公司于20</w:t>
            </w:r>
            <w:r>
              <w:rPr>
                <w:rFonts w:hint="eastAsia" w:ascii="Times New Roman" w:hAnsi="Times New Roman" w:cs="Times New Roman"/>
                <w:color w:val="auto"/>
                <w:sz w:val="24"/>
                <w:lang w:val="en-US" w:eastAsia="zh-CN"/>
              </w:rPr>
              <w:t>20</w:t>
            </w:r>
            <w:r>
              <w:rPr>
                <w:rFonts w:hint="eastAsia" w:ascii="Times New Roman" w:hAnsi="Times New Roman" w:cs="Times New Roman"/>
                <w:color w:val="auto"/>
                <w:sz w:val="24"/>
              </w:rPr>
              <w:t>年</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rPr>
              <w:t>月</w:t>
            </w:r>
            <w:r>
              <w:rPr>
                <w:rFonts w:hint="eastAsia" w:ascii="Times New Roman" w:hAnsi="Times New Roman" w:cs="Times New Roman"/>
                <w:color w:val="auto"/>
                <w:sz w:val="24"/>
                <w:lang w:val="en-US" w:eastAsia="zh-CN"/>
              </w:rPr>
              <w:t>30</w:t>
            </w:r>
            <w:r>
              <w:rPr>
                <w:rFonts w:hint="eastAsia" w:ascii="Times New Roman" w:hAnsi="Times New Roman" w:cs="Times New Roman"/>
                <w:color w:val="auto"/>
                <w:sz w:val="24"/>
              </w:rPr>
              <w:t>日——</w:t>
            </w:r>
            <w:r>
              <w:rPr>
                <w:rFonts w:hint="eastAsia" w:ascii="Times New Roman" w:hAnsi="Times New Roman" w:cs="Times New Roman"/>
                <w:color w:val="auto"/>
                <w:sz w:val="24"/>
                <w:lang w:val="en-US" w:eastAsia="zh-CN"/>
              </w:rPr>
              <w:t>31</w:t>
            </w:r>
            <w:r>
              <w:rPr>
                <w:rFonts w:hint="eastAsia" w:ascii="Times New Roman" w:hAnsi="Times New Roman" w:cs="Times New Roman"/>
                <w:color w:val="auto"/>
                <w:sz w:val="24"/>
              </w:rPr>
              <w:t>日对项目区域内敏感点进行实测，监测结果如下：</w:t>
            </w:r>
          </w:p>
          <w:p>
            <w:pPr>
              <w:keepNext/>
              <w:keepLines/>
              <w:spacing w:line="360" w:lineRule="auto"/>
              <w:ind w:firstLine="480" w:firstLineChars="200"/>
              <w:jc w:val="left"/>
              <w:textAlignment w:val="center"/>
              <w:rPr>
                <w:rFonts w:ascii="Times New Roman" w:cs="Times New Roman"/>
                <w:color w:val="auto"/>
                <w:sz w:val="24"/>
              </w:rPr>
            </w:pPr>
            <w:r>
              <w:rPr>
                <w:rFonts w:hint="eastAsia" w:ascii="Times New Roman" w:cs="Times New Roman"/>
                <w:color w:val="auto"/>
                <w:sz w:val="24"/>
              </w:rPr>
              <w:t>1、监测点位布设</w:t>
            </w:r>
          </w:p>
          <w:p>
            <w:pPr>
              <w:keepNext/>
              <w:keepLines/>
              <w:spacing w:line="360" w:lineRule="auto"/>
              <w:ind w:firstLine="480" w:firstLineChars="200"/>
              <w:jc w:val="left"/>
              <w:textAlignment w:val="center"/>
              <w:rPr>
                <w:rFonts w:ascii="Times New Roman" w:cs="Times New Roman"/>
                <w:color w:val="auto"/>
                <w:sz w:val="24"/>
              </w:rPr>
            </w:pPr>
            <w:r>
              <w:rPr>
                <w:rFonts w:hint="eastAsia" w:ascii="Times New Roman" w:cs="Times New Roman"/>
                <w:color w:val="auto"/>
                <w:sz w:val="24"/>
              </w:rPr>
              <w:t>共设4个噪声监测点位，具体位置见表</w:t>
            </w:r>
            <w:r>
              <w:rPr>
                <w:rFonts w:ascii="Times New Roman" w:cs="Times New Roman"/>
                <w:color w:val="auto"/>
                <w:sz w:val="24"/>
              </w:rPr>
              <w:t>3-</w:t>
            </w:r>
            <w:r>
              <w:rPr>
                <w:rFonts w:hint="eastAsia" w:ascii="Times New Roman" w:cs="Times New Roman"/>
                <w:color w:val="auto"/>
                <w:sz w:val="24"/>
                <w:lang w:val="en-US" w:eastAsia="zh-CN"/>
              </w:rPr>
              <w:t>4</w:t>
            </w:r>
            <w:r>
              <w:rPr>
                <w:rFonts w:hint="eastAsia" w:ascii="Times New Roman" w:cs="Times New Roman"/>
                <w:color w:val="auto"/>
                <w:sz w:val="24"/>
              </w:rPr>
              <w:t>。</w:t>
            </w:r>
          </w:p>
          <w:p>
            <w:pPr>
              <w:adjustRightInd w:val="0"/>
              <w:snapToGrid w:val="0"/>
              <w:spacing w:line="240" w:lineRule="auto"/>
              <w:ind w:left="482"/>
              <w:jc w:val="center"/>
              <w:rPr>
                <w:b/>
                <w:bCs/>
                <w:color w:val="auto"/>
                <w:kern w:val="0"/>
                <w:sz w:val="21"/>
                <w:szCs w:val="21"/>
              </w:rPr>
            </w:pPr>
            <w:r>
              <w:rPr>
                <w:b/>
                <w:bCs/>
                <w:color w:val="auto"/>
                <w:kern w:val="0"/>
                <w:sz w:val="21"/>
                <w:szCs w:val="21"/>
              </w:rPr>
              <w:t>表3</w:t>
            </w:r>
            <w:r>
              <w:rPr>
                <w:rFonts w:hint="eastAsia"/>
                <w:b/>
                <w:bCs/>
                <w:color w:val="auto"/>
                <w:kern w:val="0"/>
                <w:sz w:val="21"/>
                <w:szCs w:val="21"/>
              </w:rPr>
              <w:t>—</w:t>
            </w:r>
            <w:r>
              <w:rPr>
                <w:rFonts w:hint="eastAsia"/>
                <w:b/>
                <w:bCs/>
                <w:color w:val="auto"/>
                <w:kern w:val="0"/>
                <w:sz w:val="21"/>
                <w:szCs w:val="21"/>
                <w:lang w:val="en-US" w:eastAsia="zh-CN"/>
              </w:rPr>
              <w:t>4</w:t>
            </w:r>
            <w:r>
              <w:rPr>
                <w:b/>
                <w:bCs/>
                <w:color w:val="auto"/>
                <w:kern w:val="0"/>
                <w:sz w:val="21"/>
                <w:szCs w:val="21"/>
              </w:rPr>
              <w:t xml:space="preserve"> 噪声监测布点</w:t>
            </w:r>
          </w:p>
          <w:tbl>
            <w:tblPr>
              <w:tblStyle w:val="51"/>
              <w:tblW w:w="77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2258"/>
              <w:gridCol w:w="1765"/>
              <w:gridCol w:w="2090"/>
            </w:tblGrid>
            <w:tr>
              <w:tblPrEx>
                <w:tblCellMar>
                  <w:top w:w="0" w:type="dxa"/>
                  <w:left w:w="108" w:type="dxa"/>
                  <w:bottom w:w="0" w:type="dxa"/>
                  <w:right w:w="108" w:type="dxa"/>
                </w:tblCellMar>
              </w:tblPrEx>
              <w:trPr>
                <w:trHeight w:val="345" w:hRule="atLeast"/>
                <w:jc w:val="center"/>
              </w:trPr>
              <w:tc>
                <w:tcPr>
                  <w:tcW w:w="1623" w:type="dxa"/>
                  <w:tcBorders>
                    <w:tl2br w:val="nil"/>
                    <w:tr2bl w:val="nil"/>
                  </w:tcBorders>
                  <w:vAlign w:val="center"/>
                </w:tcPr>
                <w:p>
                  <w:pPr>
                    <w:adjustRightInd w:val="0"/>
                    <w:snapToGrid w:val="0"/>
                    <w:jc w:val="center"/>
                    <w:rPr>
                      <w:b/>
                      <w:color w:val="auto"/>
                      <w:szCs w:val="21"/>
                    </w:rPr>
                  </w:pPr>
                  <w:r>
                    <w:rPr>
                      <w:rFonts w:hAnsi="宋体"/>
                      <w:b/>
                      <w:color w:val="auto"/>
                      <w:szCs w:val="21"/>
                    </w:rPr>
                    <w:t>编号</w:t>
                  </w:r>
                </w:p>
              </w:tc>
              <w:tc>
                <w:tcPr>
                  <w:tcW w:w="2258" w:type="dxa"/>
                  <w:tcBorders>
                    <w:tl2br w:val="nil"/>
                    <w:tr2bl w:val="nil"/>
                  </w:tcBorders>
                  <w:vAlign w:val="center"/>
                </w:tcPr>
                <w:p>
                  <w:pPr>
                    <w:adjustRightInd w:val="0"/>
                    <w:snapToGrid w:val="0"/>
                    <w:jc w:val="center"/>
                    <w:rPr>
                      <w:b/>
                      <w:color w:val="auto"/>
                      <w:szCs w:val="21"/>
                    </w:rPr>
                  </w:pPr>
                  <w:r>
                    <w:rPr>
                      <w:rFonts w:hAnsi="宋体"/>
                      <w:b/>
                      <w:color w:val="auto"/>
                      <w:szCs w:val="21"/>
                    </w:rPr>
                    <w:t>监测点位置</w:t>
                  </w:r>
                </w:p>
              </w:tc>
              <w:tc>
                <w:tcPr>
                  <w:tcW w:w="1765" w:type="dxa"/>
                  <w:tcBorders>
                    <w:tl2br w:val="nil"/>
                    <w:tr2bl w:val="nil"/>
                  </w:tcBorders>
                  <w:vAlign w:val="center"/>
                </w:tcPr>
                <w:p>
                  <w:pPr>
                    <w:spacing w:line="240" w:lineRule="exact"/>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Cs w:val="21"/>
                      <w:lang w:eastAsia="zh-CN"/>
                    </w:rPr>
                    <w:t>主要声源</w:t>
                  </w:r>
                </w:p>
              </w:tc>
              <w:tc>
                <w:tcPr>
                  <w:tcW w:w="2090" w:type="dxa"/>
                  <w:tcBorders>
                    <w:tl2br w:val="nil"/>
                    <w:tr2bl w:val="nil"/>
                  </w:tcBorders>
                  <w:vAlign w:val="center"/>
                </w:tcPr>
                <w:p>
                  <w:pPr>
                    <w:adjustRightInd w:val="0"/>
                    <w:snapToGrid w:val="0"/>
                    <w:jc w:val="center"/>
                    <w:rPr>
                      <w:rFonts w:hAnsi="宋体"/>
                      <w:b/>
                      <w:color w:val="auto"/>
                      <w:szCs w:val="21"/>
                    </w:rPr>
                  </w:pPr>
                  <w:r>
                    <w:rPr>
                      <w:rFonts w:hint="eastAsia" w:hAnsi="宋体"/>
                      <w:b/>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23"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eastAsia="zh-CN"/>
                    </w:rPr>
                    <w:t>1#</w:t>
                  </w:r>
                </w:p>
              </w:tc>
              <w:tc>
                <w:tcPr>
                  <w:tcW w:w="225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rPr>
                    <w:t>环境，生活</w:t>
                  </w:r>
                </w:p>
              </w:tc>
              <w:tc>
                <w:tcPr>
                  <w:tcW w:w="2090" w:type="dxa"/>
                  <w:vMerge w:val="restart"/>
                  <w:tcBorders>
                    <w:tl2br w:val="nil"/>
                    <w:tr2bl w:val="nil"/>
                  </w:tcBorders>
                  <w:vAlign w:val="center"/>
                </w:tcPr>
                <w:p>
                  <w:pPr>
                    <w:jc w:val="center"/>
                    <w:rPr>
                      <w:bCs/>
                      <w:color w:val="auto"/>
                      <w:szCs w:val="21"/>
                    </w:rPr>
                  </w:pPr>
                  <w:r>
                    <w:rPr>
                      <w:rFonts w:hint="eastAsia"/>
                      <w:color w:val="auto"/>
                      <w:szCs w:val="21"/>
                    </w:rPr>
                    <w:t>界外1m，高度1.2m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23"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eastAsia="zh-CN"/>
                    </w:rPr>
                    <w:t>2#</w:t>
                  </w:r>
                </w:p>
              </w:tc>
              <w:tc>
                <w:tcPr>
                  <w:tcW w:w="225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rPr>
                    <w:t>环境，生活</w:t>
                  </w:r>
                </w:p>
              </w:tc>
              <w:tc>
                <w:tcPr>
                  <w:tcW w:w="2090" w:type="dxa"/>
                  <w:vMerge w:val="continue"/>
                  <w:tcBorders>
                    <w:tl2br w:val="nil"/>
                    <w:tr2bl w:val="nil"/>
                  </w:tcBorders>
                  <w:vAlign w:val="center"/>
                </w:tcPr>
                <w:p>
                  <w:pPr>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23"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eastAsia="zh-CN"/>
                    </w:rPr>
                    <w:t>3#</w:t>
                  </w:r>
                </w:p>
              </w:tc>
              <w:tc>
                <w:tcPr>
                  <w:tcW w:w="225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rPr>
                    <w:t>环境，生活</w:t>
                  </w:r>
                </w:p>
              </w:tc>
              <w:tc>
                <w:tcPr>
                  <w:tcW w:w="2090" w:type="dxa"/>
                  <w:vMerge w:val="continue"/>
                  <w:tcBorders>
                    <w:tl2br w:val="nil"/>
                    <w:tr2bl w:val="nil"/>
                  </w:tcBorders>
                  <w:vAlign w:val="center"/>
                </w:tcPr>
                <w:p>
                  <w:pPr>
                    <w:jc w:val="center"/>
                    <w:rPr>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623"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lang w:eastAsia="zh-CN"/>
                    </w:rPr>
                    <w:t>4#</w:t>
                  </w:r>
                </w:p>
              </w:tc>
              <w:tc>
                <w:tcPr>
                  <w:tcW w:w="2258" w:type="dxa"/>
                  <w:tcBorders>
                    <w:tl2br w:val="nil"/>
                    <w:tr2bl w:val="nil"/>
                  </w:tcBorders>
                  <w:vAlign w:val="center"/>
                </w:tcPr>
                <w:p>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Cs w:val="21"/>
                    </w:rPr>
                    <w:t>环境，生活</w:t>
                  </w:r>
                </w:p>
              </w:tc>
              <w:tc>
                <w:tcPr>
                  <w:tcW w:w="2090" w:type="dxa"/>
                  <w:vMerge w:val="continue"/>
                  <w:tcBorders>
                    <w:tl2br w:val="nil"/>
                    <w:tr2bl w:val="nil"/>
                  </w:tcBorders>
                  <w:vAlign w:val="center"/>
                </w:tcPr>
                <w:p>
                  <w:pPr>
                    <w:jc w:val="center"/>
                    <w:rPr>
                      <w:bCs/>
                      <w:color w:val="auto"/>
                      <w:szCs w:val="21"/>
                    </w:rPr>
                  </w:pPr>
                </w:p>
              </w:tc>
            </w:tr>
          </w:tbl>
          <w:p>
            <w:pPr>
              <w:spacing w:line="360" w:lineRule="auto"/>
              <w:ind w:firstLine="480" w:firstLineChars="200"/>
              <w:textAlignment w:val="center"/>
              <w:rPr>
                <w:rFonts w:ascii="Times New Roman" w:cs="Times New Roman"/>
                <w:color w:val="auto"/>
                <w:sz w:val="24"/>
              </w:rPr>
            </w:pPr>
            <w:r>
              <w:rPr>
                <w:rFonts w:hint="eastAsia" w:ascii="Times New Roman" w:cs="Times New Roman"/>
                <w:color w:val="auto"/>
                <w:sz w:val="24"/>
              </w:rPr>
              <w:t>（</w:t>
            </w:r>
            <w:r>
              <w:rPr>
                <w:rFonts w:ascii="Times New Roman" w:cs="Times New Roman"/>
                <w:color w:val="auto"/>
                <w:sz w:val="24"/>
              </w:rPr>
              <w:t>2</w:t>
            </w:r>
            <w:r>
              <w:rPr>
                <w:rFonts w:hint="eastAsia" w:ascii="Times New Roman" w:cs="Times New Roman"/>
                <w:color w:val="auto"/>
                <w:sz w:val="24"/>
              </w:rPr>
              <w:t>）监测因子</w:t>
            </w:r>
          </w:p>
          <w:p>
            <w:pPr>
              <w:spacing w:line="360" w:lineRule="auto"/>
              <w:ind w:firstLine="480" w:firstLineChars="200"/>
              <w:textAlignment w:val="center"/>
              <w:rPr>
                <w:rFonts w:ascii="Times New Roman" w:cs="Times New Roman"/>
                <w:color w:val="auto"/>
                <w:sz w:val="24"/>
              </w:rPr>
            </w:pPr>
            <w:r>
              <w:rPr>
                <w:rFonts w:hint="eastAsia" w:ascii="Times New Roman" w:cs="Times New Roman"/>
                <w:color w:val="auto"/>
                <w:sz w:val="24"/>
              </w:rPr>
              <w:t>等效连续</w:t>
            </w:r>
            <w:r>
              <w:rPr>
                <w:rFonts w:ascii="Times New Roman" w:cs="Times New Roman"/>
                <w:color w:val="auto"/>
                <w:sz w:val="24"/>
              </w:rPr>
              <w:t>A</w:t>
            </w:r>
            <w:r>
              <w:rPr>
                <w:rFonts w:hint="eastAsia" w:ascii="Times New Roman" w:cs="Times New Roman"/>
                <w:color w:val="auto"/>
                <w:sz w:val="24"/>
              </w:rPr>
              <w:t>声级，</w:t>
            </w:r>
            <w:r>
              <w:rPr>
                <w:rFonts w:ascii="Times New Roman" w:cs="Times New Roman"/>
                <w:color w:val="auto"/>
                <w:sz w:val="24"/>
              </w:rPr>
              <w:t>dB</w:t>
            </w:r>
            <w:r>
              <w:rPr>
                <w:rFonts w:hint="eastAsia" w:ascii="Times New Roman" w:cs="Times New Roman"/>
                <w:color w:val="auto"/>
                <w:sz w:val="24"/>
              </w:rPr>
              <w:t>（</w:t>
            </w:r>
            <w:r>
              <w:rPr>
                <w:rFonts w:ascii="Times New Roman" w:cs="Times New Roman"/>
                <w:color w:val="auto"/>
                <w:sz w:val="24"/>
              </w:rPr>
              <w:t>A</w:t>
            </w:r>
            <w:r>
              <w:rPr>
                <w:rFonts w:hint="eastAsia" w:ascii="Times New Roman" w:cs="Times New Roman"/>
                <w:color w:val="auto"/>
                <w:sz w:val="24"/>
              </w:rPr>
              <w:t>）；</w:t>
            </w:r>
          </w:p>
          <w:p>
            <w:pPr>
              <w:spacing w:line="360" w:lineRule="auto"/>
              <w:ind w:firstLine="480" w:firstLineChars="200"/>
              <w:textAlignment w:val="center"/>
              <w:rPr>
                <w:rFonts w:ascii="Times New Roman" w:cs="Times New Roman"/>
                <w:color w:val="auto"/>
                <w:sz w:val="24"/>
              </w:rPr>
            </w:pPr>
            <w:r>
              <w:rPr>
                <w:rFonts w:hint="eastAsia" w:ascii="Times New Roman" w:cs="Times New Roman"/>
                <w:color w:val="auto"/>
                <w:sz w:val="24"/>
              </w:rPr>
              <w:t>（</w:t>
            </w:r>
            <w:r>
              <w:rPr>
                <w:rFonts w:ascii="Times New Roman" w:cs="Times New Roman"/>
                <w:color w:val="auto"/>
                <w:sz w:val="24"/>
              </w:rPr>
              <w:t>3</w:t>
            </w:r>
            <w:r>
              <w:rPr>
                <w:rFonts w:hint="eastAsia" w:ascii="Times New Roman" w:cs="Times New Roman"/>
                <w:color w:val="auto"/>
                <w:sz w:val="24"/>
              </w:rPr>
              <w:t>）监测时间及频率</w:t>
            </w:r>
          </w:p>
          <w:p>
            <w:pPr>
              <w:spacing w:line="360" w:lineRule="auto"/>
              <w:ind w:firstLine="480" w:firstLineChars="200"/>
              <w:textAlignment w:val="center"/>
              <w:rPr>
                <w:rFonts w:ascii="Times New Roman" w:cs="Times New Roman"/>
                <w:color w:val="auto"/>
                <w:sz w:val="24"/>
              </w:rPr>
            </w:pPr>
            <w:r>
              <w:rPr>
                <w:rFonts w:hint="eastAsia" w:ascii="Times New Roman" w:cs="Times New Roman"/>
                <w:color w:val="auto"/>
                <w:sz w:val="24"/>
              </w:rPr>
              <w:t>监测时间：</w:t>
            </w:r>
            <w:r>
              <w:rPr>
                <w:rFonts w:ascii="Times New Roman" w:cs="Times New Roman"/>
                <w:color w:val="auto"/>
                <w:sz w:val="24"/>
              </w:rPr>
              <w:t>20</w:t>
            </w:r>
            <w:r>
              <w:rPr>
                <w:rFonts w:hint="eastAsia" w:ascii="Times New Roman" w:cs="Times New Roman"/>
                <w:color w:val="auto"/>
                <w:sz w:val="24"/>
                <w:lang w:val="en-US" w:eastAsia="zh-CN"/>
              </w:rPr>
              <w:t>20</w:t>
            </w:r>
            <w:r>
              <w:rPr>
                <w:rFonts w:hint="eastAsia" w:ascii="Times New Roman" w:cs="Times New Roman"/>
                <w:color w:val="auto"/>
                <w:sz w:val="24"/>
              </w:rPr>
              <w:t>年</w:t>
            </w:r>
            <w:r>
              <w:rPr>
                <w:rFonts w:hint="eastAsia" w:ascii="Times New Roman" w:cs="Times New Roman"/>
                <w:color w:val="auto"/>
                <w:sz w:val="24"/>
                <w:lang w:val="en-US" w:eastAsia="zh-CN"/>
              </w:rPr>
              <w:t>3</w:t>
            </w:r>
            <w:r>
              <w:rPr>
                <w:rFonts w:hint="eastAsia" w:ascii="Times New Roman" w:cs="Times New Roman"/>
                <w:color w:val="auto"/>
                <w:sz w:val="24"/>
              </w:rPr>
              <w:t>月</w:t>
            </w:r>
            <w:r>
              <w:rPr>
                <w:rFonts w:hint="eastAsia" w:ascii="Times New Roman" w:cs="Times New Roman"/>
                <w:color w:val="auto"/>
                <w:sz w:val="24"/>
                <w:lang w:val="en-US" w:eastAsia="zh-CN"/>
              </w:rPr>
              <w:t>30</w:t>
            </w:r>
            <w:r>
              <w:rPr>
                <w:rFonts w:hint="eastAsia" w:ascii="Times New Roman" w:cs="Times New Roman"/>
                <w:color w:val="auto"/>
                <w:sz w:val="24"/>
              </w:rPr>
              <w:t>日</w:t>
            </w:r>
            <w:r>
              <w:rPr>
                <w:rFonts w:hint="eastAsia" w:ascii="Times New Roman" w:cs="Times New Roman"/>
                <w:color w:val="auto"/>
                <w:sz w:val="24"/>
                <w:lang w:val="en-US" w:eastAsia="zh-CN"/>
              </w:rPr>
              <w:t>-31日</w:t>
            </w:r>
            <w:r>
              <w:rPr>
                <w:rFonts w:hint="eastAsia" w:ascii="Times New Roman" w:cs="Times New Roman"/>
                <w:color w:val="auto"/>
                <w:sz w:val="24"/>
              </w:rPr>
              <w:t>。</w:t>
            </w:r>
          </w:p>
          <w:p>
            <w:pPr>
              <w:spacing w:line="360" w:lineRule="auto"/>
              <w:ind w:firstLine="480" w:firstLineChars="200"/>
              <w:textAlignment w:val="center"/>
              <w:rPr>
                <w:rFonts w:ascii="Times New Roman" w:cs="Times New Roman"/>
                <w:color w:val="auto"/>
                <w:sz w:val="24"/>
              </w:rPr>
            </w:pPr>
            <w:r>
              <w:rPr>
                <w:rFonts w:hint="eastAsia" w:ascii="Times New Roman" w:cs="Times New Roman"/>
                <w:color w:val="auto"/>
                <w:sz w:val="24"/>
              </w:rPr>
              <w:t>监测频率：监测各点位昼间及夜间的等效连续</w:t>
            </w:r>
            <w:r>
              <w:rPr>
                <w:rFonts w:ascii="Times New Roman" w:cs="Times New Roman"/>
                <w:color w:val="auto"/>
                <w:sz w:val="24"/>
              </w:rPr>
              <w:t>A</w:t>
            </w:r>
            <w:r>
              <w:rPr>
                <w:rFonts w:hint="eastAsia" w:ascii="Times New Roman" w:cs="Times New Roman"/>
                <w:color w:val="auto"/>
                <w:sz w:val="24"/>
              </w:rPr>
              <w:t>声级，监测</w:t>
            </w:r>
            <w:r>
              <w:rPr>
                <w:rFonts w:ascii="Times New Roman" w:cs="Times New Roman"/>
                <w:color w:val="auto"/>
                <w:sz w:val="24"/>
              </w:rPr>
              <w:t>1</w:t>
            </w:r>
            <w:r>
              <w:rPr>
                <w:rFonts w:hint="eastAsia" w:ascii="Times New Roman" w:cs="Times New Roman"/>
                <w:color w:val="auto"/>
                <w:sz w:val="24"/>
              </w:rPr>
              <w:t>天，昼、夜各一次。</w:t>
            </w:r>
          </w:p>
          <w:p>
            <w:pPr>
              <w:spacing w:line="360" w:lineRule="auto"/>
              <w:ind w:firstLine="480" w:firstLineChars="200"/>
              <w:textAlignment w:val="center"/>
              <w:rPr>
                <w:rFonts w:ascii="Times New Roman" w:cs="Times New Roman"/>
                <w:color w:val="auto"/>
                <w:sz w:val="24"/>
              </w:rPr>
            </w:pPr>
            <w:r>
              <w:rPr>
                <w:rFonts w:hint="eastAsia" w:ascii="Times New Roman" w:cs="Times New Roman"/>
                <w:color w:val="auto"/>
                <w:sz w:val="24"/>
              </w:rPr>
              <w:t>（</w:t>
            </w:r>
            <w:r>
              <w:rPr>
                <w:rFonts w:ascii="Times New Roman" w:cs="Times New Roman"/>
                <w:color w:val="auto"/>
                <w:sz w:val="24"/>
              </w:rPr>
              <w:t>4</w:t>
            </w:r>
            <w:r>
              <w:rPr>
                <w:rFonts w:hint="eastAsia" w:ascii="Times New Roman" w:cs="Times New Roman"/>
                <w:color w:val="auto"/>
                <w:sz w:val="24"/>
              </w:rPr>
              <w:t>）监测方法及方法来源</w:t>
            </w:r>
          </w:p>
          <w:p>
            <w:pPr>
              <w:spacing w:line="360" w:lineRule="auto"/>
              <w:ind w:firstLine="480" w:firstLineChars="200"/>
              <w:textAlignment w:val="center"/>
              <w:rPr>
                <w:rFonts w:ascii="Times New Roman" w:cs="Times New Roman"/>
                <w:color w:val="auto"/>
                <w:sz w:val="24"/>
              </w:rPr>
            </w:pPr>
            <w:r>
              <w:rPr>
                <w:rFonts w:hint="eastAsia" w:ascii="Times New Roman" w:cs="Times New Roman"/>
                <w:color w:val="auto"/>
                <w:sz w:val="24"/>
              </w:rPr>
              <w:t>监测项目的监测方法、方法来源、使用仪器及检出限见下表。</w:t>
            </w:r>
          </w:p>
          <w:p>
            <w:pPr>
              <w:jc w:val="center"/>
              <w:rPr>
                <w:rFonts w:hint="eastAsia"/>
                <w:b/>
                <w:bCs/>
                <w:color w:val="auto"/>
                <w:szCs w:val="21"/>
                <w:lang w:val="en-US" w:eastAsia="zh-CN"/>
              </w:rPr>
            </w:pPr>
            <w:r>
              <w:rPr>
                <w:rFonts w:hint="eastAsia"/>
                <w:b/>
                <w:bCs/>
                <w:color w:val="auto"/>
                <w:szCs w:val="21"/>
                <w:lang w:val="en-US" w:eastAsia="zh-CN"/>
              </w:rPr>
              <w:t>表3-5   声环境监测方法、方法来源、使用仪器及检出限</w:t>
            </w:r>
          </w:p>
          <w:tbl>
            <w:tblPr>
              <w:tblStyle w:val="51"/>
              <w:tblpPr w:leftFromText="180" w:rightFromText="180" w:vertAnchor="text" w:tblpXSpec="center" w:tblpY="1"/>
              <w:tblOverlap w:val="never"/>
              <w:tblW w:w="9423" w:type="dxa"/>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28" w:type="dxa"/>
                <w:bottom w:w="0" w:type="dxa"/>
                <w:right w:w="28" w:type="dxa"/>
              </w:tblCellMar>
            </w:tblPr>
            <w:tblGrid>
              <w:gridCol w:w="1236"/>
              <w:gridCol w:w="2184"/>
              <w:gridCol w:w="1706"/>
              <w:gridCol w:w="3162"/>
              <w:gridCol w:w="1135"/>
            </w:tblGrid>
            <w:tr>
              <w:tblPrEx>
                <w:tblCellMar>
                  <w:top w:w="0" w:type="dxa"/>
                  <w:left w:w="28" w:type="dxa"/>
                  <w:bottom w:w="0" w:type="dxa"/>
                  <w:right w:w="28" w:type="dxa"/>
                </w:tblCellMar>
              </w:tblPrEx>
              <w:trPr>
                <w:cantSplit/>
                <w:trHeight w:val="340" w:hRule="atLeast"/>
              </w:trPr>
              <w:tc>
                <w:tcPr>
                  <w:tcW w:w="1236" w:type="dxa"/>
                  <w:tcBorders>
                    <w:tl2br w:val="nil"/>
                    <w:tr2bl w:val="nil"/>
                  </w:tcBorders>
                  <w:vAlign w:val="center"/>
                </w:tcPr>
                <w:p>
                  <w:pPr>
                    <w:pStyle w:val="108"/>
                    <w:rPr>
                      <w:rFonts w:ascii="Times New Roman" w:hAnsi="Times New Roman" w:eastAsiaTheme="minorEastAsia"/>
                      <w:b/>
                      <w:color w:val="auto"/>
                      <w:szCs w:val="21"/>
                    </w:rPr>
                  </w:pPr>
                  <w:r>
                    <w:rPr>
                      <w:rFonts w:ascii="Times New Roman" w:hAnsiTheme="minorEastAsia" w:eastAsiaTheme="minorEastAsia"/>
                      <w:b/>
                      <w:color w:val="auto"/>
                      <w:szCs w:val="21"/>
                    </w:rPr>
                    <w:t>项目</w:t>
                  </w:r>
                </w:p>
              </w:tc>
              <w:tc>
                <w:tcPr>
                  <w:tcW w:w="2184" w:type="dxa"/>
                  <w:tcBorders>
                    <w:tl2br w:val="nil"/>
                    <w:tr2bl w:val="nil"/>
                  </w:tcBorders>
                  <w:vAlign w:val="center"/>
                </w:tcPr>
                <w:p>
                  <w:pPr>
                    <w:pStyle w:val="108"/>
                    <w:rPr>
                      <w:rFonts w:ascii="Times New Roman" w:hAnsi="Times New Roman" w:eastAsiaTheme="minorEastAsia"/>
                      <w:b/>
                      <w:color w:val="auto"/>
                      <w:szCs w:val="21"/>
                    </w:rPr>
                  </w:pPr>
                  <w:r>
                    <w:rPr>
                      <w:rFonts w:ascii="Times New Roman" w:hAnsiTheme="minorEastAsia" w:eastAsiaTheme="minorEastAsia"/>
                      <w:b/>
                      <w:color w:val="auto"/>
                      <w:szCs w:val="21"/>
                    </w:rPr>
                    <w:t>监测方法</w:t>
                  </w:r>
                </w:p>
              </w:tc>
              <w:tc>
                <w:tcPr>
                  <w:tcW w:w="1706" w:type="dxa"/>
                  <w:tcBorders>
                    <w:tl2br w:val="nil"/>
                    <w:tr2bl w:val="nil"/>
                  </w:tcBorders>
                  <w:vAlign w:val="center"/>
                </w:tcPr>
                <w:p>
                  <w:pPr>
                    <w:pStyle w:val="108"/>
                    <w:rPr>
                      <w:rFonts w:ascii="Times New Roman" w:hAnsi="Times New Roman" w:eastAsiaTheme="minorEastAsia"/>
                      <w:b/>
                      <w:color w:val="auto"/>
                      <w:szCs w:val="21"/>
                    </w:rPr>
                  </w:pPr>
                  <w:r>
                    <w:rPr>
                      <w:rFonts w:ascii="Times New Roman" w:hAnsiTheme="minorEastAsia" w:eastAsiaTheme="minorEastAsia"/>
                      <w:b/>
                      <w:color w:val="auto"/>
                      <w:szCs w:val="21"/>
                    </w:rPr>
                    <w:t>方法来源</w:t>
                  </w:r>
                </w:p>
              </w:tc>
              <w:tc>
                <w:tcPr>
                  <w:tcW w:w="3162" w:type="dxa"/>
                  <w:tcBorders>
                    <w:tl2br w:val="nil"/>
                    <w:tr2bl w:val="nil"/>
                  </w:tcBorders>
                  <w:vAlign w:val="center"/>
                </w:tcPr>
                <w:p>
                  <w:pPr>
                    <w:pStyle w:val="108"/>
                    <w:rPr>
                      <w:rFonts w:ascii="Times New Roman" w:hAnsi="Times New Roman" w:eastAsiaTheme="minorEastAsia"/>
                      <w:b/>
                      <w:color w:val="auto"/>
                      <w:szCs w:val="21"/>
                    </w:rPr>
                  </w:pPr>
                  <w:r>
                    <w:rPr>
                      <w:rFonts w:ascii="Times New Roman" w:hAnsiTheme="minorEastAsia" w:eastAsiaTheme="minorEastAsia"/>
                      <w:b/>
                      <w:color w:val="auto"/>
                      <w:szCs w:val="21"/>
                    </w:rPr>
                    <w:t>使用仪器及编号</w:t>
                  </w:r>
                </w:p>
              </w:tc>
              <w:tc>
                <w:tcPr>
                  <w:tcW w:w="1135" w:type="dxa"/>
                  <w:tcBorders>
                    <w:tl2br w:val="nil"/>
                    <w:tr2bl w:val="nil"/>
                  </w:tcBorders>
                  <w:vAlign w:val="center"/>
                </w:tcPr>
                <w:p>
                  <w:pPr>
                    <w:pStyle w:val="108"/>
                    <w:rPr>
                      <w:rFonts w:ascii="Times New Roman" w:hAnsi="Times New Roman" w:eastAsiaTheme="minorEastAsia"/>
                      <w:b/>
                      <w:color w:val="auto"/>
                      <w:szCs w:val="21"/>
                    </w:rPr>
                  </w:pPr>
                  <w:r>
                    <w:rPr>
                      <w:rFonts w:ascii="Times New Roman" w:hAnsiTheme="minorEastAsia" w:eastAsiaTheme="minorEastAsia"/>
                      <w:b/>
                      <w:color w:val="auto"/>
                      <w:szCs w:val="21"/>
                    </w:rPr>
                    <w:t>检出限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28" w:type="dxa"/>
                  <w:bottom w:w="0" w:type="dxa"/>
                  <w:right w:w="28" w:type="dxa"/>
                </w:tblCellMar>
              </w:tblPrEx>
              <w:trPr>
                <w:cantSplit/>
                <w:trHeight w:val="340" w:hRule="atLeast"/>
              </w:trPr>
              <w:tc>
                <w:tcPr>
                  <w:tcW w:w="1236" w:type="dxa"/>
                  <w:tcBorders>
                    <w:tl2br w:val="nil"/>
                    <w:tr2bl w:val="nil"/>
                  </w:tcBorders>
                  <w:vAlign w:val="center"/>
                </w:tcPr>
                <w:p>
                  <w:pPr>
                    <w:pStyle w:val="108"/>
                    <w:rPr>
                      <w:rFonts w:ascii="Times New Roman" w:hAnsi="Times New Roman" w:eastAsiaTheme="minorEastAsia"/>
                      <w:color w:val="auto"/>
                      <w:szCs w:val="21"/>
                    </w:rPr>
                  </w:pPr>
                  <w:r>
                    <w:rPr>
                      <w:rFonts w:ascii="Times New Roman" w:hAnsiTheme="minorEastAsia" w:eastAsiaTheme="minorEastAsia"/>
                      <w:color w:val="auto"/>
                      <w:szCs w:val="21"/>
                    </w:rPr>
                    <w:t>环境噪声</w:t>
                  </w:r>
                </w:p>
              </w:tc>
              <w:tc>
                <w:tcPr>
                  <w:tcW w:w="2184" w:type="dxa"/>
                  <w:tcBorders>
                    <w:tl2br w:val="nil"/>
                    <w:tr2bl w:val="nil"/>
                  </w:tcBorders>
                  <w:vAlign w:val="center"/>
                </w:tcPr>
                <w:p>
                  <w:pPr>
                    <w:pStyle w:val="108"/>
                    <w:rPr>
                      <w:rFonts w:ascii="Times New Roman" w:hAnsi="Times New Roman" w:eastAsiaTheme="minorEastAsia"/>
                      <w:color w:val="auto"/>
                      <w:szCs w:val="21"/>
                    </w:rPr>
                  </w:pPr>
                  <w:r>
                    <w:rPr>
                      <w:rFonts w:ascii="Times New Roman" w:hAnsiTheme="minorEastAsia" w:eastAsiaTheme="minorEastAsia"/>
                      <w:color w:val="auto"/>
                      <w:szCs w:val="21"/>
                    </w:rPr>
                    <w:t>声环境质量标准</w:t>
                  </w:r>
                </w:p>
              </w:tc>
              <w:tc>
                <w:tcPr>
                  <w:tcW w:w="1706" w:type="dxa"/>
                  <w:tcBorders>
                    <w:tl2br w:val="nil"/>
                    <w:tr2bl w:val="nil"/>
                  </w:tcBorders>
                  <w:vAlign w:val="center"/>
                </w:tcPr>
                <w:p>
                  <w:pPr>
                    <w:pStyle w:val="108"/>
                    <w:rPr>
                      <w:rFonts w:ascii="Times New Roman" w:hAnsi="Times New Roman" w:eastAsiaTheme="minorEastAsia"/>
                      <w:color w:val="auto"/>
                      <w:szCs w:val="21"/>
                    </w:rPr>
                  </w:pPr>
                  <w:r>
                    <w:rPr>
                      <w:rFonts w:ascii="Times New Roman" w:hAnsi="Times New Roman" w:eastAsiaTheme="minorEastAsia"/>
                      <w:color w:val="auto"/>
                      <w:szCs w:val="21"/>
                    </w:rPr>
                    <w:t>GB3096-2008</w:t>
                  </w:r>
                </w:p>
              </w:tc>
              <w:tc>
                <w:tcPr>
                  <w:tcW w:w="3162" w:type="dxa"/>
                  <w:tcBorders>
                    <w:tl2br w:val="nil"/>
                    <w:tr2bl w:val="nil"/>
                  </w:tcBorders>
                  <w:vAlign w:val="center"/>
                </w:tcPr>
                <w:p>
                  <w:pPr>
                    <w:pStyle w:val="108"/>
                    <w:rPr>
                      <w:rFonts w:ascii="Times New Roman" w:hAnsi="Times New Roman" w:eastAsiaTheme="minorEastAsia"/>
                      <w:color w:val="auto"/>
                      <w:szCs w:val="21"/>
                    </w:rPr>
                  </w:pPr>
                  <w:r>
                    <w:rPr>
                      <w:rFonts w:hint="eastAsia" w:ascii="Times New Roman" w:hAnsi="Times New Roman" w:eastAsiaTheme="minorEastAsia"/>
                      <w:color w:val="auto"/>
                      <w:szCs w:val="21"/>
                    </w:rPr>
                    <w:t>多功能声级计</w:t>
                  </w:r>
                  <w:r>
                    <w:rPr>
                      <w:rFonts w:ascii="Times New Roman" w:hAnsi="Times New Roman" w:eastAsiaTheme="minorEastAsia"/>
                      <w:color w:val="auto"/>
                      <w:szCs w:val="21"/>
                    </w:rPr>
                    <w:t>AWA6228  XS194</w:t>
                  </w:r>
                </w:p>
              </w:tc>
              <w:tc>
                <w:tcPr>
                  <w:tcW w:w="1135" w:type="dxa"/>
                  <w:tcBorders>
                    <w:tl2br w:val="nil"/>
                    <w:tr2bl w:val="nil"/>
                  </w:tcBorders>
                  <w:vAlign w:val="center"/>
                </w:tcPr>
                <w:p>
                  <w:pPr>
                    <w:pStyle w:val="108"/>
                    <w:rPr>
                      <w:rFonts w:ascii="Times New Roman" w:hAnsi="Times New Roman" w:eastAsiaTheme="minorEastAsia"/>
                      <w:color w:val="auto"/>
                      <w:szCs w:val="21"/>
                    </w:rPr>
                  </w:pPr>
                  <w:r>
                    <w:rPr>
                      <w:rFonts w:ascii="Times New Roman" w:hAnsi="Times New Roman" w:eastAsiaTheme="minorEastAsia"/>
                      <w:color w:val="auto"/>
                      <w:szCs w:val="21"/>
                    </w:rPr>
                    <w:t>/</w:t>
                  </w:r>
                </w:p>
              </w:tc>
            </w:tr>
          </w:tbl>
          <w:p>
            <w:pPr>
              <w:spacing w:before="156" w:beforeLines="50" w:line="360" w:lineRule="auto"/>
              <w:ind w:firstLine="480" w:firstLineChars="200"/>
              <w:rPr>
                <w:rFonts w:ascii="Times New Roman" w:hAnsi="Times New Roman" w:cs="Times New Roman"/>
                <w:color w:val="auto"/>
                <w:sz w:val="24"/>
              </w:rPr>
            </w:pPr>
            <w:r>
              <w:rPr>
                <w:rFonts w:ascii="Times New Roman" w:cs="Times New Roman" w:hAnsiTheme="minorEastAsia"/>
                <w:color w:val="auto"/>
                <w:sz w:val="24"/>
              </w:rPr>
              <w:t>（</w:t>
            </w:r>
            <w:r>
              <w:rPr>
                <w:rFonts w:ascii="Times New Roman" w:hAnsi="Times New Roman" w:cs="Times New Roman"/>
                <w:color w:val="auto"/>
                <w:sz w:val="24"/>
              </w:rPr>
              <w:t>5</w:t>
            </w:r>
            <w:r>
              <w:rPr>
                <w:rFonts w:ascii="Times New Roman" w:cs="Times New Roman" w:hAnsiTheme="minorEastAsia"/>
                <w:color w:val="auto"/>
                <w:sz w:val="24"/>
              </w:rPr>
              <w:t>）监测结果评价</w:t>
            </w:r>
          </w:p>
          <w:p>
            <w:pPr>
              <w:spacing w:line="360" w:lineRule="auto"/>
              <w:ind w:firstLine="600" w:firstLineChars="250"/>
              <w:rPr>
                <w:rFonts w:ascii="Times New Roman" w:hAnsi="Times New Roman" w:cs="Times New Roman"/>
                <w:bCs/>
                <w:color w:val="auto"/>
                <w:sz w:val="24"/>
              </w:rPr>
            </w:pPr>
            <w:r>
              <w:rPr>
                <w:rFonts w:ascii="Times New Roman" w:cs="Times New Roman" w:hAnsiTheme="minorEastAsia"/>
                <w:bCs/>
                <w:color w:val="auto"/>
                <w:sz w:val="24"/>
              </w:rPr>
              <w:t>监测结果评价见表3-</w:t>
            </w:r>
            <w:r>
              <w:rPr>
                <w:rFonts w:hint="eastAsia" w:ascii="Times New Roman" w:cs="Times New Roman" w:hAnsiTheme="minorEastAsia"/>
                <w:bCs/>
                <w:color w:val="auto"/>
                <w:sz w:val="24"/>
                <w:lang w:val="en-US" w:eastAsia="zh-CN"/>
              </w:rPr>
              <w:t>6</w:t>
            </w:r>
            <w:r>
              <w:rPr>
                <w:rFonts w:ascii="Times New Roman" w:cs="Times New Roman" w:hAnsiTheme="minorEastAsia"/>
                <w:bCs/>
                <w:color w:val="auto"/>
                <w:sz w:val="24"/>
              </w:rPr>
              <w:t>。</w:t>
            </w:r>
          </w:p>
          <w:p>
            <w:pPr>
              <w:jc w:val="center"/>
              <w:rPr>
                <w:rFonts w:hint="eastAsia"/>
                <w:b/>
                <w:bCs/>
                <w:color w:val="auto"/>
                <w:szCs w:val="21"/>
                <w:lang w:val="en-US" w:eastAsia="zh-CN"/>
              </w:rPr>
            </w:pPr>
            <w:r>
              <w:rPr>
                <w:rFonts w:hint="eastAsia"/>
                <w:b/>
                <w:bCs/>
                <w:color w:val="auto"/>
                <w:szCs w:val="21"/>
                <w:lang w:val="en-US" w:eastAsia="zh-CN"/>
              </w:rPr>
              <w:t xml:space="preserve">表3-6 噪声监测结果评价表   </w:t>
            </w:r>
          </w:p>
          <w:tbl>
            <w:tblPr>
              <w:tblStyle w:val="52"/>
              <w:tblW w:w="85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611"/>
              <w:gridCol w:w="1765"/>
              <w:gridCol w:w="884"/>
              <w:gridCol w:w="884"/>
              <w:gridCol w:w="884"/>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点位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编号</w:t>
                  </w:r>
                </w:p>
              </w:tc>
              <w:tc>
                <w:tcPr>
                  <w:tcW w:w="161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点位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名称</w:t>
                  </w:r>
                </w:p>
              </w:tc>
              <w:tc>
                <w:tcPr>
                  <w:tcW w:w="176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eastAsia="zh-CN"/>
                    </w:rPr>
                  </w:pPr>
                  <w:r>
                    <w:rPr>
                      <w:rFonts w:hint="default" w:ascii="Times New Roman" w:hAnsi="Times New Roman" w:cs="Times New Roman" w:eastAsiaTheme="minorEastAsia"/>
                      <w:color w:val="auto"/>
                      <w:szCs w:val="21"/>
                      <w:lang w:eastAsia="zh-CN"/>
                    </w:rPr>
                    <w:t>主要声源</w:t>
                  </w:r>
                </w:p>
              </w:tc>
              <w:tc>
                <w:tcPr>
                  <w:tcW w:w="176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3</w:t>
                  </w:r>
                  <w:r>
                    <w:rPr>
                      <w:rFonts w:hint="default" w:ascii="Times New Roman" w:hAnsi="Times New Roman" w:cs="Times New Roman" w:eastAsiaTheme="minorEastAsia"/>
                      <w:color w:val="auto"/>
                      <w:szCs w:val="21"/>
                    </w:rPr>
                    <w:t>月</w:t>
                  </w:r>
                  <w:r>
                    <w:rPr>
                      <w:rFonts w:hint="eastAsia" w:ascii="Times New Roman" w:hAnsi="Times New Roman" w:cs="Times New Roman"/>
                      <w:color w:val="auto"/>
                      <w:szCs w:val="21"/>
                      <w:lang w:val="en-US" w:eastAsia="zh-CN"/>
                    </w:rPr>
                    <w:t>30</w:t>
                  </w:r>
                  <w:r>
                    <w:rPr>
                      <w:rFonts w:hint="default" w:ascii="Times New Roman" w:hAnsi="Times New Roman" w:cs="Times New Roman" w:eastAsiaTheme="minorEastAsia"/>
                      <w:color w:val="auto"/>
                      <w:szCs w:val="21"/>
                    </w:rPr>
                    <w:t>日</w:t>
                  </w:r>
                </w:p>
              </w:tc>
              <w:tc>
                <w:tcPr>
                  <w:tcW w:w="176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3</w:t>
                  </w:r>
                  <w:r>
                    <w:rPr>
                      <w:rFonts w:hint="default" w:ascii="Times New Roman" w:hAnsi="Times New Roman" w:cs="Times New Roman" w:eastAsiaTheme="minorEastAsia"/>
                      <w:color w:val="auto"/>
                      <w:szCs w:val="21"/>
                    </w:rPr>
                    <w:t>月</w:t>
                  </w:r>
                  <w:r>
                    <w:rPr>
                      <w:rFonts w:hint="eastAsia" w:ascii="Times New Roman" w:hAnsi="Times New Roman" w:cs="Times New Roman"/>
                      <w:color w:val="auto"/>
                      <w:szCs w:val="21"/>
                      <w:lang w:val="en-US" w:eastAsia="zh-CN"/>
                    </w:rPr>
                    <w:t>31</w:t>
                  </w:r>
                  <w:r>
                    <w:rPr>
                      <w:rFonts w:hint="default" w:ascii="Times New Roman" w:hAnsi="Times New Roman" w:cs="Times New Roman" w:eastAsiaTheme="minorEastAsia"/>
                      <w:color w:val="auto"/>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p>
              </w:tc>
              <w:tc>
                <w:tcPr>
                  <w:tcW w:w="161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p>
              </w:tc>
              <w:tc>
                <w:tcPr>
                  <w:tcW w:w="176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夜间</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eastAsia="zh-CN"/>
                    </w:rPr>
                    <w:t>1#</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环境，生活</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50</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44</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51</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eastAsia="zh-CN"/>
                    </w:rPr>
                    <w:t>2#</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rPr>
                    <w:t>环境，生活</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47</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41</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48</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eastAsia="zh-CN"/>
                    </w:rPr>
                    <w:t>3#</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rPr>
                    <w:t>环境，生活</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48</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42</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49</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eastAsia="zh-CN"/>
                    </w:rPr>
                    <w:t>4#</w:t>
                  </w:r>
                </w:p>
              </w:tc>
              <w:tc>
                <w:tcPr>
                  <w:tcW w:w="161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bCs/>
                      <w:color w:val="auto"/>
                      <w:szCs w:val="21"/>
                    </w:rPr>
                    <w:t>附近居民点</w:t>
                  </w:r>
                </w:p>
              </w:tc>
              <w:tc>
                <w:tcPr>
                  <w:tcW w:w="17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eastAsia="zh-CN"/>
                    </w:rPr>
                  </w:pPr>
                  <w:r>
                    <w:rPr>
                      <w:rFonts w:hint="eastAsia" w:ascii="Times New Roman" w:hAnsi="Times New Roman" w:cs="Times New Roman" w:eastAsiaTheme="minorEastAsia"/>
                      <w:color w:val="auto"/>
                      <w:szCs w:val="21"/>
                    </w:rPr>
                    <w:t>环境，生活</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52</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45</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53</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rPr>
                    <w:t>46</w:t>
                  </w:r>
                </w:p>
              </w:tc>
            </w:tr>
          </w:tbl>
          <w:p>
            <w:pPr>
              <w:spacing w:line="360" w:lineRule="auto"/>
              <w:ind w:firstLine="480" w:firstLineChars="200"/>
              <w:rPr>
                <w:bCs/>
                <w:color w:val="auto"/>
                <w:sz w:val="24"/>
              </w:rPr>
            </w:pPr>
            <w:r>
              <w:rPr>
                <w:rFonts w:hint="eastAsia"/>
                <w:bCs/>
                <w:color w:val="auto"/>
                <w:sz w:val="24"/>
              </w:rPr>
              <w:t>根据以上评价结果，项目区域声环境质量良好，满足</w:t>
            </w:r>
            <w:r>
              <w:rPr>
                <w:rFonts w:hint="eastAsia" w:ascii="Times New Roman" w:cs="Times New Roman"/>
                <w:color w:val="auto"/>
                <w:spacing w:val="-8"/>
                <w:sz w:val="24"/>
                <w:szCs w:val="20"/>
              </w:rPr>
              <w:t>《声环境质量标准》</w:t>
            </w:r>
            <w:r>
              <w:rPr>
                <w:rFonts w:ascii="Times New Roman" w:hAnsi="Times New Roman" w:cs="Times New Roman"/>
                <w:color w:val="auto"/>
                <w:spacing w:val="-8"/>
                <w:sz w:val="24"/>
                <w:szCs w:val="20"/>
              </w:rPr>
              <w:t>(GB3096-2008)2</w:t>
            </w:r>
            <w:r>
              <w:rPr>
                <w:rFonts w:hint="eastAsia" w:ascii="Times New Roman" w:hAnsi="Times New Roman" w:cs="Times New Roman"/>
                <w:color w:val="auto"/>
                <w:spacing w:val="-8"/>
                <w:sz w:val="24"/>
                <w:szCs w:val="20"/>
              </w:rPr>
              <w:t>类标准限值。</w:t>
            </w:r>
          </w:p>
          <w:p>
            <w:pPr>
              <w:spacing w:line="360" w:lineRule="auto"/>
              <w:rPr>
                <w:b/>
                <w:bCs/>
                <w:color w:val="auto"/>
                <w:sz w:val="24"/>
              </w:rPr>
            </w:pPr>
            <w:r>
              <w:rPr>
                <w:rFonts w:hint="eastAsia"/>
                <w:b/>
                <w:bCs/>
                <w:color w:val="auto"/>
                <w:sz w:val="24"/>
              </w:rPr>
              <w:t>四、生态环境</w:t>
            </w:r>
          </w:p>
          <w:p>
            <w:pPr>
              <w:spacing w:line="360" w:lineRule="auto"/>
              <w:ind w:firstLine="480" w:firstLineChars="200"/>
              <w:textAlignment w:val="center"/>
              <w:rPr>
                <w:color w:val="auto"/>
                <w:sz w:val="24"/>
              </w:rPr>
            </w:pPr>
            <w:r>
              <w:rPr>
                <w:rFonts w:hint="eastAsia"/>
                <w:color w:val="auto"/>
                <w:sz w:val="24"/>
              </w:rPr>
              <w:t>项目所在</w:t>
            </w:r>
            <w:r>
              <w:rPr>
                <w:color w:val="auto"/>
                <w:sz w:val="24"/>
              </w:rPr>
              <w:t>区域气候暖和，雨量充沛，光照充足；评价区域不存在大型哺乳动物及珍贵野生动植物；评价区域的</w:t>
            </w:r>
            <w:r>
              <w:rPr>
                <w:rFonts w:hint="eastAsia"/>
                <w:color w:val="auto"/>
                <w:sz w:val="24"/>
              </w:rPr>
              <w:t>周边</w:t>
            </w:r>
            <w:r>
              <w:rPr>
                <w:color w:val="auto"/>
                <w:sz w:val="24"/>
              </w:rPr>
              <w:t>大部分已经进行了绿化。项目施工区附近有零散杂树、草灌丛以及小面积旱地。</w:t>
            </w:r>
          </w:p>
          <w:p>
            <w:pPr>
              <w:spacing w:line="360" w:lineRule="auto"/>
              <w:ind w:firstLine="480" w:firstLineChars="200"/>
              <w:rPr>
                <w:rFonts w:hint="eastAsia"/>
                <w:color w:val="auto"/>
              </w:rPr>
            </w:pPr>
            <w:r>
              <w:rPr>
                <w:rFonts w:hint="eastAsia"/>
                <w:color w:val="auto"/>
                <w:sz w:val="24"/>
              </w:rPr>
              <w:t>区内</w:t>
            </w:r>
            <w:r>
              <w:rPr>
                <w:color w:val="auto"/>
                <w:sz w:val="24"/>
              </w:rPr>
              <w:t>主要</w:t>
            </w:r>
            <w:r>
              <w:rPr>
                <w:rFonts w:hint="eastAsia"/>
                <w:color w:val="auto"/>
                <w:sz w:val="24"/>
                <w:lang w:val="en-US" w:eastAsia="zh-CN"/>
              </w:rPr>
              <w:t>为</w:t>
            </w:r>
            <w:r>
              <w:rPr>
                <w:color w:val="auto"/>
                <w:sz w:val="24"/>
              </w:rPr>
              <w:t>人类活动</w:t>
            </w:r>
            <w:r>
              <w:rPr>
                <w:rFonts w:hint="eastAsia"/>
                <w:color w:val="auto"/>
                <w:sz w:val="24"/>
                <w:lang w:val="en-US" w:eastAsia="zh-CN"/>
              </w:rPr>
              <w:t>的</w:t>
            </w:r>
            <w:r>
              <w:rPr>
                <w:rFonts w:hint="eastAsia"/>
                <w:color w:val="auto"/>
                <w:sz w:val="24"/>
              </w:rPr>
              <w:t>耕地</w:t>
            </w:r>
            <w:r>
              <w:rPr>
                <w:color w:val="auto"/>
                <w:sz w:val="24"/>
              </w:rPr>
              <w:t>种植，</w:t>
            </w:r>
            <w:r>
              <w:rPr>
                <w:rFonts w:hint="eastAsia"/>
                <w:color w:val="auto"/>
                <w:sz w:val="24"/>
              </w:rPr>
              <w:t>近年的封山育林</w:t>
            </w:r>
            <w:r>
              <w:rPr>
                <w:color w:val="auto"/>
                <w:sz w:val="24"/>
              </w:rPr>
              <w:t>对植被</w:t>
            </w:r>
            <w:r>
              <w:rPr>
                <w:rFonts w:hint="eastAsia"/>
                <w:color w:val="auto"/>
                <w:sz w:val="24"/>
              </w:rPr>
              <w:t>具有</w:t>
            </w:r>
            <w:r>
              <w:rPr>
                <w:color w:val="auto"/>
                <w:sz w:val="24"/>
              </w:rPr>
              <w:t>一定的</w:t>
            </w:r>
            <w:r>
              <w:rPr>
                <w:rFonts w:hint="eastAsia"/>
                <w:color w:val="auto"/>
                <w:sz w:val="24"/>
              </w:rPr>
              <w:t>改良，</w:t>
            </w:r>
            <w:r>
              <w:rPr>
                <w:color w:val="auto"/>
                <w:sz w:val="24"/>
              </w:rPr>
              <w:t>自然生态环境</w:t>
            </w:r>
            <w:r>
              <w:rPr>
                <w:rFonts w:hint="eastAsia"/>
                <w:color w:val="auto"/>
                <w:sz w:val="24"/>
              </w:rPr>
              <w:t>逐步改善</w:t>
            </w:r>
            <w:r>
              <w:rPr>
                <w:color w:val="auto"/>
                <w:sz w:val="24"/>
              </w:rPr>
              <w:t>，人类工程活动强度较低，影响较小</w:t>
            </w:r>
            <w:r>
              <w:rPr>
                <w:rFonts w:hint="eastAsia"/>
                <w:color w:val="auto"/>
                <w:sz w:val="24"/>
              </w:rPr>
              <w:t>。</w:t>
            </w:r>
          </w:p>
          <w:p>
            <w:pPr>
              <w:spacing w:line="360" w:lineRule="auto"/>
              <w:ind w:firstLine="480" w:firstLineChars="200"/>
              <w:textAlignment w:val="center"/>
              <w:rPr>
                <w:color w:val="auto"/>
                <w:sz w:val="24"/>
              </w:rPr>
            </w:pPr>
          </w:p>
          <w:p>
            <w:pPr>
              <w:spacing w:line="360" w:lineRule="auto"/>
              <w:ind w:firstLine="480" w:firstLineChars="200"/>
              <w:textAlignment w:val="center"/>
              <w:rPr>
                <w:rFonts w:hAnsi="宋体"/>
                <w:color w:val="auto"/>
                <w:sz w:val="24"/>
              </w:rPr>
            </w:pPr>
          </w:p>
          <w:p>
            <w:pPr>
              <w:pStyle w:val="62"/>
              <w:rPr>
                <w:rFonts w:hAnsi="宋体"/>
                <w:color w:val="auto"/>
                <w:sz w:val="24"/>
              </w:rPr>
            </w:pPr>
          </w:p>
          <w:p>
            <w:pPr>
              <w:pStyle w:val="62"/>
              <w:rPr>
                <w:rFonts w:hAnsi="宋体"/>
                <w:color w:val="auto"/>
                <w:sz w:val="24"/>
              </w:rPr>
            </w:pPr>
          </w:p>
          <w:p>
            <w:pPr>
              <w:autoSpaceDE w:val="0"/>
              <w:autoSpaceDN w:val="0"/>
              <w:spacing w:line="360" w:lineRule="auto"/>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639" w:type="dxa"/>
            <w:vAlign w:val="top"/>
          </w:tcPr>
          <w:p>
            <w:pPr>
              <w:spacing w:after="120" w:line="440" w:lineRule="exact"/>
              <w:rPr>
                <w:rFonts w:ascii="Times New Roman" w:hAnsi="Times New Roman" w:cs="Times New Roman"/>
                <w:b/>
                <w:color w:val="auto"/>
                <w:sz w:val="28"/>
                <w:szCs w:val="28"/>
              </w:rPr>
            </w:pPr>
            <w:r>
              <w:rPr>
                <w:rFonts w:ascii="Times New Roman" w:hAnsi="Times New Roman" w:cs="Times New Roman"/>
                <w:b/>
                <w:color w:val="auto"/>
                <w:sz w:val="28"/>
                <w:szCs w:val="28"/>
              </w:rPr>
              <w:t>环境保护目标</w:t>
            </w:r>
          </w:p>
          <w:p>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根据现场踏勘，本项目</w:t>
            </w:r>
            <w:r>
              <w:rPr>
                <w:rFonts w:hint="eastAsia" w:ascii="Times New Roman" w:hAnsi="Times New Roman" w:cs="Times New Roman"/>
                <w:color w:val="auto"/>
                <w:sz w:val="24"/>
              </w:rPr>
              <w:t>周围无重大污染源，无自然保护区、饮用水源保护区等需要特殊保护的地区。</w:t>
            </w:r>
          </w:p>
          <w:p>
            <w:pPr>
              <w:spacing w:line="360" w:lineRule="auto"/>
              <w:ind w:firstLine="480"/>
              <w:rPr>
                <w:rFonts w:ascii="Times New Roman" w:hAnsi="Times New Roman" w:cs="Times New Roman"/>
                <w:color w:val="auto"/>
                <w:sz w:val="24"/>
              </w:rPr>
            </w:pPr>
            <w:bookmarkStart w:id="9" w:name="_Toc434833639"/>
            <w:bookmarkStart w:id="10" w:name="_Toc434833273"/>
            <w:bookmarkStart w:id="11" w:name="_Toc434833453"/>
            <w:r>
              <w:rPr>
                <w:rFonts w:ascii="Times New Roman" w:hAnsi="Times New Roman" w:cs="Times New Roman"/>
                <w:color w:val="auto"/>
                <w:sz w:val="24"/>
              </w:rPr>
              <w:t>1</w:t>
            </w:r>
            <w:r>
              <w:rPr>
                <w:rFonts w:hint="eastAsia" w:ascii="Times New Roman" w:cs="Times New Roman"/>
                <w:color w:val="auto"/>
                <w:sz w:val="24"/>
              </w:rPr>
              <w:t>、环境空气</w:t>
            </w:r>
            <w:bookmarkEnd w:id="9"/>
            <w:bookmarkEnd w:id="10"/>
            <w:bookmarkEnd w:id="11"/>
          </w:p>
          <w:p>
            <w:pPr>
              <w:spacing w:line="360" w:lineRule="auto"/>
              <w:ind w:firstLine="420"/>
              <w:rPr>
                <w:rFonts w:ascii="Times New Roman" w:hAnsi="Times New Roman" w:cs="Times New Roman"/>
                <w:color w:val="auto"/>
                <w:sz w:val="24"/>
              </w:rPr>
            </w:pPr>
            <w:bookmarkStart w:id="12" w:name="_Toc434833274"/>
            <w:bookmarkStart w:id="13" w:name="_Toc434833640"/>
            <w:bookmarkStart w:id="14" w:name="_Toc434833454"/>
            <w:r>
              <w:rPr>
                <w:rFonts w:hint="eastAsia" w:ascii="Times New Roman" w:cs="Times New Roman"/>
                <w:color w:val="auto"/>
                <w:sz w:val="24"/>
              </w:rPr>
              <w:t>环境保护目标：评价区内环境空气质量</w:t>
            </w:r>
            <w:bookmarkEnd w:id="12"/>
            <w:bookmarkEnd w:id="13"/>
            <w:bookmarkEnd w:id="14"/>
            <w:r>
              <w:rPr>
                <w:rFonts w:hint="eastAsia" w:ascii="Times New Roman" w:cs="Times New Roman"/>
                <w:color w:val="auto"/>
                <w:sz w:val="24"/>
              </w:rPr>
              <w:t>属于达标区域。</w:t>
            </w:r>
          </w:p>
          <w:p>
            <w:pPr>
              <w:spacing w:line="360" w:lineRule="auto"/>
              <w:ind w:firstLine="420"/>
              <w:rPr>
                <w:rFonts w:ascii="Times New Roman" w:hAnsi="Times New Roman" w:cs="Times New Roman"/>
                <w:color w:val="auto"/>
                <w:sz w:val="24"/>
              </w:rPr>
            </w:pPr>
            <w:r>
              <w:rPr>
                <w:rFonts w:hint="eastAsia" w:ascii="Times New Roman" w:cs="Times New Roman"/>
                <w:color w:val="auto"/>
                <w:sz w:val="24"/>
              </w:rPr>
              <w:t>环境保护级别：不因本项目的实施改变评价区环境空气质量，即满足《环境空气质量标准》（</w:t>
            </w:r>
            <w:r>
              <w:rPr>
                <w:rFonts w:ascii="Times New Roman" w:hAnsi="Times New Roman" w:cs="Times New Roman"/>
                <w:color w:val="auto"/>
                <w:sz w:val="24"/>
              </w:rPr>
              <w:t>GB3095</w:t>
            </w:r>
            <w:r>
              <w:rPr>
                <w:rFonts w:hint="eastAsia" w:ascii="Times New Roman" w:hAnsi="Times New Roman" w:cs="Times New Roman"/>
                <w:color w:val="auto"/>
                <w:sz w:val="24"/>
                <w:lang w:val="en-US" w:eastAsia="zh-CN"/>
              </w:rPr>
              <w:t>-</w:t>
            </w:r>
            <w:r>
              <w:rPr>
                <w:rFonts w:ascii="Times New Roman" w:hAnsi="Times New Roman" w:cs="Times New Roman"/>
                <w:color w:val="auto"/>
                <w:sz w:val="24"/>
              </w:rPr>
              <w:t>2012</w:t>
            </w:r>
            <w:r>
              <w:rPr>
                <w:rFonts w:hint="eastAsia" w:ascii="Times New Roman" w:cs="Times New Roman"/>
                <w:color w:val="auto"/>
                <w:sz w:val="24"/>
              </w:rPr>
              <w:t>）二级标准要求，周边环境敏感点环境空气质量不因本项目的施工和营运有所明显下降。</w:t>
            </w:r>
          </w:p>
          <w:p>
            <w:pPr>
              <w:spacing w:line="360" w:lineRule="auto"/>
              <w:ind w:firstLine="480"/>
              <w:rPr>
                <w:rFonts w:ascii="Times New Roman" w:hAnsi="Times New Roman" w:cs="Times New Roman"/>
                <w:color w:val="auto"/>
                <w:sz w:val="24"/>
              </w:rPr>
            </w:pPr>
            <w:bookmarkStart w:id="15" w:name="_Toc434833275"/>
            <w:bookmarkStart w:id="16" w:name="_Toc434833455"/>
            <w:bookmarkStart w:id="17" w:name="_Toc434833641"/>
            <w:r>
              <w:rPr>
                <w:rFonts w:ascii="Times New Roman" w:hAnsi="Times New Roman" w:cs="Times New Roman"/>
                <w:color w:val="auto"/>
                <w:sz w:val="24"/>
              </w:rPr>
              <w:t>2</w:t>
            </w:r>
            <w:r>
              <w:rPr>
                <w:rFonts w:hint="eastAsia" w:ascii="Times New Roman" w:cs="Times New Roman"/>
                <w:color w:val="auto"/>
                <w:sz w:val="24"/>
              </w:rPr>
              <w:t>、地表水</w:t>
            </w:r>
            <w:bookmarkEnd w:id="15"/>
            <w:bookmarkEnd w:id="16"/>
            <w:bookmarkEnd w:id="17"/>
          </w:p>
          <w:p>
            <w:pPr>
              <w:spacing w:line="360" w:lineRule="auto"/>
              <w:ind w:firstLine="420"/>
              <w:rPr>
                <w:rFonts w:ascii="Times New Roman" w:hAnsi="Times New Roman" w:cs="Times New Roman"/>
                <w:color w:val="auto"/>
                <w:sz w:val="24"/>
              </w:rPr>
            </w:pPr>
            <w:bookmarkStart w:id="18" w:name="_Toc434833642"/>
            <w:bookmarkStart w:id="19" w:name="_Toc434833456"/>
            <w:bookmarkStart w:id="20" w:name="_Toc434833276"/>
            <w:r>
              <w:rPr>
                <w:rFonts w:hint="eastAsia" w:ascii="Times New Roman" w:cs="Times New Roman"/>
                <w:color w:val="auto"/>
                <w:sz w:val="24"/>
              </w:rPr>
              <w:t>环境保护目标：</w:t>
            </w:r>
            <w:bookmarkEnd w:id="18"/>
            <w:bookmarkEnd w:id="19"/>
            <w:bookmarkEnd w:id="20"/>
            <w:r>
              <w:rPr>
                <w:rFonts w:hint="eastAsia" w:ascii="Times New Roman" w:hAnsi="Times New Roman" w:cs="Times New Roman" w:eastAsiaTheme="minorEastAsia"/>
                <w:color w:val="auto"/>
                <w:sz w:val="24"/>
              </w:rPr>
              <w:t>璜环沟</w:t>
            </w:r>
          </w:p>
          <w:p>
            <w:pPr>
              <w:spacing w:line="360" w:lineRule="auto"/>
              <w:ind w:firstLine="420"/>
              <w:rPr>
                <w:rFonts w:ascii="Times New Roman" w:hAnsi="Times New Roman" w:cs="Times New Roman"/>
                <w:color w:val="auto"/>
                <w:sz w:val="24"/>
              </w:rPr>
            </w:pPr>
            <w:bookmarkStart w:id="21" w:name="_Toc434833457"/>
            <w:bookmarkStart w:id="22" w:name="_Toc434833277"/>
            <w:bookmarkStart w:id="23" w:name="_Toc434833643"/>
            <w:r>
              <w:rPr>
                <w:rFonts w:hint="eastAsia" w:ascii="Times New Roman" w:cs="Times New Roman"/>
                <w:color w:val="auto"/>
                <w:sz w:val="24"/>
              </w:rPr>
              <w:t>环境保护级别：不因本项目的实施而改变其现有水体功能和级别，即</w:t>
            </w:r>
            <w:r>
              <w:rPr>
                <w:rFonts w:hint="eastAsia" w:ascii="Times New Roman" w:cs="Times New Roman"/>
                <w:color w:val="auto"/>
                <w:sz w:val="24"/>
                <w:lang w:val="en-US" w:eastAsia="zh-CN"/>
              </w:rPr>
              <w:t>松林</w:t>
            </w:r>
            <w:r>
              <w:rPr>
                <w:rFonts w:hint="eastAsia" w:ascii="Times New Roman" w:cs="Times New Roman"/>
                <w:color w:val="auto"/>
                <w:sz w:val="24"/>
              </w:rPr>
              <w:t>沟评价段水体水质满足《地表水环境质量标准》（</w:t>
            </w:r>
            <w:r>
              <w:rPr>
                <w:rFonts w:ascii="Times New Roman" w:hAnsi="Times New Roman" w:cs="Times New Roman"/>
                <w:color w:val="auto"/>
                <w:sz w:val="24"/>
              </w:rPr>
              <w:t>GB3838-2002</w:t>
            </w:r>
            <w:r>
              <w:rPr>
                <w:rFonts w:hint="eastAsia" w:ascii="Times New Roman" w:cs="Times New Roman"/>
                <w:color w:val="auto"/>
                <w:sz w:val="24"/>
              </w:rPr>
              <w:t>）中</w:t>
            </w:r>
            <w:r>
              <w:rPr>
                <w:rFonts w:hint="eastAsia" w:ascii="微软雅黑" w:hAnsi="微软雅黑" w:eastAsia="微软雅黑" w:cs="微软雅黑"/>
                <w:color w:val="auto"/>
                <w:sz w:val="24"/>
              </w:rPr>
              <w:t>Ⅲ</w:t>
            </w:r>
            <w:r>
              <w:rPr>
                <w:rFonts w:hint="eastAsia" w:ascii="Times New Roman" w:cs="Times New Roman"/>
                <w:color w:val="auto"/>
                <w:sz w:val="24"/>
              </w:rPr>
              <w:t>类水域标准要求。</w:t>
            </w:r>
            <w:bookmarkEnd w:id="21"/>
            <w:bookmarkEnd w:id="22"/>
            <w:bookmarkEnd w:id="23"/>
          </w:p>
          <w:p>
            <w:pPr>
              <w:spacing w:line="360" w:lineRule="auto"/>
              <w:ind w:firstLine="480"/>
              <w:rPr>
                <w:rFonts w:ascii="Times New Roman" w:hAnsi="Times New Roman" w:cs="Times New Roman"/>
                <w:color w:val="auto"/>
                <w:sz w:val="24"/>
              </w:rPr>
            </w:pPr>
            <w:bookmarkStart w:id="24" w:name="_Toc434833644"/>
            <w:bookmarkStart w:id="25" w:name="_Toc434833278"/>
            <w:bookmarkStart w:id="26" w:name="_Toc434833458"/>
            <w:r>
              <w:rPr>
                <w:rFonts w:ascii="Times New Roman" w:hAnsi="Times New Roman" w:cs="Times New Roman"/>
                <w:color w:val="auto"/>
                <w:sz w:val="24"/>
              </w:rPr>
              <w:t>3</w:t>
            </w:r>
            <w:r>
              <w:rPr>
                <w:rFonts w:hint="eastAsia" w:ascii="Times New Roman" w:cs="Times New Roman"/>
                <w:color w:val="auto"/>
                <w:sz w:val="24"/>
              </w:rPr>
              <w:t>、声环境</w:t>
            </w:r>
            <w:bookmarkEnd w:id="24"/>
            <w:bookmarkEnd w:id="25"/>
            <w:bookmarkEnd w:id="26"/>
          </w:p>
          <w:p>
            <w:pPr>
              <w:spacing w:line="360" w:lineRule="auto"/>
              <w:ind w:firstLine="420"/>
              <w:rPr>
                <w:rFonts w:ascii="Times New Roman" w:hAnsi="Times New Roman" w:cs="Times New Roman"/>
                <w:color w:val="auto"/>
                <w:sz w:val="24"/>
              </w:rPr>
            </w:pPr>
            <w:r>
              <w:rPr>
                <w:rFonts w:hint="eastAsia" w:ascii="Times New Roman" w:cs="Times New Roman"/>
                <w:color w:val="auto"/>
                <w:sz w:val="24"/>
              </w:rPr>
              <w:t>声学环境保护目标：区域声环境</w:t>
            </w:r>
          </w:p>
          <w:p>
            <w:pPr>
              <w:spacing w:line="360" w:lineRule="auto"/>
              <w:ind w:firstLine="420"/>
              <w:rPr>
                <w:rFonts w:ascii="Times New Roman" w:hAnsi="Times New Roman" w:cs="Times New Roman"/>
                <w:color w:val="auto"/>
                <w:sz w:val="24"/>
              </w:rPr>
            </w:pPr>
            <w:r>
              <w:rPr>
                <w:rFonts w:hint="eastAsia" w:ascii="Times New Roman" w:cs="Times New Roman"/>
                <w:color w:val="auto"/>
                <w:sz w:val="24"/>
              </w:rPr>
              <w:t>环境保护级别：声环境保护目标为项目区域边界</w:t>
            </w:r>
            <w:r>
              <w:rPr>
                <w:rFonts w:ascii="Times New Roman" w:hAnsi="Times New Roman" w:cs="Times New Roman"/>
                <w:color w:val="auto"/>
                <w:sz w:val="24"/>
              </w:rPr>
              <w:t>200m</w:t>
            </w:r>
            <w:r>
              <w:rPr>
                <w:rFonts w:hint="eastAsia" w:ascii="Times New Roman" w:cs="Times New Roman"/>
                <w:color w:val="auto"/>
                <w:sz w:val="24"/>
              </w:rPr>
              <w:t>范围内的噪声敏感区，项目所在地声环境质量应符合《声环境质量标准》</w:t>
            </w:r>
            <w:r>
              <w:rPr>
                <w:rFonts w:ascii="Times New Roman" w:hAnsi="Times New Roman" w:cs="Times New Roman"/>
                <w:color w:val="auto"/>
                <w:sz w:val="24"/>
              </w:rPr>
              <w:t>(GB3096-2008)</w:t>
            </w:r>
            <w:r>
              <w:rPr>
                <w:rFonts w:ascii="Times New Roman" w:cs="Times New Roman"/>
                <w:color w:val="auto"/>
                <w:sz w:val="24"/>
              </w:rPr>
              <w:t xml:space="preserve"> 2</w:t>
            </w:r>
            <w:r>
              <w:rPr>
                <w:rFonts w:hint="eastAsia" w:ascii="Times New Roman" w:cs="Times New Roman"/>
                <w:color w:val="auto"/>
                <w:sz w:val="24"/>
              </w:rPr>
              <w:t>类标准要求。</w:t>
            </w:r>
            <w:bookmarkStart w:id="27" w:name="_Toc434833645"/>
            <w:bookmarkStart w:id="28" w:name="_Toc434833279"/>
            <w:bookmarkStart w:id="29" w:name="_Toc434833459"/>
          </w:p>
          <w:p>
            <w:pPr>
              <w:autoSpaceDE w:val="0"/>
              <w:autoSpaceDN w:val="0"/>
              <w:adjustRightInd w:val="0"/>
              <w:snapToGrid w:val="0"/>
              <w:spacing w:line="360" w:lineRule="auto"/>
              <w:ind w:firstLine="480" w:firstLineChars="200"/>
              <w:rPr>
                <w:rFonts w:hint="default" w:ascii="Times New Roman" w:cs="Times New Roman" w:eastAsiaTheme="minorEastAsia"/>
                <w:color w:val="auto"/>
                <w:sz w:val="24"/>
                <w:lang w:val="en-US" w:eastAsia="zh-CN"/>
              </w:rPr>
            </w:pPr>
            <w:r>
              <w:rPr>
                <w:rFonts w:hint="eastAsia" w:ascii="Times New Roman" w:cs="Times New Roman"/>
                <w:color w:val="auto"/>
                <w:sz w:val="24"/>
                <w:lang w:val="en-US" w:eastAsia="zh-CN"/>
              </w:rPr>
              <w:t>4、生态环境保护目标</w:t>
            </w:r>
          </w:p>
          <w:p>
            <w:pPr>
              <w:autoSpaceDE w:val="0"/>
              <w:autoSpaceDN w:val="0"/>
              <w:adjustRightInd w:val="0"/>
              <w:snapToGrid w:val="0"/>
              <w:spacing w:line="360" w:lineRule="auto"/>
              <w:ind w:firstLine="480" w:firstLineChars="200"/>
              <w:rPr>
                <w:rFonts w:hint="default" w:ascii="Times New Roman" w:cs="Times New Roman" w:eastAsiaTheme="minorEastAsia"/>
                <w:color w:val="auto"/>
                <w:sz w:val="24"/>
                <w:lang w:val="en-US" w:eastAsia="zh-CN"/>
              </w:rPr>
            </w:pPr>
            <w:r>
              <w:rPr>
                <w:rFonts w:hint="eastAsia" w:ascii="Times New Roman" w:cs="Times New Roman"/>
                <w:color w:val="auto"/>
                <w:sz w:val="24"/>
                <w:lang w:val="en-US" w:eastAsia="zh-CN"/>
              </w:rPr>
              <w:t>项目区域内生态环境保护目标包括沿线的植被及水生生物，沿线植被包括工程占地范围内的可能扰动的植被部分，对其保持野生植物现状资源；对水生生物主要涉及评价河段包括璜环沟及下游白羊河影响段，对其保持水生生物现状资源。</w:t>
            </w:r>
          </w:p>
          <w:p>
            <w:pPr>
              <w:autoSpaceDE w:val="0"/>
              <w:autoSpaceDN w:val="0"/>
              <w:adjustRightInd w:val="0"/>
              <w:snapToGrid w:val="0"/>
              <w:spacing w:line="360" w:lineRule="auto"/>
              <w:ind w:firstLine="480" w:firstLineChars="200"/>
              <w:rPr>
                <w:rFonts w:ascii="Times New Roman" w:cs="Times New Roman"/>
                <w:color w:val="auto"/>
                <w:sz w:val="24"/>
              </w:rPr>
            </w:pPr>
            <w:r>
              <w:rPr>
                <w:rFonts w:hint="eastAsia" w:ascii="Times New Roman" w:cs="Times New Roman"/>
                <w:color w:val="auto"/>
                <w:sz w:val="24"/>
              </w:rPr>
              <w:t>在进行现场踏勘的基础上，项目主要环境保护目标见下表：</w:t>
            </w:r>
            <w:bookmarkEnd w:id="27"/>
            <w:bookmarkEnd w:id="28"/>
            <w:bookmarkEnd w:id="29"/>
          </w:p>
          <w:p>
            <w:pPr>
              <w:jc w:val="center"/>
              <w:rPr>
                <w:rFonts w:hint="eastAsia"/>
                <w:b/>
                <w:bCs/>
                <w:color w:val="auto"/>
                <w:szCs w:val="21"/>
                <w:lang w:val="en-US" w:eastAsia="zh-CN"/>
              </w:rPr>
            </w:pPr>
            <w:r>
              <w:rPr>
                <w:rFonts w:hint="eastAsia"/>
                <w:b/>
                <w:bCs/>
                <w:color w:val="auto"/>
                <w:szCs w:val="21"/>
                <w:lang w:val="en-US" w:eastAsia="zh-CN"/>
              </w:rPr>
              <w:t>表3-7  本项目大气环境保护目标</w:t>
            </w:r>
          </w:p>
          <w:tbl>
            <w:tblPr>
              <w:tblStyle w:val="51"/>
              <w:tblW w:w="93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52"/>
              <w:gridCol w:w="1200"/>
              <w:gridCol w:w="1146"/>
              <w:gridCol w:w="1090"/>
              <w:gridCol w:w="1446"/>
              <w:gridCol w:w="1329"/>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94" w:type="dxa"/>
                  <w:vMerge w:val="restart"/>
                  <w:tcBorders>
                    <w:top w:val="single" w:color="auto" w:sz="12" w:space="0"/>
                    <w:left w:val="nil"/>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名称</w:t>
                  </w:r>
                </w:p>
              </w:tc>
              <w:tc>
                <w:tcPr>
                  <w:tcW w:w="2452" w:type="dxa"/>
                  <w:gridSpan w:val="2"/>
                  <w:tcBorders>
                    <w:top w:val="single" w:color="auto" w:sz="12" w:space="0"/>
                    <w:left w:val="single" w:color="auto" w:sz="4" w:space="0"/>
                    <w:bottom w:val="single" w:color="auto" w:sz="4"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rFonts w:hint="eastAsia"/>
                      <w:color w:val="auto"/>
                      <w:szCs w:val="21"/>
                      <w:lang w:val="zh-CN"/>
                    </w:rPr>
                    <w:t>坐标</w:t>
                  </w:r>
                </w:p>
              </w:tc>
              <w:tc>
                <w:tcPr>
                  <w:tcW w:w="1146"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rFonts w:hint="eastAsia"/>
                      <w:color w:val="auto"/>
                      <w:szCs w:val="21"/>
                      <w:lang w:val="zh-CN"/>
                    </w:rPr>
                    <w:t>保护对象</w:t>
                  </w:r>
                </w:p>
              </w:tc>
              <w:tc>
                <w:tcPr>
                  <w:tcW w:w="1090"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保护内容</w:t>
                  </w:r>
                </w:p>
              </w:tc>
              <w:tc>
                <w:tcPr>
                  <w:tcW w:w="1446"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环境功能区</w:t>
                  </w:r>
                </w:p>
              </w:tc>
              <w:tc>
                <w:tcPr>
                  <w:tcW w:w="1329"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相对</w:t>
                  </w:r>
                  <w:r>
                    <w:rPr>
                      <w:rFonts w:hint="eastAsia"/>
                      <w:color w:val="auto"/>
                      <w:szCs w:val="21"/>
                      <w:lang w:val="en-US" w:eastAsia="zh-CN"/>
                    </w:rPr>
                    <w:t>项目</w:t>
                  </w:r>
                  <w:r>
                    <w:rPr>
                      <w:rFonts w:hint="eastAsia"/>
                      <w:color w:val="auto"/>
                      <w:szCs w:val="21"/>
                      <w:lang w:val="zh-CN"/>
                    </w:rPr>
                    <w:t>方位</w:t>
                  </w:r>
                </w:p>
              </w:tc>
              <w:tc>
                <w:tcPr>
                  <w:tcW w:w="1153" w:type="dxa"/>
                  <w:vMerge w:val="restart"/>
                  <w:tcBorders>
                    <w:top w:val="single" w:color="auto" w:sz="12" w:space="0"/>
                    <w:left w:val="single" w:color="auto" w:sz="4" w:space="0"/>
                    <w:bottom w:val="single" w:color="auto" w:sz="12" w:space="0"/>
                    <w:right w:val="nil"/>
                  </w:tcBorders>
                  <w:noWrap w:val="0"/>
                  <w:vAlign w:val="center"/>
                </w:tcPr>
                <w:p>
                  <w:pPr>
                    <w:pStyle w:val="50"/>
                    <w:spacing w:after="0" w:line="240" w:lineRule="auto"/>
                    <w:ind w:left="0" w:leftChars="0" w:firstLine="0" w:firstLineChars="0"/>
                    <w:jc w:val="center"/>
                    <w:rPr>
                      <w:color w:val="auto"/>
                      <w:szCs w:val="21"/>
                    </w:rPr>
                  </w:pPr>
                  <w:r>
                    <w:rPr>
                      <w:rFonts w:hint="eastAsia"/>
                      <w:color w:val="auto"/>
                      <w:szCs w:val="21"/>
                      <w:lang w:val="zh-CN"/>
                    </w:rPr>
                    <w:t>相对</w:t>
                  </w:r>
                  <w:r>
                    <w:rPr>
                      <w:rFonts w:hint="eastAsia"/>
                      <w:color w:val="auto"/>
                      <w:szCs w:val="21"/>
                      <w:lang w:val="en-US" w:eastAsia="zh-CN"/>
                    </w:rPr>
                    <w:t>项目</w:t>
                  </w:r>
                  <w:r>
                    <w:rPr>
                      <w:rFonts w:hint="eastAsia"/>
                      <w:color w:val="auto"/>
                      <w:szCs w:val="21"/>
                      <w:lang w:val="zh-CN"/>
                    </w:rPr>
                    <w:t>距离</w:t>
                  </w:r>
                  <w:r>
                    <w:rPr>
                      <w:color w:val="auto"/>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tcBorders>
                    <w:top w:val="single" w:color="auto" w:sz="12" w:space="0"/>
                    <w:left w:val="nil"/>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252"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color w:val="auto"/>
                      <w:szCs w:val="21"/>
                    </w:rPr>
                    <w:t>X</w:t>
                  </w:r>
                  <w:r>
                    <w:rPr>
                      <w:rFonts w:hint="eastAsia"/>
                      <w:color w:val="auto"/>
                      <w:szCs w:val="21"/>
                    </w:rPr>
                    <w:t>（经度）</w:t>
                  </w:r>
                </w:p>
              </w:tc>
              <w:tc>
                <w:tcPr>
                  <w:tcW w:w="1200"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color w:val="auto"/>
                      <w:szCs w:val="21"/>
                    </w:rPr>
                    <w:t>Y</w:t>
                  </w:r>
                  <w:r>
                    <w:rPr>
                      <w:rFonts w:hint="eastAsia"/>
                      <w:color w:val="auto"/>
                      <w:szCs w:val="21"/>
                    </w:rPr>
                    <w:t>（纬度）</w:t>
                  </w:r>
                </w:p>
              </w:tc>
              <w:tc>
                <w:tcPr>
                  <w:tcW w:w="1146"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rPr>
                  </w:pPr>
                </w:p>
              </w:tc>
              <w:tc>
                <w:tcPr>
                  <w:tcW w:w="1090"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446"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329"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153" w:type="dxa"/>
                  <w:vMerge w:val="continue"/>
                  <w:tcBorders>
                    <w:top w:val="single" w:color="auto" w:sz="12" w:space="0"/>
                    <w:left w:val="single" w:color="auto" w:sz="4" w:space="0"/>
                    <w:bottom w:val="single" w:color="auto" w:sz="12" w:space="0"/>
                    <w:right w:val="nil"/>
                  </w:tcBorders>
                  <w:noWrap w:val="0"/>
                  <w:vAlign w:val="center"/>
                </w:tcPr>
                <w:p>
                  <w:pPr>
                    <w:widowControl/>
                    <w:spacing w:line="240" w:lineRule="auto"/>
                    <w:jc w:val="left"/>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tcBorders>
                    <w:top w:val="single" w:color="auto" w:sz="12" w:space="0"/>
                    <w:left w:val="nil"/>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color w:val="auto"/>
                      <w:szCs w:val="21"/>
                      <w:lang w:val="en-US" w:eastAsia="zh-CN"/>
                    </w:rPr>
                    <w:t>农户</w:t>
                  </w:r>
                </w:p>
              </w:tc>
              <w:tc>
                <w:tcPr>
                  <w:tcW w:w="1252"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eastAsia="宋体"/>
                      <w:color w:val="auto"/>
                      <w:szCs w:val="21"/>
                      <w:lang w:val="en-US" w:eastAsia="zh-CN"/>
                    </w:rPr>
                    <w:t>10</w:t>
                  </w:r>
                  <w:r>
                    <w:rPr>
                      <w:rFonts w:hint="eastAsia"/>
                      <w:color w:val="auto"/>
                      <w:szCs w:val="21"/>
                      <w:lang w:val="en-US" w:eastAsia="zh-CN"/>
                    </w:rPr>
                    <w:t>4.131833</w:t>
                  </w:r>
                </w:p>
              </w:tc>
              <w:tc>
                <w:tcPr>
                  <w:tcW w:w="120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eastAsia="宋体"/>
                      <w:color w:val="auto"/>
                      <w:szCs w:val="21"/>
                      <w:lang w:val="en-US" w:eastAsia="zh-CN"/>
                    </w:rPr>
                    <w:t>32.</w:t>
                  </w:r>
                  <w:r>
                    <w:rPr>
                      <w:rFonts w:hint="eastAsia"/>
                      <w:color w:val="auto"/>
                      <w:szCs w:val="21"/>
                      <w:lang w:val="en-US" w:eastAsia="zh-CN"/>
                    </w:rPr>
                    <w:t>162124</w:t>
                  </w:r>
                </w:p>
              </w:tc>
              <w:tc>
                <w:tcPr>
                  <w:tcW w:w="1146"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2户</w:t>
                  </w:r>
                </w:p>
              </w:tc>
              <w:tc>
                <w:tcPr>
                  <w:tcW w:w="109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环境空气</w:t>
                  </w:r>
                </w:p>
              </w:tc>
              <w:tc>
                <w:tcPr>
                  <w:tcW w:w="1446"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both"/>
                    <w:rPr>
                      <w:color w:val="auto"/>
                      <w:sz w:val="21"/>
                      <w:szCs w:val="21"/>
                    </w:rPr>
                  </w:pPr>
                  <w:r>
                    <w:rPr>
                      <w:color w:val="auto"/>
                      <w:sz w:val="21"/>
                      <w:szCs w:val="21"/>
                    </w:rPr>
                    <w:t>GB3095-</w:t>
                  </w:r>
                </w:p>
                <w:p>
                  <w:pPr>
                    <w:spacing w:line="240" w:lineRule="auto"/>
                    <w:ind w:left="0" w:leftChars="0" w:firstLine="0" w:firstLineChars="0"/>
                    <w:jc w:val="both"/>
                    <w:rPr>
                      <w:rFonts w:ascii="Times New Roman" w:hAnsi="Times New Roman"/>
                      <w:color w:val="auto"/>
                      <w:sz w:val="21"/>
                      <w:szCs w:val="21"/>
                      <w:lang w:val="zh-CN"/>
                    </w:rPr>
                  </w:pPr>
                  <w:r>
                    <w:rPr>
                      <w:color w:val="auto"/>
                      <w:sz w:val="21"/>
                      <w:szCs w:val="21"/>
                    </w:rPr>
                    <w:t>2012</w:t>
                  </w:r>
                  <w:r>
                    <w:rPr>
                      <w:rFonts w:hint="eastAsia"/>
                      <w:color w:val="auto"/>
                      <w:sz w:val="21"/>
                      <w:szCs w:val="21"/>
                    </w:rPr>
                    <w:t>二级</w:t>
                  </w:r>
                </w:p>
              </w:tc>
              <w:tc>
                <w:tcPr>
                  <w:tcW w:w="1329"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N</w:t>
                  </w:r>
                </w:p>
              </w:tc>
              <w:tc>
                <w:tcPr>
                  <w:tcW w:w="1153" w:type="dxa"/>
                  <w:tcBorders>
                    <w:top w:val="single" w:color="auto" w:sz="12" w:space="0"/>
                    <w:left w:val="single" w:color="auto" w:sz="4" w:space="0"/>
                    <w:bottom w:val="single" w:color="auto" w:sz="12" w:space="0"/>
                    <w:right w:val="nil"/>
                  </w:tcBorders>
                  <w:noWrap w:val="0"/>
                  <w:vAlign w:val="center"/>
                </w:tcPr>
                <w:p>
                  <w:pPr>
                    <w:spacing w:line="240" w:lineRule="auto"/>
                    <w:ind w:left="0" w:leftChars="0" w:firstLine="0" w:firstLineChars="0"/>
                    <w:jc w:val="both"/>
                    <w:rPr>
                      <w:rFonts w:hint="default" w:ascii="Times New Roman" w:hAnsi="Times New Roman" w:eastAsiaTheme="minorEastAsia"/>
                      <w:color w:val="auto"/>
                      <w:sz w:val="21"/>
                      <w:szCs w:val="21"/>
                      <w:lang w:val="en-US" w:eastAsia="zh-CN"/>
                    </w:rPr>
                  </w:pPr>
                  <w:r>
                    <w:rPr>
                      <w:rFonts w:hint="eastAsia"/>
                      <w:color w:val="auto"/>
                      <w:sz w:val="21"/>
                      <w:szCs w:val="21"/>
                      <w:lang w:val="en-US" w:eastAsia="zh-CN"/>
                    </w:rPr>
                    <w:t>≥20</w:t>
                  </w:r>
                  <w:r>
                    <w:rPr>
                      <w:color w:val="auto"/>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tcBorders>
                    <w:top w:val="single" w:color="auto" w:sz="12" w:space="0"/>
                    <w:left w:val="nil"/>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eastAsia"/>
                      <w:color w:val="auto"/>
                      <w:szCs w:val="21"/>
                      <w:lang w:val="en-US" w:eastAsia="zh-CN"/>
                    </w:rPr>
                  </w:pPr>
                  <w:r>
                    <w:rPr>
                      <w:rFonts w:hint="eastAsia"/>
                      <w:color w:val="auto"/>
                      <w:szCs w:val="21"/>
                      <w:lang w:val="en-US" w:eastAsia="zh-CN"/>
                    </w:rPr>
                    <w:t>农户</w:t>
                  </w:r>
                </w:p>
              </w:tc>
              <w:tc>
                <w:tcPr>
                  <w:tcW w:w="1252"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color w:val="auto"/>
                      <w:szCs w:val="21"/>
                      <w:lang w:val="en-US" w:eastAsia="zh-CN"/>
                    </w:rPr>
                    <w:t>104.133568</w:t>
                  </w:r>
                </w:p>
              </w:tc>
              <w:tc>
                <w:tcPr>
                  <w:tcW w:w="120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color w:val="auto"/>
                      <w:szCs w:val="21"/>
                      <w:lang w:val="en-US" w:eastAsia="zh-CN"/>
                    </w:rPr>
                    <w:t>32.163543</w:t>
                  </w:r>
                </w:p>
              </w:tc>
              <w:tc>
                <w:tcPr>
                  <w:tcW w:w="1146"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18户</w:t>
                  </w:r>
                </w:p>
              </w:tc>
              <w:tc>
                <w:tcPr>
                  <w:tcW w:w="109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eastAsia"/>
                      <w:color w:val="auto"/>
                      <w:szCs w:val="21"/>
                      <w:lang w:val="zh-CN"/>
                    </w:rPr>
                  </w:pPr>
                  <w:r>
                    <w:rPr>
                      <w:rFonts w:hint="eastAsia"/>
                      <w:color w:val="auto"/>
                      <w:szCs w:val="21"/>
                      <w:lang w:val="zh-CN"/>
                    </w:rPr>
                    <w:t>环境空气</w:t>
                  </w:r>
                </w:p>
              </w:tc>
              <w:tc>
                <w:tcPr>
                  <w:tcW w:w="1446"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both"/>
                    <w:rPr>
                      <w:color w:val="auto"/>
                      <w:sz w:val="21"/>
                      <w:szCs w:val="21"/>
                    </w:rPr>
                  </w:pPr>
                  <w:r>
                    <w:rPr>
                      <w:color w:val="auto"/>
                      <w:sz w:val="21"/>
                      <w:szCs w:val="21"/>
                    </w:rPr>
                    <w:t>GB3095-</w:t>
                  </w:r>
                </w:p>
                <w:p>
                  <w:pPr>
                    <w:spacing w:line="240" w:lineRule="auto"/>
                    <w:ind w:left="0" w:leftChars="0" w:firstLine="0" w:firstLineChars="0"/>
                    <w:jc w:val="both"/>
                    <w:rPr>
                      <w:color w:val="auto"/>
                      <w:sz w:val="21"/>
                      <w:szCs w:val="21"/>
                    </w:rPr>
                  </w:pPr>
                  <w:r>
                    <w:rPr>
                      <w:color w:val="auto"/>
                      <w:sz w:val="21"/>
                      <w:szCs w:val="21"/>
                    </w:rPr>
                    <w:t>2012</w:t>
                  </w:r>
                  <w:r>
                    <w:rPr>
                      <w:rFonts w:hint="eastAsia"/>
                      <w:color w:val="auto"/>
                      <w:sz w:val="21"/>
                      <w:szCs w:val="21"/>
                    </w:rPr>
                    <w:t>二级</w:t>
                  </w:r>
                </w:p>
              </w:tc>
              <w:tc>
                <w:tcPr>
                  <w:tcW w:w="1329"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N</w:t>
                  </w:r>
                </w:p>
              </w:tc>
              <w:tc>
                <w:tcPr>
                  <w:tcW w:w="1153" w:type="dxa"/>
                  <w:tcBorders>
                    <w:top w:val="single" w:color="auto" w:sz="12" w:space="0"/>
                    <w:left w:val="single" w:color="auto" w:sz="4" w:space="0"/>
                    <w:bottom w:val="single" w:color="auto" w:sz="12" w:space="0"/>
                    <w:right w:val="nil"/>
                  </w:tcBorders>
                  <w:noWrap w:val="0"/>
                  <w:vAlign w:val="center"/>
                </w:tcPr>
                <w:p>
                  <w:pPr>
                    <w:spacing w:line="240" w:lineRule="auto"/>
                    <w:ind w:left="0" w:leftChars="0" w:firstLine="0" w:firstLineChars="0"/>
                    <w:jc w:val="both"/>
                    <w:rPr>
                      <w:rFonts w:hint="eastAsia"/>
                      <w:color w:val="auto"/>
                      <w:sz w:val="21"/>
                      <w:szCs w:val="21"/>
                      <w:lang w:val="en-US" w:eastAsia="zh-CN"/>
                    </w:rPr>
                  </w:pPr>
                  <w:r>
                    <w:rPr>
                      <w:rFonts w:hint="eastAsia"/>
                      <w:color w:val="auto"/>
                      <w:sz w:val="21"/>
                      <w:szCs w:val="21"/>
                      <w:lang w:val="en-US" w:eastAsia="zh-CN"/>
                    </w:rPr>
                    <w:t>110-250</w:t>
                  </w:r>
                  <w:r>
                    <w:rPr>
                      <w:color w:val="auto"/>
                      <w:sz w:val="21"/>
                      <w:szCs w:val="21"/>
                    </w:rPr>
                    <w:t>m</w:t>
                  </w:r>
                </w:p>
              </w:tc>
            </w:tr>
          </w:tbl>
          <w:p>
            <w:pPr>
              <w:pStyle w:val="62"/>
              <w:rPr>
                <w:rFonts w:ascii="Times New Roman" w:hAnsi="Times New Roman" w:eastAsia="黑体" w:cs="Times New Roman"/>
                <w:color w:val="auto"/>
                <w:sz w:val="24"/>
              </w:rPr>
            </w:pPr>
          </w:p>
          <w:p>
            <w:pPr>
              <w:jc w:val="center"/>
              <w:rPr>
                <w:rFonts w:hint="eastAsia"/>
                <w:b/>
                <w:bCs/>
                <w:color w:val="auto"/>
                <w:szCs w:val="21"/>
                <w:lang w:val="en-US" w:eastAsia="zh-CN"/>
              </w:rPr>
            </w:pPr>
            <w:r>
              <w:rPr>
                <w:rFonts w:hint="eastAsia"/>
                <w:b/>
                <w:bCs/>
                <w:color w:val="auto"/>
                <w:szCs w:val="21"/>
                <w:lang w:val="en-US" w:eastAsia="zh-CN"/>
              </w:rPr>
              <w:t>表3-8 本项目噪声环境保护目标</w:t>
            </w:r>
          </w:p>
          <w:tbl>
            <w:tblPr>
              <w:tblStyle w:val="51"/>
              <w:tblW w:w="931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252"/>
              <w:gridCol w:w="1200"/>
              <w:gridCol w:w="1146"/>
              <w:gridCol w:w="1090"/>
              <w:gridCol w:w="1446"/>
              <w:gridCol w:w="1329"/>
              <w:gridCol w:w="11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94" w:type="dxa"/>
                  <w:vMerge w:val="restart"/>
                  <w:tcBorders>
                    <w:top w:val="single" w:color="auto" w:sz="12" w:space="0"/>
                    <w:left w:val="nil"/>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名称</w:t>
                  </w:r>
                </w:p>
              </w:tc>
              <w:tc>
                <w:tcPr>
                  <w:tcW w:w="2452" w:type="dxa"/>
                  <w:gridSpan w:val="2"/>
                  <w:tcBorders>
                    <w:top w:val="single" w:color="auto" w:sz="12" w:space="0"/>
                    <w:left w:val="single" w:color="auto" w:sz="4" w:space="0"/>
                    <w:bottom w:val="single" w:color="auto" w:sz="4"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rFonts w:hint="eastAsia"/>
                      <w:color w:val="auto"/>
                      <w:szCs w:val="21"/>
                      <w:lang w:val="zh-CN"/>
                    </w:rPr>
                    <w:t>坐标</w:t>
                  </w:r>
                </w:p>
              </w:tc>
              <w:tc>
                <w:tcPr>
                  <w:tcW w:w="1146"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rFonts w:hint="eastAsia"/>
                      <w:color w:val="auto"/>
                      <w:szCs w:val="21"/>
                      <w:lang w:val="zh-CN"/>
                    </w:rPr>
                    <w:t>保护对象</w:t>
                  </w:r>
                </w:p>
              </w:tc>
              <w:tc>
                <w:tcPr>
                  <w:tcW w:w="1090"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保护内容</w:t>
                  </w:r>
                </w:p>
              </w:tc>
              <w:tc>
                <w:tcPr>
                  <w:tcW w:w="1446"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环境功能区</w:t>
                  </w:r>
                </w:p>
              </w:tc>
              <w:tc>
                <w:tcPr>
                  <w:tcW w:w="1329"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相对</w:t>
                  </w:r>
                  <w:r>
                    <w:rPr>
                      <w:rFonts w:hint="eastAsia"/>
                      <w:color w:val="auto"/>
                      <w:szCs w:val="21"/>
                      <w:lang w:val="en-US" w:eastAsia="zh-CN"/>
                    </w:rPr>
                    <w:t>项目</w:t>
                  </w:r>
                  <w:r>
                    <w:rPr>
                      <w:rFonts w:hint="eastAsia"/>
                      <w:color w:val="auto"/>
                      <w:szCs w:val="21"/>
                      <w:lang w:val="zh-CN"/>
                    </w:rPr>
                    <w:t>方位</w:t>
                  </w:r>
                </w:p>
              </w:tc>
              <w:tc>
                <w:tcPr>
                  <w:tcW w:w="1153" w:type="dxa"/>
                  <w:vMerge w:val="restart"/>
                  <w:tcBorders>
                    <w:top w:val="single" w:color="auto" w:sz="12" w:space="0"/>
                    <w:left w:val="single" w:color="auto" w:sz="4" w:space="0"/>
                    <w:bottom w:val="single" w:color="auto" w:sz="12" w:space="0"/>
                    <w:right w:val="nil"/>
                  </w:tcBorders>
                  <w:noWrap w:val="0"/>
                  <w:vAlign w:val="center"/>
                </w:tcPr>
                <w:p>
                  <w:pPr>
                    <w:pStyle w:val="50"/>
                    <w:spacing w:after="0" w:line="240" w:lineRule="auto"/>
                    <w:ind w:left="0" w:leftChars="0" w:firstLine="0" w:firstLineChars="0"/>
                    <w:jc w:val="center"/>
                    <w:rPr>
                      <w:color w:val="auto"/>
                      <w:szCs w:val="21"/>
                    </w:rPr>
                  </w:pPr>
                  <w:r>
                    <w:rPr>
                      <w:rFonts w:hint="eastAsia"/>
                      <w:color w:val="auto"/>
                      <w:szCs w:val="21"/>
                      <w:lang w:val="zh-CN"/>
                    </w:rPr>
                    <w:t>相对项目距离</w:t>
                  </w:r>
                  <w:r>
                    <w:rPr>
                      <w:color w:val="auto"/>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vMerge w:val="continue"/>
                  <w:tcBorders>
                    <w:top w:val="single" w:color="auto" w:sz="12" w:space="0"/>
                    <w:left w:val="nil"/>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252"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color w:val="auto"/>
                      <w:szCs w:val="21"/>
                    </w:rPr>
                    <w:t>X</w:t>
                  </w:r>
                  <w:r>
                    <w:rPr>
                      <w:rFonts w:hint="eastAsia"/>
                      <w:color w:val="auto"/>
                      <w:szCs w:val="21"/>
                    </w:rPr>
                    <w:t>（经度）</w:t>
                  </w:r>
                </w:p>
              </w:tc>
              <w:tc>
                <w:tcPr>
                  <w:tcW w:w="1200"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rPr>
                  </w:pPr>
                  <w:r>
                    <w:rPr>
                      <w:color w:val="auto"/>
                      <w:szCs w:val="21"/>
                    </w:rPr>
                    <w:t>Y</w:t>
                  </w:r>
                  <w:r>
                    <w:rPr>
                      <w:rFonts w:hint="eastAsia"/>
                      <w:color w:val="auto"/>
                      <w:szCs w:val="21"/>
                    </w:rPr>
                    <w:t>（纬度）</w:t>
                  </w:r>
                </w:p>
              </w:tc>
              <w:tc>
                <w:tcPr>
                  <w:tcW w:w="1146"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rPr>
                  </w:pPr>
                </w:p>
              </w:tc>
              <w:tc>
                <w:tcPr>
                  <w:tcW w:w="1090"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446"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329"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153" w:type="dxa"/>
                  <w:vMerge w:val="continue"/>
                  <w:tcBorders>
                    <w:top w:val="single" w:color="auto" w:sz="12" w:space="0"/>
                    <w:left w:val="single" w:color="auto" w:sz="4" w:space="0"/>
                    <w:bottom w:val="single" w:color="auto" w:sz="12" w:space="0"/>
                    <w:right w:val="nil"/>
                  </w:tcBorders>
                  <w:noWrap w:val="0"/>
                  <w:vAlign w:val="center"/>
                </w:tcPr>
                <w:p>
                  <w:pPr>
                    <w:widowControl/>
                    <w:spacing w:line="240" w:lineRule="auto"/>
                    <w:jc w:val="left"/>
                    <w:rPr>
                      <w:rFonts w:ascii="Times New Roman" w:hAnsi="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tcBorders>
                    <w:top w:val="single" w:color="auto" w:sz="12" w:space="0"/>
                    <w:left w:val="nil"/>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color w:val="auto"/>
                      <w:szCs w:val="21"/>
                      <w:lang w:val="en-US" w:eastAsia="zh-CN"/>
                    </w:rPr>
                    <w:t>农户</w:t>
                  </w:r>
                </w:p>
              </w:tc>
              <w:tc>
                <w:tcPr>
                  <w:tcW w:w="1252"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eastAsia="宋体"/>
                      <w:color w:val="auto"/>
                      <w:szCs w:val="21"/>
                      <w:lang w:val="en-US" w:eastAsia="zh-CN"/>
                    </w:rPr>
                    <w:t>10</w:t>
                  </w:r>
                  <w:r>
                    <w:rPr>
                      <w:rFonts w:hint="eastAsia"/>
                      <w:color w:val="auto"/>
                      <w:szCs w:val="21"/>
                      <w:lang w:val="en-US" w:eastAsia="zh-CN"/>
                    </w:rPr>
                    <w:t>4.131833</w:t>
                  </w:r>
                </w:p>
              </w:tc>
              <w:tc>
                <w:tcPr>
                  <w:tcW w:w="120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eastAsia="宋体"/>
                      <w:color w:val="auto"/>
                      <w:szCs w:val="21"/>
                      <w:lang w:val="en-US" w:eastAsia="zh-CN"/>
                    </w:rPr>
                    <w:t>32.</w:t>
                  </w:r>
                  <w:r>
                    <w:rPr>
                      <w:rFonts w:hint="eastAsia"/>
                      <w:color w:val="auto"/>
                      <w:szCs w:val="21"/>
                      <w:lang w:val="en-US" w:eastAsia="zh-CN"/>
                    </w:rPr>
                    <w:t>162124</w:t>
                  </w:r>
                </w:p>
              </w:tc>
              <w:tc>
                <w:tcPr>
                  <w:tcW w:w="1146"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2户</w:t>
                  </w:r>
                </w:p>
              </w:tc>
              <w:tc>
                <w:tcPr>
                  <w:tcW w:w="109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声环境</w:t>
                  </w:r>
                </w:p>
              </w:tc>
              <w:tc>
                <w:tcPr>
                  <w:tcW w:w="1446"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color w:val="auto"/>
                      <w:szCs w:val="21"/>
                      <w:lang w:val="zh-CN"/>
                    </w:rPr>
                    <w:t>GB3096-</w:t>
                  </w:r>
                </w:p>
                <w:p>
                  <w:pPr>
                    <w:pStyle w:val="50"/>
                    <w:spacing w:after="0" w:line="240" w:lineRule="auto"/>
                    <w:ind w:left="0" w:leftChars="0" w:firstLine="0" w:firstLineChars="0"/>
                    <w:jc w:val="center"/>
                    <w:rPr>
                      <w:rFonts w:ascii="Times New Roman" w:hAnsi="Times New Roman"/>
                      <w:color w:val="auto"/>
                      <w:sz w:val="21"/>
                      <w:szCs w:val="21"/>
                      <w:lang w:val="zh-CN"/>
                    </w:rPr>
                  </w:pPr>
                  <w:r>
                    <w:rPr>
                      <w:color w:val="auto"/>
                      <w:szCs w:val="21"/>
                      <w:lang w:val="zh-CN"/>
                    </w:rPr>
                    <w:t>2008</w:t>
                  </w:r>
                  <w:r>
                    <w:rPr>
                      <w:color w:val="auto"/>
                      <w:szCs w:val="21"/>
                    </w:rPr>
                    <w:t xml:space="preserve">  </w:t>
                  </w:r>
                  <w:r>
                    <w:rPr>
                      <w:color w:val="auto"/>
                      <w:szCs w:val="21"/>
                      <w:lang w:val="zh-CN"/>
                    </w:rPr>
                    <w:t>2</w:t>
                  </w:r>
                  <w:r>
                    <w:rPr>
                      <w:rFonts w:hint="eastAsia"/>
                      <w:color w:val="auto"/>
                      <w:szCs w:val="21"/>
                      <w:lang w:val="zh-CN"/>
                    </w:rPr>
                    <w:t>类</w:t>
                  </w:r>
                </w:p>
              </w:tc>
              <w:tc>
                <w:tcPr>
                  <w:tcW w:w="1329"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default" w:ascii="Times New Roman" w:hAnsi="Times New Roman" w:eastAsiaTheme="minorEastAsia"/>
                      <w:color w:val="auto"/>
                      <w:sz w:val="21"/>
                      <w:szCs w:val="21"/>
                      <w:lang w:val="en-US" w:eastAsia="zh-CN"/>
                    </w:rPr>
                  </w:pPr>
                  <w:r>
                    <w:rPr>
                      <w:rFonts w:hint="eastAsia" w:ascii="Times New Roman" w:hAnsi="Times New Roman"/>
                      <w:color w:val="auto"/>
                      <w:sz w:val="21"/>
                      <w:szCs w:val="21"/>
                      <w:lang w:val="en-US" w:eastAsia="zh-CN"/>
                    </w:rPr>
                    <w:t>N</w:t>
                  </w:r>
                </w:p>
              </w:tc>
              <w:tc>
                <w:tcPr>
                  <w:tcW w:w="1153" w:type="dxa"/>
                  <w:tcBorders>
                    <w:top w:val="single" w:color="auto" w:sz="12" w:space="0"/>
                    <w:left w:val="single" w:color="auto" w:sz="4" w:space="0"/>
                    <w:bottom w:val="single" w:color="auto" w:sz="12" w:space="0"/>
                    <w:right w:val="nil"/>
                  </w:tcBorders>
                  <w:noWrap w:val="0"/>
                  <w:vAlign w:val="center"/>
                </w:tcPr>
                <w:p>
                  <w:pPr>
                    <w:spacing w:line="240" w:lineRule="auto"/>
                    <w:ind w:left="0" w:leftChars="0" w:firstLine="0" w:firstLineChars="0"/>
                    <w:jc w:val="both"/>
                    <w:rPr>
                      <w:rFonts w:hint="default" w:ascii="Times New Roman" w:hAnsi="Times New Roman" w:eastAsiaTheme="minorEastAsia"/>
                      <w:color w:val="auto"/>
                      <w:sz w:val="21"/>
                      <w:szCs w:val="21"/>
                      <w:lang w:val="en-US" w:eastAsia="zh-CN"/>
                    </w:rPr>
                  </w:pPr>
                  <w:r>
                    <w:rPr>
                      <w:rFonts w:hint="eastAsia"/>
                      <w:color w:val="auto"/>
                      <w:sz w:val="21"/>
                      <w:szCs w:val="21"/>
                      <w:lang w:val="en-US" w:eastAsia="zh-CN"/>
                    </w:rPr>
                    <w:t>≥20</w:t>
                  </w:r>
                  <w:r>
                    <w:rPr>
                      <w:color w:val="auto"/>
                      <w:sz w:val="21"/>
                      <w:szCs w:val="21"/>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4" w:type="dxa"/>
                  <w:tcBorders>
                    <w:top w:val="single" w:color="auto" w:sz="12" w:space="0"/>
                    <w:left w:val="nil"/>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color w:val="auto"/>
                      <w:szCs w:val="21"/>
                      <w:lang w:val="en-US" w:eastAsia="zh-CN"/>
                    </w:rPr>
                  </w:pPr>
                  <w:r>
                    <w:rPr>
                      <w:rFonts w:hint="eastAsia"/>
                      <w:color w:val="auto"/>
                      <w:szCs w:val="21"/>
                      <w:lang w:val="en-US" w:eastAsia="zh-CN"/>
                    </w:rPr>
                    <w:t>农户</w:t>
                  </w:r>
                </w:p>
              </w:tc>
              <w:tc>
                <w:tcPr>
                  <w:tcW w:w="1252"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eastAsia" w:eastAsia="宋体"/>
                      <w:color w:val="auto"/>
                      <w:szCs w:val="21"/>
                      <w:lang w:val="en-US" w:eastAsia="zh-CN"/>
                    </w:rPr>
                  </w:pPr>
                  <w:r>
                    <w:rPr>
                      <w:rFonts w:hint="eastAsia"/>
                      <w:color w:val="auto"/>
                      <w:szCs w:val="21"/>
                      <w:lang w:val="en-US" w:eastAsia="zh-CN"/>
                    </w:rPr>
                    <w:t>104.133568</w:t>
                  </w:r>
                </w:p>
              </w:tc>
              <w:tc>
                <w:tcPr>
                  <w:tcW w:w="120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eastAsia" w:eastAsia="宋体"/>
                      <w:color w:val="auto"/>
                      <w:szCs w:val="21"/>
                      <w:lang w:val="en-US" w:eastAsia="zh-CN"/>
                    </w:rPr>
                  </w:pPr>
                  <w:r>
                    <w:rPr>
                      <w:rFonts w:hint="eastAsia"/>
                      <w:color w:val="auto"/>
                      <w:szCs w:val="21"/>
                      <w:lang w:val="en-US" w:eastAsia="zh-CN"/>
                    </w:rPr>
                    <w:t>32.163543</w:t>
                  </w:r>
                </w:p>
              </w:tc>
              <w:tc>
                <w:tcPr>
                  <w:tcW w:w="1146"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18户</w:t>
                  </w:r>
                </w:p>
              </w:tc>
              <w:tc>
                <w:tcPr>
                  <w:tcW w:w="1090"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eastAsia" w:eastAsia="宋体" w:asciiTheme="minorHAnsi" w:hAnsiTheme="minorHAnsi" w:cstheme="minorBidi"/>
                      <w:color w:val="auto"/>
                      <w:kern w:val="2"/>
                      <w:sz w:val="21"/>
                      <w:szCs w:val="21"/>
                      <w:lang w:val="zh-CN" w:eastAsia="zh-CN" w:bidi="ar-SA"/>
                    </w:rPr>
                  </w:pPr>
                  <w:r>
                    <w:rPr>
                      <w:rFonts w:hint="eastAsia"/>
                      <w:color w:val="auto"/>
                      <w:szCs w:val="21"/>
                      <w:lang w:val="zh-CN"/>
                    </w:rPr>
                    <w:t>声环境</w:t>
                  </w:r>
                </w:p>
              </w:tc>
              <w:tc>
                <w:tcPr>
                  <w:tcW w:w="1446" w:type="dxa"/>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color w:val="auto"/>
                      <w:szCs w:val="21"/>
                      <w:lang w:val="zh-CN"/>
                    </w:rPr>
                    <w:t>GB3096-</w:t>
                  </w:r>
                </w:p>
                <w:p>
                  <w:pPr>
                    <w:pStyle w:val="50"/>
                    <w:spacing w:after="0" w:line="240" w:lineRule="auto"/>
                    <w:ind w:left="0" w:leftChars="0" w:firstLine="0" w:firstLineChars="0"/>
                    <w:jc w:val="center"/>
                    <w:rPr>
                      <w:rFonts w:hint="default" w:eastAsia="宋体" w:asciiTheme="minorHAnsi" w:hAnsiTheme="minorHAnsi" w:cstheme="minorBidi"/>
                      <w:color w:val="auto"/>
                      <w:kern w:val="2"/>
                      <w:sz w:val="21"/>
                      <w:szCs w:val="21"/>
                      <w:lang w:val="zh-CN" w:eastAsia="zh-CN" w:bidi="ar-SA"/>
                    </w:rPr>
                  </w:pPr>
                  <w:r>
                    <w:rPr>
                      <w:color w:val="auto"/>
                      <w:szCs w:val="21"/>
                      <w:lang w:val="zh-CN"/>
                    </w:rPr>
                    <w:t>2008</w:t>
                  </w:r>
                  <w:r>
                    <w:rPr>
                      <w:color w:val="auto"/>
                      <w:szCs w:val="21"/>
                    </w:rPr>
                    <w:t xml:space="preserve">  </w:t>
                  </w:r>
                  <w:r>
                    <w:rPr>
                      <w:color w:val="auto"/>
                      <w:szCs w:val="21"/>
                      <w:lang w:val="zh-CN"/>
                    </w:rPr>
                    <w:t>2</w:t>
                  </w:r>
                  <w:r>
                    <w:rPr>
                      <w:rFonts w:hint="eastAsia"/>
                      <w:color w:val="auto"/>
                      <w:szCs w:val="21"/>
                      <w:lang w:val="zh-CN"/>
                    </w:rPr>
                    <w:t>类</w:t>
                  </w:r>
                </w:p>
              </w:tc>
              <w:tc>
                <w:tcPr>
                  <w:tcW w:w="1329" w:type="dxa"/>
                  <w:tcBorders>
                    <w:top w:val="single" w:color="auto" w:sz="12" w:space="0"/>
                    <w:left w:val="single" w:color="auto" w:sz="4" w:space="0"/>
                    <w:bottom w:val="single" w:color="auto" w:sz="12" w:space="0"/>
                    <w:right w:val="single" w:color="auto" w:sz="4" w:space="0"/>
                  </w:tcBorders>
                  <w:noWrap w:val="0"/>
                  <w:vAlign w:val="center"/>
                </w:tcPr>
                <w:p>
                  <w:pPr>
                    <w:spacing w:line="240" w:lineRule="auto"/>
                    <w:ind w:left="0" w:leftChars="0" w:firstLine="0" w:firstLineChars="0"/>
                    <w:jc w:val="center"/>
                    <w:rPr>
                      <w:rFonts w:hint="eastAsia" w:ascii="Times New Roman" w:hAnsi="Times New Roman" w:eastAsiaTheme="minorEastAsia" w:cstheme="minorBidi"/>
                      <w:color w:val="auto"/>
                      <w:kern w:val="2"/>
                      <w:sz w:val="21"/>
                      <w:szCs w:val="21"/>
                      <w:lang w:val="en-US" w:eastAsia="zh-CN" w:bidi="ar-SA"/>
                    </w:rPr>
                  </w:pPr>
                  <w:r>
                    <w:rPr>
                      <w:rFonts w:hint="eastAsia" w:ascii="Times New Roman" w:hAnsi="Times New Roman"/>
                      <w:color w:val="auto"/>
                      <w:sz w:val="21"/>
                      <w:szCs w:val="21"/>
                      <w:lang w:val="en-US" w:eastAsia="zh-CN"/>
                    </w:rPr>
                    <w:t>N</w:t>
                  </w:r>
                </w:p>
              </w:tc>
              <w:tc>
                <w:tcPr>
                  <w:tcW w:w="1153" w:type="dxa"/>
                  <w:tcBorders>
                    <w:top w:val="single" w:color="auto" w:sz="12" w:space="0"/>
                    <w:left w:val="single" w:color="auto" w:sz="4" w:space="0"/>
                    <w:bottom w:val="single" w:color="auto" w:sz="12" w:space="0"/>
                    <w:right w:val="nil"/>
                  </w:tcBorders>
                  <w:noWrap w:val="0"/>
                  <w:vAlign w:val="center"/>
                </w:tcPr>
                <w:p>
                  <w:pPr>
                    <w:spacing w:line="240" w:lineRule="auto"/>
                    <w:ind w:left="0" w:leftChars="0" w:firstLine="0" w:firstLineChars="0"/>
                    <w:jc w:val="both"/>
                    <w:rPr>
                      <w:rFonts w:hint="eastAsia"/>
                      <w:color w:val="auto"/>
                      <w:sz w:val="21"/>
                      <w:szCs w:val="21"/>
                      <w:lang w:val="en-US" w:eastAsia="zh-CN"/>
                    </w:rPr>
                  </w:pPr>
                  <w:r>
                    <w:rPr>
                      <w:rFonts w:hint="eastAsia"/>
                      <w:color w:val="auto"/>
                      <w:sz w:val="21"/>
                      <w:szCs w:val="21"/>
                      <w:lang w:val="en-US" w:eastAsia="zh-CN"/>
                    </w:rPr>
                    <w:t>110-250</w:t>
                  </w:r>
                  <w:r>
                    <w:rPr>
                      <w:color w:val="auto"/>
                      <w:sz w:val="21"/>
                      <w:szCs w:val="21"/>
                    </w:rPr>
                    <w:t>m</w:t>
                  </w:r>
                </w:p>
              </w:tc>
            </w:tr>
          </w:tbl>
          <w:p>
            <w:pPr>
              <w:pStyle w:val="62"/>
              <w:jc w:val="center"/>
              <w:rPr>
                <w:rFonts w:hint="eastAsia" w:ascii="Times New Roman" w:hAnsi="Times New Roman" w:eastAsia="黑体" w:cs="Times New Roman"/>
                <w:color w:val="auto"/>
                <w:sz w:val="24"/>
                <w:lang w:val="en-US" w:eastAsia="zh-CN"/>
              </w:rPr>
            </w:pPr>
          </w:p>
          <w:p>
            <w:pPr>
              <w:jc w:val="center"/>
              <w:rPr>
                <w:rFonts w:hint="eastAsia"/>
                <w:b/>
                <w:bCs/>
                <w:color w:val="auto"/>
                <w:szCs w:val="21"/>
                <w:lang w:val="en-US" w:eastAsia="zh-CN"/>
              </w:rPr>
            </w:pPr>
            <w:r>
              <w:rPr>
                <w:rFonts w:hint="eastAsia"/>
                <w:b/>
                <w:bCs/>
                <w:color w:val="auto"/>
                <w:szCs w:val="21"/>
                <w:lang w:val="en-US" w:eastAsia="zh-CN"/>
              </w:rPr>
              <w:t>表3-9 本项目水环境保护</w:t>
            </w:r>
          </w:p>
          <w:tbl>
            <w:tblPr>
              <w:tblStyle w:val="51"/>
              <w:tblW w:w="897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240"/>
              <w:gridCol w:w="2068"/>
              <w:gridCol w:w="903"/>
              <w:gridCol w:w="1293"/>
              <w:gridCol w:w="930"/>
              <w:gridCol w:w="16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164" w:type="dxa"/>
                  <w:gridSpan w:val="2"/>
                  <w:vMerge w:val="restart"/>
                  <w:tcBorders>
                    <w:top w:val="single" w:color="auto" w:sz="12" w:space="0"/>
                    <w:left w:val="nil"/>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保护目标</w:t>
                  </w:r>
                </w:p>
              </w:tc>
              <w:tc>
                <w:tcPr>
                  <w:tcW w:w="2068"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保护级别</w:t>
                  </w:r>
                </w:p>
              </w:tc>
              <w:tc>
                <w:tcPr>
                  <w:tcW w:w="903"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方位</w:t>
                  </w:r>
                </w:p>
              </w:tc>
              <w:tc>
                <w:tcPr>
                  <w:tcW w:w="1293"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与本项目</w:t>
                  </w:r>
                </w:p>
                <w:p>
                  <w:pPr>
                    <w:pStyle w:val="50"/>
                    <w:spacing w:after="0" w:line="240" w:lineRule="auto"/>
                    <w:ind w:left="0" w:leftChars="0" w:firstLine="0" w:firstLineChars="0"/>
                    <w:jc w:val="center"/>
                    <w:rPr>
                      <w:color w:val="auto"/>
                      <w:szCs w:val="21"/>
                      <w:lang w:val="zh-CN"/>
                    </w:rPr>
                  </w:pPr>
                  <w:r>
                    <w:rPr>
                      <w:rFonts w:hint="eastAsia"/>
                      <w:color w:val="auto"/>
                      <w:szCs w:val="21"/>
                      <w:lang w:val="zh-CN"/>
                    </w:rPr>
                    <w:t>距离</w:t>
                  </w:r>
                </w:p>
              </w:tc>
              <w:tc>
                <w:tcPr>
                  <w:tcW w:w="930" w:type="dxa"/>
                  <w:vMerge w:val="restart"/>
                  <w:tcBorders>
                    <w:top w:val="single" w:color="auto" w:sz="12"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备注</w:t>
                  </w:r>
                </w:p>
              </w:tc>
              <w:tc>
                <w:tcPr>
                  <w:tcW w:w="1617" w:type="dxa"/>
                  <w:tcBorders>
                    <w:top w:val="single" w:color="auto" w:sz="12" w:space="0"/>
                    <w:left w:val="single" w:color="auto" w:sz="4" w:space="0"/>
                    <w:bottom w:val="single" w:color="auto" w:sz="4" w:space="0"/>
                    <w:right w:val="nil"/>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影响因子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64" w:type="dxa"/>
                  <w:gridSpan w:val="2"/>
                  <w:vMerge w:val="continue"/>
                  <w:tcBorders>
                    <w:top w:val="single" w:color="auto" w:sz="12" w:space="0"/>
                    <w:left w:val="nil"/>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2068"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903"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293"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930" w:type="dxa"/>
                  <w:vMerge w:val="continue"/>
                  <w:tcBorders>
                    <w:top w:val="single" w:color="auto" w:sz="12" w:space="0"/>
                    <w:left w:val="single" w:color="auto" w:sz="4" w:space="0"/>
                    <w:bottom w:val="single" w:color="auto" w:sz="12" w:space="0"/>
                    <w:right w:val="single" w:color="auto" w:sz="4" w:space="0"/>
                  </w:tcBorders>
                  <w:noWrap w:val="0"/>
                  <w:vAlign w:val="center"/>
                </w:tcPr>
                <w:p>
                  <w:pPr>
                    <w:widowControl/>
                    <w:spacing w:line="240" w:lineRule="auto"/>
                    <w:jc w:val="left"/>
                    <w:rPr>
                      <w:rFonts w:ascii="Times New Roman" w:hAnsi="Times New Roman"/>
                      <w:color w:val="auto"/>
                      <w:sz w:val="21"/>
                      <w:szCs w:val="21"/>
                      <w:lang w:val="zh-CN"/>
                    </w:rPr>
                  </w:pPr>
                </w:p>
              </w:tc>
              <w:tc>
                <w:tcPr>
                  <w:tcW w:w="1617" w:type="dxa"/>
                  <w:tcBorders>
                    <w:top w:val="single" w:color="auto" w:sz="4" w:space="0"/>
                    <w:left w:val="single" w:color="auto" w:sz="4" w:space="0"/>
                    <w:bottom w:val="single" w:color="auto" w:sz="12" w:space="0"/>
                    <w:right w:val="nil"/>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924" w:type="dxa"/>
                  <w:tcBorders>
                    <w:top w:val="single" w:color="auto" w:sz="4" w:space="0"/>
                    <w:left w:val="nil"/>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rFonts w:hint="eastAsia"/>
                      <w:color w:val="auto"/>
                      <w:szCs w:val="21"/>
                      <w:lang w:val="zh-CN"/>
                    </w:rPr>
                    <w:t>水环境</w:t>
                  </w:r>
                </w:p>
              </w:tc>
              <w:tc>
                <w:tcPr>
                  <w:tcW w:w="1240"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color w:val="auto"/>
                      <w:szCs w:val="21"/>
                      <w:lang w:val="en-US" w:eastAsia="zh-CN"/>
                    </w:rPr>
                    <w:t>白草河</w:t>
                  </w:r>
                </w:p>
              </w:tc>
              <w:tc>
                <w:tcPr>
                  <w:tcW w:w="2068"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color w:val="auto"/>
                      <w:szCs w:val="21"/>
                      <w:lang w:val="zh-CN"/>
                    </w:rPr>
                    <w:t>GB3838-2002</w:t>
                  </w:r>
                  <w:r>
                    <w:rPr>
                      <w:color w:val="auto"/>
                      <w:szCs w:val="21"/>
                    </w:rPr>
                    <w:t xml:space="preserve">  </w:t>
                  </w:r>
                  <w:r>
                    <w:rPr>
                      <w:rFonts w:hint="eastAsia" w:ascii="宋体" w:hAnsi="宋体" w:cs="宋体"/>
                      <w:color w:val="auto"/>
                      <w:szCs w:val="21"/>
                      <w:lang w:val="zh-CN"/>
                    </w:rPr>
                    <w:t>Ⅲ</w:t>
                  </w:r>
                  <w:r>
                    <w:rPr>
                      <w:rFonts w:hint="eastAsia"/>
                      <w:color w:val="auto"/>
                      <w:szCs w:val="21"/>
                      <w:lang w:val="zh-CN"/>
                    </w:rPr>
                    <w:t>类</w:t>
                  </w:r>
                </w:p>
              </w:tc>
              <w:tc>
                <w:tcPr>
                  <w:tcW w:w="903"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eastAsia" w:eastAsia="宋体"/>
                      <w:color w:val="auto"/>
                      <w:szCs w:val="21"/>
                      <w:lang w:val="en-US" w:eastAsia="zh-CN"/>
                    </w:rPr>
                  </w:pPr>
                  <w:r>
                    <w:rPr>
                      <w:rFonts w:hint="eastAsia"/>
                      <w:color w:val="auto"/>
                      <w:szCs w:val="21"/>
                      <w:lang w:val="en-US" w:eastAsia="zh-CN"/>
                    </w:rPr>
                    <w:t>项目区域内</w:t>
                  </w:r>
                  <w:r>
                    <w:rPr>
                      <w:color w:val="auto"/>
                      <w:szCs w:val="21"/>
                    </w:rPr>
                    <w:t xml:space="preserve"> </w:t>
                  </w:r>
                </w:p>
              </w:tc>
              <w:tc>
                <w:tcPr>
                  <w:tcW w:w="1293"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color w:val="auto"/>
                      <w:sz w:val="21"/>
                      <w:szCs w:val="21"/>
                      <w:lang w:val="en-US" w:eastAsia="zh-CN"/>
                    </w:rPr>
                    <w:t>80-120</w:t>
                  </w:r>
                </w:p>
              </w:tc>
              <w:tc>
                <w:tcPr>
                  <w:tcW w:w="930" w:type="dxa"/>
                  <w:tcBorders>
                    <w:top w:val="single" w:color="auto" w:sz="4" w:space="0"/>
                    <w:left w:val="single" w:color="auto" w:sz="4" w:space="0"/>
                    <w:bottom w:val="single" w:color="auto" w:sz="12" w:space="0"/>
                    <w:right w:val="single" w:color="auto" w:sz="4" w:space="0"/>
                  </w:tcBorders>
                  <w:noWrap w:val="0"/>
                  <w:vAlign w:val="center"/>
                </w:tcPr>
                <w:p>
                  <w:pPr>
                    <w:pStyle w:val="50"/>
                    <w:spacing w:after="0" w:line="240" w:lineRule="auto"/>
                    <w:ind w:left="0" w:leftChars="0" w:firstLine="0" w:firstLineChars="0"/>
                    <w:jc w:val="center"/>
                    <w:rPr>
                      <w:color w:val="auto"/>
                      <w:szCs w:val="21"/>
                      <w:lang w:val="zh-CN"/>
                    </w:rPr>
                  </w:pPr>
                  <w:r>
                    <w:rPr>
                      <w:color w:val="auto"/>
                      <w:szCs w:val="21"/>
                      <w:lang w:val="zh-CN"/>
                    </w:rPr>
                    <w:t>/</w:t>
                  </w:r>
                </w:p>
              </w:tc>
              <w:tc>
                <w:tcPr>
                  <w:tcW w:w="1617" w:type="dxa"/>
                  <w:tcBorders>
                    <w:top w:val="single" w:color="auto" w:sz="4" w:space="0"/>
                    <w:left w:val="single" w:color="auto" w:sz="4" w:space="0"/>
                    <w:right w:val="nil"/>
                  </w:tcBorders>
                  <w:noWrap w:val="0"/>
                  <w:vAlign w:val="center"/>
                </w:tcPr>
                <w:p>
                  <w:pPr>
                    <w:pStyle w:val="50"/>
                    <w:spacing w:after="0" w:line="240" w:lineRule="auto"/>
                    <w:ind w:left="0" w:leftChars="0" w:firstLine="0" w:firstLineChars="0"/>
                    <w:jc w:val="center"/>
                    <w:rPr>
                      <w:rFonts w:hint="default" w:eastAsia="宋体"/>
                      <w:color w:val="auto"/>
                      <w:szCs w:val="21"/>
                      <w:lang w:val="en-US" w:eastAsia="zh-CN"/>
                    </w:rPr>
                  </w:pPr>
                  <w:r>
                    <w:rPr>
                      <w:rFonts w:hint="eastAsia"/>
                      <w:color w:val="auto"/>
                      <w:szCs w:val="21"/>
                      <w:lang w:val="en-US" w:eastAsia="zh-CN"/>
                    </w:rPr>
                    <w:t>环境风险</w:t>
                  </w:r>
                </w:p>
              </w:tc>
            </w:tr>
          </w:tbl>
          <w:p>
            <w:pPr>
              <w:pStyle w:val="62"/>
              <w:jc w:val="center"/>
              <w:rPr>
                <w:rFonts w:hint="eastAsia" w:ascii="Times New Roman" w:hAnsi="Times New Roman" w:eastAsia="黑体" w:cs="Times New Roman"/>
                <w:color w:val="auto"/>
                <w:sz w:val="24"/>
                <w:lang w:val="en-US" w:eastAsia="zh-CN"/>
              </w:rPr>
            </w:pPr>
          </w:p>
          <w:p>
            <w:pPr>
              <w:jc w:val="center"/>
              <w:rPr>
                <w:rFonts w:hint="eastAsia"/>
                <w:b/>
                <w:bCs/>
                <w:color w:val="auto"/>
                <w:szCs w:val="21"/>
                <w:lang w:val="en-US" w:eastAsia="zh-CN"/>
              </w:rPr>
            </w:pPr>
            <w:r>
              <w:rPr>
                <w:rFonts w:hint="eastAsia"/>
                <w:b/>
                <w:bCs/>
                <w:color w:val="auto"/>
                <w:szCs w:val="21"/>
                <w:lang w:val="en-US" w:eastAsia="zh-CN"/>
              </w:rPr>
              <w:t>表3-10 本项目生态环境保护</w:t>
            </w:r>
          </w:p>
          <w:tbl>
            <w:tblPr>
              <w:tblStyle w:val="52"/>
              <w:tblW w:w="924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4965"/>
              <w:gridCol w:w="2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6" w:type="dxa"/>
                  <w:tcBorders>
                    <w:tl2br w:val="nil"/>
                    <w:tr2bl w:val="nil"/>
                  </w:tcBorders>
                </w:tcPr>
                <w:p>
                  <w:pPr>
                    <w:pStyle w:val="62"/>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保护目标</w:t>
                  </w:r>
                </w:p>
              </w:tc>
              <w:tc>
                <w:tcPr>
                  <w:tcW w:w="4965" w:type="dxa"/>
                  <w:tcBorders>
                    <w:tl2br w:val="nil"/>
                    <w:tr2bl w:val="nil"/>
                  </w:tcBorders>
                </w:tcPr>
                <w:p>
                  <w:pPr>
                    <w:pStyle w:val="62"/>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保护内容</w:t>
                  </w:r>
                </w:p>
              </w:tc>
              <w:tc>
                <w:tcPr>
                  <w:tcW w:w="2700" w:type="dxa"/>
                  <w:tcBorders>
                    <w:tl2br w:val="nil"/>
                    <w:tr2bl w:val="nil"/>
                  </w:tcBorders>
                </w:tcPr>
                <w:p>
                  <w:pPr>
                    <w:pStyle w:val="62"/>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6" w:type="dxa"/>
                  <w:tcBorders>
                    <w:tl2br w:val="nil"/>
                    <w:tr2bl w:val="nil"/>
                  </w:tcBorders>
                </w:tcPr>
                <w:p>
                  <w:pPr>
                    <w:pStyle w:val="62"/>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沿线植被</w:t>
                  </w:r>
                </w:p>
              </w:tc>
              <w:tc>
                <w:tcPr>
                  <w:tcW w:w="4965" w:type="dxa"/>
                  <w:tcBorders>
                    <w:tl2br w:val="nil"/>
                    <w:tr2bl w:val="nil"/>
                  </w:tcBorders>
                </w:tcPr>
                <w:p>
                  <w:pPr>
                    <w:pStyle w:val="62"/>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工程占地范围内的可能扰动的植被部分</w:t>
                  </w:r>
                </w:p>
              </w:tc>
              <w:tc>
                <w:tcPr>
                  <w:tcW w:w="2700" w:type="dxa"/>
                  <w:tcBorders>
                    <w:tl2br w:val="nil"/>
                    <w:tr2bl w:val="nil"/>
                  </w:tcBorders>
                </w:tcPr>
                <w:p>
                  <w:pPr>
                    <w:pStyle w:val="62"/>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保持野生植物现状资源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76" w:type="dxa"/>
                  <w:tcBorders>
                    <w:tl2br w:val="nil"/>
                    <w:tr2bl w:val="nil"/>
                  </w:tcBorders>
                </w:tcPr>
                <w:p>
                  <w:pPr>
                    <w:pStyle w:val="62"/>
                    <w:jc w:val="center"/>
                    <w:rPr>
                      <w:rFonts w:hint="default" w:asciiTheme="minorEastAsia" w:hAnsiTheme="minorEastAsia" w:eastAsiaTheme="minorEastAsia" w:cstheme="minorEastAsia"/>
                      <w:color w:val="auto"/>
                      <w:sz w:val="21"/>
                      <w:szCs w:val="21"/>
                      <w:vertAlign w:val="baseline"/>
                      <w:lang w:val="en-US" w:eastAsia="zh-CN"/>
                    </w:rPr>
                  </w:pPr>
                  <w:r>
                    <w:rPr>
                      <w:rFonts w:hint="eastAsia" w:asciiTheme="minorEastAsia" w:hAnsiTheme="minorEastAsia" w:eastAsiaTheme="minorEastAsia" w:cstheme="minorEastAsia"/>
                      <w:color w:val="auto"/>
                      <w:sz w:val="21"/>
                      <w:szCs w:val="21"/>
                      <w:vertAlign w:val="baseline"/>
                      <w:lang w:val="en-US" w:eastAsia="zh-CN"/>
                    </w:rPr>
                    <w:t>水生生物</w:t>
                  </w:r>
                </w:p>
              </w:tc>
              <w:tc>
                <w:tcPr>
                  <w:tcW w:w="4965" w:type="dxa"/>
                  <w:tcBorders>
                    <w:tl2br w:val="nil"/>
                    <w:tr2bl w:val="nil"/>
                  </w:tcBorders>
                </w:tcPr>
                <w:p>
                  <w:pPr>
                    <w:pStyle w:val="62"/>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评价河段包括璜环沟及下游白羊河影响段</w:t>
                  </w:r>
                </w:p>
              </w:tc>
              <w:tc>
                <w:tcPr>
                  <w:tcW w:w="2700" w:type="dxa"/>
                  <w:tcBorders>
                    <w:tl2br w:val="nil"/>
                    <w:tr2bl w:val="nil"/>
                  </w:tcBorders>
                </w:tcPr>
                <w:p>
                  <w:pPr>
                    <w:pStyle w:val="62"/>
                    <w:jc w:val="center"/>
                    <w:rPr>
                      <w:rFonts w:hint="eastAsia" w:asciiTheme="minorEastAsia" w:hAnsiTheme="minorEastAsia" w:eastAsiaTheme="minorEastAsia" w:cstheme="minorEastAsia"/>
                      <w:color w:val="auto"/>
                      <w:sz w:val="21"/>
                      <w:szCs w:val="21"/>
                      <w:vertAlign w:val="baseline"/>
                      <w:lang w:val="en-US" w:eastAsia="zh-CN"/>
                    </w:rPr>
                  </w:pPr>
                  <w:r>
                    <w:rPr>
                      <w:rFonts w:hint="eastAsia" w:ascii="Times New Roman" w:cs="Times New Roman"/>
                      <w:color w:val="auto"/>
                      <w:sz w:val="21"/>
                      <w:szCs w:val="21"/>
                      <w:lang w:val="en-US" w:eastAsia="zh-CN"/>
                    </w:rPr>
                    <w:t>保持水生生物现状资源</w:t>
                  </w:r>
                </w:p>
              </w:tc>
            </w:tr>
          </w:tbl>
          <w:p>
            <w:pPr>
              <w:pStyle w:val="62"/>
              <w:jc w:val="center"/>
              <w:rPr>
                <w:rFonts w:hint="eastAsia" w:asciiTheme="minorEastAsia" w:hAnsiTheme="minorEastAsia" w:eastAsiaTheme="minorEastAsia" w:cstheme="minorEastAsia"/>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color w:val="auto"/>
                <w:lang w:eastAsia="zh-CN"/>
              </w:rPr>
            </w:pPr>
          </w:p>
          <w:p>
            <w:pPr>
              <w:rPr>
                <w:rFonts w:hint="eastAsia" w:eastAsiaTheme="minorEastAsia"/>
                <w:color w:val="auto"/>
                <w:lang w:eastAsia="zh-CN"/>
              </w:rPr>
            </w:pPr>
          </w:p>
        </w:tc>
      </w:tr>
    </w:tbl>
    <w:p>
      <w:pPr>
        <w:rPr>
          <w:rFonts w:ascii="Times New Roman" w:hAnsi="Times New Roman" w:cs="Times New Roman"/>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auto"/>
          <w:sz w:val="30"/>
          <w:szCs w:val="30"/>
        </w:rPr>
      </w:pPr>
      <w:r>
        <w:rPr>
          <w:rFonts w:hint="eastAsia" w:ascii="Times New Roman" w:hAnsi="Times New Roman" w:cs="Times New Roman"/>
          <w:b/>
          <w:color w:val="auto"/>
          <w:sz w:val="30"/>
          <w:szCs w:val="30"/>
        </w:rPr>
        <w:t>评价标准                                            (</w:t>
      </w:r>
      <w:r>
        <w:rPr>
          <w:rFonts w:hint="eastAsia" w:ascii="Times New Roman" w:hAnsi="Times New Roman" w:cs="Times New Roman"/>
          <w:b/>
          <w:snapToGrid w:val="0"/>
          <w:color w:val="auto"/>
          <w:kern w:val="0"/>
          <w:sz w:val="30"/>
          <w:szCs w:val="30"/>
        </w:rPr>
        <w:t>表四)</w:t>
      </w:r>
    </w:p>
    <w:tbl>
      <w:tblPr>
        <w:tblStyle w:val="51"/>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6" w:hRule="atLeast"/>
          <w:jc w:val="center"/>
        </w:trPr>
        <w:tc>
          <w:tcPr>
            <w:tcW w:w="852" w:type="dxa"/>
            <w:vAlign w:val="center"/>
          </w:tcPr>
          <w:p>
            <w:pPr>
              <w:snapToGrid w:val="0"/>
              <w:jc w:val="center"/>
              <w:rPr>
                <w:rFonts w:ascii="Times New Roman" w:hAnsi="Times New Roman" w:cs="Times New Roman"/>
                <w:color w:val="auto"/>
                <w:sz w:val="28"/>
                <w:szCs w:val="28"/>
              </w:rPr>
            </w:pPr>
            <w:r>
              <w:rPr>
                <w:rFonts w:hint="eastAsia" w:ascii="t" w:hAnsi="t"/>
                <w:b/>
                <w:color w:val="auto"/>
                <w:sz w:val="24"/>
              </w:rPr>
              <w:t>环境质量标准</w:t>
            </w:r>
          </w:p>
        </w:tc>
        <w:tc>
          <w:tcPr>
            <w:tcW w:w="8787" w:type="dxa"/>
          </w:tcPr>
          <w:p>
            <w:pPr>
              <w:spacing w:line="360" w:lineRule="auto"/>
              <w:ind w:firstLine="480" w:firstLineChars="200"/>
              <w:rPr>
                <w:rFonts w:ascii="Times New Roman" w:hAnsi="Times New Roman" w:cs="Times New Roman"/>
                <w:color w:val="auto"/>
                <w:sz w:val="24"/>
                <w:szCs w:val="20"/>
              </w:rPr>
            </w:pPr>
            <w:r>
              <w:rPr>
                <w:rFonts w:hint="eastAsia" w:ascii="Times New Roman" w:cs="Times New Roman"/>
                <w:color w:val="auto"/>
                <w:sz w:val="24"/>
                <w:szCs w:val="20"/>
              </w:rPr>
              <w:t>本项目具体执行标准如下示：</w:t>
            </w:r>
          </w:p>
          <w:p>
            <w:pPr>
              <w:numPr>
                <w:ilvl w:val="0"/>
                <w:numId w:val="3"/>
              </w:numPr>
              <w:spacing w:line="360" w:lineRule="auto"/>
              <w:rPr>
                <w:rFonts w:ascii="Times New Roman" w:hAnsi="Times New Roman" w:cs="Times New Roman"/>
                <w:b/>
                <w:color w:val="auto"/>
                <w:sz w:val="24"/>
                <w:szCs w:val="20"/>
              </w:rPr>
            </w:pPr>
            <w:r>
              <w:rPr>
                <w:rFonts w:hint="eastAsia" w:ascii="Times New Roman" w:cs="Times New Roman"/>
                <w:b/>
                <w:color w:val="auto"/>
                <w:sz w:val="24"/>
                <w:szCs w:val="20"/>
              </w:rPr>
              <w:t>环境空气</w:t>
            </w:r>
          </w:p>
          <w:p>
            <w:pPr>
              <w:spacing w:line="360" w:lineRule="auto"/>
              <w:ind w:firstLine="480" w:firstLineChars="200"/>
              <w:rPr>
                <w:rFonts w:ascii="Times New Roman" w:hAnsi="Times New Roman" w:cs="Times New Roman"/>
                <w:color w:val="auto"/>
                <w:sz w:val="24"/>
                <w:szCs w:val="20"/>
              </w:rPr>
            </w:pPr>
            <w:r>
              <w:rPr>
                <w:rFonts w:hint="eastAsia" w:ascii="Times New Roman" w:cs="Times New Roman"/>
                <w:color w:val="auto"/>
                <w:sz w:val="24"/>
                <w:szCs w:val="20"/>
              </w:rPr>
              <w:t>执行《环境空气质量标准》</w:t>
            </w:r>
            <w:r>
              <w:rPr>
                <w:rFonts w:ascii="Times New Roman" w:hAnsi="Times New Roman" w:cs="Times New Roman"/>
                <w:color w:val="auto"/>
                <w:sz w:val="24"/>
                <w:szCs w:val="20"/>
              </w:rPr>
              <w:t>(GB3095-2012)</w:t>
            </w:r>
            <w:r>
              <w:rPr>
                <w:rFonts w:hint="eastAsia" w:ascii="Times New Roman" w:cs="Times New Roman"/>
                <w:color w:val="auto"/>
                <w:sz w:val="24"/>
                <w:szCs w:val="20"/>
              </w:rPr>
              <w:t>二级标准要求。见表</w:t>
            </w:r>
            <w:r>
              <w:rPr>
                <w:rFonts w:ascii="Times New Roman" w:hAnsi="Times New Roman" w:cs="Times New Roman"/>
                <w:color w:val="auto"/>
                <w:sz w:val="24"/>
                <w:szCs w:val="20"/>
              </w:rPr>
              <w:t>4-1</w:t>
            </w:r>
            <w:r>
              <w:rPr>
                <w:rFonts w:hint="eastAsia" w:ascii="Times New Roman" w:cs="Times New Roman"/>
                <w:color w:val="auto"/>
                <w:sz w:val="24"/>
                <w:szCs w:val="20"/>
              </w:rPr>
              <w:t>。</w:t>
            </w:r>
          </w:p>
          <w:p>
            <w:pPr>
              <w:jc w:val="center"/>
              <w:rPr>
                <w:rFonts w:hint="eastAsia"/>
                <w:b/>
                <w:bCs/>
                <w:color w:val="auto"/>
                <w:szCs w:val="21"/>
                <w:lang w:val="en-US" w:eastAsia="zh-CN"/>
              </w:rPr>
            </w:pPr>
            <w:r>
              <w:rPr>
                <w:rFonts w:hint="eastAsia"/>
                <w:b/>
                <w:bCs/>
                <w:color w:val="auto"/>
                <w:szCs w:val="21"/>
                <w:lang w:val="en-US" w:eastAsia="zh-CN"/>
              </w:rPr>
              <w:t>表4-1   环境空气质量执行标准</w:t>
            </w:r>
          </w:p>
          <w:tbl>
            <w:tblPr>
              <w:tblStyle w:val="51"/>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451"/>
              <w:gridCol w:w="1701"/>
              <w:gridCol w:w="1550"/>
              <w:gridCol w:w="15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exact"/>
                <w:jc w:val="center"/>
              </w:trPr>
              <w:tc>
                <w:tcPr>
                  <w:tcW w:w="1726" w:type="dxa"/>
                  <w:tcBorders>
                    <w:tl2br w:val="nil"/>
                    <w:tr2bl w:val="nil"/>
                  </w:tcBorders>
                  <w:vAlign w:val="center"/>
                </w:tcPr>
                <w:p>
                  <w:pPr>
                    <w:pStyle w:val="297"/>
                    <w:jc w:val="center"/>
                    <w:rPr>
                      <w:color w:val="auto"/>
                    </w:rPr>
                  </w:pPr>
                  <w:r>
                    <w:rPr>
                      <w:rFonts w:hint="eastAsia"/>
                      <w:color w:val="auto"/>
                    </w:rPr>
                    <w:t>污染物名称</w:t>
                  </w:r>
                </w:p>
              </w:tc>
              <w:tc>
                <w:tcPr>
                  <w:tcW w:w="1451" w:type="dxa"/>
                  <w:tcBorders>
                    <w:tl2br w:val="nil"/>
                    <w:tr2bl w:val="nil"/>
                  </w:tcBorders>
                  <w:vAlign w:val="center"/>
                </w:tcPr>
                <w:p>
                  <w:pPr>
                    <w:pStyle w:val="297"/>
                    <w:ind w:left="0" w:leftChars="0" w:firstLine="0" w:firstLineChars="0"/>
                    <w:jc w:val="center"/>
                    <w:rPr>
                      <w:color w:val="auto"/>
                    </w:rPr>
                  </w:pPr>
                  <w:r>
                    <w:rPr>
                      <w:rFonts w:hint="eastAsia"/>
                      <w:color w:val="auto"/>
                    </w:rPr>
                    <w:t>年平均浓度限值</w:t>
                  </w:r>
                </w:p>
              </w:tc>
              <w:tc>
                <w:tcPr>
                  <w:tcW w:w="1701" w:type="dxa"/>
                  <w:tcBorders>
                    <w:tl2br w:val="nil"/>
                    <w:tr2bl w:val="nil"/>
                  </w:tcBorders>
                  <w:vAlign w:val="center"/>
                </w:tcPr>
                <w:p>
                  <w:pPr>
                    <w:pStyle w:val="297"/>
                    <w:ind w:left="0" w:leftChars="0" w:firstLine="0" w:firstLineChars="0"/>
                    <w:jc w:val="center"/>
                    <w:rPr>
                      <w:color w:val="auto"/>
                    </w:rPr>
                  </w:pPr>
                  <w:r>
                    <w:rPr>
                      <w:rFonts w:hint="eastAsia"/>
                      <w:color w:val="auto"/>
                    </w:rPr>
                    <w:t>日平均浓度限值</w:t>
                  </w:r>
                </w:p>
              </w:tc>
              <w:tc>
                <w:tcPr>
                  <w:tcW w:w="1550" w:type="dxa"/>
                  <w:tcBorders>
                    <w:tl2br w:val="nil"/>
                    <w:tr2bl w:val="nil"/>
                  </w:tcBorders>
                  <w:vAlign w:val="center"/>
                </w:tcPr>
                <w:p>
                  <w:pPr>
                    <w:pStyle w:val="297"/>
                    <w:ind w:left="0" w:leftChars="0" w:firstLine="0" w:firstLineChars="0"/>
                    <w:jc w:val="center"/>
                    <w:rPr>
                      <w:color w:val="auto"/>
                    </w:rPr>
                  </w:pPr>
                  <w:r>
                    <w:rPr>
                      <w:color w:val="auto"/>
                    </w:rPr>
                    <w:t>1</w:t>
                  </w:r>
                  <w:r>
                    <w:rPr>
                      <w:rFonts w:hint="eastAsia"/>
                      <w:color w:val="auto"/>
                    </w:rPr>
                    <w:t>小时平均浓度限值</w:t>
                  </w:r>
                </w:p>
              </w:tc>
              <w:tc>
                <w:tcPr>
                  <w:tcW w:w="1510" w:type="dxa"/>
                  <w:tcBorders>
                    <w:tl2br w:val="nil"/>
                    <w:tr2bl w:val="nil"/>
                  </w:tcBorders>
                  <w:vAlign w:val="center"/>
                </w:tcPr>
                <w:p>
                  <w:pPr>
                    <w:pStyle w:val="297"/>
                    <w:ind w:left="0" w:leftChars="0" w:firstLine="0" w:firstLineChars="0"/>
                    <w:jc w:val="center"/>
                    <w:rPr>
                      <w:color w:val="auto"/>
                    </w:rPr>
                  </w:pPr>
                  <w:r>
                    <w:rPr>
                      <w:rFonts w:hint="eastAsia"/>
                      <w:color w:val="auto"/>
                    </w:rPr>
                    <w:t>8小时平均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jc w:val="center"/>
                    <w:rPr>
                      <w:color w:val="auto"/>
                    </w:rPr>
                  </w:pPr>
                  <w:r>
                    <w:rPr>
                      <w:color w:val="auto"/>
                    </w:rPr>
                    <w:t>SO</w:t>
                  </w:r>
                  <w:r>
                    <w:rPr>
                      <w:color w:val="auto"/>
                      <w:vertAlign w:val="subscript"/>
                    </w:rPr>
                    <w:t>2</w:t>
                  </w:r>
                </w:p>
              </w:tc>
              <w:tc>
                <w:tcPr>
                  <w:tcW w:w="1451" w:type="dxa"/>
                  <w:tcBorders>
                    <w:tl2br w:val="nil"/>
                    <w:tr2bl w:val="nil"/>
                  </w:tcBorders>
                  <w:vAlign w:val="center"/>
                </w:tcPr>
                <w:p>
                  <w:pPr>
                    <w:pStyle w:val="297"/>
                    <w:jc w:val="center"/>
                    <w:rPr>
                      <w:color w:val="auto"/>
                    </w:rPr>
                  </w:pPr>
                  <w:r>
                    <w:rPr>
                      <w:color w:val="auto"/>
                      <w:szCs w:val="21"/>
                    </w:rPr>
                    <w:t>60µg/m</w:t>
                  </w:r>
                  <w:r>
                    <w:rPr>
                      <w:color w:val="auto"/>
                      <w:szCs w:val="21"/>
                      <w:vertAlign w:val="superscript"/>
                    </w:rPr>
                    <w:t>3</w:t>
                  </w:r>
                </w:p>
              </w:tc>
              <w:tc>
                <w:tcPr>
                  <w:tcW w:w="1701" w:type="dxa"/>
                  <w:tcBorders>
                    <w:tl2br w:val="nil"/>
                    <w:tr2bl w:val="nil"/>
                  </w:tcBorders>
                  <w:vAlign w:val="center"/>
                </w:tcPr>
                <w:p>
                  <w:pPr>
                    <w:pStyle w:val="297"/>
                    <w:jc w:val="center"/>
                    <w:rPr>
                      <w:color w:val="auto"/>
                    </w:rPr>
                  </w:pPr>
                  <w:r>
                    <w:rPr>
                      <w:color w:val="auto"/>
                      <w:szCs w:val="21"/>
                    </w:rPr>
                    <w:t>150µg/m</w:t>
                  </w:r>
                  <w:r>
                    <w:rPr>
                      <w:color w:val="auto"/>
                      <w:szCs w:val="21"/>
                      <w:vertAlign w:val="superscript"/>
                    </w:rPr>
                    <w:t>3</w:t>
                  </w:r>
                </w:p>
              </w:tc>
              <w:tc>
                <w:tcPr>
                  <w:tcW w:w="1550" w:type="dxa"/>
                  <w:tcBorders>
                    <w:tl2br w:val="nil"/>
                    <w:tr2bl w:val="nil"/>
                  </w:tcBorders>
                  <w:vAlign w:val="center"/>
                </w:tcPr>
                <w:p>
                  <w:pPr>
                    <w:pStyle w:val="297"/>
                    <w:jc w:val="center"/>
                    <w:rPr>
                      <w:color w:val="auto"/>
                    </w:rPr>
                  </w:pPr>
                  <w:r>
                    <w:rPr>
                      <w:color w:val="auto"/>
                      <w:szCs w:val="21"/>
                    </w:rPr>
                    <w:t>500µg/m</w:t>
                  </w:r>
                  <w:r>
                    <w:rPr>
                      <w:color w:val="auto"/>
                      <w:szCs w:val="21"/>
                      <w:vertAlign w:val="superscript"/>
                    </w:rPr>
                    <w:t>3</w:t>
                  </w:r>
                </w:p>
              </w:tc>
              <w:tc>
                <w:tcPr>
                  <w:tcW w:w="1510" w:type="dxa"/>
                  <w:tcBorders>
                    <w:tl2br w:val="nil"/>
                    <w:tr2bl w:val="nil"/>
                  </w:tcBorders>
                  <w:vAlign w:val="center"/>
                </w:tcPr>
                <w:p>
                  <w:pPr>
                    <w:pStyle w:val="297"/>
                    <w:jc w:val="center"/>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jc w:val="center"/>
                    <w:rPr>
                      <w:color w:val="auto"/>
                    </w:rPr>
                  </w:pPr>
                  <w:r>
                    <w:rPr>
                      <w:color w:val="auto"/>
                    </w:rPr>
                    <w:t>NO</w:t>
                  </w:r>
                  <w:r>
                    <w:rPr>
                      <w:color w:val="auto"/>
                      <w:vertAlign w:val="subscript"/>
                    </w:rPr>
                    <w:t>2</w:t>
                  </w:r>
                </w:p>
              </w:tc>
              <w:tc>
                <w:tcPr>
                  <w:tcW w:w="1451" w:type="dxa"/>
                  <w:tcBorders>
                    <w:tl2br w:val="nil"/>
                    <w:tr2bl w:val="nil"/>
                  </w:tcBorders>
                  <w:vAlign w:val="center"/>
                </w:tcPr>
                <w:p>
                  <w:pPr>
                    <w:pStyle w:val="297"/>
                    <w:jc w:val="center"/>
                    <w:rPr>
                      <w:color w:val="auto"/>
                    </w:rPr>
                  </w:pPr>
                  <w:r>
                    <w:rPr>
                      <w:color w:val="auto"/>
                      <w:szCs w:val="21"/>
                    </w:rPr>
                    <w:t>40µg/m</w:t>
                  </w:r>
                  <w:r>
                    <w:rPr>
                      <w:color w:val="auto"/>
                      <w:szCs w:val="21"/>
                      <w:vertAlign w:val="superscript"/>
                    </w:rPr>
                    <w:t>3</w:t>
                  </w:r>
                </w:p>
              </w:tc>
              <w:tc>
                <w:tcPr>
                  <w:tcW w:w="1701" w:type="dxa"/>
                  <w:tcBorders>
                    <w:tl2br w:val="nil"/>
                    <w:tr2bl w:val="nil"/>
                  </w:tcBorders>
                  <w:vAlign w:val="center"/>
                </w:tcPr>
                <w:p>
                  <w:pPr>
                    <w:pStyle w:val="297"/>
                    <w:jc w:val="center"/>
                    <w:rPr>
                      <w:color w:val="auto"/>
                    </w:rPr>
                  </w:pPr>
                  <w:r>
                    <w:rPr>
                      <w:color w:val="auto"/>
                      <w:szCs w:val="21"/>
                    </w:rPr>
                    <w:t>80µg/m</w:t>
                  </w:r>
                  <w:r>
                    <w:rPr>
                      <w:color w:val="auto"/>
                      <w:szCs w:val="21"/>
                      <w:vertAlign w:val="superscript"/>
                    </w:rPr>
                    <w:t>3</w:t>
                  </w:r>
                </w:p>
              </w:tc>
              <w:tc>
                <w:tcPr>
                  <w:tcW w:w="1550" w:type="dxa"/>
                  <w:tcBorders>
                    <w:tl2br w:val="nil"/>
                    <w:tr2bl w:val="nil"/>
                  </w:tcBorders>
                  <w:vAlign w:val="center"/>
                </w:tcPr>
                <w:p>
                  <w:pPr>
                    <w:pStyle w:val="297"/>
                    <w:jc w:val="center"/>
                    <w:rPr>
                      <w:color w:val="auto"/>
                    </w:rPr>
                  </w:pPr>
                  <w:r>
                    <w:rPr>
                      <w:color w:val="auto"/>
                      <w:szCs w:val="21"/>
                    </w:rPr>
                    <w:t>200µg/m</w:t>
                  </w:r>
                  <w:r>
                    <w:rPr>
                      <w:color w:val="auto"/>
                      <w:szCs w:val="21"/>
                      <w:vertAlign w:val="superscript"/>
                    </w:rPr>
                    <w:t>3</w:t>
                  </w:r>
                </w:p>
              </w:tc>
              <w:tc>
                <w:tcPr>
                  <w:tcW w:w="1510" w:type="dxa"/>
                  <w:tcBorders>
                    <w:tl2br w:val="nil"/>
                    <w:tr2bl w:val="nil"/>
                  </w:tcBorders>
                  <w:vAlign w:val="center"/>
                </w:tcPr>
                <w:p>
                  <w:pPr>
                    <w:pStyle w:val="297"/>
                    <w:jc w:val="center"/>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jc w:val="center"/>
                    <w:rPr>
                      <w:color w:val="auto"/>
                    </w:rPr>
                  </w:pPr>
                  <w:r>
                    <w:rPr>
                      <w:color w:val="auto"/>
                    </w:rPr>
                    <w:t>PM</w:t>
                  </w:r>
                  <w:r>
                    <w:rPr>
                      <w:color w:val="auto"/>
                      <w:vertAlign w:val="subscript"/>
                    </w:rPr>
                    <w:t>10</w:t>
                  </w:r>
                </w:p>
              </w:tc>
              <w:tc>
                <w:tcPr>
                  <w:tcW w:w="1451" w:type="dxa"/>
                  <w:tcBorders>
                    <w:tl2br w:val="nil"/>
                    <w:tr2bl w:val="nil"/>
                  </w:tcBorders>
                  <w:vAlign w:val="center"/>
                </w:tcPr>
                <w:p>
                  <w:pPr>
                    <w:pStyle w:val="297"/>
                    <w:jc w:val="center"/>
                    <w:rPr>
                      <w:color w:val="auto"/>
                    </w:rPr>
                  </w:pPr>
                  <w:r>
                    <w:rPr>
                      <w:color w:val="auto"/>
                      <w:szCs w:val="21"/>
                    </w:rPr>
                    <w:t>70µg/m</w:t>
                  </w:r>
                  <w:r>
                    <w:rPr>
                      <w:color w:val="auto"/>
                      <w:szCs w:val="21"/>
                      <w:vertAlign w:val="superscript"/>
                    </w:rPr>
                    <w:t>3</w:t>
                  </w:r>
                </w:p>
              </w:tc>
              <w:tc>
                <w:tcPr>
                  <w:tcW w:w="1701" w:type="dxa"/>
                  <w:tcBorders>
                    <w:tl2br w:val="nil"/>
                    <w:tr2bl w:val="nil"/>
                  </w:tcBorders>
                  <w:vAlign w:val="center"/>
                </w:tcPr>
                <w:p>
                  <w:pPr>
                    <w:pStyle w:val="297"/>
                    <w:jc w:val="center"/>
                    <w:rPr>
                      <w:color w:val="auto"/>
                    </w:rPr>
                  </w:pPr>
                  <w:r>
                    <w:rPr>
                      <w:color w:val="auto"/>
                      <w:szCs w:val="21"/>
                    </w:rPr>
                    <w:t>150µg/m</w:t>
                  </w:r>
                  <w:r>
                    <w:rPr>
                      <w:color w:val="auto"/>
                      <w:szCs w:val="21"/>
                      <w:vertAlign w:val="superscript"/>
                    </w:rPr>
                    <w:t>3</w:t>
                  </w:r>
                </w:p>
              </w:tc>
              <w:tc>
                <w:tcPr>
                  <w:tcW w:w="1550" w:type="dxa"/>
                  <w:tcBorders>
                    <w:tl2br w:val="nil"/>
                    <w:tr2bl w:val="nil"/>
                  </w:tcBorders>
                  <w:vAlign w:val="center"/>
                </w:tcPr>
                <w:p>
                  <w:pPr>
                    <w:pStyle w:val="297"/>
                    <w:jc w:val="center"/>
                    <w:rPr>
                      <w:color w:val="auto"/>
                    </w:rPr>
                  </w:pPr>
                  <w:r>
                    <w:rPr>
                      <w:color w:val="auto"/>
                    </w:rPr>
                    <w:t>/</w:t>
                  </w:r>
                </w:p>
              </w:tc>
              <w:tc>
                <w:tcPr>
                  <w:tcW w:w="1510" w:type="dxa"/>
                  <w:tcBorders>
                    <w:tl2br w:val="nil"/>
                    <w:tr2bl w:val="nil"/>
                  </w:tcBorders>
                  <w:vAlign w:val="center"/>
                </w:tcPr>
                <w:p>
                  <w:pPr>
                    <w:pStyle w:val="297"/>
                    <w:jc w:val="center"/>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jc w:val="center"/>
                    <w:rPr>
                      <w:color w:val="auto"/>
                    </w:rPr>
                  </w:pPr>
                  <w:r>
                    <w:rPr>
                      <w:color w:val="auto"/>
                    </w:rPr>
                    <w:t>PM</w:t>
                  </w:r>
                  <w:r>
                    <w:rPr>
                      <w:rFonts w:hint="eastAsia"/>
                      <w:color w:val="auto"/>
                      <w:vertAlign w:val="subscript"/>
                    </w:rPr>
                    <w:t>2.5</w:t>
                  </w:r>
                </w:p>
              </w:tc>
              <w:tc>
                <w:tcPr>
                  <w:tcW w:w="1451" w:type="dxa"/>
                  <w:tcBorders>
                    <w:tl2br w:val="nil"/>
                    <w:tr2bl w:val="nil"/>
                  </w:tcBorders>
                  <w:vAlign w:val="center"/>
                </w:tcPr>
                <w:p>
                  <w:pPr>
                    <w:pStyle w:val="297"/>
                    <w:jc w:val="center"/>
                    <w:rPr>
                      <w:color w:val="auto"/>
                      <w:szCs w:val="21"/>
                    </w:rPr>
                  </w:pPr>
                  <w:r>
                    <w:rPr>
                      <w:rFonts w:hint="eastAsia"/>
                      <w:color w:val="auto"/>
                      <w:szCs w:val="21"/>
                    </w:rPr>
                    <w:t>35</w:t>
                  </w:r>
                  <w:r>
                    <w:rPr>
                      <w:color w:val="auto"/>
                      <w:szCs w:val="21"/>
                    </w:rPr>
                    <w:t>µg/m</w:t>
                  </w:r>
                  <w:r>
                    <w:rPr>
                      <w:color w:val="auto"/>
                      <w:szCs w:val="21"/>
                      <w:vertAlign w:val="superscript"/>
                    </w:rPr>
                    <w:t>3</w:t>
                  </w:r>
                </w:p>
              </w:tc>
              <w:tc>
                <w:tcPr>
                  <w:tcW w:w="1701" w:type="dxa"/>
                  <w:tcBorders>
                    <w:tl2br w:val="nil"/>
                    <w:tr2bl w:val="nil"/>
                  </w:tcBorders>
                  <w:vAlign w:val="center"/>
                </w:tcPr>
                <w:p>
                  <w:pPr>
                    <w:pStyle w:val="297"/>
                    <w:jc w:val="center"/>
                    <w:rPr>
                      <w:color w:val="auto"/>
                      <w:szCs w:val="21"/>
                    </w:rPr>
                  </w:pPr>
                  <w:r>
                    <w:rPr>
                      <w:rFonts w:hint="eastAsia"/>
                      <w:color w:val="auto"/>
                      <w:szCs w:val="21"/>
                    </w:rPr>
                    <w:t>75</w:t>
                  </w:r>
                  <w:r>
                    <w:rPr>
                      <w:color w:val="auto"/>
                      <w:szCs w:val="21"/>
                    </w:rPr>
                    <w:t>µg/m</w:t>
                  </w:r>
                  <w:r>
                    <w:rPr>
                      <w:color w:val="auto"/>
                      <w:szCs w:val="21"/>
                      <w:vertAlign w:val="superscript"/>
                    </w:rPr>
                    <w:t>3</w:t>
                  </w:r>
                </w:p>
              </w:tc>
              <w:tc>
                <w:tcPr>
                  <w:tcW w:w="1550" w:type="dxa"/>
                  <w:tcBorders>
                    <w:tl2br w:val="nil"/>
                    <w:tr2bl w:val="nil"/>
                  </w:tcBorders>
                  <w:vAlign w:val="center"/>
                </w:tcPr>
                <w:p>
                  <w:pPr>
                    <w:pStyle w:val="297"/>
                    <w:jc w:val="center"/>
                    <w:rPr>
                      <w:color w:val="auto"/>
                    </w:rPr>
                  </w:pPr>
                  <w:r>
                    <w:rPr>
                      <w:rFonts w:hint="eastAsia"/>
                      <w:color w:val="auto"/>
                    </w:rPr>
                    <w:t>/</w:t>
                  </w:r>
                </w:p>
              </w:tc>
              <w:tc>
                <w:tcPr>
                  <w:tcW w:w="1510" w:type="dxa"/>
                  <w:tcBorders>
                    <w:tl2br w:val="nil"/>
                    <w:tr2bl w:val="nil"/>
                  </w:tcBorders>
                  <w:vAlign w:val="center"/>
                </w:tcPr>
                <w:p>
                  <w:pPr>
                    <w:pStyle w:val="297"/>
                    <w:jc w:val="center"/>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jc w:val="center"/>
                    <w:rPr>
                      <w:color w:val="auto"/>
                    </w:rPr>
                  </w:pPr>
                  <w:r>
                    <w:rPr>
                      <w:color w:val="auto"/>
                    </w:rPr>
                    <w:t>一氧化碳</w:t>
                  </w:r>
                  <w:r>
                    <w:rPr>
                      <w:rFonts w:hint="eastAsia"/>
                      <w:color w:val="auto"/>
                    </w:rPr>
                    <w:t>（CO）</w:t>
                  </w:r>
                </w:p>
              </w:tc>
              <w:tc>
                <w:tcPr>
                  <w:tcW w:w="1451" w:type="dxa"/>
                  <w:tcBorders>
                    <w:tl2br w:val="nil"/>
                    <w:tr2bl w:val="nil"/>
                  </w:tcBorders>
                  <w:vAlign w:val="center"/>
                </w:tcPr>
                <w:p>
                  <w:pPr>
                    <w:pStyle w:val="297"/>
                    <w:jc w:val="center"/>
                    <w:rPr>
                      <w:color w:val="auto"/>
                      <w:szCs w:val="21"/>
                    </w:rPr>
                  </w:pPr>
                  <w:r>
                    <w:rPr>
                      <w:rFonts w:hint="eastAsia"/>
                      <w:color w:val="auto"/>
                      <w:szCs w:val="21"/>
                    </w:rPr>
                    <w:t>/</w:t>
                  </w:r>
                </w:p>
              </w:tc>
              <w:tc>
                <w:tcPr>
                  <w:tcW w:w="1701" w:type="dxa"/>
                  <w:tcBorders>
                    <w:tl2br w:val="nil"/>
                    <w:tr2bl w:val="nil"/>
                  </w:tcBorders>
                  <w:vAlign w:val="center"/>
                </w:tcPr>
                <w:p>
                  <w:pPr>
                    <w:pStyle w:val="297"/>
                    <w:jc w:val="center"/>
                    <w:rPr>
                      <w:color w:val="auto"/>
                      <w:szCs w:val="21"/>
                    </w:rPr>
                  </w:pPr>
                  <w:r>
                    <w:rPr>
                      <w:rFonts w:hint="eastAsia"/>
                      <w:color w:val="auto"/>
                      <w:szCs w:val="21"/>
                    </w:rPr>
                    <w:t>4</w:t>
                  </w:r>
                  <w:r>
                    <w:rPr>
                      <w:rFonts w:hint="eastAsia"/>
                      <w:color w:val="auto"/>
                      <w:szCs w:val="21"/>
                      <w:lang w:val="en-US" w:eastAsia="zh-CN"/>
                    </w:rPr>
                    <w:t>m</w:t>
                  </w:r>
                  <w:r>
                    <w:rPr>
                      <w:color w:val="auto"/>
                      <w:szCs w:val="21"/>
                    </w:rPr>
                    <w:t>g/m</w:t>
                  </w:r>
                  <w:r>
                    <w:rPr>
                      <w:color w:val="auto"/>
                      <w:szCs w:val="21"/>
                      <w:vertAlign w:val="superscript"/>
                    </w:rPr>
                    <w:t>3</w:t>
                  </w:r>
                </w:p>
              </w:tc>
              <w:tc>
                <w:tcPr>
                  <w:tcW w:w="1550" w:type="dxa"/>
                  <w:tcBorders>
                    <w:tl2br w:val="nil"/>
                    <w:tr2bl w:val="nil"/>
                  </w:tcBorders>
                  <w:vAlign w:val="center"/>
                </w:tcPr>
                <w:p>
                  <w:pPr>
                    <w:pStyle w:val="297"/>
                    <w:jc w:val="center"/>
                    <w:rPr>
                      <w:color w:val="auto"/>
                    </w:rPr>
                  </w:pPr>
                  <w:r>
                    <w:rPr>
                      <w:rFonts w:hint="eastAsia"/>
                      <w:color w:val="auto"/>
                      <w:szCs w:val="21"/>
                      <w:lang w:val="en-US" w:eastAsia="zh-CN"/>
                    </w:rPr>
                    <w:t>10m</w:t>
                  </w:r>
                  <w:r>
                    <w:rPr>
                      <w:color w:val="auto"/>
                      <w:szCs w:val="21"/>
                    </w:rPr>
                    <w:t>g/m</w:t>
                  </w:r>
                  <w:r>
                    <w:rPr>
                      <w:color w:val="auto"/>
                      <w:szCs w:val="21"/>
                      <w:vertAlign w:val="superscript"/>
                    </w:rPr>
                    <w:t>3</w:t>
                  </w:r>
                </w:p>
              </w:tc>
              <w:tc>
                <w:tcPr>
                  <w:tcW w:w="1510" w:type="dxa"/>
                  <w:tcBorders>
                    <w:tl2br w:val="nil"/>
                    <w:tr2bl w:val="nil"/>
                  </w:tcBorders>
                  <w:vAlign w:val="center"/>
                </w:tcPr>
                <w:p>
                  <w:pPr>
                    <w:pStyle w:val="297"/>
                    <w:jc w:val="center"/>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726" w:type="dxa"/>
                  <w:tcBorders>
                    <w:tl2br w:val="nil"/>
                    <w:tr2bl w:val="nil"/>
                  </w:tcBorders>
                  <w:vAlign w:val="center"/>
                </w:tcPr>
                <w:p>
                  <w:pPr>
                    <w:pStyle w:val="297"/>
                    <w:jc w:val="center"/>
                    <w:rPr>
                      <w:color w:val="auto"/>
                    </w:rPr>
                  </w:pPr>
                  <w:r>
                    <w:rPr>
                      <w:color w:val="auto"/>
                    </w:rPr>
                    <w:t>臭氧</w:t>
                  </w:r>
                  <w:r>
                    <w:rPr>
                      <w:rFonts w:hint="eastAsia"/>
                      <w:color w:val="auto"/>
                    </w:rPr>
                    <w:t>（O</w:t>
                  </w:r>
                  <w:r>
                    <w:rPr>
                      <w:rFonts w:hint="eastAsia"/>
                      <w:color w:val="auto"/>
                      <w:vertAlign w:val="subscript"/>
                    </w:rPr>
                    <w:t>3</w:t>
                  </w:r>
                  <w:r>
                    <w:rPr>
                      <w:rFonts w:hint="eastAsia"/>
                      <w:color w:val="auto"/>
                    </w:rPr>
                    <w:t>）</w:t>
                  </w:r>
                </w:p>
              </w:tc>
              <w:tc>
                <w:tcPr>
                  <w:tcW w:w="1451" w:type="dxa"/>
                  <w:tcBorders>
                    <w:tl2br w:val="nil"/>
                    <w:tr2bl w:val="nil"/>
                  </w:tcBorders>
                  <w:vAlign w:val="center"/>
                </w:tcPr>
                <w:p>
                  <w:pPr>
                    <w:pStyle w:val="297"/>
                    <w:jc w:val="center"/>
                    <w:rPr>
                      <w:color w:val="auto"/>
                      <w:szCs w:val="21"/>
                    </w:rPr>
                  </w:pPr>
                  <w:r>
                    <w:rPr>
                      <w:rFonts w:hint="eastAsia"/>
                      <w:color w:val="auto"/>
                      <w:szCs w:val="21"/>
                    </w:rPr>
                    <w:t>/</w:t>
                  </w:r>
                </w:p>
              </w:tc>
              <w:tc>
                <w:tcPr>
                  <w:tcW w:w="1701" w:type="dxa"/>
                  <w:tcBorders>
                    <w:tl2br w:val="nil"/>
                    <w:tr2bl w:val="nil"/>
                  </w:tcBorders>
                  <w:vAlign w:val="center"/>
                </w:tcPr>
                <w:p>
                  <w:pPr>
                    <w:pStyle w:val="297"/>
                    <w:jc w:val="center"/>
                    <w:rPr>
                      <w:color w:val="auto"/>
                      <w:szCs w:val="21"/>
                    </w:rPr>
                  </w:pPr>
                  <w:r>
                    <w:rPr>
                      <w:rFonts w:hint="eastAsia"/>
                      <w:color w:val="auto"/>
                      <w:szCs w:val="21"/>
                    </w:rPr>
                    <w:t>/</w:t>
                  </w:r>
                </w:p>
              </w:tc>
              <w:tc>
                <w:tcPr>
                  <w:tcW w:w="1550" w:type="dxa"/>
                  <w:tcBorders>
                    <w:tl2br w:val="nil"/>
                    <w:tr2bl w:val="nil"/>
                  </w:tcBorders>
                  <w:vAlign w:val="center"/>
                </w:tcPr>
                <w:p>
                  <w:pPr>
                    <w:pStyle w:val="297"/>
                    <w:jc w:val="center"/>
                    <w:rPr>
                      <w:color w:val="auto"/>
                    </w:rPr>
                  </w:pPr>
                  <w:r>
                    <w:rPr>
                      <w:rFonts w:hint="eastAsia"/>
                      <w:color w:val="auto"/>
                      <w:lang w:val="en-US" w:eastAsia="zh-CN"/>
                    </w:rPr>
                    <w:t>20</w:t>
                  </w:r>
                  <w:r>
                    <w:rPr>
                      <w:rFonts w:hint="eastAsia"/>
                      <w:color w:val="auto"/>
                    </w:rPr>
                    <w:t>0</w:t>
                  </w:r>
                  <w:r>
                    <w:rPr>
                      <w:color w:val="auto"/>
                      <w:szCs w:val="21"/>
                    </w:rPr>
                    <w:t>µg/m</w:t>
                  </w:r>
                  <w:r>
                    <w:rPr>
                      <w:color w:val="auto"/>
                      <w:szCs w:val="21"/>
                      <w:vertAlign w:val="superscript"/>
                    </w:rPr>
                    <w:t>3</w:t>
                  </w:r>
                </w:p>
              </w:tc>
              <w:tc>
                <w:tcPr>
                  <w:tcW w:w="1510" w:type="dxa"/>
                  <w:tcBorders>
                    <w:tl2br w:val="nil"/>
                    <w:tr2bl w:val="nil"/>
                  </w:tcBorders>
                  <w:vAlign w:val="center"/>
                </w:tcPr>
                <w:p>
                  <w:pPr>
                    <w:pStyle w:val="297"/>
                    <w:jc w:val="center"/>
                    <w:rPr>
                      <w:color w:val="auto"/>
                    </w:rPr>
                  </w:pPr>
                  <w:r>
                    <w:rPr>
                      <w:rFonts w:hint="eastAsia"/>
                      <w:color w:val="auto"/>
                    </w:rPr>
                    <w:t>160</w:t>
                  </w:r>
                  <w:r>
                    <w:rPr>
                      <w:color w:val="auto"/>
                      <w:szCs w:val="21"/>
                    </w:rPr>
                    <w:t>µg/m</w:t>
                  </w:r>
                  <w:r>
                    <w:rPr>
                      <w:color w:val="auto"/>
                      <w:szCs w:val="21"/>
                      <w:vertAlign w:val="superscript"/>
                    </w:rPr>
                    <w:t>3</w:t>
                  </w:r>
                </w:p>
              </w:tc>
            </w:tr>
          </w:tbl>
          <w:p>
            <w:pPr>
              <w:numPr>
                <w:ilvl w:val="0"/>
                <w:numId w:val="3"/>
              </w:numPr>
              <w:spacing w:line="360" w:lineRule="auto"/>
              <w:rPr>
                <w:rFonts w:ascii="Times New Roman" w:hAnsi="Times New Roman" w:cs="Times New Roman"/>
                <w:b/>
                <w:color w:val="auto"/>
                <w:sz w:val="24"/>
                <w:szCs w:val="20"/>
              </w:rPr>
            </w:pPr>
            <w:r>
              <w:rPr>
                <w:rFonts w:ascii="Times New Roman" w:cs="Times New Roman"/>
                <w:b/>
                <w:color w:val="auto"/>
                <w:sz w:val="24"/>
                <w:szCs w:val="20"/>
              </w:rPr>
              <w:t>声环境</w:t>
            </w:r>
          </w:p>
          <w:p>
            <w:pPr>
              <w:spacing w:line="360" w:lineRule="auto"/>
              <w:ind w:firstLine="448" w:firstLineChars="200"/>
              <w:rPr>
                <w:rFonts w:ascii="Times New Roman" w:hAnsi="Times New Roman" w:cs="Times New Roman"/>
                <w:color w:val="auto"/>
                <w:sz w:val="24"/>
                <w:szCs w:val="20"/>
              </w:rPr>
            </w:pPr>
            <w:r>
              <w:rPr>
                <w:rFonts w:hint="eastAsia" w:ascii="Times New Roman" w:cs="Times New Roman"/>
                <w:color w:val="auto"/>
                <w:spacing w:val="-8"/>
                <w:sz w:val="24"/>
                <w:szCs w:val="20"/>
              </w:rPr>
              <w:t>执行《声环境质量标准》</w:t>
            </w:r>
            <w:r>
              <w:rPr>
                <w:rFonts w:ascii="Times New Roman" w:hAnsi="Times New Roman" w:cs="Times New Roman"/>
                <w:color w:val="auto"/>
                <w:spacing w:val="-8"/>
                <w:sz w:val="24"/>
                <w:szCs w:val="20"/>
              </w:rPr>
              <w:t>(GB3096-2008) 2</w:t>
            </w:r>
            <w:r>
              <w:rPr>
                <w:rFonts w:hint="eastAsia" w:ascii="Times New Roman" w:cs="Times New Roman"/>
                <w:color w:val="auto"/>
                <w:spacing w:val="-8"/>
                <w:sz w:val="24"/>
                <w:szCs w:val="20"/>
              </w:rPr>
              <w:t>类标准</w:t>
            </w:r>
            <w:r>
              <w:rPr>
                <w:rFonts w:hint="eastAsia" w:ascii="Times New Roman" w:cs="Times New Roman"/>
                <w:color w:val="auto"/>
                <w:sz w:val="24"/>
                <w:szCs w:val="20"/>
              </w:rPr>
              <w:t>。见表</w:t>
            </w:r>
            <w:r>
              <w:rPr>
                <w:rFonts w:ascii="Times New Roman" w:hAnsi="Times New Roman" w:cs="Times New Roman"/>
                <w:color w:val="auto"/>
                <w:sz w:val="24"/>
                <w:szCs w:val="20"/>
              </w:rPr>
              <w:t>4-2</w:t>
            </w:r>
            <w:r>
              <w:rPr>
                <w:rFonts w:hint="eastAsia" w:ascii="Times New Roman" w:cs="Times New Roman"/>
                <w:color w:val="auto"/>
                <w:sz w:val="24"/>
                <w:szCs w:val="20"/>
              </w:rPr>
              <w:t>。</w:t>
            </w:r>
          </w:p>
          <w:p>
            <w:pPr>
              <w:jc w:val="center"/>
              <w:rPr>
                <w:rFonts w:hint="eastAsia"/>
                <w:b/>
                <w:bCs/>
                <w:color w:val="auto"/>
                <w:szCs w:val="21"/>
                <w:lang w:val="en-US" w:eastAsia="zh-CN"/>
              </w:rPr>
            </w:pPr>
            <w:r>
              <w:rPr>
                <w:rFonts w:hint="eastAsia"/>
                <w:b/>
                <w:bCs/>
                <w:color w:val="auto"/>
                <w:szCs w:val="21"/>
                <w:lang w:val="en-US" w:eastAsia="zh-CN"/>
              </w:rPr>
              <w:t>表4-2   声环境标准  单位：dB(A)</w:t>
            </w:r>
          </w:p>
          <w:tbl>
            <w:tblPr>
              <w:tblStyle w:val="51"/>
              <w:tblW w:w="8096"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699"/>
              <w:gridCol w:w="2699"/>
              <w:gridCol w:w="269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2699"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宋体" w:cs="Times New Roman"/>
                      <w:color w:val="auto"/>
                      <w:kern w:val="0"/>
                      <w:szCs w:val="21"/>
                    </w:rPr>
                    <w:t>标准类别</w:t>
                  </w:r>
                </w:p>
              </w:tc>
              <w:tc>
                <w:tcPr>
                  <w:tcW w:w="2699"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宋体" w:cs="Times New Roman"/>
                      <w:color w:val="auto"/>
                      <w:kern w:val="0"/>
                      <w:szCs w:val="21"/>
                    </w:rPr>
                    <w:t>昼间</w:t>
                  </w:r>
                </w:p>
              </w:tc>
              <w:tc>
                <w:tcPr>
                  <w:tcW w:w="2698"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宋体" w:cs="Times New Roman"/>
                      <w:color w:val="auto"/>
                      <w:kern w:val="0"/>
                      <w:szCs w:val="21"/>
                    </w:rPr>
                    <w:t>夜间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2699"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2</w:t>
                  </w:r>
                  <w:r>
                    <w:rPr>
                      <w:rFonts w:ascii="Times New Roman" w:hAnsi="宋体" w:cs="Times New Roman"/>
                      <w:color w:val="auto"/>
                      <w:kern w:val="0"/>
                      <w:szCs w:val="21"/>
                    </w:rPr>
                    <w:t>类</w:t>
                  </w:r>
                </w:p>
              </w:tc>
              <w:tc>
                <w:tcPr>
                  <w:tcW w:w="2699"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60</w:t>
                  </w:r>
                </w:p>
              </w:tc>
              <w:tc>
                <w:tcPr>
                  <w:tcW w:w="2698" w:type="dxa"/>
                  <w:tcBorders>
                    <w:tl2br w:val="nil"/>
                    <w:tr2bl w:val="nil"/>
                  </w:tcBorders>
                  <w:vAlign w:val="center"/>
                </w:tcPr>
                <w:p>
                  <w:pPr>
                    <w:widowControl/>
                    <w:jc w:val="center"/>
                    <w:rPr>
                      <w:rFonts w:ascii="Times New Roman" w:hAnsi="Times New Roman" w:cs="Times New Roman"/>
                      <w:color w:val="auto"/>
                      <w:kern w:val="0"/>
                      <w:szCs w:val="21"/>
                    </w:rPr>
                  </w:pPr>
                  <w:r>
                    <w:rPr>
                      <w:rFonts w:ascii="Times New Roman" w:hAnsi="Times New Roman" w:cs="Times New Roman"/>
                      <w:color w:val="auto"/>
                      <w:kern w:val="0"/>
                      <w:szCs w:val="21"/>
                    </w:rPr>
                    <w:t>50</w:t>
                  </w:r>
                </w:p>
              </w:tc>
            </w:tr>
          </w:tbl>
          <w:p>
            <w:pPr>
              <w:ind w:firstLine="561"/>
              <w:jc w:val="center"/>
              <w:rPr>
                <w:rFonts w:ascii="Times New Roman" w:hAnsi="Times New Roman" w:cs="Times New Roman"/>
                <w:b/>
                <w:color w:val="auto"/>
                <w:szCs w:val="21"/>
              </w:rPr>
            </w:pPr>
          </w:p>
          <w:p>
            <w:pPr>
              <w:numPr>
                <w:ilvl w:val="0"/>
                <w:numId w:val="3"/>
              </w:numPr>
              <w:adjustRightInd w:val="0"/>
              <w:spacing w:line="360" w:lineRule="auto"/>
              <w:ind w:right="113"/>
              <w:rPr>
                <w:rFonts w:ascii="Times New Roman" w:hAnsi="Times New Roman" w:cs="Times New Roman"/>
                <w:b/>
                <w:color w:val="auto"/>
                <w:kern w:val="0"/>
                <w:sz w:val="24"/>
              </w:rPr>
            </w:pPr>
            <w:r>
              <w:rPr>
                <w:rFonts w:hint="eastAsia" w:ascii="Times New Roman" w:cs="Times New Roman"/>
                <w:b/>
                <w:color w:val="auto"/>
                <w:kern w:val="0"/>
                <w:sz w:val="24"/>
              </w:rPr>
              <w:t>地表水</w:t>
            </w:r>
          </w:p>
          <w:p>
            <w:pPr>
              <w:adjustRightInd w:val="0"/>
              <w:spacing w:line="360" w:lineRule="auto"/>
              <w:ind w:right="113" w:firstLine="480" w:firstLineChars="200"/>
              <w:rPr>
                <w:rFonts w:ascii="Times New Roman" w:hAnsi="Times New Roman" w:cs="Times New Roman"/>
                <w:color w:val="auto"/>
                <w:kern w:val="0"/>
                <w:sz w:val="24"/>
              </w:rPr>
            </w:pPr>
            <w:r>
              <w:rPr>
                <w:rFonts w:hint="eastAsia" w:ascii="Times New Roman" w:cs="Times New Roman"/>
                <w:color w:val="auto"/>
                <w:kern w:val="0"/>
                <w:sz w:val="24"/>
              </w:rPr>
              <w:t>执行《地表水环境质量标准》</w:t>
            </w:r>
            <w:r>
              <w:rPr>
                <w:rFonts w:ascii="Times New Roman" w:hAnsi="Times New Roman" w:cs="Times New Roman"/>
                <w:color w:val="auto"/>
                <w:kern w:val="0"/>
                <w:sz w:val="24"/>
              </w:rPr>
              <w:t>(GB3838-2002)</w:t>
            </w:r>
            <w:r>
              <w:rPr>
                <w:rFonts w:hint="eastAsia" w:ascii="微软雅黑" w:hAnsi="微软雅黑" w:eastAsia="微软雅黑" w:cs="微软雅黑"/>
                <w:color w:val="auto"/>
                <w:kern w:val="0"/>
                <w:sz w:val="24"/>
              </w:rPr>
              <w:t>Ⅲ</w:t>
            </w:r>
            <w:r>
              <w:rPr>
                <w:rFonts w:hint="eastAsia" w:ascii="Times New Roman" w:cs="Times New Roman"/>
                <w:color w:val="auto"/>
                <w:kern w:val="0"/>
                <w:sz w:val="24"/>
              </w:rPr>
              <w:t>类水域标准。</w:t>
            </w:r>
          </w:p>
          <w:p>
            <w:pPr>
              <w:jc w:val="center"/>
              <w:rPr>
                <w:rFonts w:hint="eastAsia"/>
                <w:b/>
                <w:bCs/>
                <w:color w:val="auto"/>
                <w:szCs w:val="21"/>
                <w:lang w:val="en-US" w:eastAsia="zh-CN"/>
              </w:rPr>
            </w:pPr>
            <w:r>
              <w:rPr>
                <w:rFonts w:hint="eastAsia"/>
                <w:b/>
                <w:bCs/>
                <w:color w:val="auto"/>
                <w:szCs w:val="21"/>
                <w:lang w:val="en-US" w:eastAsia="zh-CN"/>
              </w:rPr>
              <w:t>表4-3  地表水环境质量标准 单位mg/L， pH除外</w:t>
            </w:r>
          </w:p>
          <w:tbl>
            <w:tblPr>
              <w:tblStyle w:val="51"/>
              <w:tblW w:w="80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117"/>
              <w:gridCol w:w="1286"/>
              <w:gridCol w:w="1287"/>
              <w:gridCol w:w="1291"/>
              <w:gridCol w:w="1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l2br w:val="nil"/>
                    <w:tr2bl w:val="nil"/>
                  </w:tcBorders>
                  <w:vAlign w:val="center"/>
                </w:tcPr>
                <w:p>
                  <w:pPr>
                    <w:jc w:val="center"/>
                    <w:rPr>
                      <w:rFonts w:ascii="Times New Roman" w:hAnsi="Times New Roman" w:cs="Times New Roman"/>
                      <w:bCs/>
                      <w:color w:val="auto"/>
                      <w:kern w:val="0"/>
                      <w:szCs w:val="21"/>
                    </w:rPr>
                  </w:pPr>
                  <w:r>
                    <w:rPr>
                      <w:rFonts w:hint="eastAsia" w:ascii="Times New Roman" w:cs="Times New Roman"/>
                      <w:bCs/>
                      <w:color w:val="auto"/>
                      <w:kern w:val="0"/>
                      <w:szCs w:val="21"/>
                    </w:rPr>
                    <w:t>项目</w:t>
                  </w:r>
                </w:p>
              </w:tc>
              <w:tc>
                <w:tcPr>
                  <w:tcW w:w="1117" w:type="dxa"/>
                  <w:tcBorders>
                    <w:tl2br w:val="nil"/>
                    <w:tr2bl w:val="nil"/>
                  </w:tcBorders>
                  <w:tcMar>
                    <w:left w:w="28" w:type="dxa"/>
                    <w:right w:w="28" w:type="dxa"/>
                  </w:tcMar>
                  <w:vAlign w:val="center"/>
                </w:tcPr>
                <w:p>
                  <w:pPr>
                    <w:jc w:val="center"/>
                    <w:rPr>
                      <w:rFonts w:ascii="Times New Roman" w:hAnsi="Times New Roman" w:cs="Times New Roman"/>
                      <w:bCs/>
                      <w:color w:val="auto"/>
                      <w:kern w:val="0"/>
                      <w:szCs w:val="21"/>
                    </w:rPr>
                  </w:pPr>
                  <w:r>
                    <w:rPr>
                      <w:rFonts w:ascii="Times New Roman" w:hAnsi="Times New Roman" w:cs="Times New Roman"/>
                      <w:bCs/>
                      <w:color w:val="auto"/>
                      <w:kern w:val="0"/>
                      <w:szCs w:val="21"/>
                    </w:rPr>
                    <w:t>PH</w:t>
                  </w:r>
                </w:p>
              </w:tc>
              <w:tc>
                <w:tcPr>
                  <w:tcW w:w="1286" w:type="dxa"/>
                  <w:tcBorders>
                    <w:tl2br w:val="nil"/>
                    <w:tr2bl w:val="nil"/>
                  </w:tcBorders>
                  <w:tcMar>
                    <w:left w:w="28" w:type="dxa"/>
                    <w:right w:w="28" w:type="dxa"/>
                  </w:tcMar>
                  <w:vAlign w:val="center"/>
                </w:tcPr>
                <w:p>
                  <w:pPr>
                    <w:jc w:val="center"/>
                    <w:rPr>
                      <w:rFonts w:ascii="Times New Roman" w:hAnsi="Times New Roman" w:cs="Times New Roman"/>
                      <w:bCs/>
                      <w:color w:val="auto"/>
                      <w:kern w:val="0"/>
                      <w:szCs w:val="21"/>
                    </w:rPr>
                  </w:pPr>
                  <w:r>
                    <w:rPr>
                      <w:rFonts w:ascii="Times New Roman" w:hAnsi="Times New Roman" w:cs="Times New Roman"/>
                      <w:bCs/>
                      <w:color w:val="auto"/>
                      <w:kern w:val="0"/>
                      <w:szCs w:val="21"/>
                    </w:rPr>
                    <w:t>COD</w:t>
                  </w:r>
                  <w:r>
                    <w:rPr>
                      <w:rFonts w:ascii="Times New Roman" w:hAnsi="Times New Roman" w:cs="Times New Roman"/>
                      <w:bCs/>
                      <w:color w:val="auto"/>
                      <w:kern w:val="0"/>
                      <w:szCs w:val="21"/>
                      <w:vertAlign w:val="subscript"/>
                    </w:rPr>
                    <w:t>Cr</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auto"/>
                      <w:kern w:val="0"/>
                      <w:szCs w:val="21"/>
                    </w:rPr>
                  </w:pPr>
                  <w:r>
                    <w:rPr>
                      <w:rFonts w:ascii="Times New Roman" w:hAnsi="Times New Roman" w:cs="Times New Roman"/>
                      <w:bCs/>
                      <w:color w:val="auto"/>
                      <w:kern w:val="0"/>
                      <w:szCs w:val="21"/>
                    </w:rPr>
                    <w:t>BOD</w:t>
                  </w:r>
                  <w:r>
                    <w:rPr>
                      <w:rFonts w:ascii="Times New Roman" w:hAnsi="Times New Roman" w:cs="Times New Roman"/>
                      <w:bCs/>
                      <w:color w:val="auto"/>
                      <w:kern w:val="0"/>
                      <w:szCs w:val="21"/>
                      <w:vertAlign w:val="subscript"/>
                    </w:rPr>
                    <w:t>5</w:t>
                  </w:r>
                </w:p>
              </w:tc>
              <w:tc>
                <w:tcPr>
                  <w:tcW w:w="1291" w:type="dxa"/>
                  <w:tcBorders>
                    <w:tl2br w:val="nil"/>
                    <w:tr2bl w:val="nil"/>
                  </w:tcBorders>
                  <w:vAlign w:val="center"/>
                </w:tcPr>
                <w:p>
                  <w:pPr>
                    <w:jc w:val="center"/>
                    <w:rPr>
                      <w:rFonts w:ascii="Times New Roman" w:hAnsi="Times New Roman" w:cs="Times New Roman"/>
                      <w:bCs/>
                      <w:color w:val="auto"/>
                      <w:kern w:val="0"/>
                      <w:szCs w:val="21"/>
                    </w:rPr>
                  </w:pPr>
                  <w:r>
                    <w:rPr>
                      <w:rFonts w:ascii="Times New Roman" w:hAnsi="Times New Roman" w:cs="Times New Roman"/>
                      <w:bCs/>
                      <w:color w:val="auto"/>
                      <w:kern w:val="0"/>
                      <w:szCs w:val="21"/>
                    </w:rPr>
                    <w:t>NH</w:t>
                  </w:r>
                  <w:r>
                    <w:rPr>
                      <w:rFonts w:ascii="Times New Roman" w:hAnsi="Times New Roman" w:cs="Times New Roman"/>
                      <w:bCs/>
                      <w:color w:val="auto"/>
                      <w:kern w:val="0"/>
                      <w:szCs w:val="21"/>
                      <w:vertAlign w:val="subscript"/>
                    </w:rPr>
                    <w:t>3</w:t>
                  </w:r>
                  <w:r>
                    <w:rPr>
                      <w:rFonts w:ascii="Times New Roman" w:hAnsi="Times New Roman" w:cs="Times New Roman"/>
                      <w:bCs/>
                      <w:color w:val="auto"/>
                      <w:kern w:val="0"/>
                      <w:szCs w:val="21"/>
                    </w:rPr>
                    <w:t>-N</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auto"/>
                      <w:kern w:val="0"/>
                      <w:szCs w:val="21"/>
                    </w:rPr>
                  </w:pPr>
                  <w:r>
                    <w:rPr>
                      <w:rFonts w:hint="eastAsia"/>
                      <w:snapToGrid w:val="0"/>
                      <w:color w:val="auto"/>
                    </w:rPr>
                    <w:t>总磷（以</w:t>
                  </w:r>
                  <w:r>
                    <w:rPr>
                      <w:snapToGrid w:val="0"/>
                      <w:color w:val="auto"/>
                    </w:rPr>
                    <w:t>P</w:t>
                  </w:r>
                  <w:r>
                    <w:rPr>
                      <w:rFonts w:hint="eastAsia"/>
                      <w:snapToGrid w:val="0"/>
                      <w:color w:val="auto"/>
                    </w:rPr>
                    <w:t>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28" w:type="dxa"/>
                  <w:tcBorders>
                    <w:tl2br w:val="nil"/>
                    <w:tr2bl w:val="nil"/>
                  </w:tcBorders>
                  <w:vAlign w:val="center"/>
                </w:tcPr>
                <w:p>
                  <w:pPr>
                    <w:jc w:val="center"/>
                    <w:rPr>
                      <w:rFonts w:ascii="Times New Roman" w:hAnsi="Times New Roman" w:cs="Times New Roman"/>
                      <w:bCs/>
                      <w:color w:val="auto"/>
                      <w:kern w:val="0"/>
                      <w:szCs w:val="21"/>
                    </w:rPr>
                  </w:pPr>
                  <w:r>
                    <w:rPr>
                      <w:rFonts w:ascii="Times New Roman" w:cs="Times New Roman"/>
                      <w:bCs/>
                      <w:color w:val="auto"/>
                      <w:kern w:val="0"/>
                      <w:szCs w:val="21"/>
                    </w:rPr>
                    <w:t>标准值</w:t>
                  </w:r>
                  <w:r>
                    <w:rPr>
                      <w:rFonts w:ascii="Times New Roman" w:hAnsi="Times New Roman" w:cs="Times New Roman"/>
                      <w:bCs/>
                      <w:color w:val="auto"/>
                      <w:kern w:val="0"/>
                      <w:szCs w:val="21"/>
                    </w:rPr>
                    <w:t>mg/L</w:t>
                  </w:r>
                </w:p>
              </w:tc>
              <w:tc>
                <w:tcPr>
                  <w:tcW w:w="1117" w:type="dxa"/>
                  <w:tcBorders>
                    <w:tl2br w:val="nil"/>
                    <w:tr2bl w:val="nil"/>
                  </w:tcBorders>
                  <w:tcMar>
                    <w:left w:w="28" w:type="dxa"/>
                    <w:right w:w="28" w:type="dxa"/>
                  </w:tcMar>
                  <w:vAlign w:val="center"/>
                </w:tcPr>
                <w:p>
                  <w:pPr>
                    <w:jc w:val="center"/>
                    <w:rPr>
                      <w:rFonts w:ascii="Times New Roman" w:hAnsi="Times New Roman" w:cs="Times New Roman"/>
                      <w:bCs/>
                      <w:color w:val="auto"/>
                      <w:kern w:val="0"/>
                      <w:szCs w:val="21"/>
                    </w:rPr>
                  </w:pPr>
                  <w:r>
                    <w:rPr>
                      <w:rFonts w:ascii="Times New Roman" w:hAnsi="Times New Roman" w:cs="Times New Roman"/>
                      <w:bCs/>
                      <w:color w:val="auto"/>
                      <w:kern w:val="0"/>
                      <w:szCs w:val="21"/>
                    </w:rPr>
                    <w:t>6~9</w:t>
                  </w:r>
                </w:p>
              </w:tc>
              <w:tc>
                <w:tcPr>
                  <w:tcW w:w="1286" w:type="dxa"/>
                  <w:tcBorders>
                    <w:tl2br w:val="nil"/>
                    <w:tr2bl w:val="nil"/>
                  </w:tcBorders>
                  <w:tcMar>
                    <w:left w:w="28" w:type="dxa"/>
                    <w:right w:w="28" w:type="dxa"/>
                  </w:tcMar>
                  <w:vAlign w:val="center"/>
                </w:tcPr>
                <w:p>
                  <w:pPr>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rPr>
                    <w:t>≤</w:t>
                  </w:r>
                  <w:r>
                    <w:rPr>
                      <w:rFonts w:hint="eastAsia" w:ascii="Times New Roman" w:hAnsi="Times New Roman" w:cs="Times New Roman"/>
                      <w:bCs/>
                      <w:color w:val="auto"/>
                      <w:kern w:val="0"/>
                      <w:szCs w:val="21"/>
                      <w:lang w:val="en-US" w:eastAsia="zh-CN"/>
                    </w:rPr>
                    <w:t>20</w:t>
                  </w:r>
                </w:p>
              </w:tc>
              <w:tc>
                <w:tcPr>
                  <w:tcW w:w="1287" w:type="dxa"/>
                  <w:tcBorders>
                    <w:tl2br w:val="nil"/>
                    <w:tr2bl w:val="nil"/>
                  </w:tcBorders>
                  <w:tcMar>
                    <w:left w:w="28" w:type="dxa"/>
                    <w:right w:w="28" w:type="dxa"/>
                  </w:tcMar>
                  <w:vAlign w:val="center"/>
                </w:tcPr>
                <w:p>
                  <w:pPr>
                    <w:jc w:val="center"/>
                    <w:rPr>
                      <w:rFonts w:hint="eastAsia" w:ascii="Times New Roman" w:hAnsi="Times New Roman" w:cs="Times New Roman" w:eastAsiaTheme="minorEastAsia"/>
                      <w:bCs/>
                      <w:color w:val="auto"/>
                      <w:kern w:val="0"/>
                      <w:szCs w:val="21"/>
                      <w:lang w:eastAsia="zh-CN"/>
                    </w:rPr>
                  </w:pPr>
                  <w:r>
                    <w:rPr>
                      <w:rFonts w:hint="eastAsia" w:ascii="Times New Roman" w:hAnsi="Times New Roman" w:cs="Times New Roman"/>
                      <w:bCs/>
                      <w:color w:val="auto"/>
                      <w:kern w:val="0"/>
                      <w:szCs w:val="21"/>
                    </w:rPr>
                    <w:t>≤</w:t>
                  </w:r>
                  <w:r>
                    <w:rPr>
                      <w:rFonts w:hint="eastAsia" w:ascii="Times New Roman" w:hAnsi="Times New Roman" w:cs="Times New Roman"/>
                      <w:bCs/>
                      <w:color w:val="auto"/>
                      <w:kern w:val="0"/>
                      <w:szCs w:val="21"/>
                      <w:lang w:val="en-US" w:eastAsia="zh-CN"/>
                    </w:rPr>
                    <w:t>4</w:t>
                  </w:r>
                </w:p>
              </w:tc>
              <w:tc>
                <w:tcPr>
                  <w:tcW w:w="1291" w:type="dxa"/>
                  <w:tcBorders>
                    <w:tl2br w:val="nil"/>
                    <w:tr2bl w:val="nil"/>
                  </w:tcBorders>
                  <w:vAlign w:val="center"/>
                </w:tcPr>
                <w:p>
                  <w:pPr>
                    <w:jc w:val="center"/>
                    <w:rPr>
                      <w:rFonts w:hint="default" w:ascii="Times New Roman" w:hAnsi="Times New Roman" w:cs="Times New Roman" w:eastAsiaTheme="minorEastAsia"/>
                      <w:bCs/>
                      <w:color w:val="auto"/>
                      <w:kern w:val="0"/>
                      <w:szCs w:val="21"/>
                      <w:lang w:val="en-US" w:eastAsia="zh-CN"/>
                    </w:rPr>
                  </w:pPr>
                  <w:r>
                    <w:rPr>
                      <w:rFonts w:hint="eastAsia" w:ascii="Times New Roman" w:hAnsi="Times New Roman" w:cs="Times New Roman"/>
                      <w:bCs/>
                      <w:color w:val="auto"/>
                      <w:kern w:val="0"/>
                      <w:szCs w:val="21"/>
                    </w:rPr>
                    <w:t>≤</w:t>
                  </w:r>
                  <w:r>
                    <w:rPr>
                      <w:rFonts w:hint="eastAsia" w:ascii="Times New Roman" w:hAnsi="Times New Roman" w:cs="Times New Roman"/>
                      <w:bCs/>
                      <w:color w:val="auto"/>
                      <w:kern w:val="0"/>
                      <w:szCs w:val="21"/>
                      <w:lang w:val="en-US" w:eastAsia="zh-CN"/>
                    </w:rPr>
                    <w:t>1.0</w:t>
                  </w:r>
                </w:p>
              </w:tc>
              <w:tc>
                <w:tcPr>
                  <w:tcW w:w="1287" w:type="dxa"/>
                  <w:tcBorders>
                    <w:tl2br w:val="nil"/>
                    <w:tr2bl w:val="nil"/>
                  </w:tcBorders>
                  <w:tcMar>
                    <w:left w:w="28" w:type="dxa"/>
                    <w:right w:w="28" w:type="dxa"/>
                  </w:tcMar>
                  <w:vAlign w:val="center"/>
                </w:tcPr>
                <w:p>
                  <w:pPr>
                    <w:jc w:val="center"/>
                    <w:rPr>
                      <w:rFonts w:ascii="Times New Roman" w:hAnsi="Times New Roman" w:cs="Times New Roman"/>
                      <w:bCs/>
                      <w:color w:val="auto"/>
                      <w:kern w:val="0"/>
                      <w:szCs w:val="21"/>
                    </w:rPr>
                  </w:pPr>
                  <w:r>
                    <w:rPr>
                      <w:snapToGrid w:val="0"/>
                      <w:color w:val="auto"/>
                    </w:rPr>
                    <w:t>≤0.</w:t>
                  </w:r>
                  <w:r>
                    <w:rPr>
                      <w:rFonts w:hint="eastAsia"/>
                      <w:snapToGrid w:val="0"/>
                      <w:color w:val="auto"/>
                      <w:lang w:val="en-US" w:eastAsia="zh-CN"/>
                    </w:rPr>
                    <w:t>2</w:t>
                  </w:r>
                  <w:r>
                    <w:rPr>
                      <w:snapToGrid w:val="0"/>
                      <w:color w:val="auto"/>
                    </w:rPr>
                    <w:t>mg/L</w:t>
                  </w:r>
                </w:p>
              </w:tc>
            </w:tr>
          </w:tbl>
          <w:p>
            <w:pPr>
              <w:widowControl/>
              <w:snapToGrid w:val="0"/>
              <w:jc w:val="left"/>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 xml:space="preserve"> </w:t>
            </w: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color w:val="auto"/>
                <w:sz w:val="24"/>
                <w:lang w:eastAsia="zh-CN"/>
              </w:rPr>
            </w:pPr>
          </w:p>
          <w:p>
            <w:pPr>
              <w:widowControl/>
              <w:snapToGrid w:val="0"/>
              <w:jc w:val="left"/>
              <w:rPr>
                <w:rFonts w:hint="eastAsia" w:ascii="Times New Roman" w:hAnsi="Times New Roman" w:cs="Times New Roman" w:eastAsiaTheme="minorEastAsia"/>
                <w:color w:val="auto"/>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jc w:val="center"/>
        </w:trPr>
        <w:tc>
          <w:tcPr>
            <w:tcW w:w="852" w:type="dxa"/>
            <w:vAlign w:val="center"/>
          </w:tcPr>
          <w:p>
            <w:pPr>
              <w:snapToGrid w:val="0"/>
              <w:jc w:val="center"/>
              <w:rPr>
                <w:rFonts w:ascii="Times New Roman" w:hAnsi="Times New Roman" w:cs="Times New Roman"/>
                <w:color w:val="auto"/>
                <w:sz w:val="28"/>
                <w:szCs w:val="28"/>
              </w:rPr>
            </w:pPr>
            <w:r>
              <w:rPr>
                <w:rFonts w:ascii="t" w:hAnsi="t"/>
                <w:b/>
                <w:color w:val="auto"/>
                <w:sz w:val="24"/>
              </w:rPr>
              <w:t>污染物排放标准</w:t>
            </w:r>
          </w:p>
        </w:tc>
        <w:tc>
          <w:tcPr>
            <w:tcW w:w="8787" w:type="dxa"/>
          </w:tcPr>
          <w:p>
            <w:pPr>
              <w:numPr>
                <w:ilvl w:val="0"/>
                <w:numId w:val="4"/>
              </w:numPr>
              <w:spacing w:line="360" w:lineRule="auto"/>
              <w:rPr>
                <w:rFonts w:ascii="t" w:hAnsi="t"/>
                <w:b/>
                <w:color w:val="auto"/>
                <w:sz w:val="24"/>
              </w:rPr>
            </w:pPr>
            <w:r>
              <w:rPr>
                <w:rFonts w:ascii="t" w:hAnsi="t"/>
                <w:b/>
                <w:color w:val="auto"/>
                <w:sz w:val="24"/>
              </w:rPr>
              <w:t>废水</w:t>
            </w:r>
          </w:p>
          <w:p>
            <w:pPr>
              <w:numPr>
                <w:ilvl w:val="0"/>
                <w:numId w:val="0"/>
              </w:numPr>
              <w:spacing w:line="360" w:lineRule="auto"/>
              <w:ind w:leftChars="0"/>
              <w:rPr>
                <w:rFonts w:ascii="t" w:hAnsi="t"/>
                <w:b/>
                <w:color w:val="auto"/>
                <w:spacing w:val="-4"/>
                <w:sz w:val="24"/>
                <w:szCs w:val="20"/>
              </w:rPr>
            </w:pPr>
            <w:r>
              <w:rPr>
                <w:rFonts w:hint="eastAsia" w:ascii="t" w:hAnsi="t"/>
                <w:color w:val="auto"/>
                <w:sz w:val="24"/>
                <w:lang w:eastAsia="zh-CN"/>
              </w:rPr>
              <w:t>施工期</w:t>
            </w:r>
            <w:r>
              <w:rPr>
                <w:rFonts w:ascii="t" w:hAnsi="t"/>
                <w:color w:val="auto"/>
                <w:sz w:val="24"/>
              </w:rPr>
              <w:t>废水</w:t>
            </w:r>
            <w:r>
              <w:rPr>
                <w:rFonts w:hint="eastAsia" w:ascii="t" w:hAnsi="t"/>
                <w:color w:val="auto"/>
                <w:sz w:val="24"/>
                <w:lang w:eastAsia="zh-CN"/>
              </w:rPr>
              <w:t>依托当地居民住户化粪池处理，不外排。</w:t>
            </w:r>
          </w:p>
          <w:p>
            <w:pPr>
              <w:numPr>
                <w:ilvl w:val="0"/>
                <w:numId w:val="4"/>
              </w:numPr>
              <w:spacing w:line="360" w:lineRule="auto"/>
              <w:rPr>
                <w:rFonts w:ascii="t" w:hAnsi="t"/>
                <w:b/>
                <w:color w:val="auto"/>
                <w:spacing w:val="-4"/>
                <w:sz w:val="24"/>
                <w:szCs w:val="20"/>
              </w:rPr>
            </w:pPr>
            <w:r>
              <w:rPr>
                <w:rFonts w:ascii="t" w:hAnsi="t"/>
                <w:b/>
                <w:color w:val="auto"/>
                <w:spacing w:val="-4"/>
                <w:sz w:val="24"/>
                <w:szCs w:val="20"/>
              </w:rPr>
              <w:t>废气</w:t>
            </w:r>
          </w:p>
          <w:p>
            <w:pPr>
              <w:adjustRightInd w:val="0"/>
              <w:snapToGrid w:val="0"/>
              <w:spacing w:line="360" w:lineRule="auto"/>
              <w:ind w:firstLine="480" w:firstLineChars="200"/>
              <w:rPr>
                <w:rFonts w:hAnsi="宋体"/>
                <w:color w:val="auto"/>
                <w:sz w:val="24"/>
              </w:rPr>
            </w:pPr>
            <w:r>
              <w:rPr>
                <w:rFonts w:hint="eastAsia" w:hAnsi="宋体"/>
                <w:color w:val="auto"/>
                <w:sz w:val="24"/>
                <w:lang w:eastAsia="zh-CN"/>
              </w:rPr>
              <w:t>施工期</w:t>
            </w:r>
            <w:r>
              <w:rPr>
                <w:rFonts w:hAnsi="宋体"/>
                <w:color w:val="auto"/>
                <w:sz w:val="24"/>
              </w:rPr>
              <w:t>大气污染物排放执行《大气污染物综合排放标准》（</w:t>
            </w:r>
            <w:r>
              <w:rPr>
                <w:color w:val="auto"/>
                <w:sz w:val="24"/>
              </w:rPr>
              <w:t>GB16297-</w:t>
            </w:r>
            <w:r>
              <w:rPr>
                <w:rFonts w:hint="eastAsia"/>
                <w:color w:val="auto"/>
                <w:sz w:val="24"/>
              </w:rPr>
              <w:t>19</w:t>
            </w:r>
            <w:r>
              <w:rPr>
                <w:color w:val="auto"/>
                <w:sz w:val="24"/>
              </w:rPr>
              <w:t>96</w:t>
            </w:r>
            <w:r>
              <w:rPr>
                <w:rFonts w:hAnsi="宋体"/>
                <w:color w:val="auto"/>
                <w:sz w:val="24"/>
              </w:rPr>
              <w:t>）的</w:t>
            </w:r>
            <w:r>
              <w:rPr>
                <w:rFonts w:hint="eastAsia" w:hAnsi="宋体"/>
                <w:color w:val="auto"/>
                <w:sz w:val="24"/>
                <w:lang w:eastAsia="zh-CN"/>
              </w:rPr>
              <w:t>最高允许排放浓度</w:t>
            </w:r>
            <w:r>
              <w:rPr>
                <w:rFonts w:hAnsi="宋体"/>
                <w:color w:val="auto"/>
                <w:sz w:val="24"/>
              </w:rPr>
              <w:t>。</w:t>
            </w:r>
          </w:p>
          <w:p>
            <w:pPr>
              <w:spacing w:line="360" w:lineRule="auto"/>
              <w:jc w:val="left"/>
              <w:rPr>
                <w:rFonts w:ascii="t" w:hAnsi="t"/>
                <w:b/>
                <w:color w:val="auto"/>
                <w:sz w:val="24"/>
              </w:rPr>
            </w:pPr>
            <w:r>
              <w:rPr>
                <w:rFonts w:ascii="t" w:hAnsi="t"/>
                <w:b/>
                <w:color w:val="auto"/>
                <w:sz w:val="24"/>
              </w:rPr>
              <w:t>3</w:t>
            </w:r>
            <w:r>
              <w:rPr>
                <w:rFonts w:ascii="t" w:hAnsi="t"/>
                <w:b/>
                <w:color w:val="auto"/>
                <w:spacing w:val="-4"/>
                <w:sz w:val="24"/>
                <w:szCs w:val="20"/>
              </w:rPr>
              <w:t>、</w:t>
            </w:r>
            <w:r>
              <w:rPr>
                <w:rFonts w:hint="eastAsia" w:ascii="t" w:hAnsi="t"/>
                <w:b/>
                <w:color w:val="auto"/>
                <w:sz w:val="24"/>
              </w:rPr>
              <w:t>噪声</w:t>
            </w:r>
            <w:r>
              <w:rPr>
                <w:rFonts w:ascii="t" w:hAnsi="t"/>
                <w:b/>
                <w:color w:val="auto"/>
                <w:sz w:val="24"/>
              </w:rPr>
              <w:t>：</w:t>
            </w:r>
          </w:p>
          <w:p>
            <w:pPr>
              <w:spacing w:line="360" w:lineRule="auto"/>
              <w:ind w:firstLine="480" w:firstLineChars="200"/>
              <w:jc w:val="left"/>
              <w:rPr>
                <w:rFonts w:ascii="t" w:hAnsi="t"/>
                <w:color w:val="auto"/>
                <w:sz w:val="24"/>
              </w:rPr>
            </w:pPr>
            <w:r>
              <w:rPr>
                <w:rFonts w:hint="eastAsia" w:ascii="t" w:hAnsi="t"/>
                <w:color w:val="auto"/>
                <w:sz w:val="24"/>
              </w:rPr>
              <w:t>施工期噪声执行《建筑施工场界环境噪声排放标准》（GB12523-2011）中有关规定。</w:t>
            </w:r>
          </w:p>
          <w:p>
            <w:pPr>
              <w:jc w:val="center"/>
              <w:rPr>
                <w:rFonts w:hint="eastAsia"/>
                <w:b/>
                <w:bCs/>
                <w:color w:val="auto"/>
                <w:szCs w:val="21"/>
                <w:lang w:val="en-US" w:eastAsia="zh-CN"/>
              </w:rPr>
            </w:pPr>
            <w:r>
              <w:rPr>
                <w:rFonts w:hint="eastAsia"/>
                <w:b/>
                <w:bCs/>
                <w:color w:val="auto"/>
                <w:szCs w:val="21"/>
                <w:lang w:val="en-US" w:eastAsia="zh-CN"/>
              </w:rPr>
              <w:t>表4-4  建筑施工场界环境噪声排放标准   单位:dB(A)</w:t>
            </w:r>
          </w:p>
          <w:tbl>
            <w:tblPr>
              <w:tblStyle w:val="51"/>
              <w:tblW w:w="786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2397"/>
              <w:gridCol w:w="2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4" w:type="dxa"/>
                  <w:tcBorders>
                    <w:tl2br w:val="nil"/>
                    <w:tr2bl w:val="nil"/>
                  </w:tcBorders>
                  <w:vAlign w:val="center"/>
                </w:tcPr>
                <w:p>
                  <w:pPr>
                    <w:jc w:val="center"/>
                    <w:rPr>
                      <w:rFonts w:ascii="t" w:hAnsi="t"/>
                      <w:bCs/>
                      <w:color w:val="auto"/>
                    </w:rPr>
                  </w:pPr>
                </w:p>
              </w:tc>
              <w:tc>
                <w:tcPr>
                  <w:tcW w:w="2397" w:type="dxa"/>
                  <w:tcBorders>
                    <w:tl2br w:val="nil"/>
                    <w:tr2bl w:val="nil"/>
                  </w:tcBorders>
                  <w:vAlign w:val="center"/>
                </w:tcPr>
                <w:p>
                  <w:pPr>
                    <w:jc w:val="center"/>
                    <w:rPr>
                      <w:rFonts w:ascii="t" w:hAnsi="t"/>
                      <w:bCs/>
                      <w:color w:val="auto"/>
                    </w:rPr>
                  </w:pPr>
                  <w:r>
                    <w:rPr>
                      <w:rFonts w:hint="eastAsia" w:ascii="t" w:hAnsi="t"/>
                      <w:bCs/>
                      <w:color w:val="auto"/>
                    </w:rPr>
                    <w:t>昼</w:t>
                  </w:r>
                  <w:r>
                    <w:rPr>
                      <w:rFonts w:ascii="t" w:hAnsi="t"/>
                      <w:bCs/>
                      <w:color w:val="auto"/>
                    </w:rPr>
                    <w:t xml:space="preserve">  </w:t>
                  </w:r>
                  <w:r>
                    <w:rPr>
                      <w:rFonts w:hint="eastAsia" w:ascii="t" w:hAnsi="t"/>
                      <w:bCs/>
                      <w:color w:val="auto"/>
                    </w:rPr>
                    <w:t>间</w:t>
                  </w:r>
                </w:p>
              </w:tc>
              <w:tc>
                <w:tcPr>
                  <w:tcW w:w="2397" w:type="dxa"/>
                  <w:tcBorders>
                    <w:tl2br w:val="nil"/>
                    <w:tr2bl w:val="nil"/>
                  </w:tcBorders>
                  <w:vAlign w:val="center"/>
                </w:tcPr>
                <w:p>
                  <w:pPr>
                    <w:jc w:val="center"/>
                    <w:rPr>
                      <w:rFonts w:ascii="t" w:hAnsi="t"/>
                      <w:bCs/>
                      <w:color w:val="auto"/>
                    </w:rPr>
                  </w:pPr>
                  <w:r>
                    <w:rPr>
                      <w:rFonts w:hint="eastAsia" w:ascii="t" w:hAnsi="t"/>
                      <w:bCs/>
                      <w:color w:val="auto"/>
                    </w:rPr>
                    <w:t>夜</w:t>
                  </w:r>
                  <w:r>
                    <w:rPr>
                      <w:rFonts w:ascii="t" w:hAnsi="t"/>
                      <w:bCs/>
                      <w:color w:val="auto"/>
                    </w:rPr>
                    <w:t xml:space="preserve">  </w:t>
                  </w:r>
                  <w:r>
                    <w:rPr>
                      <w:rFonts w:hint="eastAsia" w:ascii="t" w:hAnsi="t"/>
                      <w:bCs/>
                      <w:color w:val="auto"/>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74" w:type="dxa"/>
                  <w:tcBorders>
                    <w:tl2br w:val="nil"/>
                    <w:tr2bl w:val="nil"/>
                  </w:tcBorders>
                  <w:vAlign w:val="center"/>
                </w:tcPr>
                <w:p>
                  <w:pPr>
                    <w:jc w:val="center"/>
                    <w:rPr>
                      <w:rFonts w:ascii="t" w:hAnsi="t"/>
                      <w:bCs/>
                      <w:color w:val="auto"/>
                    </w:rPr>
                  </w:pPr>
                  <w:r>
                    <w:rPr>
                      <w:rFonts w:hint="eastAsia" w:ascii="t" w:hAnsi="t"/>
                      <w:color w:val="auto"/>
                      <w:sz w:val="24"/>
                    </w:rPr>
                    <w:t>《建筑施工场界环境噪声排放标准》（GB12523-2011）</w:t>
                  </w:r>
                </w:p>
              </w:tc>
              <w:tc>
                <w:tcPr>
                  <w:tcW w:w="2397" w:type="dxa"/>
                  <w:tcBorders>
                    <w:tl2br w:val="nil"/>
                    <w:tr2bl w:val="nil"/>
                  </w:tcBorders>
                  <w:vAlign w:val="center"/>
                </w:tcPr>
                <w:p>
                  <w:pPr>
                    <w:jc w:val="center"/>
                    <w:rPr>
                      <w:rFonts w:ascii="t" w:hAnsi="t"/>
                      <w:bCs/>
                      <w:color w:val="auto"/>
                    </w:rPr>
                  </w:pPr>
                  <w:r>
                    <w:rPr>
                      <w:rFonts w:hint="eastAsia" w:ascii="t" w:hAnsi="t"/>
                      <w:bCs/>
                      <w:color w:val="auto"/>
                    </w:rPr>
                    <w:t>70</w:t>
                  </w:r>
                </w:p>
              </w:tc>
              <w:tc>
                <w:tcPr>
                  <w:tcW w:w="2397" w:type="dxa"/>
                  <w:tcBorders>
                    <w:tl2br w:val="nil"/>
                    <w:tr2bl w:val="nil"/>
                  </w:tcBorders>
                  <w:vAlign w:val="center"/>
                </w:tcPr>
                <w:p>
                  <w:pPr>
                    <w:jc w:val="center"/>
                    <w:rPr>
                      <w:rFonts w:ascii="t" w:hAnsi="t"/>
                      <w:bCs/>
                      <w:color w:val="auto"/>
                    </w:rPr>
                  </w:pPr>
                  <w:r>
                    <w:rPr>
                      <w:rFonts w:ascii="t" w:hAnsi="t"/>
                      <w:bCs/>
                      <w:color w:val="auto"/>
                    </w:rPr>
                    <w:t>55</w:t>
                  </w:r>
                </w:p>
              </w:tc>
            </w:tr>
          </w:tbl>
          <w:p>
            <w:pPr>
              <w:ind w:firstLine="420" w:firstLineChars="200"/>
              <w:jc w:val="center"/>
              <w:rPr>
                <w:rFonts w:ascii="t" w:hAnsi="t"/>
                <w:b/>
                <w:color w:val="auto"/>
                <w:szCs w:val="21"/>
              </w:rPr>
            </w:pPr>
          </w:p>
          <w:p>
            <w:pPr>
              <w:numPr>
                <w:ilvl w:val="0"/>
                <w:numId w:val="3"/>
              </w:numPr>
              <w:spacing w:line="360" w:lineRule="auto"/>
              <w:rPr>
                <w:rFonts w:ascii="t" w:hAnsi="t"/>
                <w:color w:val="auto"/>
                <w:sz w:val="24"/>
              </w:rPr>
            </w:pPr>
            <w:r>
              <w:rPr>
                <w:rFonts w:ascii="t" w:hAnsi="t"/>
                <w:b/>
                <w:color w:val="auto"/>
                <w:sz w:val="24"/>
              </w:rPr>
              <w:t>固体废物</w:t>
            </w:r>
          </w:p>
          <w:p>
            <w:pPr>
              <w:spacing w:line="360" w:lineRule="auto"/>
              <w:ind w:firstLine="480" w:firstLineChars="200"/>
              <w:rPr>
                <w:rFonts w:ascii="t" w:hAnsi="t"/>
                <w:color w:val="auto"/>
                <w:sz w:val="24"/>
              </w:rPr>
            </w:pPr>
            <w:r>
              <w:rPr>
                <w:rFonts w:hint="eastAsia" w:ascii="t" w:hAnsi="t"/>
                <w:color w:val="auto"/>
                <w:sz w:val="24"/>
                <w:lang w:eastAsia="zh-CN"/>
              </w:rPr>
              <w:t>施工期固体废物排放执行</w:t>
            </w:r>
            <w:r>
              <w:rPr>
                <w:rFonts w:hint="eastAsia" w:ascii="t" w:hAnsi="t"/>
                <w:color w:val="auto"/>
                <w:sz w:val="24"/>
              </w:rPr>
              <w:t>《一般工业固体废物贮存、处置场污染控制标准》（GB18599-2001）及2013年修改单相关要求。</w:t>
            </w:r>
          </w:p>
          <w:p>
            <w:pPr>
              <w:spacing w:line="360" w:lineRule="auto"/>
              <w:ind w:firstLine="480" w:firstLineChars="200"/>
              <w:rPr>
                <w:rFonts w:ascii="Times New Roman" w:cs="Times New Roman"/>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852" w:type="dxa"/>
            <w:vAlign w:val="center"/>
          </w:tcPr>
          <w:p>
            <w:pPr>
              <w:snapToGrid w:val="0"/>
              <w:jc w:val="center"/>
              <w:rPr>
                <w:rFonts w:hint="eastAsia" w:ascii="Times New Roman" w:hAnsi="Times New Roman" w:cs="Times New Roman" w:eastAsiaTheme="minorEastAsia"/>
                <w:color w:val="auto"/>
                <w:sz w:val="28"/>
                <w:szCs w:val="28"/>
                <w:lang w:eastAsia="zh-CN"/>
              </w:rPr>
            </w:pPr>
            <w:r>
              <w:rPr>
                <w:rFonts w:hint="eastAsia" w:ascii="t" w:hAnsi="t"/>
                <w:b/>
                <w:color w:val="auto"/>
                <w:sz w:val="24"/>
                <w:lang w:eastAsia="zh-CN"/>
              </w:rPr>
              <w:t>生态环境</w:t>
            </w:r>
          </w:p>
        </w:tc>
        <w:tc>
          <w:tcPr>
            <w:tcW w:w="8787" w:type="dxa"/>
            <w:vAlign w:val="center"/>
          </w:tcPr>
          <w:p>
            <w:pPr>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 xml:space="preserve">一、生态环境以不破坏该区内生态系统完整性为标准； </w:t>
            </w:r>
          </w:p>
          <w:p>
            <w:pPr>
              <w:spacing w:line="360" w:lineRule="auto"/>
              <w:ind w:firstLine="480" w:firstLineChars="200"/>
              <w:rPr>
                <w:rFonts w:ascii="Times New Roman" w:cs="Times New Roman"/>
                <w:color w:val="auto"/>
                <w:sz w:val="24"/>
                <w:szCs w:val="20"/>
              </w:rPr>
            </w:pPr>
            <w:r>
              <w:rPr>
                <w:rFonts w:ascii="宋体" w:hAnsi="宋体" w:eastAsia="宋体" w:cs="宋体"/>
                <w:color w:val="auto"/>
                <w:sz w:val="24"/>
                <w:szCs w:val="24"/>
              </w:rPr>
              <w:t>二、水土流失以不改变土壤侵蚀类型为标准。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8" w:hRule="atLeast"/>
          <w:jc w:val="center"/>
        </w:trPr>
        <w:tc>
          <w:tcPr>
            <w:tcW w:w="852" w:type="dxa"/>
            <w:vAlign w:val="center"/>
          </w:tcPr>
          <w:p>
            <w:pPr>
              <w:snapToGrid w:val="0"/>
              <w:jc w:val="center"/>
              <w:rPr>
                <w:rFonts w:ascii="t" w:hAnsi="t"/>
                <w:b/>
                <w:color w:val="auto"/>
                <w:sz w:val="24"/>
              </w:rPr>
            </w:pPr>
            <w:r>
              <w:rPr>
                <w:rFonts w:ascii="t" w:hAnsi="t"/>
                <w:b/>
                <w:color w:val="auto"/>
                <w:sz w:val="24"/>
              </w:rPr>
              <w:t>总</w:t>
            </w:r>
          </w:p>
          <w:p>
            <w:pPr>
              <w:snapToGrid w:val="0"/>
              <w:jc w:val="center"/>
              <w:rPr>
                <w:rFonts w:ascii="t" w:hAnsi="t"/>
                <w:b/>
                <w:color w:val="auto"/>
                <w:sz w:val="24"/>
              </w:rPr>
            </w:pPr>
            <w:r>
              <w:rPr>
                <w:rFonts w:ascii="t" w:hAnsi="t"/>
                <w:b/>
                <w:color w:val="auto"/>
                <w:sz w:val="24"/>
              </w:rPr>
              <w:t>量</w:t>
            </w:r>
          </w:p>
          <w:p>
            <w:pPr>
              <w:snapToGrid w:val="0"/>
              <w:jc w:val="center"/>
              <w:rPr>
                <w:rFonts w:ascii="t" w:hAnsi="t"/>
                <w:b/>
                <w:color w:val="auto"/>
                <w:sz w:val="24"/>
              </w:rPr>
            </w:pPr>
            <w:r>
              <w:rPr>
                <w:rFonts w:ascii="t" w:hAnsi="t"/>
                <w:b/>
                <w:color w:val="auto"/>
                <w:sz w:val="24"/>
              </w:rPr>
              <w:t>控</w:t>
            </w:r>
          </w:p>
          <w:p>
            <w:pPr>
              <w:snapToGrid w:val="0"/>
              <w:jc w:val="center"/>
              <w:rPr>
                <w:rFonts w:ascii="t" w:hAnsi="t"/>
                <w:b/>
                <w:color w:val="auto"/>
                <w:sz w:val="24"/>
              </w:rPr>
            </w:pPr>
            <w:r>
              <w:rPr>
                <w:rFonts w:ascii="t" w:hAnsi="t"/>
                <w:b/>
                <w:color w:val="auto"/>
                <w:sz w:val="24"/>
              </w:rPr>
              <w:t>制</w:t>
            </w:r>
          </w:p>
          <w:p>
            <w:pPr>
              <w:snapToGrid w:val="0"/>
              <w:jc w:val="center"/>
              <w:rPr>
                <w:rFonts w:ascii="t" w:hAnsi="t"/>
                <w:b/>
                <w:color w:val="auto"/>
                <w:sz w:val="24"/>
              </w:rPr>
            </w:pPr>
            <w:r>
              <w:rPr>
                <w:rFonts w:ascii="t" w:hAnsi="t"/>
                <w:b/>
                <w:color w:val="auto"/>
                <w:sz w:val="24"/>
              </w:rPr>
              <w:t>指</w:t>
            </w:r>
          </w:p>
          <w:p>
            <w:pPr>
              <w:snapToGrid w:val="0"/>
              <w:jc w:val="center"/>
              <w:rPr>
                <w:rFonts w:ascii="Times New Roman" w:hAnsi="Times New Roman" w:cs="Times New Roman"/>
                <w:color w:val="auto"/>
                <w:sz w:val="28"/>
                <w:szCs w:val="28"/>
              </w:rPr>
            </w:pPr>
            <w:r>
              <w:rPr>
                <w:rFonts w:ascii="t" w:hAnsi="t"/>
                <w:b/>
                <w:color w:val="auto"/>
                <w:sz w:val="24"/>
              </w:rPr>
              <w:t>标</w:t>
            </w:r>
          </w:p>
        </w:tc>
        <w:tc>
          <w:tcPr>
            <w:tcW w:w="8787" w:type="dxa"/>
            <w:vAlign w:val="center"/>
          </w:tcPr>
          <w:p>
            <w:pPr>
              <w:spacing w:line="360" w:lineRule="auto"/>
              <w:ind w:right="35" w:rightChars="17" w:firstLine="468" w:firstLineChars="200"/>
              <w:jc w:val="left"/>
              <w:rPr>
                <w:rFonts w:ascii="t" w:hAnsi="t"/>
                <w:color w:val="auto"/>
                <w:sz w:val="24"/>
              </w:rPr>
            </w:pPr>
            <w:r>
              <w:rPr>
                <w:rFonts w:ascii="宋体" w:hAnsi="宋体" w:eastAsia="宋体" w:cs="宋体"/>
                <w:color w:val="auto"/>
                <w:spacing w:val="-3"/>
                <w:sz w:val="24"/>
                <w:szCs w:val="24"/>
              </w:rPr>
              <w:t>本项目属于地质灾害治理设施建设，运营期不会产生废水、废气或其</w:t>
            </w:r>
            <w:r>
              <w:rPr>
                <w:rFonts w:ascii="宋体" w:hAnsi="宋体" w:eastAsia="宋体" w:cs="宋体"/>
                <w:color w:val="auto"/>
                <w:sz w:val="24"/>
                <w:szCs w:val="24"/>
              </w:rPr>
              <w:t>他污染物。因此本项目不设总量控制指标。</w:t>
            </w:r>
          </w:p>
        </w:tc>
      </w:tr>
    </w:tbl>
    <w:p>
      <w:pPr>
        <w:spacing w:line="360" w:lineRule="auto"/>
        <w:ind w:firstLine="480" w:firstLineChars="200"/>
        <w:rPr>
          <w:rFonts w:ascii="Times New Roman" w:hAnsi="Times New Roman" w:cs="Times New Roman"/>
          <w:color w:val="auto"/>
          <w:sz w:val="24"/>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color w:val="auto"/>
          <w:sz w:val="30"/>
          <w:szCs w:val="30"/>
        </w:rPr>
      </w:pPr>
      <w:r>
        <w:rPr>
          <w:rFonts w:hint="eastAsia" w:ascii="Times New Roman" w:hAnsi="Times New Roman" w:cs="Times New Roman"/>
          <w:b/>
          <w:color w:val="auto"/>
          <w:sz w:val="30"/>
          <w:szCs w:val="30"/>
        </w:rPr>
        <w:t>建设项目工程分析</w:t>
      </w:r>
      <w:r>
        <w:rPr>
          <w:rFonts w:ascii="Times New Roman" w:hAnsi="Times New Roman" w:cs="Times New Roman"/>
          <w:b/>
          <w:color w:val="auto"/>
          <w:sz w:val="30"/>
          <w:szCs w:val="30"/>
        </w:rPr>
        <w:t xml:space="preserve">  </w:t>
      </w:r>
      <w:r>
        <w:rPr>
          <w:rFonts w:hint="eastAsia" w:ascii="Times New Roman" w:hAnsi="Times New Roman" w:cs="Times New Roman"/>
          <w:b/>
          <w:color w:val="auto"/>
          <w:sz w:val="30"/>
          <w:szCs w:val="30"/>
        </w:rPr>
        <w:t xml:space="preserve">                                    (</w:t>
      </w:r>
      <w:r>
        <w:rPr>
          <w:rFonts w:hint="eastAsia" w:ascii="Times New Roman" w:hAnsi="Times New Roman" w:cs="Times New Roman"/>
          <w:b/>
          <w:snapToGrid w:val="0"/>
          <w:color w:val="auto"/>
          <w:kern w:val="0"/>
          <w:sz w:val="30"/>
          <w:szCs w:val="30"/>
        </w:rPr>
        <w:t>表五)</w:t>
      </w:r>
    </w:p>
    <w:tbl>
      <w:tblPr>
        <w:tblStyle w:val="51"/>
        <w:tblW w:w="96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5" w:hRule="atLeast"/>
          <w:jc w:val="center"/>
        </w:trPr>
        <w:tc>
          <w:tcPr>
            <w:tcW w:w="9645" w:type="dxa"/>
          </w:tcPr>
          <w:p>
            <w:pPr>
              <w:spacing w:line="360" w:lineRule="auto"/>
              <w:rPr>
                <w:rFonts w:ascii="t" w:hAnsi="t"/>
                <w:b/>
                <w:bCs/>
                <w:color w:val="auto"/>
                <w:sz w:val="28"/>
                <w:szCs w:val="28"/>
              </w:rPr>
            </w:pPr>
            <w:r>
              <w:rPr>
                <w:rFonts w:hint="eastAsia" w:ascii="t" w:hAnsi="t"/>
                <w:b/>
                <w:bCs/>
                <w:color w:val="auto"/>
                <w:sz w:val="28"/>
                <w:szCs w:val="28"/>
              </w:rPr>
              <w:t>建设项目工艺流程简述（图示）</w:t>
            </w:r>
          </w:p>
          <w:p>
            <w:pPr>
              <w:spacing w:line="360" w:lineRule="auto"/>
              <w:ind w:firstLine="480" w:firstLineChars="200"/>
              <w:rPr>
                <w:rFonts w:ascii="t" w:hAnsi="t"/>
                <w:b/>
                <w:bCs/>
                <w:color w:val="auto"/>
                <w:sz w:val="24"/>
              </w:rPr>
            </w:pPr>
            <w:r>
              <w:rPr>
                <w:color w:val="auto"/>
                <w:sz w:val="24"/>
              </w:rPr>
              <w:t>本项目为</w:t>
            </w:r>
            <w:r>
              <w:rPr>
                <w:rFonts w:ascii="宋体" w:hAnsi="宋体" w:eastAsia="宋体" w:cs="宋体"/>
                <w:color w:val="auto"/>
                <w:spacing w:val="-3"/>
                <w:sz w:val="24"/>
                <w:szCs w:val="24"/>
              </w:rPr>
              <w:t>地质灾害治理设施建设</w:t>
            </w:r>
            <w:r>
              <w:rPr>
                <w:rFonts w:hint="eastAsia" w:ascii="宋体" w:hAnsi="宋体" w:eastAsia="宋体" w:cs="宋体"/>
                <w:color w:val="auto"/>
                <w:spacing w:val="-3"/>
                <w:sz w:val="24"/>
                <w:szCs w:val="24"/>
                <w:lang w:eastAsia="zh-CN"/>
              </w:rPr>
              <w:t>项目</w:t>
            </w:r>
            <w:r>
              <w:rPr>
                <w:color w:val="auto"/>
                <w:sz w:val="24"/>
              </w:rPr>
              <w:t>，主要建设内容包括土石方工程开挖、堤体工程建设及堤防加固等，根据项目特点，污染物产生主要在施工期，</w:t>
            </w:r>
            <w:r>
              <w:rPr>
                <w:rFonts w:hint="eastAsia"/>
                <w:color w:val="auto"/>
                <w:sz w:val="24"/>
              </w:rPr>
              <w:t>本环评主要对施工期进行分析评价。</w:t>
            </w:r>
          </w:p>
          <w:p>
            <w:pPr>
              <w:spacing w:line="360" w:lineRule="auto"/>
              <w:ind w:firstLine="480" w:firstLineChars="200"/>
              <w:rPr>
                <w:b/>
                <w:color w:val="auto"/>
                <w:sz w:val="24"/>
              </w:rPr>
            </w:pPr>
            <w:r>
              <w:rPr>
                <w:rFonts w:hint="eastAsia"/>
                <w:b/>
                <w:color w:val="auto"/>
                <w:sz w:val="24"/>
                <w:lang w:eastAsia="zh-CN"/>
              </w:rPr>
              <w:t>一</w:t>
            </w:r>
            <w:r>
              <w:rPr>
                <w:b/>
                <w:color w:val="auto"/>
                <w:sz w:val="24"/>
              </w:rPr>
              <w:t>、</w:t>
            </w:r>
            <w:r>
              <w:rPr>
                <w:rFonts w:hint="eastAsia"/>
                <w:b/>
                <w:color w:val="auto"/>
                <w:sz w:val="24"/>
                <w:lang w:eastAsia="zh-CN"/>
              </w:rPr>
              <w:t>项目</w:t>
            </w:r>
            <w:r>
              <w:rPr>
                <w:b/>
                <w:color w:val="auto"/>
                <w:sz w:val="24"/>
              </w:rPr>
              <w:t>工艺流程图及产污位置分析</w:t>
            </w:r>
          </w:p>
          <w:p>
            <w:pPr>
              <w:spacing w:line="360" w:lineRule="auto"/>
              <w:ind w:firstLine="480" w:firstLineChars="200"/>
              <w:rPr>
                <w:color w:val="auto"/>
                <w:sz w:val="24"/>
              </w:rPr>
            </w:pPr>
            <w:r>
              <w:rPr>
                <w:color w:val="auto"/>
                <w:sz w:val="24"/>
              </w:rPr>
              <w:t>项目建设工艺流程图如下：</w:t>
            </w:r>
          </w:p>
          <w:p>
            <w:pPr>
              <w:spacing w:line="360" w:lineRule="auto"/>
              <w:ind w:firstLine="480" w:firstLineChars="200"/>
              <w:jc w:val="center"/>
              <w:rPr>
                <w:rFonts w:hint="eastAsia" w:ascii="t" w:hAnsi="t" w:eastAsiaTheme="minorEastAsia"/>
                <w:b/>
                <w:color w:val="auto"/>
                <w:sz w:val="24"/>
                <w:lang w:eastAsia="zh-CN"/>
              </w:rPr>
            </w:pPr>
            <w:r>
              <w:rPr>
                <w:rFonts w:hint="eastAsia" w:ascii="t" w:hAnsi="t" w:eastAsiaTheme="minorEastAsia"/>
                <w:b/>
                <w:color w:val="auto"/>
                <w:sz w:val="24"/>
                <w:lang w:eastAsia="zh-CN"/>
              </w:rPr>
              <w:drawing>
                <wp:inline distT="0" distB="0" distL="114300" distR="114300">
                  <wp:extent cx="4448175" cy="2760980"/>
                  <wp:effectExtent l="0" t="0" r="9525" b="1270"/>
                  <wp:docPr id="28" name="图片 28" descr="1586683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83330(1)"/>
                          <pic:cNvPicPr>
                            <a:picLocks noChangeAspect="1"/>
                          </pic:cNvPicPr>
                        </pic:nvPicPr>
                        <pic:blipFill>
                          <a:blip r:embed="rId79"/>
                          <a:stretch>
                            <a:fillRect/>
                          </a:stretch>
                        </pic:blipFill>
                        <pic:spPr>
                          <a:xfrm>
                            <a:off x="0" y="0"/>
                            <a:ext cx="4448175" cy="2760980"/>
                          </a:xfrm>
                          <a:prstGeom prst="rect">
                            <a:avLst/>
                          </a:prstGeom>
                        </pic:spPr>
                      </pic:pic>
                    </a:graphicData>
                  </a:graphic>
                </wp:inline>
              </w:drawing>
            </w:r>
          </w:p>
          <w:p>
            <w:pPr>
              <w:jc w:val="center"/>
              <w:rPr>
                <w:rFonts w:hint="eastAsia"/>
                <w:b/>
                <w:bCs/>
                <w:color w:val="auto"/>
                <w:szCs w:val="21"/>
                <w:lang w:val="en-US" w:eastAsia="zh-CN"/>
              </w:rPr>
            </w:pPr>
            <w:r>
              <w:rPr>
                <w:rFonts w:hint="eastAsia"/>
                <w:b/>
                <w:bCs/>
                <w:color w:val="auto"/>
                <w:szCs w:val="21"/>
                <w:lang w:val="en-US" w:eastAsia="zh-CN"/>
              </w:rPr>
              <w:t>图5-1  项目工艺流程及产污环节图</w:t>
            </w:r>
          </w:p>
          <w:p>
            <w:pPr>
              <w:spacing w:line="360" w:lineRule="auto"/>
              <w:ind w:firstLine="480" w:firstLineChars="200"/>
              <w:rPr>
                <w:rFonts w:hint="eastAsia" w:eastAsiaTheme="minorEastAsia"/>
                <w:b/>
                <w:color w:val="auto"/>
                <w:sz w:val="24"/>
                <w:lang w:eastAsia="zh-CN"/>
              </w:rPr>
            </w:pPr>
            <w:r>
              <w:rPr>
                <w:rFonts w:hint="eastAsia"/>
                <w:b/>
                <w:color w:val="auto"/>
                <w:sz w:val="24"/>
                <w:lang w:eastAsia="zh-CN"/>
              </w:rPr>
              <w:t>二、主要污染物产污分析</w:t>
            </w:r>
          </w:p>
          <w:p>
            <w:pPr>
              <w:spacing w:line="360" w:lineRule="auto"/>
              <w:ind w:firstLine="480" w:firstLineChars="200"/>
              <w:rPr>
                <w:rFonts w:hint="eastAsia"/>
                <w:color w:val="auto"/>
                <w:sz w:val="24"/>
                <w:lang w:val="en-US" w:eastAsia="zh-CN"/>
              </w:rPr>
            </w:pPr>
            <w:r>
              <w:rPr>
                <w:rFonts w:hint="eastAsia"/>
                <w:color w:val="auto"/>
                <w:sz w:val="24"/>
                <w:lang w:val="en-US" w:eastAsia="zh-CN"/>
              </w:rPr>
              <w:t>（一）施工期主要污染物产污分析</w:t>
            </w:r>
          </w:p>
          <w:p>
            <w:pPr>
              <w:spacing w:line="360" w:lineRule="auto"/>
              <w:ind w:firstLine="480" w:firstLineChars="200"/>
              <w:rPr>
                <w:rFonts w:hint="eastAsia" w:eastAsiaTheme="minorEastAsia"/>
                <w:color w:val="auto"/>
                <w:sz w:val="24"/>
                <w:lang w:eastAsia="zh-CN"/>
              </w:rPr>
            </w:pPr>
            <w:r>
              <w:rPr>
                <w:rFonts w:hint="eastAsia"/>
                <w:color w:val="auto"/>
                <w:sz w:val="24"/>
                <w:lang w:val="en-US" w:eastAsia="zh-CN"/>
              </w:rPr>
              <w:t>1、</w:t>
            </w:r>
            <w:r>
              <w:rPr>
                <w:rFonts w:hint="eastAsia"/>
                <w:color w:val="auto"/>
                <w:sz w:val="24"/>
                <w:lang w:eastAsia="zh-CN"/>
              </w:rPr>
              <w:t>施工期产污流程</w:t>
            </w:r>
          </w:p>
          <w:p>
            <w:pPr>
              <w:spacing w:line="360" w:lineRule="auto"/>
              <w:ind w:firstLine="480" w:firstLineChars="200"/>
              <w:rPr>
                <w:rFonts w:hint="eastAsia"/>
                <w:color w:val="auto"/>
                <w:sz w:val="24"/>
                <w:lang w:val="en-US" w:eastAsia="zh-CN"/>
              </w:rPr>
            </w:pPr>
            <w:r>
              <w:rPr>
                <w:rFonts w:hint="eastAsia"/>
                <w:color w:val="auto"/>
                <w:sz w:val="24"/>
                <w:lang w:eastAsia="zh-CN"/>
              </w:rPr>
              <w:t>项目施工期主要工艺流程及产污环节分析见图</w:t>
            </w:r>
            <w:r>
              <w:rPr>
                <w:rFonts w:hint="eastAsia"/>
                <w:color w:val="auto"/>
                <w:sz w:val="24"/>
                <w:lang w:val="en-US" w:eastAsia="zh-CN"/>
              </w:rPr>
              <w:t>5-2。</w:t>
            </w:r>
          </w:p>
          <w:p>
            <w:pPr>
              <w:spacing w:line="360" w:lineRule="auto"/>
              <w:jc w:val="center"/>
              <w:rPr>
                <w:rFonts w:hint="eastAsia"/>
                <w:color w:val="auto"/>
                <w:sz w:val="24"/>
                <w:lang w:val="en-US" w:eastAsia="zh-CN"/>
              </w:rPr>
            </w:pPr>
            <w:r>
              <w:drawing>
                <wp:inline distT="0" distB="0" distL="114300" distR="114300">
                  <wp:extent cx="3286125" cy="3676650"/>
                  <wp:effectExtent l="0" t="0" r="9525" b="0"/>
                  <wp:docPr id="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9"/>
                          <pic:cNvPicPr>
                            <a:picLocks noChangeAspect="1"/>
                          </pic:cNvPicPr>
                        </pic:nvPicPr>
                        <pic:blipFill>
                          <a:blip r:embed="rId80"/>
                          <a:stretch>
                            <a:fillRect/>
                          </a:stretch>
                        </pic:blipFill>
                        <pic:spPr>
                          <a:xfrm>
                            <a:off x="0" y="0"/>
                            <a:ext cx="3286125" cy="3676650"/>
                          </a:xfrm>
                          <a:prstGeom prst="rect">
                            <a:avLst/>
                          </a:prstGeom>
                          <a:noFill/>
                          <a:ln>
                            <a:noFill/>
                          </a:ln>
                        </pic:spPr>
                      </pic:pic>
                    </a:graphicData>
                  </a:graphic>
                </wp:inline>
              </w:drawing>
            </w:r>
          </w:p>
          <w:p>
            <w:pPr>
              <w:jc w:val="center"/>
              <w:rPr>
                <w:rFonts w:hint="eastAsia"/>
                <w:b/>
                <w:bCs/>
                <w:color w:val="auto"/>
                <w:szCs w:val="21"/>
                <w:lang w:val="en-US" w:eastAsia="zh-CN"/>
              </w:rPr>
            </w:pPr>
            <w:r>
              <w:rPr>
                <w:rFonts w:hint="eastAsia"/>
                <w:b/>
                <w:bCs/>
                <w:color w:val="auto"/>
                <w:szCs w:val="21"/>
                <w:lang w:val="en-US" w:eastAsia="zh-CN"/>
              </w:rPr>
              <w:t>图5-2  施工期工艺流程及产污位置图</w:t>
            </w:r>
          </w:p>
          <w:p>
            <w:pPr>
              <w:spacing w:line="360" w:lineRule="auto"/>
              <w:ind w:firstLine="480" w:firstLineChars="200"/>
              <w:rPr>
                <w:rFonts w:hint="default"/>
                <w:b/>
                <w:bCs/>
                <w:color w:val="auto"/>
                <w:sz w:val="24"/>
                <w:lang w:val="en-US" w:eastAsia="zh-CN"/>
              </w:rPr>
            </w:pPr>
            <w:r>
              <w:rPr>
                <w:rFonts w:hint="eastAsia"/>
                <w:b/>
                <w:bCs/>
                <w:color w:val="auto"/>
                <w:sz w:val="24"/>
                <w:lang w:val="en-US" w:eastAsia="zh-CN"/>
              </w:rPr>
              <w:t>施工期工艺流程介绍：</w:t>
            </w:r>
          </w:p>
          <w:p>
            <w:pPr>
              <w:spacing w:line="360" w:lineRule="auto"/>
              <w:ind w:firstLine="560"/>
              <w:rPr>
                <w:rFonts w:hint="eastAsia"/>
                <w:sz w:val="24"/>
                <w:szCs w:val="24"/>
              </w:rPr>
            </w:pPr>
            <w:r>
              <w:rPr>
                <w:rFonts w:hint="eastAsia"/>
                <w:sz w:val="24"/>
                <w:szCs w:val="24"/>
                <w:lang w:val="en-US" w:eastAsia="zh-CN"/>
              </w:rPr>
              <w:t>1、</w:t>
            </w:r>
            <w:r>
              <w:rPr>
                <w:rFonts w:hint="eastAsia"/>
                <w:sz w:val="24"/>
                <w:szCs w:val="24"/>
              </w:rPr>
              <w:t>主体工程施工</w:t>
            </w:r>
          </w:p>
          <w:p>
            <w:pPr>
              <w:spacing w:line="360" w:lineRule="auto"/>
              <w:ind w:firstLine="560"/>
              <w:rPr>
                <w:rFonts w:hint="eastAsia"/>
                <w:sz w:val="24"/>
                <w:szCs w:val="24"/>
              </w:rPr>
            </w:pPr>
            <w:r>
              <w:rPr>
                <w:rFonts w:hint="eastAsia"/>
                <w:sz w:val="24"/>
                <w:szCs w:val="24"/>
              </w:rPr>
              <w:t>（1）堤基清理</w:t>
            </w:r>
          </w:p>
          <w:p>
            <w:pPr>
              <w:spacing w:line="360" w:lineRule="auto"/>
              <w:ind w:firstLine="560"/>
              <w:rPr>
                <w:rFonts w:hint="eastAsia"/>
                <w:sz w:val="24"/>
                <w:szCs w:val="24"/>
              </w:rPr>
            </w:pPr>
            <w:r>
              <w:rPr>
                <w:rFonts w:hint="eastAsia"/>
                <w:sz w:val="24"/>
                <w:szCs w:val="24"/>
              </w:rPr>
              <w:t>用推土机将堤线范围内地面耕植表土、杂草、垃圾、废渣土方推运至一起，辅以1.6m</w:t>
            </w:r>
            <w:r>
              <w:rPr>
                <w:rFonts w:hint="eastAsia"/>
                <w:sz w:val="24"/>
                <w:szCs w:val="24"/>
                <w:vertAlign w:val="superscript"/>
                <w:lang w:val="en-US" w:eastAsia="zh-CN"/>
              </w:rPr>
              <w:t>3</w:t>
            </w:r>
            <w:r>
              <w:rPr>
                <w:rFonts w:hint="eastAsia"/>
                <w:sz w:val="24"/>
                <w:szCs w:val="24"/>
              </w:rPr>
              <w:t>液压挖掘机装，10t自卸汽车运输至工作面外</w:t>
            </w:r>
            <w:r>
              <w:rPr>
                <w:rFonts w:hint="eastAsia"/>
                <w:sz w:val="24"/>
                <w:szCs w:val="24"/>
                <w:lang w:eastAsia="zh-CN"/>
              </w:rPr>
              <w:t>。</w:t>
            </w:r>
          </w:p>
          <w:p>
            <w:pPr>
              <w:spacing w:line="360" w:lineRule="auto"/>
              <w:ind w:firstLine="560"/>
              <w:rPr>
                <w:rFonts w:hint="eastAsia"/>
                <w:sz w:val="24"/>
                <w:szCs w:val="24"/>
              </w:rPr>
            </w:pPr>
            <w:r>
              <w:rPr>
                <w:rFonts w:hint="eastAsia"/>
                <w:sz w:val="24"/>
                <w:szCs w:val="24"/>
              </w:rPr>
              <w:t>（2）基础开挖</w:t>
            </w:r>
          </w:p>
          <w:p>
            <w:pPr>
              <w:spacing w:line="360" w:lineRule="auto"/>
              <w:ind w:firstLine="560"/>
              <w:rPr>
                <w:rFonts w:hint="eastAsia"/>
                <w:sz w:val="24"/>
                <w:szCs w:val="24"/>
              </w:rPr>
            </w:pPr>
            <w:r>
              <w:rPr>
                <w:rFonts w:hint="eastAsia"/>
                <w:sz w:val="24"/>
                <w:szCs w:val="24"/>
              </w:rPr>
              <w:t>基础砂卵石开挖采用0.8m</w:t>
            </w:r>
            <w:r>
              <w:rPr>
                <w:rFonts w:hint="eastAsia"/>
                <w:sz w:val="24"/>
                <w:szCs w:val="24"/>
                <w:vertAlign w:val="superscript"/>
                <w:lang w:val="en-US" w:eastAsia="zh-CN"/>
              </w:rPr>
              <w:t>3</w:t>
            </w:r>
            <w:r>
              <w:rPr>
                <w:rFonts w:hint="eastAsia"/>
                <w:sz w:val="24"/>
                <w:szCs w:val="24"/>
              </w:rPr>
              <w:t>液压挖掘机挖装，59kW推土机辅助施工，10t自卸汽车运输，部分于堤前堆放，用于堤基回填，其余部分用于堤后回填。堤防基础边坡及堤后开挖边坡应按照设计边坡进行开挖，挡墙衬砌时可利用开挖边坡做衬砌模板，开挖时如出现局部塌陷，可用挖掘机予以清除。</w:t>
            </w:r>
          </w:p>
          <w:p>
            <w:pPr>
              <w:spacing w:line="360" w:lineRule="auto"/>
              <w:ind w:firstLine="560"/>
              <w:rPr>
                <w:rFonts w:hint="eastAsia"/>
                <w:sz w:val="24"/>
                <w:szCs w:val="24"/>
              </w:rPr>
            </w:pPr>
            <w:r>
              <w:rPr>
                <w:rFonts w:hint="eastAsia"/>
                <w:sz w:val="24"/>
                <w:szCs w:val="24"/>
              </w:rPr>
              <w:t>（3）砂卵石填筑</w:t>
            </w:r>
          </w:p>
          <w:p>
            <w:pPr>
              <w:spacing w:line="360" w:lineRule="auto"/>
              <w:ind w:firstLine="560"/>
              <w:rPr>
                <w:rFonts w:hint="eastAsia"/>
                <w:sz w:val="24"/>
                <w:szCs w:val="24"/>
              </w:rPr>
            </w:pPr>
            <w:r>
              <w:rPr>
                <w:rFonts w:hint="eastAsia"/>
                <w:sz w:val="24"/>
                <w:szCs w:val="24"/>
              </w:rPr>
              <w:t>砂卵石应采用分层填筑，分层铺料厚度为50～60cm，推土机或者反铲平仓、铺料，反复碾压，夯实机具采用打夯机或蛙式夯实机等小型机具或人工夯实，要求压实Rd&gt;0.91。</w:t>
            </w:r>
          </w:p>
          <w:p>
            <w:pPr>
              <w:spacing w:line="360" w:lineRule="auto"/>
              <w:ind w:firstLine="560"/>
              <w:rPr>
                <w:rFonts w:hint="eastAsia"/>
                <w:sz w:val="24"/>
                <w:szCs w:val="24"/>
              </w:rPr>
            </w:pPr>
            <w:r>
              <w:rPr>
                <w:rFonts w:hint="eastAsia"/>
                <w:sz w:val="24"/>
                <w:szCs w:val="24"/>
              </w:rPr>
              <w:t>（4）砼浇筑</w:t>
            </w:r>
          </w:p>
          <w:p>
            <w:pPr>
              <w:spacing w:line="360" w:lineRule="auto"/>
              <w:ind w:firstLine="560"/>
              <w:rPr>
                <w:rFonts w:hint="eastAsia"/>
                <w:sz w:val="24"/>
                <w:szCs w:val="24"/>
              </w:rPr>
            </w:pPr>
            <w:r>
              <w:rPr>
                <w:rFonts w:hint="eastAsia"/>
                <w:sz w:val="24"/>
                <w:szCs w:val="24"/>
              </w:rPr>
              <w:t>骨料采用就近购买方式获得，并运至砼搅拌场施工点，采用商品混凝土运至工地现场，组合钢模立模，插入式振捣器振捣。</w:t>
            </w:r>
          </w:p>
          <w:p>
            <w:pPr>
              <w:spacing w:line="360" w:lineRule="auto"/>
              <w:ind w:firstLine="560"/>
              <w:rPr>
                <w:rFonts w:hint="eastAsia"/>
                <w:sz w:val="24"/>
                <w:szCs w:val="24"/>
              </w:rPr>
            </w:pPr>
            <w:r>
              <w:rPr>
                <w:rFonts w:hint="eastAsia"/>
                <w:sz w:val="24"/>
                <w:szCs w:val="24"/>
              </w:rPr>
              <w:t>（5）浆砌块石</w:t>
            </w:r>
          </w:p>
          <w:p>
            <w:pPr>
              <w:spacing w:line="360" w:lineRule="auto"/>
              <w:ind w:firstLine="560"/>
              <w:rPr>
                <w:rFonts w:hint="eastAsia"/>
                <w:sz w:val="24"/>
                <w:szCs w:val="24"/>
              </w:rPr>
            </w:pPr>
            <w:r>
              <w:rPr>
                <w:rFonts w:hint="eastAsia"/>
                <w:sz w:val="24"/>
                <w:szCs w:val="24"/>
                <w:lang w:val="en-US" w:eastAsia="zh-CN"/>
              </w:rPr>
              <w:t>防护堤和拦挡坝</w:t>
            </w:r>
            <w:r>
              <w:rPr>
                <w:rFonts w:hint="eastAsia"/>
                <w:sz w:val="24"/>
                <w:szCs w:val="24"/>
              </w:rPr>
              <w:t>采用坐浆法砌筑，块石选用块径大于25cm，砂浆为M10。所需块石料依据施工进度需要从料场购买，并由供应商运输至工区料场堆放点备用，石料人工修整，水泥砂浆就地制备，按M10配合比拌制搅拌，人工砌筑。</w:t>
            </w:r>
          </w:p>
          <w:p>
            <w:pPr>
              <w:spacing w:line="360" w:lineRule="auto"/>
              <w:ind w:firstLine="480" w:firstLineChars="200"/>
              <w:rPr>
                <w:rFonts w:hint="default"/>
                <w:color w:val="auto"/>
                <w:sz w:val="24"/>
                <w:lang w:val="en-US" w:eastAsia="zh-CN"/>
              </w:rPr>
            </w:pPr>
            <w:r>
              <w:rPr>
                <w:rFonts w:hint="default"/>
                <w:color w:val="auto"/>
                <w:sz w:val="24"/>
                <w:lang w:val="en-US" w:eastAsia="zh-CN"/>
              </w:rPr>
              <w:t>施工中应注意沟道清理平整和基槽开挖产生的弃土宜就近堆放在拟进行回填部位。</w:t>
            </w:r>
          </w:p>
          <w:p>
            <w:pPr>
              <w:spacing w:line="360" w:lineRule="auto"/>
              <w:ind w:firstLine="480" w:firstLineChars="200"/>
              <w:rPr>
                <w:rFonts w:hint="default"/>
                <w:b/>
                <w:bCs/>
                <w:color w:val="auto"/>
                <w:sz w:val="24"/>
                <w:lang w:val="en-US" w:eastAsia="zh-CN"/>
              </w:rPr>
            </w:pPr>
            <w:r>
              <w:rPr>
                <w:rFonts w:hint="eastAsia"/>
                <w:b/>
                <w:bCs/>
                <w:color w:val="auto"/>
                <w:sz w:val="24"/>
                <w:lang w:val="en-US" w:eastAsia="zh-CN"/>
              </w:rPr>
              <w:t>2、施工期主要污染源分析及治理措施</w:t>
            </w:r>
          </w:p>
          <w:p>
            <w:pPr>
              <w:spacing w:line="360" w:lineRule="auto"/>
              <w:ind w:firstLine="480" w:firstLineChars="200"/>
              <w:rPr>
                <w:rFonts w:hint="eastAsia"/>
                <w:color w:val="auto"/>
                <w:sz w:val="24"/>
                <w:lang w:val="en-US" w:eastAsia="zh-CN"/>
              </w:rPr>
            </w:pPr>
            <w:r>
              <w:rPr>
                <w:rFonts w:hint="eastAsia"/>
                <w:color w:val="auto"/>
                <w:sz w:val="24"/>
                <w:lang w:val="en-US" w:eastAsia="zh-CN"/>
              </w:rPr>
              <w:t>施工期影响主要来自场地平整、坝体建设等，影响的环境要素有生态、大气环境、水环境、声环境等。项目施工期污染源主要是以下几个方面：</w:t>
            </w:r>
          </w:p>
          <w:p>
            <w:pPr>
              <w:spacing w:line="360" w:lineRule="auto"/>
              <w:ind w:firstLine="480" w:firstLineChars="200"/>
              <w:rPr>
                <w:rFonts w:hint="eastAsia"/>
                <w:color w:val="auto"/>
                <w:sz w:val="24"/>
                <w:lang w:val="en-US" w:eastAsia="zh-CN"/>
              </w:rPr>
            </w:pPr>
            <w:r>
              <w:rPr>
                <w:rFonts w:hint="eastAsia"/>
                <w:color w:val="auto"/>
                <w:sz w:val="24"/>
                <w:lang w:val="en-US" w:eastAsia="zh-CN"/>
              </w:rPr>
              <w:t>（1）施工期废水</w:t>
            </w:r>
          </w:p>
          <w:p>
            <w:pPr>
              <w:spacing w:line="360" w:lineRule="auto"/>
              <w:ind w:firstLine="480" w:firstLineChars="200"/>
              <w:rPr>
                <w:rFonts w:hint="eastAsia"/>
                <w:color w:val="auto"/>
                <w:sz w:val="24"/>
                <w:lang w:val="en-US" w:eastAsia="zh-CN"/>
              </w:rPr>
            </w:pPr>
            <w:r>
              <w:rPr>
                <w:rFonts w:hint="eastAsia"/>
                <w:color w:val="auto"/>
                <w:sz w:val="24"/>
                <w:lang w:val="en-US" w:eastAsia="zh-CN"/>
              </w:rPr>
              <w:t>施工期废水主要为施工人员生活污水及机械设备冲洗水。</w:t>
            </w:r>
          </w:p>
          <w:p>
            <w:pPr>
              <w:spacing w:line="360" w:lineRule="auto"/>
              <w:ind w:firstLine="480" w:firstLineChars="200"/>
              <w:rPr>
                <w:rFonts w:hint="eastAsia"/>
                <w:color w:val="auto"/>
                <w:sz w:val="24"/>
                <w:lang w:val="en-US" w:eastAsia="zh-CN"/>
              </w:rPr>
            </w:pPr>
            <w:r>
              <w:rPr>
                <w:rFonts w:hint="eastAsia"/>
                <w:color w:val="auto"/>
                <w:sz w:val="24"/>
                <w:lang w:val="en-US" w:eastAsia="zh-CN"/>
              </w:rPr>
              <w:t>1）施工废水</w:t>
            </w:r>
          </w:p>
          <w:p>
            <w:pPr>
              <w:spacing w:line="360" w:lineRule="auto"/>
              <w:ind w:firstLine="480" w:firstLineChars="200"/>
              <w:rPr>
                <w:rFonts w:hint="eastAsia"/>
                <w:color w:val="auto"/>
                <w:sz w:val="24"/>
                <w:lang w:val="en-US" w:eastAsia="zh-CN"/>
              </w:rPr>
            </w:pPr>
            <w:r>
              <w:rPr>
                <w:rFonts w:hint="eastAsia"/>
                <w:color w:val="auto"/>
                <w:sz w:val="24"/>
                <w:lang w:val="en-US" w:eastAsia="zh-CN"/>
              </w:rPr>
              <w:t>施工废水主要有混凝土拌合及各种设备的冲洗产生。本项目混凝土采用集中拌合的方式，在项目区新建 1 座混凝土拌合站。冲洗废水排量较小，排放方式为间歇，一次不超过 3m</w:t>
            </w:r>
            <w:r>
              <w:rPr>
                <w:rFonts w:hint="eastAsia"/>
                <w:color w:val="auto"/>
                <w:sz w:val="24"/>
                <w:vertAlign w:val="superscript"/>
                <w:lang w:val="en-US" w:eastAsia="zh-CN"/>
              </w:rPr>
              <w:t>3</w:t>
            </w:r>
            <w:r>
              <w:rPr>
                <w:rFonts w:hint="eastAsia"/>
                <w:color w:val="auto"/>
                <w:sz w:val="24"/>
                <w:lang w:val="en-US" w:eastAsia="zh-CN"/>
              </w:rPr>
              <w:t>，废水的 pH 值 12 左右，主要污染物为 SS，浓度3000mg/L左右。</w:t>
            </w:r>
          </w:p>
          <w:p>
            <w:pPr>
              <w:spacing w:line="360" w:lineRule="auto"/>
              <w:ind w:firstLine="480" w:firstLineChars="200"/>
              <w:rPr>
                <w:rFonts w:hint="eastAsia"/>
                <w:color w:val="auto"/>
                <w:sz w:val="24"/>
                <w:lang w:val="en-US" w:eastAsia="zh-CN"/>
              </w:rPr>
            </w:pPr>
            <w:r>
              <w:rPr>
                <w:rFonts w:hint="eastAsia"/>
                <w:color w:val="auto"/>
                <w:sz w:val="24"/>
                <w:lang w:val="en-US" w:eastAsia="zh-CN"/>
              </w:rPr>
              <w:t>根据项目施工布置，施工设备冲洗主要发生在拌合站及施工现场，因此在拌合站和施工现场设置一个不小于3m</w:t>
            </w:r>
            <w:r>
              <w:rPr>
                <w:rFonts w:hint="eastAsia"/>
                <w:color w:val="auto"/>
                <w:sz w:val="24"/>
                <w:vertAlign w:val="superscript"/>
                <w:lang w:val="en-US" w:eastAsia="zh-CN"/>
              </w:rPr>
              <w:t>3</w:t>
            </w:r>
            <w:r>
              <w:rPr>
                <w:rFonts w:hint="eastAsia"/>
                <w:color w:val="auto"/>
                <w:sz w:val="24"/>
                <w:lang w:val="en-US" w:eastAsia="zh-CN"/>
              </w:rPr>
              <w:t>的沉淀池。生产性废水经临时沉淀池处理后回用于混凝土拌合或场区洒水降尘，不外排。</w:t>
            </w:r>
          </w:p>
          <w:p>
            <w:pPr>
              <w:spacing w:line="360" w:lineRule="auto"/>
              <w:ind w:firstLine="480" w:firstLineChars="200"/>
              <w:rPr>
                <w:rFonts w:hint="eastAsia"/>
                <w:color w:val="auto"/>
                <w:sz w:val="24"/>
                <w:lang w:val="en-US" w:eastAsia="zh-CN"/>
              </w:rPr>
            </w:pPr>
            <w:r>
              <w:rPr>
                <w:rFonts w:hint="eastAsia"/>
                <w:color w:val="auto"/>
                <w:sz w:val="24"/>
                <w:lang w:val="en-US" w:eastAsia="zh-CN"/>
              </w:rPr>
              <w:t>2）施工人员生活污水</w:t>
            </w:r>
          </w:p>
          <w:p>
            <w:pPr>
              <w:spacing w:line="360" w:lineRule="auto"/>
              <w:ind w:firstLine="480" w:firstLineChars="200"/>
              <w:rPr>
                <w:rFonts w:hint="eastAsia"/>
                <w:color w:val="auto"/>
                <w:sz w:val="24"/>
                <w:lang w:val="en-US" w:eastAsia="zh-CN"/>
              </w:rPr>
            </w:pPr>
            <w:r>
              <w:rPr>
                <w:rFonts w:hint="eastAsia"/>
                <w:color w:val="auto"/>
                <w:sz w:val="24"/>
                <w:lang w:val="en-US" w:eastAsia="zh-CN"/>
              </w:rPr>
              <w:t>施工人数高峰期约50人，人均生活污水排放量0.04m</w:t>
            </w:r>
            <w:r>
              <w:rPr>
                <w:rFonts w:hint="eastAsia"/>
                <w:color w:val="auto"/>
                <w:sz w:val="24"/>
                <w:vertAlign w:val="superscript"/>
                <w:lang w:val="en-US" w:eastAsia="zh-CN"/>
              </w:rPr>
              <w:t>3</w:t>
            </w:r>
            <w:r>
              <w:rPr>
                <w:rFonts w:hint="eastAsia"/>
                <w:color w:val="auto"/>
                <w:sz w:val="24"/>
                <w:lang w:val="en-US" w:eastAsia="zh-CN"/>
              </w:rPr>
              <w:t>/人，生活污水产生量约2.0m</w:t>
            </w:r>
            <w:r>
              <w:rPr>
                <w:rFonts w:hint="eastAsia"/>
                <w:color w:val="auto"/>
                <w:sz w:val="24"/>
                <w:vertAlign w:val="superscript"/>
                <w:lang w:val="en-US" w:eastAsia="zh-CN"/>
              </w:rPr>
              <w:t>3</w:t>
            </w:r>
            <w:r>
              <w:rPr>
                <w:rFonts w:hint="eastAsia"/>
                <w:color w:val="auto"/>
                <w:sz w:val="24"/>
                <w:lang w:val="en-US" w:eastAsia="zh-CN"/>
              </w:rPr>
              <w:t>/d，生活污水主要污染物为BOD</w:t>
            </w:r>
            <w:r>
              <w:rPr>
                <w:rFonts w:hint="eastAsia"/>
                <w:color w:val="auto"/>
                <w:sz w:val="24"/>
                <w:vertAlign w:val="subscript"/>
                <w:lang w:val="en-US" w:eastAsia="zh-CN"/>
              </w:rPr>
              <w:t>5</w:t>
            </w:r>
            <w:r>
              <w:rPr>
                <w:rFonts w:hint="eastAsia"/>
                <w:color w:val="auto"/>
                <w:sz w:val="24"/>
                <w:lang w:val="en-US" w:eastAsia="zh-CN"/>
              </w:rPr>
              <w:t>、CODcr，浓度分别为200mg/L 和400mg/L。生活污水依托租用民房预处理池处理后用于农灌，不排入项目周边地表水体。</w:t>
            </w:r>
          </w:p>
          <w:p>
            <w:pPr>
              <w:spacing w:line="360" w:lineRule="auto"/>
              <w:ind w:firstLine="480" w:firstLineChars="200"/>
              <w:rPr>
                <w:rFonts w:hint="default"/>
                <w:color w:val="auto"/>
                <w:sz w:val="24"/>
                <w:lang w:val="en-US" w:eastAsia="zh-CN"/>
              </w:rPr>
            </w:pPr>
            <w:r>
              <w:rPr>
                <w:rFonts w:hint="eastAsia"/>
                <w:color w:val="auto"/>
                <w:sz w:val="24"/>
                <w:lang w:val="en-US" w:eastAsia="zh-CN"/>
              </w:rPr>
              <w:t>（2）施工期废气产污分析及治理措施</w:t>
            </w:r>
          </w:p>
          <w:p>
            <w:pPr>
              <w:spacing w:line="360" w:lineRule="auto"/>
              <w:ind w:firstLine="480" w:firstLineChars="200"/>
              <w:rPr>
                <w:rFonts w:hint="eastAsia"/>
                <w:color w:val="auto"/>
                <w:sz w:val="24"/>
                <w:lang w:val="en-US" w:eastAsia="zh-CN"/>
              </w:rPr>
            </w:pPr>
            <w:r>
              <w:rPr>
                <w:rFonts w:hint="eastAsia"/>
                <w:color w:val="auto"/>
                <w:sz w:val="24"/>
                <w:lang w:val="en-US" w:eastAsia="zh-CN"/>
              </w:rPr>
              <w:t>施工期场地废气污染主要是施工工地扬尘，其次是施工机械设备燃油（汽油或柴油）烟气。</w:t>
            </w:r>
          </w:p>
          <w:p>
            <w:pPr>
              <w:spacing w:line="360" w:lineRule="auto"/>
              <w:ind w:firstLine="480" w:firstLineChars="200"/>
              <w:rPr>
                <w:rFonts w:hint="eastAsia"/>
                <w:color w:val="auto"/>
                <w:sz w:val="24"/>
                <w:lang w:val="en-US" w:eastAsia="zh-CN"/>
              </w:rPr>
            </w:pPr>
            <w:r>
              <w:rPr>
                <w:rFonts w:hint="eastAsia"/>
                <w:color w:val="auto"/>
                <w:sz w:val="24"/>
                <w:lang w:val="en-US" w:eastAsia="zh-CN"/>
              </w:rPr>
              <w:t xml:space="preserve">1）扬尘 </w:t>
            </w:r>
          </w:p>
          <w:p>
            <w:pPr>
              <w:spacing w:line="360" w:lineRule="auto"/>
              <w:ind w:firstLine="480" w:firstLineChars="200"/>
              <w:rPr>
                <w:rFonts w:hint="eastAsia"/>
                <w:color w:val="auto"/>
                <w:sz w:val="24"/>
                <w:lang w:val="en-US" w:eastAsia="zh-CN"/>
              </w:rPr>
            </w:pPr>
            <w:r>
              <w:rPr>
                <w:rFonts w:hint="eastAsia"/>
                <w:color w:val="auto"/>
                <w:sz w:val="24"/>
                <w:lang w:val="en-US" w:eastAsia="zh-CN"/>
              </w:rPr>
              <w:t>扬尘是施工期大气污染物产生的主要来源，对整个施工期而言，主要集中在场平和土建施工阶段。露天堆放的建材（如沙石、水泥等）及裸露的施工区表层浮尘由于天气干燥及起风，产生风力扬尘；建材的装卸、搅拌等过程中，由于外力造成尘粒悬浮而产生动力扬尘，其中以施工及装卸车辆造成的扬尘最为严重。</w:t>
            </w:r>
          </w:p>
          <w:p>
            <w:pPr>
              <w:spacing w:line="360" w:lineRule="auto"/>
              <w:ind w:firstLine="480" w:firstLineChars="200"/>
              <w:rPr>
                <w:rFonts w:hint="eastAsia"/>
                <w:color w:val="auto"/>
                <w:sz w:val="24"/>
                <w:lang w:val="en-US" w:eastAsia="zh-CN"/>
              </w:rPr>
            </w:pPr>
            <w:r>
              <w:rPr>
                <w:rFonts w:hint="eastAsia"/>
                <w:color w:val="auto"/>
                <w:sz w:val="24"/>
                <w:lang w:val="en-US" w:eastAsia="zh-CN"/>
              </w:rPr>
              <w:t>施工期间扬尘产生的具体情况见表 5-1。</w:t>
            </w:r>
          </w:p>
          <w:p>
            <w:pPr>
              <w:jc w:val="center"/>
              <w:rPr>
                <w:rFonts w:hint="eastAsia"/>
                <w:b/>
                <w:bCs/>
                <w:color w:val="auto"/>
                <w:szCs w:val="21"/>
                <w:lang w:val="en-US" w:eastAsia="zh-CN"/>
              </w:rPr>
            </w:pPr>
            <w:r>
              <w:rPr>
                <w:rFonts w:hint="eastAsia"/>
                <w:b/>
                <w:bCs/>
                <w:color w:val="auto"/>
                <w:szCs w:val="21"/>
                <w:lang w:val="en-US" w:eastAsia="zh-CN"/>
              </w:rPr>
              <w:t>表5-1 施工期扬尘产生源</w:t>
            </w:r>
          </w:p>
          <w:tbl>
            <w:tblPr>
              <w:tblStyle w:val="51"/>
              <w:tblW w:w="827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70"/>
              <w:gridCol w:w="63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1970" w:type="dxa"/>
                  <w:tcBorders>
                    <w:tl2br w:val="nil"/>
                    <w:tr2bl w:val="nil"/>
                  </w:tcBorders>
                </w:tcPr>
                <w:p>
                  <w:pPr>
                    <w:pStyle w:val="311"/>
                    <w:spacing w:before="20" w:line="240" w:lineRule="auto"/>
                    <w:ind w:left="619" w:right="0"/>
                    <w:jc w:val="left"/>
                    <w:rPr>
                      <w:rFonts w:ascii="宋体" w:hAnsi="宋体" w:eastAsia="宋体" w:cs="宋体"/>
                      <w:color w:val="auto"/>
                      <w:sz w:val="21"/>
                      <w:szCs w:val="21"/>
                    </w:rPr>
                  </w:pPr>
                  <w:r>
                    <w:rPr>
                      <w:rFonts w:ascii="宋体" w:hAnsi="宋体" w:eastAsia="宋体" w:cs="宋体"/>
                      <w:color w:val="auto"/>
                      <w:sz w:val="21"/>
                      <w:szCs w:val="21"/>
                    </w:rPr>
                    <w:t>施工阶段</w:t>
                  </w:r>
                </w:p>
              </w:tc>
              <w:tc>
                <w:tcPr>
                  <w:tcW w:w="6305" w:type="dxa"/>
                  <w:tcBorders>
                    <w:tl2br w:val="nil"/>
                    <w:tr2bl w:val="nil"/>
                  </w:tcBorders>
                </w:tcPr>
                <w:p>
                  <w:pPr>
                    <w:pStyle w:val="311"/>
                    <w:spacing w:before="20" w:line="240" w:lineRule="auto"/>
                    <w:ind w:right="0"/>
                    <w:jc w:val="center"/>
                    <w:rPr>
                      <w:rFonts w:ascii="宋体" w:hAnsi="宋体" w:eastAsia="宋体" w:cs="宋体"/>
                      <w:color w:val="auto"/>
                      <w:sz w:val="21"/>
                      <w:szCs w:val="21"/>
                    </w:rPr>
                  </w:pPr>
                  <w:r>
                    <w:rPr>
                      <w:rFonts w:ascii="宋体" w:hAnsi="宋体" w:eastAsia="宋体" w:cs="宋体"/>
                      <w:color w:val="auto"/>
                      <w:sz w:val="21"/>
                      <w:szCs w:val="21"/>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exact"/>
                <w:jc w:val="center"/>
              </w:trPr>
              <w:tc>
                <w:tcPr>
                  <w:tcW w:w="1970" w:type="dxa"/>
                  <w:tcBorders>
                    <w:tl2br w:val="nil"/>
                    <w:tr2bl w:val="nil"/>
                  </w:tcBorders>
                </w:tcPr>
                <w:p>
                  <w:pPr>
                    <w:pStyle w:val="311"/>
                    <w:spacing w:before="22" w:line="240" w:lineRule="auto"/>
                    <w:ind w:right="0"/>
                    <w:jc w:val="center"/>
                    <w:rPr>
                      <w:rFonts w:ascii="宋体" w:hAnsi="宋体" w:eastAsia="宋体" w:cs="宋体"/>
                      <w:color w:val="auto"/>
                      <w:sz w:val="21"/>
                      <w:szCs w:val="21"/>
                    </w:rPr>
                  </w:pPr>
                  <w:r>
                    <w:rPr>
                      <w:rFonts w:ascii="宋体" w:hAnsi="宋体" w:eastAsia="宋体" w:cs="宋体"/>
                      <w:color w:val="auto"/>
                      <w:sz w:val="21"/>
                      <w:szCs w:val="21"/>
                    </w:rPr>
                    <w:t>场平</w:t>
                  </w:r>
                </w:p>
              </w:tc>
              <w:tc>
                <w:tcPr>
                  <w:tcW w:w="6305" w:type="dxa"/>
                  <w:tcBorders>
                    <w:tl2br w:val="nil"/>
                    <w:tr2bl w:val="nil"/>
                  </w:tcBorders>
                </w:tcPr>
                <w:p>
                  <w:pPr>
                    <w:pStyle w:val="311"/>
                    <w:spacing w:before="22" w:line="240" w:lineRule="auto"/>
                    <w:ind w:left="1166" w:right="0"/>
                    <w:jc w:val="left"/>
                    <w:rPr>
                      <w:rFonts w:ascii="宋体" w:hAnsi="宋体" w:eastAsia="宋体" w:cs="宋体"/>
                      <w:color w:val="auto"/>
                      <w:sz w:val="21"/>
                      <w:szCs w:val="21"/>
                    </w:rPr>
                  </w:pPr>
                  <w:r>
                    <w:rPr>
                      <w:rFonts w:ascii="宋体" w:hAnsi="宋体" w:eastAsia="宋体" w:cs="宋体"/>
                      <w:color w:val="auto"/>
                      <w:sz w:val="21"/>
                      <w:szCs w:val="21"/>
                    </w:rPr>
                    <w:t>场地平整、基础开挖、水泥砂浆搅拌、汽车运输等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exact"/>
                <w:jc w:val="center"/>
              </w:trPr>
              <w:tc>
                <w:tcPr>
                  <w:tcW w:w="1970" w:type="dxa"/>
                  <w:tcBorders>
                    <w:tl2br w:val="nil"/>
                    <w:tr2bl w:val="nil"/>
                  </w:tcBorders>
                </w:tcPr>
                <w:p>
                  <w:pPr>
                    <w:pStyle w:val="311"/>
                    <w:spacing w:before="20" w:line="240" w:lineRule="auto"/>
                    <w:ind w:left="619" w:right="0"/>
                    <w:jc w:val="left"/>
                    <w:rPr>
                      <w:rFonts w:ascii="宋体" w:hAnsi="宋体" w:eastAsia="宋体" w:cs="宋体"/>
                      <w:color w:val="auto"/>
                      <w:sz w:val="21"/>
                      <w:szCs w:val="21"/>
                    </w:rPr>
                  </w:pPr>
                  <w:r>
                    <w:rPr>
                      <w:rFonts w:ascii="宋体" w:hAnsi="宋体" w:eastAsia="宋体" w:cs="宋体"/>
                      <w:color w:val="auto"/>
                      <w:sz w:val="21"/>
                      <w:szCs w:val="21"/>
                    </w:rPr>
                    <w:t>建筑施工</w:t>
                  </w:r>
                </w:p>
              </w:tc>
              <w:tc>
                <w:tcPr>
                  <w:tcW w:w="6305" w:type="dxa"/>
                  <w:tcBorders>
                    <w:tl2br w:val="nil"/>
                    <w:tr2bl w:val="nil"/>
                  </w:tcBorders>
                </w:tcPr>
                <w:p>
                  <w:pPr>
                    <w:pStyle w:val="311"/>
                    <w:spacing w:before="20" w:line="240" w:lineRule="auto"/>
                    <w:ind w:left="1977" w:right="0"/>
                    <w:jc w:val="left"/>
                    <w:rPr>
                      <w:rFonts w:ascii="宋体" w:hAnsi="宋体" w:eastAsia="宋体" w:cs="宋体"/>
                      <w:color w:val="auto"/>
                      <w:sz w:val="21"/>
                      <w:szCs w:val="21"/>
                    </w:rPr>
                  </w:pPr>
                  <w:r>
                    <w:rPr>
                      <w:rFonts w:ascii="宋体" w:hAnsi="宋体" w:eastAsia="宋体" w:cs="宋体"/>
                      <w:color w:val="auto"/>
                      <w:sz w:val="21"/>
                      <w:szCs w:val="21"/>
                    </w:rPr>
                    <w:t>混凝土工程、地基开挖与回填</w:t>
                  </w:r>
                </w:p>
              </w:tc>
            </w:tr>
          </w:tbl>
          <w:p>
            <w:pPr>
              <w:spacing w:line="360" w:lineRule="auto"/>
              <w:ind w:firstLine="480" w:firstLineChars="200"/>
              <w:rPr>
                <w:rFonts w:hint="default"/>
                <w:color w:val="auto"/>
                <w:sz w:val="24"/>
                <w:lang w:val="en-US" w:eastAsia="zh-CN"/>
              </w:rPr>
            </w:pPr>
            <w:r>
              <w:rPr>
                <w:rFonts w:hint="eastAsia"/>
                <w:color w:val="auto"/>
                <w:sz w:val="24"/>
                <w:lang w:val="en-US" w:eastAsia="zh-CN"/>
              </w:rPr>
              <w:t>2）扬尘治理措施</w:t>
            </w:r>
          </w:p>
          <w:p>
            <w:pPr>
              <w:spacing w:line="360" w:lineRule="auto"/>
              <w:ind w:firstLine="480" w:firstLineChars="200"/>
              <w:rPr>
                <w:rFonts w:ascii="t" w:hAnsi="t"/>
                <w:b/>
                <w:color w:val="000000" w:themeColor="text1"/>
                <w:sz w:val="24"/>
                <w14:textFill>
                  <w14:solidFill>
                    <w14:schemeClr w14:val="tx1"/>
                  </w14:solidFill>
                </w14:textFill>
              </w:rPr>
            </w:pPr>
            <w:r>
              <w:rPr>
                <w:rFonts w:hint="eastAsia"/>
                <w:sz w:val="24"/>
              </w:rPr>
              <w:t>a、</w:t>
            </w:r>
            <w:r>
              <w:rPr>
                <w:sz w:val="24"/>
              </w:rPr>
              <w:t>施工工地设置</w:t>
            </w:r>
            <w:r>
              <w:rPr>
                <w:rFonts w:hint="eastAsia"/>
                <w:sz w:val="24"/>
              </w:rPr>
              <w:t>2</w:t>
            </w:r>
            <w:r>
              <w:rPr>
                <w:sz w:val="24"/>
              </w:rPr>
              <w:t>m的蓝色硬质彩钢板密闭围档</w:t>
            </w:r>
            <w:r>
              <w:rPr>
                <w:rFonts w:hint="eastAsia"/>
                <w:sz w:val="24"/>
              </w:rPr>
              <w:t>，</w:t>
            </w:r>
            <w:r>
              <w:rPr>
                <w:bCs/>
                <w:sz w:val="24"/>
              </w:rPr>
              <w:t>在非雨天时适时洒水，包括正在施工的场地及主要运输道路等</w:t>
            </w:r>
            <w:r>
              <w:rPr>
                <w:rFonts w:hint="eastAsia"/>
                <w:bCs/>
                <w:sz w:val="24"/>
              </w:rPr>
              <w:t>；</w:t>
            </w:r>
          </w:p>
          <w:p>
            <w:pPr>
              <w:snapToGrid w:val="0"/>
              <w:spacing w:line="360" w:lineRule="auto"/>
              <w:ind w:firstLine="480" w:firstLineChars="200"/>
              <w:jc w:val="left"/>
              <w:rPr>
                <w:bCs/>
                <w:sz w:val="24"/>
              </w:rPr>
            </w:pPr>
            <w:r>
              <w:rPr>
                <w:rFonts w:hint="eastAsia"/>
                <w:bCs/>
                <w:sz w:val="24"/>
              </w:rPr>
              <w:t>b、颗粒</w:t>
            </w:r>
            <w:r>
              <w:rPr>
                <w:bCs/>
                <w:sz w:val="24"/>
              </w:rPr>
              <w:t>状材料如石灰、水泥等</w:t>
            </w:r>
            <w:r>
              <w:rPr>
                <w:rFonts w:hint="eastAsia"/>
                <w:bCs/>
                <w:sz w:val="24"/>
              </w:rPr>
              <w:t>为</w:t>
            </w:r>
            <w:r>
              <w:rPr>
                <w:bCs/>
                <w:sz w:val="24"/>
              </w:rPr>
              <w:t>袋装</w:t>
            </w:r>
            <w:r>
              <w:rPr>
                <w:rFonts w:hint="eastAsia"/>
                <w:bCs/>
                <w:sz w:val="24"/>
              </w:rPr>
              <w:t>，</w:t>
            </w:r>
            <w:r>
              <w:rPr>
                <w:bCs/>
                <w:sz w:val="24"/>
              </w:rPr>
              <w:t>运输途中</w:t>
            </w:r>
            <w:r>
              <w:rPr>
                <w:rFonts w:hint="eastAsia"/>
                <w:bCs/>
                <w:sz w:val="24"/>
              </w:rPr>
              <w:t>未有</w:t>
            </w:r>
            <w:r>
              <w:rPr>
                <w:bCs/>
                <w:sz w:val="24"/>
              </w:rPr>
              <w:t>扬尘散落，储存时堆入库房或用篷布覆盖</w:t>
            </w:r>
            <w:r>
              <w:rPr>
                <w:rFonts w:hint="eastAsia"/>
                <w:bCs/>
                <w:sz w:val="24"/>
              </w:rPr>
              <w:t>；</w:t>
            </w:r>
          </w:p>
          <w:p>
            <w:pPr>
              <w:snapToGrid w:val="0"/>
              <w:spacing w:line="360" w:lineRule="auto"/>
              <w:ind w:firstLine="480" w:firstLineChars="200"/>
              <w:jc w:val="left"/>
              <w:rPr>
                <w:bCs/>
                <w:sz w:val="24"/>
              </w:rPr>
            </w:pPr>
            <w:r>
              <w:rPr>
                <w:rFonts w:hint="eastAsia"/>
                <w:bCs/>
                <w:sz w:val="24"/>
              </w:rPr>
              <w:t>c、</w:t>
            </w:r>
            <w:r>
              <w:rPr>
                <w:bCs/>
                <w:sz w:val="24"/>
              </w:rPr>
              <w:t>土、砂、石料运输</w:t>
            </w:r>
            <w:r>
              <w:rPr>
                <w:rFonts w:hint="eastAsia"/>
                <w:bCs/>
                <w:sz w:val="24"/>
              </w:rPr>
              <w:t>未</w:t>
            </w:r>
            <w:r>
              <w:rPr>
                <w:bCs/>
                <w:sz w:val="24"/>
              </w:rPr>
              <w:t>超载，装高</w:t>
            </w:r>
            <w:r>
              <w:rPr>
                <w:rFonts w:hint="eastAsia"/>
                <w:bCs/>
                <w:sz w:val="24"/>
              </w:rPr>
              <w:t>未</w:t>
            </w:r>
            <w:r>
              <w:rPr>
                <w:bCs/>
                <w:sz w:val="24"/>
              </w:rPr>
              <w:t>超过车厢板，并盖篷布</w:t>
            </w:r>
            <w:r>
              <w:rPr>
                <w:rFonts w:hint="eastAsia"/>
                <w:bCs/>
                <w:sz w:val="24"/>
              </w:rPr>
              <w:t>；</w:t>
            </w:r>
          </w:p>
          <w:p>
            <w:pPr>
              <w:snapToGrid w:val="0"/>
              <w:spacing w:line="360" w:lineRule="auto"/>
              <w:ind w:firstLine="480" w:firstLineChars="200"/>
              <w:rPr>
                <w:sz w:val="24"/>
              </w:rPr>
            </w:pPr>
            <w:r>
              <w:rPr>
                <w:rFonts w:hint="eastAsia" w:ascii="宋体" w:hAnsi="宋体" w:cs="宋体"/>
                <w:sz w:val="24"/>
              </w:rPr>
              <w:t>d、</w:t>
            </w:r>
            <w:r>
              <w:rPr>
                <w:sz w:val="24"/>
              </w:rPr>
              <w:t>及时清运施工废弃物，暂时不能清运的采取覆盖措施，运输沙、石、水泥、土石方等易产尘物质的车辆封盖严密；</w:t>
            </w:r>
          </w:p>
          <w:p>
            <w:pPr>
              <w:snapToGrid w:val="0"/>
              <w:spacing w:line="360" w:lineRule="auto"/>
              <w:ind w:firstLine="480" w:firstLineChars="200"/>
              <w:rPr>
                <w:sz w:val="24"/>
              </w:rPr>
            </w:pPr>
            <w:r>
              <w:rPr>
                <w:rFonts w:hint="eastAsia" w:ascii="宋体" w:hAnsi="宋体" w:cs="宋体"/>
                <w:sz w:val="24"/>
              </w:rPr>
              <w:t>e、</w:t>
            </w:r>
            <w:r>
              <w:rPr>
                <w:sz w:val="24"/>
              </w:rPr>
              <w:t>工程完毕后及时清理施工场地</w:t>
            </w:r>
            <w:r>
              <w:rPr>
                <w:rFonts w:hint="eastAsia"/>
                <w:sz w:val="24"/>
              </w:rPr>
              <w:t>，</w:t>
            </w:r>
            <w:r>
              <w:rPr>
                <w:sz w:val="24"/>
              </w:rPr>
              <w:t>对施工场地、临时堆料场等，除及时进行清理外，进行硬化处理或绿化，并及时移交给土地使用方或政府</w:t>
            </w:r>
            <w:r>
              <w:rPr>
                <w:rFonts w:hint="eastAsia"/>
                <w:sz w:val="24"/>
              </w:rPr>
              <w:t>。</w:t>
            </w:r>
          </w:p>
          <w:p>
            <w:pPr>
              <w:snapToGrid w:val="0"/>
              <w:spacing w:line="360" w:lineRule="auto"/>
              <w:ind w:firstLine="480" w:firstLineChars="200"/>
              <w:jc w:val="left"/>
              <w:rPr>
                <w:rFonts w:hint="eastAsia" w:asciiTheme="minorEastAsia" w:hAnsiTheme="minorEastAsia" w:cstheme="minorEastAsia"/>
                <w:b w:val="0"/>
                <w:bCs/>
                <w:sz w:val="24"/>
                <w:szCs w:val="24"/>
                <w:lang w:val="en-US" w:eastAsia="zh-CN"/>
              </w:rPr>
            </w:pPr>
            <w:r>
              <w:rPr>
                <w:rFonts w:hint="eastAsia"/>
                <w:color w:val="000000"/>
                <w:sz w:val="24"/>
                <w:lang w:val="en-US" w:eastAsia="zh-CN"/>
              </w:rPr>
              <w:t>因</w:t>
            </w:r>
            <w:r>
              <w:rPr>
                <w:rFonts w:hint="eastAsia" w:asciiTheme="minorEastAsia" w:hAnsiTheme="minorEastAsia" w:eastAsiaTheme="minorEastAsia" w:cstheme="minorEastAsia"/>
                <w:b w:val="0"/>
                <w:bCs/>
                <w:sz w:val="24"/>
                <w:szCs w:val="24"/>
                <w:lang w:val="en-US" w:eastAsia="zh-CN"/>
              </w:rPr>
              <w:t>《四川省施工扬尘排放标准》</w:t>
            </w:r>
            <w:r>
              <w:rPr>
                <w:rFonts w:hint="eastAsia" w:asciiTheme="minorEastAsia" w:hAnsiTheme="minorEastAsia" w:cstheme="minorEastAsia"/>
                <w:b w:val="0"/>
                <w:bCs/>
                <w:sz w:val="24"/>
                <w:szCs w:val="24"/>
                <w:lang w:val="en-US" w:eastAsia="zh-CN"/>
              </w:rPr>
              <w:t>（DB51/2682-2020）</w:t>
            </w:r>
            <w:r>
              <w:rPr>
                <w:rFonts w:hint="eastAsia" w:asciiTheme="minorEastAsia" w:hAnsiTheme="minorEastAsia" w:eastAsiaTheme="minorEastAsia" w:cstheme="minorEastAsia"/>
                <w:b w:val="0"/>
                <w:bCs/>
                <w:sz w:val="24"/>
                <w:szCs w:val="24"/>
                <w:lang w:val="en-US" w:eastAsia="zh-CN"/>
              </w:rPr>
              <w:t>2020年9月1日开始实施，本项目施工过程要求按照本标准实施，</w:t>
            </w:r>
            <w:r>
              <w:rPr>
                <w:rFonts w:hint="eastAsia" w:asciiTheme="minorEastAsia" w:hAnsiTheme="minorEastAsia" w:cstheme="minorEastAsia"/>
                <w:b w:val="0"/>
                <w:bCs/>
                <w:sz w:val="24"/>
                <w:szCs w:val="24"/>
                <w:lang w:val="en-US" w:eastAsia="zh-CN"/>
              </w:rPr>
              <w:t>施工场地安装在线监测仪，且监测自监测起持续15分钟，监测结果施工场地扬尘排放应符合表1中规定的浓度限值,即拆除工程/土方开挖/土方回填阶段监测点排放限值不高于900ug/m</w:t>
            </w:r>
            <w:r>
              <w:rPr>
                <w:rFonts w:hint="eastAsia" w:asciiTheme="minorEastAsia" w:hAnsiTheme="minorEastAsia" w:cstheme="minorEastAsia"/>
                <w:b w:val="0"/>
                <w:bCs/>
                <w:sz w:val="24"/>
                <w:szCs w:val="24"/>
                <w:vertAlign w:val="superscript"/>
                <w:lang w:val="en-US" w:eastAsia="zh-CN"/>
              </w:rPr>
              <w:t>3</w:t>
            </w:r>
            <w:r>
              <w:rPr>
                <w:rFonts w:hint="eastAsia" w:asciiTheme="minorEastAsia" w:hAnsiTheme="minorEastAsia" w:cstheme="minorEastAsia"/>
                <w:b w:val="0"/>
                <w:bCs/>
                <w:sz w:val="24"/>
                <w:szCs w:val="24"/>
                <w:lang w:val="en-US" w:eastAsia="zh-CN"/>
              </w:rPr>
              <w:t>，其它工程阶段不高于350ug/m</w:t>
            </w:r>
            <w:r>
              <w:rPr>
                <w:rFonts w:hint="eastAsia" w:asciiTheme="minorEastAsia" w:hAnsiTheme="minorEastAsia" w:cstheme="minorEastAsia"/>
                <w:b w:val="0"/>
                <w:bCs/>
                <w:sz w:val="24"/>
                <w:szCs w:val="24"/>
                <w:vertAlign w:val="superscript"/>
                <w:lang w:val="en-US" w:eastAsia="zh-CN"/>
              </w:rPr>
              <w:t>3</w:t>
            </w:r>
            <w:r>
              <w:rPr>
                <w:rFonts w:hint="eastAsia" w:asciiTheme="minorEastAsia" w:hAnsiTheme="minorEastAsia" w:cstheme="minorEastAsia"/>
                <w:b w:val="0"/>
                <w:bCs/>
                <w:sz w:val="24"/>
                <w:szCs w:val="24"/>
                <w:lang w:val="en-US" w:eastAsia="zh-CN"/>
              </w:rPr>
              <w:t>。</w:t>
            </w:r>
          </w:p>
          <w:p>
            <w:pPr>
              <w:snapToGrid w:val="0"/>
              <w:spacing w:line="360" w:lineRule="auto"/>
              <w:ind w:firstLine="480" w:firstLineChars="200"/>
              <w:jc w:val="left"/>
              <w:rPr>
                <w:rFonts w:hint="eastAsia"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且监测点位置设置按照本标准执行：</w:t>
            </w:r>
          </w:p>
          <w:p>
            <w:pPr>
              <w:snapToGrid w:val="0"/>
              <w:spacing w:line="360" w:lineRule="auto"/>
              <w:ind w:firstLine="480" w:firstLineChars="200"/>
              <w:jc w:val="left"/>
              <w:rPr>
                <w:rFonts w:hint="eastAsia"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①监测点位应设置于建筑工地施工区域围栏安全范围内，优先设置于车辆进出口处和工地下风向浓度最高点处，可直接监控施工现场主要施工活动的区域。</w:t>
            </w:r>
          </w:p>
          <w:p>
            <w:pPr>
              <w:snapToGrid w:val="0"/>
              <w:spacing w:line="360" w:lineRule="auto"/>
              <w:ind w:firstLine="480" w:firstLineChars="200"/>
              <w:jc w:val="left"/>
              <w:rPr>
                <w:rFonts w:hint="default"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②在监测点周围，不应有非施工作业的高大建筑物、树木或其他障碍物障碍环境空气的流通。从监测系统采样口到附近最高障碍物之间的水平距离，至少应为该障碍物高出采样口垂直距离的两倍以上。</w:t>
            </w:r>
          </w:p>
          <w:p>
            <w:pPr>
              <w:snapToGrid w:val="0"/>
              <w:spacing w:line="360" w:lineRule="auto"/>
              <w:ind w:firstLine="480" w:firstLineChars="200"/>
              <w:jc w:val="left"/>
              <w:rPr>
                <w:rFonts w:hint="eastAsia"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③监测点应设置在相对安全和防火措施有保障的地方，监测点附近应避免强电磁干扰，周围有稳定可靠的电力供应，方便安装和检修通信线路。</w:t>
            </w:r>
          </w:p>
          <w:p>
            <w:pPr>
              <w:snapToGrid w:val="0"/>
              <w:spacing w:line="360" w:lineRule="auto"/>
              <w:ind w:firstLine="480" w:firstLineChars="200"/>
              <w:jc w:val="left"/>
              <w:rPr>
                <w:rFonts w:hint="default"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④当与其他建筑工地相邻时，应避免在相邻边界处设置监测点。</w:t>
            </w:r>
          </w:p>
          <w:p>
            <w:pPr>
              <w:snapToGrid w:val="0"/>
              <w:spacing w:line="360" w:lineRule="auto"/>
              <w:ind w:firstLine="480" w:firstLineChars="200"/>
              <w:jc w:val="left"/>
              <w:rPr>
                <w:rFonts w:hint="default" w:asciiTheme="minorEastAsia" w:hAnsiTheme="minorEastAsia" w:cstheme="minorEastAsia"/>
                <w:b w:val="0"/>
                <w:bCs/>
                <w:sz w:val="24"/>
                <w:szCs w:val="24"/>
                <w:lang w:val="en-US" w:eastAsia="zh-CN"/>
              </w:rPr>
            </w:pPr>
            <w:r>
              <w:rPr>
                <w:rFonts w:hint="eastAsia" w:asciiTheme="minorEastAsia" w:hAnsiTheme="minorEastAsia" w:cstheme="minorEastAsia"/>
                <w:b w:val="0"/>
                <w:bCs/>
                <w:sz w:val="24"/>
                <w:szCs w:val="24"/>
                <w:lang w:val="en-US" w:eastAsia="zh-CN"/>
              </w:rPr>
              <w:t>⑤监测点的位置不宜轻易变动，以保证监测的连续性和数据的可比性。</w:t>
            </w:r>
          </w:p>
          <w:p>
            <w:pPr>
              <w:snapToGrid w:val="0"/>
              <w:spacing w:line="360" w:lineRule="auto"/>
              <w:ind w:firstLine="480" w:firstLineChars="200"/>
              <w:jc w:val="left"/>
              <w:rPr>
                <w:rFonts w:hint="default" w:eastAsiaTheme="minorEastAsia"/>
                <w:color w:val="000000"/>
                <w:sz w:val="24"/>
                <w:lang w:val="en-US" w:eastAsia="zh-CN"/>
              </w:rPr>
            </w:pPr>
            <w:r>
              <w:rPr>
                <w:rFonts w:hint="eastAsia" w:asciiTheme="minorEastAsia" w:hAnsiTheme="minorEastAsia" w:cstheme="minorEastAsia"/>
                <w:b w:val="0"/>
                <w:bCs/>
                <w:sz w:val="24"/>
                <w:szCs w:val="24"/>
                <w:lang w:val="en-US" w:eastAsia="zh-CN"/>
              </w:rPr>
              <w:t>⑥监测点位采样口距离地面高度一般应为2-4m。</w:t>
            </w:r>
          </w:p>
          <w:p>
            <w:pPr>
              <w:snapToGrid w:val="0"/>
              <w:spacing w:line="360" w:lineRule="auto"/>
              <w:ind w:firstLine="480" w:firstLineChars="200"/>
              <w:jc w:val="left"/>
              <w:rPr>
                <w:rFonts w:hint="default" w:eastAsiaTheme="minorEastAsia"/>
                <w:color w:val="000000"/>
                <w:sz w:val="24"/>
                <w:lang w:val="en-US" w:eastAsia="zh-CN"/>
              </w:rPr>
            </w:pPr>
            <w:r>
              <w:rPr>
                <w:rFonts w:hint="eastAsia"/>
                <w:color w:val="000000"/>
                <w:sz w:val="24"/>
                <w:lang w:val="en-US" w:eastAsia="zh-CN"/>
              </w:rPr>
              <w:t>⑦施工场地监测点数量要符合该标准中表3的要求，本项目施工场地占地面积小于5000平方米，因此必须设置一个自动监测点。</w:t>
            </w:r>
          </w:p>
          <w:p>
            <w:pPr>
              <w:spacing w:line="360" w:lineRule="auto"/>
              <w:ind w:firstLine="480" w:firstLineChars="200"/>
              <w:rPr>
                <w:rFonts w:hint="eastAsia"/>
                <w:color w:val="auto"/>
                <w:sz w:val="24"/>
                <w:lang w:val="en-US" w:eastAsia="zh-CN"/>
              </w:rPr>
            </w:pPr>
            <w:r>
              <w:rPr>
                <w:rFonts w:hint="eastAsia"/>
                <w:color w:val="auto"/>
                <w:sz w:val="24"/>
                <w:lang w:val="en-US" w:eastAsia="zh-CN"/>
              </w:rPr>
              <w:t>3）施工机械燃油废气</w:t>
            </w:r>
          </w:p>
          <w:p>
            <w:pPr>
              <w:spacing w:line="360" w:lineRule="auto"/>
              <w:ind w:firstLine="480" w:firstLineChars="200"/>
              <w:rPr>
                <w:rFonts w:hint="eastAsia"/>
                <w:color w:val="auto"/>
                <w:sz w:val="24"/>
                <w:lang w:val="en-US" w:eastAsia="zh-CN"/>
              </w:rPr>
            </w:pPr>
            <w:r>
              <w:rPr>
                <w:rFonts w:hint="eastAsia"/>
                <w:color w:val="auto"/>
                <w:sz w:val="24"/>
                <w:lang w:val="en-US" w:eastAsia="zh-CN"/>
              </w:rPr>
              <w:t>施工期间，各类机械设备的运转均会排放一定量的机械燃油废气，其特点是排放量小，且属间断无组织排放。项目施工期施工机械均分散在各个施工作业区，运行时间不固定，通过选用符合国家有关卫生标准的施工机械和运输车辆，可以使施工机械和运输车辆排放的燃油废气及汽车尾气达到相关标准的要求。</w:t>
            </w:r>
          </w:p>
          <w:p>
            <w:pPr>
              <w:spacing w:line="360" w:lineRule="auto"/>
              <w:ind w:firstLine="480" w:firstLineChars="200"/>
              <w:rPr>
                <w:rFonts w:hint="eastAsia"/>
                <w:color w:val="auto"/>
                <w:sz w:val="24"/>
                <w:lang w:val="en-US" w:eastAsia="zh-CN"/>
              </w:rPr>
            </w:pPr>
            <w:r>
              <w:rPr>
                <w:rFonts w:hint="eastAsia"/>
                <w:color w:val="auto"/>
                <w:sz w:val="24"/>
                <w:lang w:val="en-US" w:eastAsia="zh-CN"/>
              </w:rPr>
              <w:t>为减少燃油机械及车辆产生的尾气污染，环评要求施工方应采取以下措施：</w:t>
            </w:r>
          </w:p>
          <w:p>
            <w:pPr>
              <w:spacing w:line="360" w:lineRule="auto"/>
              <w:ind w:firstLine="480" w:firstLineChars="200"/>
              <w:rPr>
                <w:rFonts w:hint="eastAsia"/>
                <w:color w:val="auto"/>
                <w:sz w:val="24"/>
                <w:lang w:val="en-US" w:eastAsia="zh-CN"/>
              </w:rPr>
            </w:pPr>
            <w:r>
              <w:rPr>
                <w:rFonts w:hint="eastAsia"/>
                <w:color w:val="auto"/>
                <w:sz w:val="24"/>
                <w:lang w:val="en-US" w:eastAsia="zh-CN"/>
              </w:rPr>
              <w:t>①加强施工机械的保养维护，提高机械的正常使用率。</w:t>
            </w:r>
          </w:p>
          <w:p>
            <w:pPr>
              <w:spacing w:line="360" w:lineRule="auto"/>
              <w:ind w:firstLine="480" w:firstLineChars="200"/>
              <w:rPr>
                <w:rFonts w:hint="eastAsia"/>
                <w:color w:val="auto"/>
                <w:sz w:val="24"/>
                <w:lang w:val="en-US" w:eastAsia="zh-CN"/>
              </w:rPr>
            </w:pPr>
            <w:r>
              <w:rPr>
                <w:rFonts w:hint="eastAsia"/>
                <w:color w:val="auto"/>
                <w:sz w:val="24"/>
                <w:lang w:val="en-US" w:eastAsia="zh-CN"/>
              </w:rPr>
              <w:t>②加强对机械、车辆的维修保养，禁止以柴油为燃料的施工机械超负荷工作，减少烟尘和颗粒物排放。</w:t>
            </w:r>
          </w:p>
          <w:p>
            <w:pPr>
              <w:spacing w:line="360" w:lineRule="auto"/>
              <w:ind w:firstLine="480" w:firstLineChars="200"/>
              <w:rPr>
                <w:rFonts w:hint="eastAsia"/>
                <w:color w:val="auto"/>
                <w:sz w:val="24"/>
                <w:lang w:val="en-US" w:eastAsia="zh-CN"/>
              </w:rPr>
            </w:pPr>
            <w:r>
              <w:rPr>
                <w:rFonts w:hint="eastAsia"/>
                <w:color w:val="auto"/>
                <w:sz w:val="24"/>
                <w:lang w:val="en-US" w:eastAsia="zh-CN"/>
              </w:rPr>
              <w:t>③动力机械多选择使用电动工具，严格控制内燃机械的使用，场内施工内燃机械(如铲车、挖掘机、发电机等)安置有效的空气滤清装置，并定期清理。</w:t>
            </w:r>
          </w:p>
          <w:p>
            <w:pPr>
              <w:spacing w:line="360" w:lineRule="auto"/>
              <w:ind w:firstLine="480" w:firstLineChars="200"/>
              <w:rPr>
                <w:rFonts w:hint="eastAsia"/>
                <w:color w:val="auto"/>
                <w:sz w:val="24"/>
                <w:lang w:val="en-US" w:eastAsia="zh-CN"/>
              </w:rPr>
            </w:pPr>
            <w:r>
              <w:rPr>
                <w:rFonts w:hint="eastAsia"/>
                <w:color w:val="auto"/>
                <w:sz w:val="24"/>
                <w:lang w:val="en-US" w:eastAsia="zh-CN"/>
              </w:rPr>
              <w:t>④禁止使用废气排放超标的车辆。在进行以上防治措施后，再加上项目所在场地扩散条件较好，因此拟建项目机械施工产生的废气对环境的影响小。</w:t>
            </w:r>
          </w:p>
          <w:p>
            <w:pPr>
              <w:spacing w:line="360" w:lineRule="auto"/>
              <w:ind w:firstLine="480" w:firstLineChars="200"/>
              <w:rPr>
                <w:rFonts w:hint="default"/>
                <w:color w:val="auto"/>
                <w:sz w:val="24"/>
                <w:lang w:val="en-US" w:eastAsia="zh-CN"/>
              </w:rPr>
            </w:pPr>
            <w:r>
              <w:rPr>
                <w:rFonts w:hint="eastAsia"/>
                <w:color w:val="auto"/>
                <w:sz w:val="24"/>
                <w:lang w:val="en-US" w:eastAsia="zh-CN"/>
              </w:rPr>
              <w:t>（3）施工期噪声及治理措施</w:t>
            </w:r>
          </w:p>
          <w:p>
            <w:pPr>
              <w:spacing w:line="360" w:lineRule="auto"/>
              <w:ind w:firstLine="480" w:firstLineChars="200"/>
              <w:rPr>
                <w:rFonts w:hint="eastAsia"/>
                <w:color w:val="auto"/>
                <w:sz w:val="24"/>
                <w:lang w:val="en-US" w:eastAsia="zh-CN"/>
              </w:rPr>
            </w:pPr>
            <w:r>
              <w:rPr>
                <w:rFonts w:hint="eastAsia"/>
                <w:color w:val="auto"/>
                <w:sz w:val="24"/>
                <w:lang w:val="en-US" w:eastAsia="zh-CN"/>
              </w:rPr>
              <w:t>施工期产生的噪声具有阶段性、临时性和不固定性。施工期噪声主要来自施工机械；同时由于建筑施工多采用大型车辆，其噪声级也较高。</w:t>
            </w:r>
          </w:p>
          <w:p>
            <w:pPr>
              <w:jc w:val="center"/>
              <w:rPr>
                <w:rFonts w:hint="eastAsia"/>
                <w:b/>
                <w:bCs/>
                <w:color w:val="auto"/>
                <w:szCs w:val="21"/>
                <w:lang w:val="en-US" w:eastAsia="zh-CN"/>
              </w:rPr>
            </w:pPr>
            <w:r>
              <w:rPr>
                <w:rFonts w:hint="eastAsia"/>
                <w:b/>
                <w:bCs/>
                <w:color w:val="auto"/>
                <w:szCs w:val="21"/>
                <w:lang w:val="en-US" w:eastAsia="zh-CN"/>
              </w:rPr>
              <w:t>表5-2 施工期噪声产生源</w:t>
            </w:r>
          </w:p>
          <w:tbl>
            <w:tblPr>
              <w:tblStyle w:val="51"/>
              <w:tblW w:w="806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64"/>
              <w:gridCol w:w="50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4" w:hRule="exact"/>
                <w:jc w:val="center"/>
              </w:trPr>
              <w:tc>
                <w:tcPr>
                  <w:tcW w:w="2964"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设备名称</w:t>
                  </w:r>
                </w:p>
              </w:tc>
              <w:tc>
                <w:tcPr>
                  <w:tcW w:w="5098"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噪声源</w:t>
                  </w:r>
                  <w:r>
                    <w:rPr>
                      <w:rFonts w:hint="eastAsia" w:asciiTheme="minorEastAsia" w:hAnsiTheme="minorEastAsia" w:eastAsiaTheme="minorEastAsia" w:cstheme="minorEastAsia"/>
                      <w:color w:val="auto"/>
                      <w:spacing w:val="-48"/>
                      <w:sz w:val="21"/>
                      <w:szCs w:val="21"/>
                    </w:rPr>
                    <w:t xml:space="preserve"> </w:t>
                  </w:r>
                  <w:r>
                    <w:rPr>
                      <w:rFonts w:hint="eastAsia" w:asciiTheme="minorEastAsia" w:hAnsiTheme="minorEastAsia" w:eastAsiaTheme="minorEastAsia" w:cstheme="minorEastAsia"/>
                      <w:color w:val="auto"/>
                      <w:sz w:val="21"/>
                      <w:szCs w:val="21"/>
                    </w:rPr>
                    <w:t>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4" w:hRule="exact"/>
                <w:jc w:val="center"/>
              </w:trPr>
              <w:tc>
                <w:tcPr>
                  <w:tcW w:w="2964"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推土机</w:t>
                  </w:r>
                </w:p>
              </w:tc>
              <w:tc>
                <w:tcPr>
                  <w:tcW w:w="5098"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4" w:hRule="exact"/>
                <w:jc w:val="center"/>
              </w:trPr>
              <w:tc>
                <w:tcPr>
                  <w:tcW w:w="2964"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挖掘机</w:t>
                  </w:r>
                </w:p>
              </w:tc>
              <w:tc>
                <w:tcPr>
                  <w:tcW w:w="5098"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exact"/>
                <w:jc w:val="center"/>
              </w:trPr>
              <w:tc>
                <w:tcPr>
                  <w:tcW w:w="2964"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打夯机</w:t>
                  </w:r>
                </w:p>
              </w:tc>
              <w:tc>
                <w:tcPr>
                  <w:tcW w:w="5098"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exact"/>
                <w:jc w:val="center"/>
              </w:trPr>
              <w:tc>
                <w:tcPr>
                  <w:tcW w:w="2964"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混凝土搅拌机</w:t>
                  </w:r>
                </w:p>
              </w:tc>
              <w:tc>
                <w:tcPr>
                  <w:tcW w:w="5098"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4" w:hRule="exact"/>
                <w:jc w:val="center"/>
              </w:trPr>
              <w:tc>
                <w:tcPr>
                  <w:tcW w:w="2964"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运输车辆</w:t>
                  </w:r>
                </w:p>
              </w:tc>
              <w:tc>
                <w:tcPr>
                  <w:tcW w:w="5098" w:type="dxa"/>
                  <w:tcBorders>
                    <w:tl2br w:val="nil"/>
                    <w:tr2bl w:val="nil"/>
                  </w:tcBorders>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88</w:t>
                  </w:r>
                </w:p>
              </w:tc>
            </w:tr>
          </w:tbl>
          <w:p>
            <w:pPr>
              <w:spacing w:line="360" w:lineRule="auto"/>
              <w:ind w:firstLine="480" w:firstLineChars="200"/>
              <w:rPr>
                <w:rFonts w:hint="eastAsia"/>
                <w:color w:val="auto"/>
                <w:sz w:val="24"/>
                <w:lang w:val="en-US" w:eastAsia="zh-CN"/>
              </w:rPr>
            </w:pPr>
            <w:r>
              <w:rPr>
                <w:rFonts w:hint="eastAsia"/>
                <w:color w:val="auto"/>
                <w:sz w:val="24"/>
                <w:lang w:val="en-US" w:eastAsia="zh-CN"/>
              </w:rPr>
              <w:t>根据现场调查，施工期采取以下措施减小噪声对周边居民的影响，确保施工不扰民：</w:t>
            </w:r>
          </w:p>
          <w:p>
            <w:pPr>
              <w:spacing w:line="360" w:lineRule="auto"/>
              <w:ind w:firstLine="480" w:firstLineChars="200"/>
              <w:rPr>
                <w:rFonts w:hint="eastAsia"/>
                <w:color w:val="auto"/>
                <w:sz w:val="24"/>
                <w:lang w:val="en-US" w:eastAsia="zh-CN"/>
              </w:rPr>
            </w:pPr>
            <w:r>
              <w:rPr>
                <w:rFonts w:hint="eastAsia"/>
                <w:color w:val="auto"/>
                <w:sz w:val="24"/>
                <w:lang w:val="en-US" w:eastAsia="zh-CN"/>
              </w:rPr>
              <w:t>①采用低噪声设备；</w:t>
            </w:r>
          </w:p>
          <w:p>
            <w:pPr>
              <w:spacing w:line="360" w:lineRule="auto"/>
              <w:ind w:firstLine="480" w:firstLineChars="200"/>
              <w:rPr>
                <w:rFonts w:hint="eastAsia"/>
                <w:color w:val="auto"/>
                <w:sz w:val="24"/>
                <w:lang w:val="en-US" w:eastAsia="zh-CN"/>
              </w:rPr>
            </w:pPr>
            <w:r>
              <w:rPr>
                <w:rFonts w:hint="eastAsia"/>
                <w:color w:val="auto"/>
                <w:sz w:val="24"/>
                <w:lang w:val="en-US" w:eastAsia="zh-CN"/>
              </w:rPr>
              <w:t>②将混凝土搅拌机等高噪声的作业点合理的布置远离居住区；</w:t>
            </w:r>
          </w:p>
          <w:p>
            <w:pPr>
              <w:spacing w:line="360" w:lineRule="auto"/>
              <w:ind w:firstLine="480" w:firstLineChars="200"/>
              <w:rPr>
                <w:rFonts w:hint="eastAsia"/>
                <w:color w:val="auto"/>
                <w:sz w:val="24"/>
                <w:lang w:val="en-US" w:eastAsia="zh-CN"/>
              </w:rPr>
            </w:pPr>
            <w:r>
              <w:rPr>
                <w:rFonts w:hint="eastAsia"/>
                <w:color w:val="auto"/>
                <w:sz w:val="24"/>
                <w:lang w:val="en-US" w:eastAsia="zh-CN"/>
              </w:rPr>
              <w:t>③将倾倒卵石料等强噪声作业安排在白天进行，夜间（22：00－6：00）不施工。</w:t>
            </w:r>
          </w:p>
          <w:p>
            <w:pPr>
              <w:spacing w:line="360" w:lineRule="auto"/>
              <w:ind w:firstLine="480" w:firstLineChars="200"/>
              <w:rPr>
                <w:rFonts w:hint="eastAsia"/>
                <w:color w:val="auto"/>
                <w:sz w:val="24"/>
                <w:lang w:val="en-US" w:eastAsia="zh-CN"/>
              </w:rPr>
            </w:pPr>
            <w:r>
              <w:rPr>
                <w:rFonts w:hint="eastAsia"/>
                <w:color w:val="auto"/>
                <w:sz w:val="24"/>
                <w:lang w:val="en-US" w:eastAsia="zh-CN"/>
              </w:rPr>
              <w:t>④运输车辆途经居民稠密区时慢行、不鸣笛、不超载，夜间不运输物料。</w:t>
            </w:r>
          </w:p>
          <w:p>
            <w:pPr>
              <w:spacing w:line="360" w:lineRule="auto"/>
              <w:ind w:firstLine="480" w:firstLineChars="200"/>
              <w:rPr>
                <w:rFonts w:hint="default"/>
                <w:color w:val="auto"/>
                <w:sz w:val="24"/>
                <w:lang w:val="en-US" w:eastAsia="zh-CN"/>
              </w:rPr>
            </w:pPr>
            <w:r>
              <w:rPr>
                <w:rFonts w:hint="eastAsia"/>
                <w:color w:val="auto"/>
                <w:sz w:val="24"/>
                <w:lang w:val="en-US" w:eastAsia="zh-CN"/>
              </w:rPr>
              <w:t>（4）施工期固体废弃物及治理措施</w:t>
            </w:r>
          </w:p>
          <w:p>
            <w:pPr>
              <w:spacing w:line="360" w:lineRule="auto"/>
              <w:ind w:firstLine="480" w:firstLineChars="200"/>
              <w:rPr>
                <w:rFonts w:hint="eastAsia"/>
                <w:color w:val="auto"/>
                <w:sz w:val="24"/>
                <w:lang w:val="en-US" w:eastAsia="zh-CN"/>
              </w:rPr>
            </w:pPr>
            <w:r>
              <w:rPr>
                <w:rFonts w:hint="eastAsia"/>
                <w:color w:val="auto"/>
                <w:sz w:val="24"/>
                <w:lang w:val="en-US" w:eastAsia="zh-CN"/>
              </w:rPr>
              <w:t>项目建设施工期产生的固体废物包括清淤工程产生的淤泥、施工临时弃土弃渣、生活垃圾。</w:t>
            </w:r>
          </w:p>
          <w:p>
            <w:pPr>
              <w:spacing w:line="360" w:lineRule="auto"/>
              <w:ind w:firstLine="480" w:firstLineChars="200"/>
              <w:rPr>
                <w:rFonts w:hint="eastAsia"/>
                <w:color w:val="auto"/>
                <w:sz w:val="24"/>
                <w:lang w:val="en-US" w:eastAsia="zh-CN"/>
              </w:rPr>
            </w:pPr>
            <w:r>
              <w:rPr>
                <w:rFonts w:hint="eastAsia"/>
                <w:color w:val="auto"/>
                <w:sz w:val="24"/>
                <w:lang w:val="en-US" w:eastAsia="zh-CN"/>
              </w:rPr>
              <w:t>①清淤工程产生的淤泥</w:t>
            </w:r>
          </w:p>
          <w:p>
            <w:pPr>
              <w:spacing w:line="360" w:lineRule="auto"/>
              <w:ind w:firstLine="480" w:firstLineChars="200"/>
              <w:rPr>
                <w:rFonts w:hint="eastAsia"/>
                <w:color w:val="auto"/>
                <w:sz w:val="24"/>
                <w:lang w:val="en-US" w:eastAsia="zh-CN"/>
              </w:rPr>
            </w:pPr>
            <w:r>
              <w:rPr>
                <w:rFonts w:hint="eastAsia"/>
                <w:color w:val="auto"/>
                <w:sz w:val="24"/>
                <w:lang w:val="en-US" w:eastAsia="zh-CN"/>
              </w:rPr>
              <w:t>璜环沟为当地农灌、排洪河流，项目评价河段两岸主要为荒草地和耕地，上游无工业，污染类型为生活面源污染及农业面源。河道含有机物腐殖的底泥，淤泥经自然脱水后，应及时清运至周边耕地作改良土使用。清淤物中的碎石用于修筑归流堤、副坝基础挡土墙、排导槽修复等，清淤物经综合利用后需外运至临时弃渣场的淤泥量为817.54m</w:t>
            </w:r>
            <w:r>
              <w:rPr>
                <w:rFonts w:hint="eastAsia"/>
                <w:color w:val="auto"/>
                <w:sz w:val="24"/>
                <w:vertAlign w:val="superscript"/>
                <w:lang w:val="en-US" w:eastAsia="zh-CN"/>
              </w:rPr>
              <w:t>3</w:t>
            </w:r>
            <w:r>
              <w:rPr>
                <w:rFonts w:hint="eastAsia"/>
                <w:color w:val="auto"/>
                <w:sz w:val="24"/>
                <w:lang w:val="en-US" w:eastAsia="zh-CN"/>
              </w:rPr>
              <w:t>。</w:t>
            </w:r>
          </w:p>
          <w:p>
            <w:pPr>
              <w:spacing w:line="360" w:lineRule="auto"/>
              <w:ind w:firstLine="480" w:firstLineChars="200"/>
              <w:rPr>
                <w:rFonts w:hint="eastAsia"/>
                <w:color w:val="auto"/>
                <w:sz w:val="24"/>
                <w:lang w:val="en-US" w:eastAsia="zh-CN"/>
              </w:rPr>
            </w:pPr>
            <w:r>
              <w:rPr>
                <w:rFonts w:hint="eastAsia"/>
                <w:color w:val="auto"/>
                <w:sz w:val="24"/>
                <w:lang w:val="en-US" w:eastAsia="zh-CN"/>
              </w:rPr>
              <w:t>②弃土弃渣</w:t>
            </w:r>
          </w:p>
          <w:p>
            <w:pPr>
              <w:spacing w:line="360" w:lineRule="auto"/>
              <w:ind w:firstLine="480" w:firstLineChars="200"/>
              <w:rPr>
                <w:rFonts w:hint="eastAsia"/>
                <w:color w:val="auto"/>
                <w:sz w:val="24"/>
                <w:lang w:val="en-US" w:eastAsia="zh-CN"/>
              </w:rPr>
            </w:pPr>
            <w:r>
              <w:rPr>
                <w:rFonts w:hint="eastAsia"/>
                <w:color w:val="auto"/>
                <w:sz w:val="24"/>
                <w:lang w:val="en-US" w:eastAsia="zh-CN"/>
              </w:rPr>
              <w:t>经土石方平衡分析，施工便道等临时工程中加强剥离表土利用，减少弃渣量，根据项目工程量估算，项目总挖方量326.3m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总填方量113.18m</w:t>
            </w:r>
            <w:r>
              <w:rPr>
                <w:rFonts w:hint="eastAsia"/>
                <w:color w:val="auto"/>
                <w:sz w:val="24"/>
                <w:vertAlign w:val="superscript"/>
                <w:lang w:val="en-US" w:eastAsia="zh-CN"/>
              </w:rPr>
              <w:t>3</w:t>
            </w:r>
            <w:r>
              <w:rPr>
                <w:rFonts w:hint="eastAsia"/>
                <w:color w:val="auto"/>
                <w:sz w:val="24"/>
                <w:lang w:val="en-US" w:eastAsia="zh-CN"/>
              </w:rPr>
              <w:t>，本工程土石方弃渣量为213.12m</w:t>
            </w:r>
            <w:r>
              <w:rPr>
                <w:rFonts w:hint="eastAsia"/>
                <w:color w:val="auto"/>
                <w:sz w:val="24"/>
                <w:vertAlign w:val="superscript"/>
                <w:lang w:val="en-US" w:eastAsia="zh-CN"/>
              </w:rPr>
              <w:t>3</w:t>
            </w:r>
            <w:r>
              <w:rPr>
                <w:rFonts w:hint="eastAsia"/>
                <w:color w:val="auto"/>
                <w:sz w:val="24"/>
                <w:lang w:val="en-US" w:eastAsia="zh-CN"/>
              </w:rPr>
              <w:t>。项目区内不设临时弃渣场和永久弃土场，弃渣直接外运土石方运送至松潘县白羊乡建筑垃圾弃渣场集中处置，运距约5km。</w:t>
            </w:r>
          </w:p>
          <w:p>
            <w:pPr>
              <w:spacing w:line="360" w:lineRule="auto"/>
              <w:ind w:firstLine="480" w:firstLineChars="200"/>
              <w:rPr>
                <w:rFonts w:hint="eastAsia"/>
                <w:color w:val="auto"/>
                <w:sz w:val="24"/>
                <w:lang w:val="en-US" w:eastAsia="zh-CN"/>
              </w:rPr>
            </w:pPr>
            <w:r>
              <w:rPr>
                <w:rFonts w:hint="eastAsia"/>
                <w:color w:val="auto"/>
                <w:sz w:val="24"/>
                <w:lang w:val="en-US" w:eastAsia="zh-CN"/>
              </w:rPr>
              <w:t>③施工人员生活垃圾</w:t>
            </w:r>
          </w:p>
          <w:p>
            <w:pPr>
              <w:spacing w:line="360" w:lineRule="auto"/>
              <w:ind w:firstLine="480" w:firstLineChars="200"/>
              <w:rPr>
                <w:rFonts w:hint="eastAsia"/>
                <w:color w:val="auto"/>
                <w:sz w:val="24"/>
                <w:lang w:val="en-US" w:eastAsia="zh-CN"/>
              </w:rPr>
            </w:pPr>
            <w:r>
              <w:rPr>
                <w:rFonts w:hint="eastAsia"/>
                <w:color w:val="auto"/>
                <w:sz w:val="24"/>
                <w:lang w:val="en-US" w:eastAsia="zh-CN"/>
              </w:rPr>
              <w:t>项目高峰期施工人员50人，垃圾产生量约为25kg/d，集中收集后委托当地市政环卫部门送往指定生活垃圾处理场处理。</w:t>
            </w:r>
          </w:p>
          <w:p>
            <w:pPr>
              <w:spacing w:line="360" w:lineRule="auto"/>
              <w:ind w:firstLine="480" w:firstLineChars="200"/>
              <w:rPr>
                <w:rFonts w:hint="default" w:eastAsiaTheme="minorEastAsia"/>
                <w:color w:val="auto"/>
                <w:sz w:val="24"/>
                <w:lang w:val="en-US" w:eastAsia="zh-CN"/>
              </w:rPr>
            </w:pPr>
            <w:r>
              <w:rPr>
                <w:rFonts w:hint="eastAsia"/>
                <w:color w:val="auto"/>
                <w:sz w:val="24"/>
                <w:lang w:val="en-US" w:eastAsia="zh-CN"/>
              </w:rPr>
              <w:t>（5）施工期生态影响因素</w:t>
            </w:r>
            <w:r>
              <w:rPr>
                <w:rFonts w:hint="eastAsia"/>
                <w:color w:val="auto"/>
                <w:sz w:val="24"/>
                <w:szCs w:val="24"/>
                <w:lang w:val="en-US" w:eastAsia="zh-CN"/>
              </w:rPr>
              <w:t>及治理措施</w:t>
            </w:r>
          </w:p>
          <w:p>
            <w:pPr>
              <w:spacing w:line="360" w:lineRule="auto"/>
              <w:ind w:firstLine="480" w:firstLineChars="200"/>
              <w:rPr>
                <w:rFonts w:hint="default"/>
                <w:color w:val="auto"/>
                <w:sz w:val="24"/>
                <w:lang w:val="en-US" w:eastAsia="zh-CN"/>
              </w:rPr>
            </w:pPr>
            <w:r>
              <w:rPr>
                <w:rFonts w:hint="eastAsia"/>
                <w:color w:val="auto"/>
                <w:sz w:val="24"/>
                <w:lang w:val="en-US" w:eastAsia="zh-CN"/>
              </w:rPr>
              <w:t>1）生态影响因素</w:t>
            </w:r>
          </w:p>
          <w:p>
            <w:pPr>
              <w:spacing w:line="360" w:lineRule="auto"/>
              <w:ind w:firstLine="480" w:firstLineChars="200"/>
              <w:rPr>
                <w:rFonts w:hint="eastAsia"/>
                <w:color w:val="auto"/>
                <w:sz w:val="24"/>
                <w:lang w:val="en-US" w:eastAsia="zh-CN"/>
              </w:rPr>
            </w:pPr>
            <w:r>
              <w:rPr>
                <w:rFonts w:hint="eastAsia"/>
                <w:color w:val="auto"/>
                <w:sz w:val="24"/>
                <w:lang w:val="en-US" w:eastAsia="zh-CN"/>
              </w:rPr>
              <w:t>①施工期占地影响</w:t>
            </w:r>
          </w:p>
          <w:p>
            <w:pPr>
              <w:spacing w:line="360" w:lineRule="auto"/>
              <w:ind w:firstLine="480" w:firstLineChars="200"/>
              <w:rPr>
                <w:rFonts w:hint="default"/>
                <w:color w:val="auto"/>
                <w:sz w:val="24"/>
                <w:lang w:val="en-US" w:eastAsia="zh-CN"/>
              </w:rPr>
            </w:pPr>
            <w:r>
              <w:rPr>
                <w:rFonts w:hint="eastAsia"/>
                <w:color w:val="auto"/>
                <w:sz w:val="24"/>
                <w:lang w:val="en-US" w:eastAsia="zh-CN"/>
              </w:rPr>
              <w:t>本项目工程永久占地主要为防护堤和拦挡坝建设占地，共计永久占地300平方米。临时占地主要为施工生产生活用地和临时施工点占地，临时占地约2亩。本项目永久占地和临时占地为沟谷荒草地，不涉及生产安置和搬迁安置。</w:t>
            </w:r>
          </w:p>
          <w:p>
            <w:pPr>
              <w:spacing w:line="360" w:lineRule="auto"/>
              <w:ind w:firstLine="480" w:firstLineChars="200"/>
              <w:rPr>
                <w:rFonts w:hint="default"/>
                <w:color w:val="auto"/>
                <w:sz w:val="24"/>
                <w:lang w:val="en-US" w:eastAsia="zh-CN"/>
              </w:rPr>
            </w:pPr>
            <w:r>
              <w:rPr>
                <w:rFonts w:hint="eastAsia"/>
                <w:color w:val="auto"/>
                <w:sz w:val="24"/>
                <w:lang w:val="en-US" w:eastAsia="zh-CN"/>
              </w:rPr>
              <w:t>本项目施工结束后，进行生态恢复，边坡进行绿化、临时占地进行迹地恢复等水土保持措施，不会造成严重的水土流失。</w:t>
            </w:r>
          </w:p>
          <w:p>
            <w:pPr>
              <w:spacing w:line="360" w:lineRule="auto"/>
              <w:ind w:firstLine="480" w:firstLineChars="200"/>
              <w:rPr>
                <w:rFonts w:hint="default"/>
                <w:color w:val="auto"/>
                <w:sz w:val="24"/>
                <w:lang w:val="en-US" w:eastAsia="zh-CN"/>
              </w:rPr>
            </w:pPr>
            <w:r>
              <w:rPr>
                <w:rFonts w:hint="eastAsia"/>
                <w:color w:val="auto"/>
                <w:sz w:val="24"/>
                <w:lang w:val="en-US" w:eastAsia="zh-CN"/>
              </w:rPr>
              <w:t>②对陆生生态的影响</w:t>
            </w:r>
          </w:p>
          <w:p>
            <w:pPr>
              <w:spacing w:line="360" w:lineRule="auto"/>
              <w:ind w:firstLine="480" w:firstLineChars="200"/>
              <w:rPr>
                <w:rFonts w:hint="eastAsia"/>
                <w:color w:val="auto"/>
                <w:sz w:val="24"/>
                <w:lang w:val="en-US" w:eastAsia="zh-CN"/>
              </w:rPr>
            </w:pPr>
            <w:r>
              <w:rPr>
                <w:rFonts w:hint="eastAsia"/>
                <w:color w:val="auto"/>
                <w:sz w:val="24"/>
                <w:lang w:val="en-US" w:eastAsia="zh-CN"/>
              </w:rPr>
              <w:t>项目为新建防护堤和拦挡坝，且施工区域为人类活动频繁区域，对区域陆生生态造成影响较小，且施工结束后对临时占地进行迹地恢复，不会对陆生生态造成较大影响。</w:t>
            </w:r>
          </w:p>
          <w:p>
            <w:pPr>
              <w:pStyle w:val="2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lang w:val="en-US" w:eastAsia="zh-CN"/>
              </w:rPr>
            </w:pPr>
            <w:r>
              <w:rPr>
                <w:rFonts w:hint="eastAsia"/>
                <w:color w:val="auto"/>
                <w:sz w:val="24"/>
                <w:lang w:val="en-US" w:eastAsia="zh-CN"/>
              </w:rPr>
              <w:t>③对水生生态的影响</w:t>
            </w:r>
          </w:p>
          <w:p>
            <w:pPr>
              <w:spacing w:line="360" w:lineRule="auto"/>
              <w:ind w:firstLine="480" w:firstLineChars="200"/>
              <w:rPr>
                <w:rFonts w:hint="default"/>
                <w:color w:val="auto"/>
                <w:sz w:val="24"/>
                <w:lang w:val="en-US" w:eastAsia="zh-CN"/>
              </w:rPr>
            </w:pPr>
            <w:r>
              <w:rPr>
                <w:rFonts w:hint="eastAsia"/>
                <w:color w:val="auto"/>
                <w:sz w:val="24"/>
                <w:lang w:val="en-US" w:eastAsia="zh-CN"/>
              </w:rPr>
              <w:t>工程涉及地表水为璜环沟的山溪水以及下游的白草河，施工区域璜环沟不涉及珍惜水生生物栖息地、鱼虾类产卵场和仔稚幼鱼索饵场。项目施工时会产生一定的泥沙，导致河流水质变浑浊，但项目施工时间较短，影响范围较小，项目施工完毕后，将尽快恢复至原有水生生态环境，河道水文情势不会受到大的影响，不会对地表水水生植物生态环境造成较大影响。</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2）生态恢复措施</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①陆生植物恢复与补偿措施</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植被恢复措施是主要的植物保护措施，对植被的恢复应根据当地的气候特点，在植被恢复措施中应注意的技术要点如下：保存熟化土，为植被恢复提供良好的土壤；对建设中永久占地中的表层土予以收集保存，在其它土壤贫瘠处铺设以种植树木；临时占地在施工前也应保存好熟化土，施工结束后及时清理、松土、覆盖熟化土，复种或选择当地适宜植物及时恢复绿化。</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②陆生动物恢复与补偿措施</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在原植被茂密区域路段采用加密绿化带，有利于动物适应新的生境。</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③其它临时工程占地恢复与补偿措施</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eastAsia="zh-CN"/>
              </w:rPr>
              <w:t>禁止随意占用规划外的土地修建施工便道；堆土场等临时占地应布设在工程征地范围内，施工结束后应及时拆除因施工硬化的地面，恢复其原有的使用功能或者进行植物绿化。</w:t>
            </w:r>
          </w:p>
          <w:p>
            <w:pPr>
              <w:spacing w:line="360" w:lineRule="auto"/>
              <w:ind w:firstLine="480" w:firstLineChars="200"/>
              <w:rPr>
                <w:rFonts w:hint="default"/>
                <w:color w:val="auto"/>
                <w:sz w:val="24"/>
                <w:lang w:val="en-US" w:eastAsia="zh-CN"/>
              </w:rPr>
            </w:pPr>
            <w:r>
              <w:rPr>
                <w:rFonts w:hint="eastAsia"/>
                <w:color w:val="auto"/>
                <w:sz w:val="24"/>
                <w:lang w:val="en-US" w:eastAsia="zh-CN"/>
              </w:rPr>
              <w:t>（二）运营期主要污染源分析及防治措施</w:t>
            </w:r>
          </w:p>
          <w:p>
            <w:pPr>
              <w:spacing w:line="360" w:lineRule="auto"/>
              <w:ind w:firstLine="480" w:firstLineChars="200"/>
              <w:rPr>
                <w:rFonts w:hint="eastAsia"/>
                <w:color w:val="auto"/>
                <w:sz w:val="24"/>
                <w:lang w:val="en-US" w:eastAsia="zh-CN"/>
              </w:rPr>
            </w:pPr>
            <w:r>
              <w:rPr>
                <w:rFonts w:hint="eastAsia"/>
                <w:color w:val="auto"/>
                <w:sz w:val="24"/>
                <w:lang w:val="en-US" w:eastAsia="zh-CN"/>
              </w:rPr>
              <w:t>项目营运不直接产生任何污染物。由于停滞的泥石流堆积物是良好的砂石骨料，可用于保护区内堤防修复。</w:t>
            </w:r>
          </w:p>
          <w:p>
            <w:pPr>
              <w:spacing w:line="360" w:lineRule="auto"/>
              <w:ind w:firstLine="480" w:firstLineChars="200"/>
              <w:rPr>
                <w:rFonts w:hint="eastAsia"/>
                <w:color w:val="auto"/>
                <w:sz w:val="24"/>
                <w:lang w:val="en-US" w:eastAsia="zh-CN"/>
              </w:rPr>
            </w:pPr>
            <w:r>
              <w:rPr>
                <w:rFonts w:hint="eastAsia"/>
                <w:color w:val="auto"/>
                <w:sz w:val="24"/>
                <w:lang w:val="en-US" w:eastAsia="zh-CN"/>
              </w:rPr>
              <w:t>（1）生态环境影响</w:t>
            </w:r>
          </w:p>
          <w:p>
            <w:pPr>
              <w:spacing w:line="360" w:lineRule="auto"/>
              <w:ind w:firstLine="480" w:firstLineChars="200"/>
              <w:rPr>
                <w:rFonts w:hint="eastAsia"/>
                <w:color w:val="auto"/>
                <w:sz w:val="24"/>
                <w:lang w:val="en-US" w:eastAsia="zh-CN"/>
              </w:rPr>
            </w:pPr>
            <w:r>
              <w:rPr>
                <w:rFonts w:hint="eastAsia"/>
                <w:color w:val="auto"/>
                <w:sz w:val="24"/>
                <w:lang w:val="en-US" w:eastAsia="zh-CN"/>
              </w:rPr>
              <w:t>防洪工程建成后，由于将原有的自然沟壑改变为人工营造的混凝土防护堤和拦挡坝，不利于岸边项目区域内的生长。但影响是短暂的，一段时间以后植被又形成了新的群落。</w:t>
            </w:r>
          </w:p>
          <w:p>
            <w:pPr>
              <w:spacing w:line="360" w:lineRule="auto"/>
              <w:ind w:firstLine="480" w:firstLineChars="200"/>
              <w:rPr>
                <w:rFonts w:hint="eastAsia"/>
                <w:color w:val="auto"/>
                <w:sz w:val="24"/>
                <w:lang w:val="en-US" w:eastAsia="zh-CN"/>
              </w:rPr>
            </w:pPr>
            <w:r>
              <w:rPr>
                <w:rFonts w:hint="eastAsia"/>
                <w:color w:val="auto"/>
                <w:sz w:val="24"/>
                <w:lang w:val="en-US" w:eastAsia="zh-CN"/>
              </w:rPr>
              <w:t>（2）景观环境影响</w:t>
            </w:r>
          </w:p>
          <w:p>
            <w:pPr>
              <w:spacing w:line="360" w:lineRule="auto"/>
              <w:ind w:firstLine="480" w:firstLineChars="200"/>
              <w:rPr>
                <w:rFonts w:hint="eastAsia"/>
                <w:color w:val="auto"/>
                <w:sz w:val="24"/>
                <w:lang w:val="en-US" w:eastAsia="zh-CN"/>
              </w:rPr>
            </w:pPr>
            <w:r>
              <w:rPr>
                <w:rFonts w:hint="eastAsia"/>
                <w:color w:val="auto"/>
                <w:sz w:val="24"/>
                <w:lang w:val="en-US" w:eastAsia="zh-CN"/>
              </w:rPr>
              <w:t>项目建成后自然沟壑景观改变为人工营造的混凝土排导堤，对周围景观造成一定的影响。</w:t>
            </w:r>
          </w:p>
          <w:p>
            <w:pPr>
              <w:spacing w:line="360" w:lineRule="auto"/>
              <w:ind w:firstLine="480" w:firstLineChars="200"/>
              <w:rPr>
                <w:rFonts w:hint="eastAsia"/>
                <w:color w:val="auto"/>
                <w:sz w:val="24"/>
                <w:lang w:val="en-US" w:eastAsia="zh-CN"/>
              </w:rPr>
            </w:pPr>
            <w:r>
              <w:rPr>
                <w:rFonts w:hint="eastAsia"/>
                <w:color w:val="auto"/>
                <w:sz w:val="24"/>
                <w:lang w:val="en-US" w:eastAsia="zh-CN"/>
              </w:rPr>
              <w:t>（3）拦挡坝清淤工程</w:t>
            </w:r>
          </w:p>
          <w:p>
            <w:pPr>
              <w:spacing w:line="360" w:lineRule="auto"/>
              <w:ind w:firstLine="480" w:firstLineChars="200"/>
              <w:rPr>
                <w:rFonts w:hint="eastAsia"/>
                <w:color w:val="auto"/>
                <w:sz w:val="24"/>
                <w:lang w:val="en-US" w:eastAsia="zh-CN"/>
              </w:rPr>
            </w:pPr>
            <w:r>
              <w:rPr>
                <w:rFonts w:hint="eastAsia"/>
                <w:color w:val="auto"/>
                <w:sz w:val="24"/>
                <w:lang w:val="en-US" w:eastAsia="zh-CN"/>
              </w:rPr>
              <w:t>本项目运营期在有泥石流洪水的情况下，拦挡坝会淤积一定的淤泥，淤泥需要及时清理以免影响后续防洪，淤积量与洪水爆发次序有关，环评要求建设单位一旦发生洪水有淤泥淤积的情形下，建设单位应及时组织清理，淤泥清理至当地城建部门指定的地点堆存。</w:t>
            </w:r>
          </w:p>
          <w:p>
            <w:pPr>
              <w:spacing w:line="360" w:lineRule="auto"/>
              <w:ind w:firstLine="480" w:firstLineChars="200"/>
              <w:rPr>
                <w:rFonts w:hint="eastAsia" w:ascii="Times New Roman" w:hAnsi="Times New Roman" w:cs="Times New Roman"/>
                <w:color w:val="auto"/>
                <w:sz w:val="24"/>
                <w:lang w:eastAsia="zh-CN"/>
              </w:rPr>
            </w:pPr>
          </w:p>
          <w:p>
            <w:pPr>
              <w:pStyle w:val="29"/>
              <w:rPr>
                <w:rFonts w:hint="eastAsia"/>
                <w:color w:val="auto"/>
                <w:lang w:eastAsia="zh-CN"/>
              </w:rPr>
            </w:pPr>
          </w:p>
          <w:p>
            <w:pPr>
              <w:spacing w:line="360" w:lineRule="auto"/>
              <w:ind w:firstLine="480" w:firstLineChars="200"/>
              <w:rPr>
                <w:rFonts w:hint="eastAsia" w:ascii="Times New Roman" w:hAnsi="Times New Roman" w:cs="Times New Roman" w:eastAsiaTheme="minorEastAsia"/>
                <w:color w:val="auto"/>
                <w:sz w:val="24"/>
                <w:lang w:eastAsia="zh-CN"/>
              </w:rPr>
            </w:pPr>
          </w:p>
        </w:tc>
      </w:tr>
    </w:tbl>
    <w:p>
      <w:pPr>
        <w:tabs>
          <w:tab w:val="left" w:pos="5760"/>
        </w:tabs>
        <w:adjustRightInd w:val="0"/>
        <w:snapToGrid w:val="0"/>
        <w:spacing w:before="156" w:beforeLines="50" w:after="156" w:afterLines="50"/>
        <w:outlineLvl w:val="0"/>
        <w:rPr>
          <w:rFonts w:ascii="Times New Roman" w:hAnsi="Times New Roman" w:cs="Times New Roman"/>
          <w:b/>
          <w:color w:val="auto"/>
          <w:sz w:val="30"/>
          <w:szCs w:val="3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spacing w:before="156" w:beforeLines="50"/>
        <w:outlineLvl w:val="0"/>
        <w:rPr>
          <w:rFonts w:ascii="Times New Roman" w:hAnsi="Times New Roman" w:cs="Times New Roman"/>
          <w:b/>
          <w:snapToGrid w:val="0"/>
          <w:color w:val="auto"/>
          <w:kern w:val="0"/>
          <w:sz w:val="30"/>
          <w:szCs w:val="30"/>
        </w:rPr>
      </w:pPr>
      <w:r>
        <w:rPr>
          <w:rFonts w:hint="eastAsia" w:ascii="Times New Roman" w:hAnsi="Times New Roman" w:cs="Times New Roman"/>
          <w:b/>
          <w:color w:val="auto"/>
          <w:sz w:val="30"/>
          <w:szCs w:val="30"/>
        </w:rPr>
        <w:t>项目主要污染物产生及预计排放量情况                    （</w:t>
      </w:r>
      <w:r>
        <w:rPr>
          <w:rFonts w:hint="eastAsia" w:ascii="Times New Roman" w:hAnsi="Times New Roman" w:cs="Times New Roman"/>
          <w:b/>
          <w:snapToGrid w:val="0"/>
          <w:color w:val="auto"/>
          <w:kern w:val="0"/>
          <w:sz w:val="30"/>
          <w:szCs w:val="30"/>
        </w:rPr>
        <w:t>表六</w:t>
      </w:r>
      <w:r>
        <w:rPr>
          <w:rFonts w:hint="eastAsia" w:ascii="Times New Roman" w:hAnsi="Times New Roman" w:cs="Times New Roman"/>
          <w:b/>
          <w:color w:val="auto"/>
          <w:sz w:val="30"/>
          <w:szCs w:val="30"/>
        </w:rPr>
        <w:t>）</w:t>
      </w:r>
    </w:p>
    <w:tbl>
      <w:tblPr>
        <w:tblStyle w:val="51"/>
        <w:tblW w:w="89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9"/>
        <w:gridCol w:w="795"/>
        <w:gridCol w:w="1021"/>
        <w:gridCol w:w="1558"/>
        <w:gridCol w:w="1842"/>
        <w:gridCol w:w="27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tcBorders>
              <w:tl2br w:val="single" w:color="auto" w:sz="4" w:space="0"/>
            </w:tcBorders>
            <w:vAlign w:val="center"/>
          </w:tcPr>
          <w:p>
            <w:pPr>
              <w:adjustRightInd w:val="0"/>
              <w:snapToGrid w:val="0"/>
              <w:jc w:val="right"/>
              <w:rPr>
                <w:rFonts w:ascii="t" w:hAnsi="t"/>
                <w:b/>
                <w:color w:val="auto"/>
                <w:szCs w:val="21"/>
              </w:rPr>
            </w:pPr>
            <w:r>
              <w:rPr>
                <w:rFonts w:hint="eastAsia" w:ascii="t" w:hAnsi="t"/>
                <w:b/>
                <w:color w:val="auto"/>
                <w:szCs w:val="21"/>
              </w:rPr>
              <w:t>内容</w:t>
            </w:r>
          </w:p>
          <w:p>
            <w:pPr>
              <w:adjustRightInd w:val="0"/>
              <w:snapToGrid w:val="0"/>
              <w:jc w:val="center"/>
              <w:rPr>
                <w:rFonts w:ascii="t" w:hAnsi="t"/>
                <w:b/>
                <w:color w:val="auto"/>
                <w:szCs w:val="21"/>
              </w:rPr>
            </w:pPr>
          </w:p>
          <w:p>
            <w:pPr>
              <w:adjustRightInd w:val="0"/>
              <w:snapToGrid w:val="0"/>
              <w:jc w:val="left"/>
              <w:rPr>
                <w:rFonts w:ascii="t" w:hAnsi="t"/>
                <w:b/>
                <w:color w:val="auto"/>
                <w:szCs w:val="21"/>
              </w:rPr>
            </w:pPr>
            <w:r>
              <w:rPr>
                <w:rFonts w:hint="eastAsia" w:ascii="t" w:hAnsi="t"/>
                <w:b/>
                <w:color w:val="auto"/>
                <w:szCs w:val="21"/>
              </w:rPr>
              <w:t>类型</w:t>
            </w:r>
          </w:p>
        </w:tc>
        <w:tc>
          <w:tcPr>
            <w:tcW w:w="1816" w:type="dxa"/>
            <w:gridSpan w:val="2"/>
            <w:vAlign w:val="center"/>
          </w:tcPr>
          <w:p>
            <w:pPr>
              <w:adjustRightInd w:val="0"/>
              <w:snapToGrid w:val="0"/>
              <w:jc w:val="center"/>
              <w:rPr>
                <w:rFonts w:ascii="t" w:hAnsi="t"/>
                <w:b/>
                <w:color w:val="auto"/>
                <w:szCs w:val="21"/>
              </w:rPr>
            </w:pPr>
            <w:r>
              <w:rPr>
                <w:rFonts w:ascii="t" w:hAnsi="t"/>
                <w:b/>
                <w:color w:val="auto"/>
                <w:szCs w:val="21"/>
              </w:rPr>
              <w:t>排放源</w:t>
            </w:r>
          </w:p>
          <w:p>
            <w:pPr>
              <w:adjustRightInd w:val="0"/>
              <w:snapToGrid w:val="0"/>
              <w:jc w:val="center"/>
              <w:rPr>
                <w:rFonts w:ascii="t" w:hAnsi="t"/>
                <w:b/>
                <w:color w:val="auto"/>
                <w:szCs w:val="21"/>
              </w:rPr>
            </w:pPr>
            <w:r>
              <w:rPr>
                <w:rFonts w:ascii="t" w:hAnsi="t"/>
                <w:b/>
                <w:color w:val="auto"/>
                <w:szCs w:val="21"/>
              </w:rPr>
              <w:t>(编号)</w:t>
            </w:r>
          </w:p>
        </w:tc>
        <w:tc>
          <w:tcPr>
            <w:tcW w:w="1558" w:type="dxa"/>
            <w:vAlign w:val="center"/>
          </w:tcPr>
          <w:p>
            <w:pPr>
              <w:adjustRightInd w:val="0"/>
              <w:snapToGrid w:val="0"/>
              <w:jc w:val="center"/>
              <w:rPr>
                <w:rFonts w:ascii="t" w:hAnsi="t"/>
                <w:b/>
                <w:color w:val="auto"/>
                <w:szCs w:val="21"/>
              </w:rPr>
            </w:pPr>
            <w:r>
              <w:rPr>
                <w:rFonts w:ascii="t" w:hAnsi="t"/>
                <w:b/>
                <w:color w:val="auto"/>
                <w:szCs w:val="21"/>
              </w:rPr>
              <w:t>污染物名称</w:t>
            </w:r>
          </w:p>
        </w:tc>
        <w:tc>
          <w:tcPr>
            <w:tcW w:w="1842" w:type="dxa"/>
            <w:vAlign w:val="center"/>
          </w:tcPr>
          <w:p>
            <w:pPr>
              <w:adjustRightInd w:val="0"/>
              <w:snapToGrid w:val="0"/>
              <w:jc w:val="center"/>
              <w:rPr>
                <w:rFonts w:ascii="t" w:hAnsi="t"/>
                <w:b/>
                <w:color w:val="auto"/>
                <w:szCs w:val="21"/>
              </w:rPr>
            </w:pPr>
            <w:r>
              <w:rPr>
                <w:rFonts w:ascii="t" w:hAnsi="t"/>
                <w:b/>
                <w:color w:val="auto"/>
                <w:szCs w:val="21"/>
              </w:rPr>
              <w:t>处理前产生浓度及产生量 (单位)</w:t>
            </w:r>
          </w:p>
        </w:tc>
        <w:tc>
          <w:tcPr>
            <w:tcW w:w="2741" w:type="dxa"/>
            <w:vAlign w:val="center"/>
          </w:tcPr>
          <w:p>
            <w:pPr>
              <w:adjustRightInd w:val="0"/>
              <w:snapToGrid w:val="0"/>
              <w:jc w:val="center"/>
              <w:rPr>
                <w:rFonts w:ascii="t" w:hAnsi="t"/>
                <w:b/>
                <w:color w:val="auto"/>
                <w:szCs w:val="21"/>
              </w:rPr>
            </w:pPr>
            <w:r>
              <w:rPr>
                <w:rFonts w:hint="eastAsia" w:ascii="t" w:hAnsi="t"/>
                <w:b/>
                <w:color w:val="auto"/>
                <w:szCs w:val="21"/>
              </w:rPr>
              <w:t>处理后</w:t>
            </w:r>
            <w:r>
              <w:rPr>
                <w:rFonts w:ascii="t" w:hAnsi="t"/>
                <w:b/>
                <w:color w:val="auto"/>
                <w:szCs w:val="21"/>
              </w:rPr>
              <w:t>排放浓度及产生量  (单位)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restart"/>
            <w:vAlign w:val="center"/>
          </w:tcPr>
          <w:p>
            <w:pPr>
              <w:adjustRightInd w:val="0"/>
              <w:snapToGrid w:val="0"/>
              <w:jc w:val="center"/>
              <w:rPr>
                <w:rFonts w:ascii="t" w:hAnsi="t"/>
                <w:b/>
                <w:color w:val="auto"/>
                <w:szCs w:val="21"/>
              </w:rPr>
            </w:pPr>
            <w:r>
              <w:rPr>
                <w:rFonts w:ascii="t" w:hAnsi="t"/>
                <w:b/>
                <w:color w:val="auto"/>
                <w:szCs w:val="21"/>
              </w:rPr>
              <w:t>大气</w:t>
            </w:r>
          </w:p>
          <w:p>
            <w:pPr>
              <w:adjustRightInd w:val="0"/>
              <w:snapToGrid w:val="0"/>
              <w:jc w:val="center"/>
              <w:rPr>
                <w:rFonts w:ascii="t" w:hAnsi="t"/>
                <w:b/>
                <w:color w:val="auto"/>
                <w:szCs w:val="21"/>
              </w:rPr>
            </w:pPr>
            <w:r>
              <w:rPr>
                <w:rFonts w:ascii="t" w:hAnsi="t"/>
                <w:b/>
                <w:color w:val="auto"/>
                <w:szCs w:val="21"/>
              </w:rPr>
              <w:t>污染物</w:t>
            </w:r>
          </w:p>
        </w:tc>
        <w:tc>
          <w:tcPr>
            <w:tcW w:w="795" w:type="dxa"/>
            <w:vMerge w:val="restart"/>
            <w:tcBorders>
              <w:right w:val="single" w:color="auto" w:sz="4" w:space="0"/>
            </w:tcBorders>
            <w:vAlign w:val="center"/>
          </w:tcPr>
          <w:p>
            <w:pPr>
              <w:adjustRightInd w:val="0"/>
              <w:snapToGrid w:val="0"/>
              <w:jc w:val="center"/>
              <w:rPr>
                <w:rFonts w:ascii="t" w:hAnsi="t"/>
                <w:color w:val="auto"/>
                <w:szCs w:val="21"/>
              </w:rPr>
            </w:pPr>
            <w:r>
              <w:rPr>
                <w:rFonts w:ascii="t" w:hAnsi="t"/>
                <w:color w:val="auto"/>
                <w:szCs w:val="21"/>
              </w:rPr>
              <w:t>施工期</w:t>
            </w:r>
          </w:p>
        </w:tc>
        <w:tc>
          <w:tcPr>
            <w:tcW w:w="1021" w:type="dxa"/>
            <w:tcBorders>
              <w:left w:val="single" w:color="auto" w:sz="4" w:space="0"/>
            </w:tcBorders>
            <w:vAlign w:val="center"/>
          </w:tcPr>
          <w:p>
            <w:pPr>
              <w:snapToGrid w:val="0"/>
              <w:jc w:val="center"/>
              <w:rPr>
                <w:color w:val="auto"/>
                <w:szCs w:val="21"/>
              </w:rPr>
            </w:pPr>
            <w:r>
              <w:rPr>
                <w:color w:val="auto"/>
                <w:szCs w:val="21"/>
              </w:rPr>
              <w:t>燃油机械、机动车尾气</w:t>
            </w:r>
          </w:p>
        </w:tc>
        <w:tc>
          <w:tcPr>
            <w:tcW w:w="1558" w:type="dxa"/>
            <w:vAlign w:val="center"/>
          </w:tcPr>
          <w:p>
            <w:pPr>
              <w:snapToGrid w:val="0"/>
              <w:jc w:val="center"/>
              <w:rPr>
                <w:color w:val="auto"/>
                <w:szCs w:val="21"/>
              </w:rPr>
            </w:pPr>
            <w:r>
              <w:rPr>
                <w:color w:val="auto"/>
                <w:szCs w:val="21"/>
              </w:rPr>
              <w:t>NO</w:t>
            </w:r>
            <w:r>
              <w:rPr>
                <w:color w:val="auto"/>
                <w:szCs w:val="21"/>
                <w:vertAlign w:val="subscript"/>
              </w:rPr>
              <w:t>2</w:t>
            </w:r>
            <w:r>
              <w:rPr>
                <w:color w:val="auto"/>
                <w:szCs w:val="21"/>
              </w:rPr>
              <w:t>、SO</w:t>
            </w:r>
            <w:r>
              <w:rPr>
                <w:color w:val="auto"/>
                <w:szCs w:val="21"/>
                <w:vertAlign w:val="subscript"/>
              </w:rPr>
              <w:t>2</w:t>
            </w:r>
            <w:r>
              <w:rPr>
                <w:color w:val="auto"/>
                <w:szCs w:val="21"/>
              </w:rPr>
              <w:t>、</w:t>
            </w:r>
          </w:p>
          <w:p>
            <w:pPr>
              <w:snapToGrid w:val="0"/>
              <w:jc w:val="center"/>
              <w:rPr>
                <w:color w:val="auto"/>
                <w:szCs w:val="21"/>
              </w:rPr>
            </w:pPr>
            <w:r>
              <w:rPr>
                <w:color w:val="auto"/>
                <w:szCs w:val="21"/>
              </w:rPr>
              <w:t>CO、THC</w:t>
            </w:r>
          </w:p>
        </w:tc>
        <w:tc>
          <w:tcPr>
            <w:tcW w:w="1842" w:type="dxa"/>
            <w:vMerge w:val="restart"/>
            <w:vAlign w:val="center"/>
          </w:tcPr>
          <w:p>
            <w:pPr>
              <w:snapToGrid w:val="0"/>
              <w:jc w:val="center"/>
              <w:rPr>
                <w:rFonts w:hint="eastAsia" w:eastAsiaTheme="minorEastAsia"/>
                <w:color w:val="auto"/>
                <w:szCs w:val="21"/>
                <w:lang w:eastAsia="zh-CN"/>
              </w:rPr>
            </w:pPr>
            <w:r>
              <w:rPr>
                <w:rFonts w:hint="eastAsia"/>
                <w:color w:val="auto"/>
                <w:szCs w:val="21"/>
                <w:lang w:val="en-US" w:eastAsia="zh-CN"/>
              </w:rPr>
              <w:t>少量</w:t>
            </w:r>
          </w:p>
        </w:tc>
        <w:tc>
          <w:tcPr>
            <w:tcW w:w="2741" w:type="dxa"/>
            <w:vMerge w:val="restart"/>
            <w:vAlign w:val="center"/>
          </w:tcPr>
          <w:p>
            <w:pPr>
              <w:adjustRightInd w:val="0"/>
              <w:snapToGrid w:val="0"/>
              <w:jc w:val="center"/>
              <w:rPr>
                <w:rFonts w:hint="eastAsia" w:ascii="t" w:hAnsi="t" w:eastAsiaTheme="minorEastAsia"/>
                <w:snapToGrid w:val="0"/>
                <w:color w:val="auto"/>
                <w:szCs w:val="21"/>
                <w:lang w:eastAsia="zh-CN"/>
              </w:rPr>
            </w:pPr>
            <w:r>
              <w:rPr>
                <w:rFonts w:hint="eastAsia" w:ascii="宋体" w:hAnsi="宋体" w:eastAsia="宋体" w:cs="宋体"/>
                <w:color w:val="auto"/>
                <w:sz w:val="21"/>
                <w:szCs w:val="21"/>
                <w:lang w:val="en-US" w:eastAsia="zh-CN"/>
              </w:rPr>
              <w:t>少量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auto"/>
                <w:szCs w:val="21"/>
              </w:rPr>
            </w:pPr>
          </w:p>
        </w:tc>
        <w:tc>
          <w:tcPr>
            <w:tcW w:w="795" w:type="dxa"/>
            <w:vMerge w:val="continue"/>
            <w:tcBorders>
              <w:right w:val="single" w:color="auto" w:sz="4" w:space="0"/>
            </w:tcBorders>
            <w:vAlign w:val="center"/>
          </w:tcPr>
          <w:p>
            <w:pPr>
              <w:adjustRightInd w:val="0"/>
              <w:snapToGrid w:val="0"/>
              <w:jc w:val="center"/>
              <w:rPr>
                <w:rFonts w:ascii="t" w:hAnsi="t"/>
                <w:color w:val="auto"/>
                <w:szCs w:val="21"/>
              </w:rPr>
            </w:pPr>
          </w:p>
        </w:tc>
        <w:tc>
          <w:tcPr>
            <w:tcW w:w="1021" w:type="dxa"/>
            <w:tcBorders>
              <w:left w:val="single" w:color="auto" w:sz="4" w:space="0"/>
            </w:tcBorders>
            <w:vAlign w:val="center"/>
          </w:tcPr>
          <w:p>
            <w:pPr>
              <w:snapToGrid w:val="0"/>
              <w:jc w:val="center"/>
              <w:rPr>
                <w:color w:val="auto"/>
                <w:szCs w:val="21"/>
              </w:rPr>
            </w:pPr>
            <w:r>
              <w:rPr>
                <w:color w:val="auto"/>
                <w:szCs w:val="21"/>
              </w:rPr>
              <w:t>扬尘</w:t>
            </w:r>
          </w:p>
        </w:tc>
        <w:tc>
          <w:tcPr>
            <w:tcW w:w="1558" w:type="dxa"/>
            <w:vAlign w:val="center"/>
          </w:tcPr>
          <w:p>
            <w:pPr>
              <w:snapToGrid w:val="0"/>
              <w:jc w:val="center"/>
              <w:rPr>
                <w:color w:val="auto"/>
                <w:szCs w:val="21"/>
              </w:rPr>
            </w:pPr>
            <w:r>
              <w:rPr>
                <w:color w:val="auto"/>
                <w:szCs w:val="21"/>
              </w:rPr>
              <w:t>TSP</w:t>
            </w:r>
          </w:p>
        </w:tc>
        <w:tc>
          <w:tcPr>
            <w:tcW w:w="1842" w:type="dxa"/>
            <w:vMerge w:val="continue"/>
            <w:vAlign w:val="center"/>
          </w:tcPr>
          <w:p>
            <w:pPr>
              <w:adjustRightInd w:val="0"/>
              <w:snapToGrid w:val="0"/>
              <w:jc w:val="center"/>
              <w:rPr>
                <w:rFonts w:ascii="t" w:hAnsi="t"/>
                <w:color w:val="auto"/>
                <w:szCs w:val="21"/>
              </w:rPr>
            </w:pPr>
          </w:p>
        </w:tc>
        <w:tc>
          <w:tcPr>
            <w:tcW w:w="2741" w:type="dxa"/>
            <w:vMerge w:val="continue"/>
            <w:vAlign w:val="center"/>
          </w:tcPr>
          <w:p>
            <w:pPr>
              <w:adjustRightInd w:val="0"/>
              <w:snapToGrid w:val="0"/>
              <w:jc w:val="center"/>
              <w:rPr>
                <w:rFonts w:ascii="t" w:hAnsi="t"/>
                <w:snapToGrid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restart"/>
            <w:vAlign w:val="center"/>
          </w:tcPr>
          <w:p>
            <w:pPr>
              <w:adjustRightInd w:val="0"/>
              <w:snapToGrid w:val="0"/>
              <w:jc w:val="center"/>
              <w:rPr>
                <w:rFonts w:ascii="t" w:hAnsi="t"/>
                <w:b/>
                <w:color w:val="auto"/>
                <w:szCs w:val="21"/>
              </w:rPr>
            </w:pPr>
            <w:r>
              <w:rPr>
                <w:rFonts w:ascii="t" w:hAnsi="t"/>
                <w:b/>
                <w:color w:val="auto"/>
                <w:szCs w:val="21"/>
              </w:rPr>
              <w:t>水污</w:t>
            </w:r>
          </w:p>
          <w:p>
            <w:pPr>
              <w:adjustRightInd w:val="0"/>
              <w:snapToGrid w:val="0"/>
              <w:jc w:val="center"/>
              <w:rPr>
                <w:rFonts w:ascii="t" w:hAnsi="t"/>
                <w:b/>
                <w:color w:val="auto"/>
                <w:szCs w:val="21"/>
              </w:rPr>
            </w:pPr>
            <w:r>
              <w:rPr>
                <w:rFonts w:ascii="t" w:hAnsi="t"/>
                <w:b/>
                <w:color w:val="auto"/>
                <w:szCs w:val="21"/>
              </w:rPr>
              <w:t>染物</w:t>
            </w:r>
          </w:p>
        </w:tc>
        <w:tc>
          <w:tcPr>
            <w:tcW w:w="795" w:type="dxa"/>
            <w:vMerge w:val="restart"/>
            <w:tcBorders>
              <w:right w:val="single" w:color="auto" w:sz="4" w:space="0"/>
            </w:tcBorders>
            <w:vAlign w:val="center"/>
          </w:tcPr>
          <w:p>
            <w:pPr>
              <w:adjustRightInd w:val="0"/>
              <w:snapToGrid w:val="0"/>
              <w:jc w:val="center"/>
              <w:rPr>
                <w:rFonts w:ascii="t" w:hAnsi="t"/>
                <w:color w:val="auto"/>
                <w:szCs w:val="21"/>
              </w:rPr>
            </w:pPr>
            <w:r>
              <w:rPr>
                <w:rFonts w:ascii="t" w:hAnsi="t"/>
                <w:color w:val="auto"/>
                <w:szCs w:val="21"/>
              </w:rPr>
              <w:t>施工期</w:t>
            </w:r>
          </w:p>
        </w:tc>
        <w:tc>
          <w:tcPr>
            <w:tcW w:w="1021" w:type="dxa"/>
            <w:tcBorders>
              <w:left w:val="single" w:color="auto" w:sz="4" w:space="0"/>
              <w:bottom w:val="single" w:color="auto" w:sz="4" w:space="0"/>
            </w:tcBorders>
            <w:vAlign w:val="center"/>
          </w:tcPr>
          <w:p>
            <w:pPr>
              <w:adjustRightInd w:val="0"/>
              <w:snapToGrid w:val="0"/>
              <w:jc w:val="center"/>
              <w:rPr>
                <w:rFonts w:ascii="t" w:hAnsi="t"/>
                <w:color w:val="auto"/>
                <w:szCs w:val="21"/>
              </w:rPr>
            </w:pPr>
            <w:r>
              <w:rPr>
                <w:rFonts w:ascii="t" w:hAnsi="t"/>
                <w:color w:val="auto"/>
                <w:szCs w:val="21"/>
              </w:rPr>
              <w:t>施工废水</w:t>
            </w:r>
          </w:p>
        </w:tc>
        <w:tc>
          <w:tcPr>
            <w:tcW w:w="1558" w:type="dxa"/>
            <w:vAlign w:val="center"/>
          </w:tcPr>
          <w:p>
            <w:pPr>
              <w:snapToGrid w:val="0"/>
              <w:jc w:val="center"/>
              <w:rPr>
                <w:color w:val="auto"/>
                <w:szCs w:val="21"/>
              </w:rPr>
            </w:pPr>
            <w:r>
              <w:rPr>
                <w:color w:val="auto"/>
                <w:szCs w:val="21"/>
              </w:rPr>
              <w:t>SS</w:t>
            </w:r>
          </w:p>
        </w:tc>
        <w:tc>
          <w:tcPr>
            <w:tcW w:w="1842" w:type="dxa"/>
            <w:tcBorders>
              <w:bottom w:val="single" w:color="auto" w:sz="4" w:space="0"/>
              <w:right w:val="single" w:color="auto" w:sz="4" w:space="0"/>
            </w:tcBorders>
            <w:vAlign w:val="center"/>
          </w:tcPr>
          <w:p>
            <w:pPr>
              <w:snapToGrid w:val="0"/>
              <w:jc w:val="center"/>
              <w:rPr>
                <w:color w:val="auto"/>
                <w:szCs w:val="21"/>
              </w:rPr>
            </w:pPr>
            <w:r>
              <w:rPr>
                <w:rFonts w:hint="eastAsia"/>
                <w:color w:val="auto"/>
                <w:szCs w:val="21"/>
              </w:rPr>
              <w:t>3000mg/L</w:t>
            </w:r>
            <w:r>
              <w:rPr>
                <w:rFonts w:hint="eastAsia"/>
                <w:color w:val="auto"/>
                <w:szCs w:val="21"/>
                <w:lang w:eastAsia="zh-CN"/>
              </w:rPr>
              <w:t>，</w:t>
            </w:r>
            <w:r>
              <w:rPr>
                <w:color w:val="auto"/>
                <w:szCs w:val="21"/>
              </w:rPr>
              <w:t>10m</w:t>
            </w:r>
            <w:r>
              <w:rPr>
                <w:color w:val="auto"/>
                <w:szCs w:val="21"/>
                <w:vertAlign w:val="superscript"/>
              </w:rPr>
              <w:t>3</w:t>
            </w:r>
            <w:r>
              <w:rPr>
                <w:color w:val="auto"/>
                <w:szCs w:val="21"/>
              </w:rPr>
              <w:t>/d</w:t>
            </w:r>
          </w:p>
        </w:tc>
        <w:tc>
          <w:tcPr>
            <w:tcW w:w="2741" w:type="dxa"/>
            <w:tcBorders>
              <w:left w:val="single" w:color="auto" w:sz="4" w:space="0"/>
            </w:tcBorders>
            <w:vAlign w:val="center"/>
          </w:tcPr>
          <w:p>
            <w:pPr>
              <w:snapToGrid w:val="0"/>
              <w:jc w:val="center"/>
              <w:rPr>
                <w:color w:val="auto"/>
                <w:szCs w:val="21"/>
              </w:rPr>
            </w:pPr>
            <w:r>
              <w:rPr>
                <w:color w:val="auto"/>
                <w:szCs w:val="21"/>
              </w:rPr>
              <w:t>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auto"/>
                <w:szCs w:val="21"/>
              </w:rPr>
            </w:pPr>
          </w:p>
        </w:tc>
        <w:tc>
          <w:tcPr>
            <w:tcW w:w="795" w:type="dxa"/>
            <w:vMerge w:val="continue"/>
            <w:tcBorders>
              <w:right w:val="single" w:color="auto" w:sz="4" w:space="0"/>
            </w:tcBorders>
            <w:vAlign w:val="center"/>
          </w:tcPr>
          <w:p>
            <w:pPr>
              <w:adjustRightInd w:val="0"/>
              <w:snapToGrid w:val="0"/>
              <w:jc w:val="center"/>
              <w:rPr>
                <w:rFonts w:ascii="t" w:hAnsi="t"/>
                <w:color w:val="auto"/>
                <w:szCs w:val="21"/>
              </w:rPr>
            </w:pPr>
          </w:p>
        </w:tc>
        <w:tc>
          <w:tcPr>
            <w:tcW w:w="1021" w:type="dxa"/>
            <w:vMerge w:val="restart"/>
            <w:tcBorders>
              <w:top w:val="single" w:color="auto" w:sz="4" w:space="0"/>
              <w:left w:val="single" w:color="auto" w:sz="4" w:space="0"/>
            </w:tcBorders>
            <w:vAlign w:val="center"/>
          </w:tcPr>
          <w:p>
            <w:pPr>
              <w:adjustRightInd w:val="0"/>
              <w:snapToGrid w:val="0"/>
              <w:jc w:val="center"/>
              <w:rPr>
                <w:rFonts w:ascii="t" w:hAnsi="t"/>
                <w:color w:val="auto"/>
                <w:szCs w:val="21"/>
              </w:rPr>
            </w:pPr>
            <w:r>
              <w:rPr>
                <w:rFonts w:ascii="t" w:hAnsi="t"/>
                <w:color w:val="auto"/>
                <w:szCs w:val="21"/>
              </w:rPr>
              <w:t>生活污水</w:t>
            </w:r>
          </w:p>
        </w:tc>
        <w:tc>
          <w:tcPr>
            <w:tcW w:w="1558" w:type="dxa"/>
            <w:vAlign w:val="center"/>
          </w:tcPr>
          <w:p>
            <w:pPr>
              <w:snapToGrid w:val="0"/>
              <w:jc w:val="center"/>
              <w:rPr>
                <w:color w:val="auto"/>
                <w:szCs w:val="21"/>
              </w:rPr>
            </w:pPr>
            <w:r>
              <w:rPr>
                <w:color w:val="auto"/>
                <w:szCs w:val="21"/>
              </w:rPr>
              <w:t>COD</w:t>
            </w:r>
          </w:p>
        </w:tc>
        <w:tc>
          <w:tcPr>
            <w:tcW w:w="1842" w:type="dxa"/>
            <w:tcBorders>
              <w:top w:val="single" w:color="auto" w:sz="4" w:space="0"/>
              <w:bottom w:val="single" w:color="auto" w:sz="4" w:space="0"/>
              <w:right w:val="single" w:color="auto" w:sz="4" w:space="0"/>
            </w:tcBorders>
            <w:vAlign w:val="center"/>
          </w:tcPr>
          <w:p>
            <w:pPr>
              <w:snapToGrid w:val="0"/>
              <w:jc w:val="center"/>
              <w:rPr>
                <w:color w:val="auto"/>
                <w:szCs w:val="21"/>
              </w:rPr>
            </w:pPr>
            <w:r>
              <w:rPr>
                <w:color w:val="auto"/>
                <w:szCs w:val="21"/>
              </w:rPr>
              <w:t>废水量：</w:t>
            </w:r>
            <w:r>
              <w:rPr>
                <w:rFonts w:hint="eastAsia"/>
                <w:color w:val="auto"/>
                <w:szCs w:val="21"/>
              </w:rPr>
              <w:t>3</w:t>
            </w:r>
            <w:r>
              <w:rPr>
                <w:color w:val="auto"/>
                <w:szCs w:val="21"/>
              </w:rPr>
              <w:t>m</w:t>
            </w:r>
            <w:r>
              <w:rPr>
                <w:color w:val="auto"/>
                <w:szCs w:val="21"/>
                <w:vertAlign w:val="superscript"/>
              </w:rPr>
              <w:t>3</w:t>
            </w:r>
            <w:r>
              <w:rPr>
                <w:color w:val="auto"/>
                <w:szCs w:val="21"/>
              </w:rPr>
              <w:t>/d</w:t>
            </w:r>
            <w:r>
              <w:rPr>
                <w:rFonts w:hint="eastAsia"/>
                <w:color w:val="auto"/>
                <w:szCs w:val="21"/>
              </w:rPr>
              <w:t>，</w:t>
            </w:r>
            <w:r>
              <w:rPr>
                <w:color w:val="auto"/>
                <w:szCs w:val="21"/>
              </w:rPr>
              <w:t>400mg/L</w:t>
            </w:r>
            <w:r>
              <w:rPr>
                <w:rFonts w:hint="eastAsia"/>
                <w:color w:val="auto"/>
                <w:szCs w:val="21"/>
              </w:rPr>
              <w:t>，0.0012kg/d</w:t>
            </w:r>
          </w:p>
        </w:tc>
        <w:tc>
          <w:tcPr>
            <w:tcW w:w="2741" w:type="dxa"/>
            <w:vMerge w:val="restart"/>
            <w:tcBorders>
              <w:left w:val="single" w:color="auto" w:sz="4" w:space="0"/>
            </w:tcBorders>
            <w:vAlign w:val="center"/>
          </w:tcPr>
          <w:p>
            <w:pPr>
              <w:adjustRightInd w:val="0"/>
              <w:snapToGrid w:val="0"/>
              <w:jc w:val="center"/>
              <w:rPr>
                <w:rFonts w:hint="default" w:ascii="t" w:hAnsi="t" w:eastAsiaTheme="minorEastAsia"/>
                <w:color w:val="auto"/>
                <w:szCs w:val="21"/>
                <w:lang w:val="en-US" w:eastAsia="zh-CN"/>
              </w:rPr>
            </w:pPr>
            <w:r>
              <w:rPr>
                <w:rFonts w:hint="eastAsia"/>
                <w:color w:val="auto"/>
                <w:szCs w:val="21"/>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auto"/>
                <w:szCs w:val="21"/>
              </w:rPr>
            </w:pPr>
          </w:p>
        </w:tc>
        <w:tc>
          <w:tcPr>
            <w:tcW w:w="795" w:type="dxa"/>
            <w:vMerge w:val="continue"/>
            <w:tcBorders>
              <w:right w:val="single" w:color="auto" w:sz="4" w:space="0"/>
            </w:tcBorders>
            <w:vAlign w:val="center"/>
          </w:tcPr>
          <w:p>
            <w:pPr>
              <w:adjustRightInd w:val="0"/>
              <w:snapToGrid w:val="0"/>
              <w:jc w:val="center"/>
              <w:rPr>
                <w:rFonts w:ascii="t" w:hAnsi="t"/>
                <w:color w:val="auto"/>
                <w:szCs w:val="21"/>
              </w:rPr>
            </w:pPr>
          </w:p>
        </w:tc>
        <w:tc>
          <w:tcPr>
            <w:tcW w:w="1021" w:type="dxa"/>
            <w:vMerge w:val="continue"/>
            <w:tcBorders>
              <w:left w:val="single" w:color="auto" w:sz="4" w:space="0"/>
              <w:bottom w:val="single" w:color="auto" w:sz="4" w:space="0"/>
            </w:tcBorders>
            <w:vAlign w:val="center"/>
          </w:tcPr>
          <w:p>
            <w:pPr>
              <w:adjustRightInd w:val="0"/>
              <w:snapToGrid w:val="0"/>
              <w:jc w:val="center"/>
              <w:rPr>
                <w:rFonts w:ascii="t" w:hAnsi="t"/>
                <w:color w:val="auto"/>
                <w:szCs w:val="21"/>
              </w:rPr>
            </w:pPr>
          </w:p>
        </w:tc>
        <w:tc>
          <w:tcPr>
            <w:tcW w:w="1558" w:type="dxa"/>
            <w:vAlign w:val="center"/>
          </w:tcPr>
          <w:p>
            <w:pPr>
              <w:snapToGrid w:val="0"/>
              <w:jc w:val="center"/>
              <w:rPr>
                <w:color w:val="auto"/>
                <w:szCs w:val="21"/>
              </w:rPr>
            </w:pPr>
            <w:r>
              <w:rPr>
                <w:color w:val="auto"/>
                <w:szCs w:val="21"/>
              </w:rPr>
              <w:t>NH</w:t>
            </w:r>
            <w:r>
              <w:rPr>
                <w:color w:val="auto"/>
                <w:szCs w:val="21"/>
                <w:vertAlign w:val="subscript"/>
              </w:rPr>
              <w:t>3</w:t>
            </w:r>
            <w:r>
              <w:rPr>
                <w:color w:val="auto"/>
                <w:szCs w:val="21"/>
              </w:rPr>
              <w:t>-N</w:t>
            </w:r>
          </w:p>
        </w:tc>
        <w:tc>
          <w:tcPr>
            <w:tcW w:w="1842" w:type="dxa"/>
            <w:tcBorders>
              <w:top w:val="single" w:color="auto" w:sz="4" w:space="0"/>
              <w:right w:val="single" w:color="auto" w:sz="4" w:space="0"/>
            </w:tcBorders>
            <w:vAlign w:val="center"/>
          </w:tcPr>
          <w:p>
            <w:pPr>
              <w:snapToGrid w:val="0"/>
              <w:jc w:val="center"/>
              <w:rPr>
                <w:color w:val="auto"/>
                <w:szCs w:val="21"/>
              </w:rPr>
            </w:pPr>
            <w:r>
              <w:rPr>
                <w:color w:val="auto"/>
                <w:szCs w:val="21"/>
              </w:rPr>
              <w:t>废水量：</w:t>
            </w:r>
            <w:r>
              <w:rPr>
                <w:rFonts w:hint="eastAsia"/>
                <w:color w:val="auto"/>
                <w:szCs w:val="21"/>
              </w:rPr>
              <w:t>3</w:t>
            </w:r>
            <w:r>
              <w:rPr>
                <w:color w:val="auto"/>
                <w:szCs w:val="21"/>
              </w:rPr>
              <w:t>m</w:t>
            </w:r>
            <w:r>
              <w:rPr>
                <w:color w:val="auto"/>
                <w:szCs w:val="21"/>
                <w:vertAlign w:val="superscript"/>
              </w:rPr>
              <w:t>3</w:t>
            </w:r>
            <w:r>
              <w:rPr>
                <w:color w:val="auto"/>
                <w:szCs w:val="21"/>
              </w:rPr>
              <w:t>/d</w:t>
            </w:r>
          </w:p>
          <w:p>
            <w:pPr>
              <w:snapToGrid w:val="0"/>
              <w:jc w:val="center"/>
              <w:rPr>
                <w:color w:val="auto"/>
                <w:szCs w:val="21"/>
              </w:rPr>
            </w:pPr>
            <w:r>
              <w:rPr>
                <w:rFonts w:hint="eastAsia"/>
                <w:color w:val="auto"/>
                <w:szCs w:val="21"/>
              </w:rPr>
              <w:t>70</w:t>
            </w:r>
            <w:r>
              <w:rPr>
                <w:color w:val="auto"/>
                <w:szCs w:val="21"/>
              </w:rPr>
              <w:t>mg/L</w:t>
            </w:r>
            <w:r>
              <w:rPr>
                <w:rFonts w:hint="eastAsia"/>
                <w:color w:val="auto"/>
                <w:szCs w:val="21"/>
              </w:rPr>
              <w:t>，0.00021</w:t>
            </w:r>
            <w:r>
              <w:rPr>
                <w:color w:val="auto"/>
                <w:szCs w:val="21"/>
              </w:rPr>
              <w:t>kg/d</w:t>
            </w:r>
          </w:p>
        </w:tc>
        <w:tc>
          <w:tcPr>
            <w:tcW w:w="2741" w:type="dxa"/>
            <w:vMerge w:val="continue"/>
            <w:tcBorders>
              <w:left w:val="single" w:color="auto" w:sz="4" w:space="0"/>
            </w:tcBorders>
            <w:vAlign w:val="center"/>
          </w:tcPr>
          <w:p>
            <w:pPr>
              <w:adjustRightInd w:val="0"/>
              <w:snapToGrid w:val="0"/>
              <w:jc w:val="center"/>
              <w:rPr>
                <w:rFonts w:ascii="t" w:hAnsi="t"/>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restart"/>
            <w:vAlign w:val="center"/>
          </w:tcPr>
          <w:p>
            <w:pPr>
              <w:adjustRightInd w:val="0"/>
              <w:snapToGrid w:val="0"/>
              <w:jc w:val="center"/>
              <w:rPr>
                <w:rFonts w:ascii="t" w:hAnsi="t"/>
                <w:b/>
                <w:color w:val="auto"/>
                <w:szCs w:val="21"/>
              </w:rPr>
            </w:pPr>
            <w:r>
              <w:rPr>
                <w:rFonts w:ascii="t" w:hAnsi="t"/>
                <w:b/>
                <w:color w:val="auto"/>
                <w:szCs w:val="21"/>
              </w:rPr>
              <w:t>固体废弃物</w:t>
            </w:r>
          </w:p>
        </w:tc>
        <w:tc>
          <w:tcPr>
            <w:tcW w:w="1816" w:type="dxa"/>
            <w:gridSpan w:val="2"/>
            <w:vMerge w:val="restart"/>
            <w:vAlign w:val="center"/>
          </w:tcPr>
          <w:p>
            <w:pPr>
              <w:snapToGrid w:val="0"/>
              <w:jc w:val="center"/>
              <w:rPr>
                <w:color w:val="auto"/>
                <w:szCs w:val="21"/>
              </w:rPr>
            </w:pPr>
            <w:r>
              <w:rPr>
                <w:rFonts w:hint="eastAsia" w:ascii="t" w:hAnsi="t"/>
                <w:color w:val="auto"/>
                <w:szCs w:val="21"/>
                <w:lang w:eastAsia="zh-CN"/>
              </w:rPr>
              <w:t>施工期</w:t>
            </w:r>
          </w:p>
        </w:tc>
        <w:tc>
          <w:tcPr>
            <w:tcW w:w="1558" w:type="dxa"/>
            <w:vAlign w:val="center"/>
          </w:tcPr>
          <w:p>
            <w:pPr>
              <w:snapToGrid w:val="0"/>
              <w:jc w:val="center"/>
              <w:rPr>
                <w:color w:val="auto"/>
                <w:szCs w:val="21"/>
              </w:rPr>
            </w:pPr>
            <w:r>
              <w:rPr>
                <w:color w:val="auto"/>
                <w:szCs w:val="21"/>
              </w:rPr>
              <w:t>施工人员生活垃圾</w:t>
            </w:r>
          </w:p>
        </w:tc>
        <w:tc>
          <w:tcPr>
            <w:tcW w:w="1842" w:type="dxa"/>
            <w:tcBorders>
              <w:bottom w:val="single" w:color="auto" w:sz="4" w:space="0"/>
            </w:tcBorders>
            <w:vAlign w:val="center"/>
          </w:tcPr>
          <w:p>
            <w:pPr>
              <w:snapToGrid w:val="0"/>
              <w:jc w:val="center"/>
              <w:rPr>
                <w:color w:val="auto"/>
                <w:szCs w:val="21"/>
              </w:rPr>
            </w:pPr>
            <w:r>
              <w:rPr>
                <w:rFonts w:hint="eastAsia"/>
                <w:color w:val="auto"/>
                <w:szCs w:val="21"/>
              </w:rPr>
              <w:t>3</w:t>
            </w:r>
            <w:r>
              <w:rPr>
                <w:color w:val="auto"/>
                <w:szCs w:val="21"/>
              </w:rPr>
              <w:t>0kg/d</w:t>
            </w:r>
          </w:p>
        </w:tc>
        <w:tc>
          <w:tcPr>
            <w:tcW w:w="2741" w:type="dxa"/>
            <w:tcBorders>
              <w:bottom w:val="single" w:color="auto" w:sz="4" w:space="0"/>
            </w:tcBorders>
            <w:vAlign w:val="center"/>
          </w:tcPr>
          <w:p>
            <w:pPr>
              <w:snapToGrid w:val="0"/>
              <w:jc w:val="center"/>
              <w:rPr>
                <w:rFonts w:hint="eastAsia" w:eastAsiaTheme="minorEastAsia"/>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auto"/>
                <w:szCs w:val="21"/>
              </w:rPr>
            </w:pPr>
          </w:p>
        </w:tc>
        <w:tc>
          <w:tcPr>
            <w:tcW w:w="1816" w:type="dxa"/>
            <w:gridSpan w:val="2"/>
            <w:vMerge w:val="continue"/>
            <w:vAlign w:val="center"/>
          </w:tcPr>
          <w:p>
            <w:pPr>
              <w:adjustRightInd w:val="0"/>
              <w:snapToGrid w:val="0"/>
              <w:spacing w:line="240" w:lineRule="atLeast"/>
              <w:jc w:val="center"/>
              <w:rPr>
                <w:rFonts w:hint="eastAsia" w:eastAsiaTheme="minorEastAsia"/>
                <w:bCs/>
                <w:color w:val="auto"/>
                <w:lang w:eastAsia="zh-CN"/>
              </w:rPr>
            </w:pPr>
          </w:p>
        </w:tc>
        <w:tc>
          <w:tcPr>
            <w:tcW w:w="1558" w:type="dxa"/>
            <w:vAlign w:val="center"/>
          </w:tcPr>
          <w:p>
            <w:pPr>
              <w:adjustRightInd w:val="0"/>
              <w:snapToGrid w:val="0"/>
              <w:spacing w:line="240" w:lineRule="atLeast"/>
              <w:jc w:val="center"/>
              <w:rPr>
                <w:bCs/>
                <w:color w:val="auto"/>
              </w:rPr>
            </w:pPr>
            <w:r>
              <w:rPr>
                <w:rFonts w:hint="eastAsia"/>
                <w:bCs/>
                <w:color w:val="auto"/>
                <w:lang w:eastAsia="zh-CN"/>
              </w:rPr>
              <w:t>工程弃方</w:t>
            </w:r>
          </w:p>
        </w:tc>
        <w:tc>
          <w:tcPr>
            <w:tcW w:w="1842" w:type="dxa"/>
            <w:vAlign w:val="center"/>
          </w:tcPr>
          <w:p>
            <w:pPr>
              <w:adjustRightInd w:val="0"/>
              <w:snapToGrid w:val="0"/>
              <w:spacing w:line="240" w:lineRule="atLeast"/>
              <w:jc w:val="center"/>
              <w:rPr>
                <w:rFonts w:hint="default" w:eastAsiaTheme="minorEastAsia"/>
                <w:bCs/>
                <w:color w:val="auto"/>
                <w:lang w:val="en-US" w:eastAsia="zh-CN"/>
              </w:rPr>
            </w:pPr>
            <w:r>
              <w:rPr>
                <w:rFonts w:hint="eastAsia"/>
                <w:bCs/>
                <w:color w:val="auto"/>
                <w:lang w:val="en-US" w:eastAsia="zh-CN"/>
              </w:rPr>
              <w:t>213.12m</w:t>
            </w:r>
            <w:r>
              <w:rPr>
                <w:rFonts w:hint="eastAsia"/>
                <w:bCs/>
                <w:color w:val="auto"/>
                <w:vertAlign w:val="superscript"/>
                <w:lang w:val="en-US" w:eastAsia="zh-CN"/>
              </w:rPr>
              <w:t>3</w:t>
            </w:r>
          </w:p>
        </w:tc>
        <w:tc>
          <w:tcPr>
            <w:tcW w:w="2741" w:type="dxa"/>
            <w:vMerge w:val="restart"/>
            <w:vAlign w:val="center"/>
          </w:tcPr>
          <w:p>
            <w:pPr>
              <w:adjustRightInd w:val="0"/>
              <w:snapToGrid w:val="0"/>
              <w:spacing w:line="240" w:lineRule="atLeast"/>
              <w:jc w:val="center"/>
              <w:rPr>
                <w:rFonts w:hint="default" w:eastAsiaTheme="minorEastAsia"/>
                <w:bCs/>
                <w:color w:val="auto"/>
                <w:lang w:val="en-US" w:eastAsia="zh-CN"/>
              </w:rPr>
            </w:pPr>
            <w:r>
              <w:rPr>
                <w:rFonts w:hint="eastAsia"/>
                <w:bCs/>
                <w:color w:val="auto"/>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auto"/>
                <w:szCs w:val="21"/>
              </w:rPr>
            </w:pPr>
          </w:p>
        </w:tc>
        <w:tc>
          <w:tcPr>
            <w:tcW w:w="1816" w:type="dxa"/>
            <w:gridSpan w:val="2"/>
            <w:vMerge w:val="continue"/>
            <w:vAlign w:val="center"/>
          </w:tcPr>
          <w:p>
            <w:pPr>
              <w:adjustRightInd w:val="0"/>
              <w:snapToGrid w:val="0"/>
              <w:spacing w:line="240" w:lineRule="atLeast"/>
              <w:jc w:val="center"/>
              <w:rPr>
                <w:rFonts w:hint="eastAsia" w:eastAsiaTheme="minorEastAsia"/>
                <w:bCs/>
                <w:color w:val="auto"/>
                <w:lang w:eastAsia="zh-CN"/>
              </w:rPr>
            </w:pPr>
          </w:p>
        </w:tc>
        <w:tc>
          <w:tcPr>
            <w:tcW w:w="1558" w:type="dxa"/>
            <w:vAlign w:val="center"/>
          </w:tcPr>
          <w:p>
            <w:pPr>
              <w:adjustRightInd w:val="0"/>
              <w:snapToGrid w:val="0"/>
              <w:spacing w:line="240" w:lineRule="atLeast"/>
              <w:jc w:val="center"/>
              <w:rPr>
                <w:rFonts w:hint="default" w:eastAsiaTheme="minorEastAsia"/>
                <w:bCs/>
                <w:color w:val="auto"/>
                <w:lang w:val="en-US" w:eastAsia="zh-CN"/>
              </w:rPr>
            </w:pPr>
            <w:r>
              <w:rPr>
                <w:rFonts w:hint="eastAsia"/>
                <w:bCs/>
                <w:color w:val="auto"/>
                <w:lang w:val="en-US" w:eastAsia="zh-CN"/>
              </w:rPr>
              <w:t>清淤淤泥</w:t>
            </w:r>
          </w:p>
        </w:tc>
        <w:tc>
          <w:tcPr>
            <w:tcW w:w="1842" w:type="dxa"/>
            <w:vAlign w:val="center"/>
          </w:tcPr>
          <w:p>
            <w:pPr>
              <w:adjustRightInd w:val="0"/>
              <w:snapToGrid w:val="0"/>
              <w:spacing w:line="240" w:lineRule="atLeast"/>
              <w:jc w:val="center"/>
              <w:rPr>
                <w:rFonts w:hint="default" w:eastAsiaTheme="minorEastAsia"/>
                <w:bCs/>
                <w:color w:val="auto"/>
                <w:lang w:val="en-US" w:eastAsia="zh-CN"/>
              </w:rPr>
            </w:pPr>
            <w:r>
              <w:rPr>
                <w:rFonts w:hint="eastAsia"/>
                <w:bCs/>
                <w:color w:val="auto"/>
                <w:lang w:val="en-US" w:eastAsia="zh-CN"/>
              </w:rPr>
              <w:t>817.54m</w:t>
            </w:r>
            <w:r>
              <w:rPr>
                <w:rFonts w:hint="eastAsia"/>
                <w:bCs/>
                <w:color w:val="auto"/>
                <w:vertAlign w:val="superscript"/>
                <w:lang w:val="en-US" w:eastAsia="zh-CN"/>
              </w:rPr>
              <w:t>3</w:t>
            </w:r>
          </w:p>
        </w:tc>
        <w:tc>
          <w:tcPr>
            <w:tcW w:w="2741" w:type="dxa"/>
            <w:vMerge w:val="continue"/>
            <w:vAlign w:val="center"/>
          </w:tcPr>
          <w:p>
            <w:pPr>
              <w:adjustRightInd w:val="0"/>
              <w:snapToGrid w:val="0"/>
              <w:jc w:val="center"/>
              <w:rPr>
                <w:rFonts w:ascii="t" w:hAnsi="t"/>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Merge w:val="continue"/>
            <w:vAlign w:val="center"/>
          </w:tcPr>
          <w:p>
            <w:pPr>
              <w:adjustRightInd w:val="0"/>
              <w:snapToGrid w:val="0"/>
              <w:jc w:val="center"/>
              <w:rPr>
                <w:rFonts w:ascii="t" w:hAnsi="t"/>
                <w:b/>
                <w:color w:val="auto"/>
                <w:szCs w:val="21"/>
              </w:rPr>
            </w:pPr>
          </w:p>
        </w:tc>
        <w:tc>
          <w:tcPr>
            <w:tcW w:w="795" w:type="dxa"/>
            <w:tcBorders>
              <w:right w:val="single" w:color="auto" w:sz="4" w:space="0"/>
            </w:tcBorders>
            <w:vAlign w:val="center"/>
          </w:tcPr>
          <w:p>
            <w:pPr>
              <w:adjustRightInd w:val="0"/>
              <w:snapToGrid w:val="0"/>
              <w:jc w:val="center"/>
              <w:rPr>
                <w:rFonts w:hint="eastAsia" w:ascii="t" w:hAnsi="t" w:eastAsiaTheme="minorEastAsia"/>
                <w:color w:val="auto"/>
                <w:szCs w:val="21"/>
                <w:lang w:eastAsia="zh-CN"/>
              </w:rPr>
            </w:pPr>
            <w:r>
              <w:rPr>
                <w:rFonts w:hint="eastAsia" w:ascii="t" w:hAnsi="t"/>
                <w:color w:val="auto"/>
                <w:szCs w:val="21"/>
                <w:lang w:eastAsia="zh-CN"/>
              </w:rPr>
              <w:t>运营期</w:t>
            </w:r>
          </w:p>
        </w:tc>
        <w:tc>
          <w:tcPr>
            <w:tcW w:w="1021" w:type="dxa"/>
            <w:tcBorders>
              <w:top w:val="single" w:color="auto" w:sz="4" w:space="0"/>
              <w:left w:val="single" w:color="auto" w:sz="4" w:space="0"/>
            </w:tcBorders>
            <w:vAlign w:val="center"/>
          </w:tcPr>
          <w:p>
            <w:pPr>
              <w:adjustRightInd w:val="0"/>
              <w:snapToGrid w:val="0"/>
              <w:spacing w:line="240" w:lineRule="atLeast"/>
              <w:jc w:val="center"/>
              <w:rPr>
                <w:rFonts w:hint="eastAsia"/>
                <w:bCs/>
                <w:color w:val="auto"/>
                <w:lang w:eastAsia="zh-CN"/>
              </w:rPr>
            </w:pPr>
            <w:r>
              <w:rPr>
                <w:rFonts w:hint="eastAsia"/>
                <w:bCs/>
                <w:color w:val="auto"/>
                <w:lang w:eastAsia="zh-CN"/>
              </w:rPr>
              <w:t>清淤</w:t>
            </w:r>
          </w:p>
        </w:tc>
        <w:tc>
          <w:tcPr>
            <w:tcW w:w="1558" w:type="dxa"/>
            <w:vAlign w:val="center"/>
          </w:tcPr>
          <w:p>
            <w:pPr>
              <w:adjustRightInd w:val="0"/>
              <w:snapToGrid w:val="0"/>
              <w:spacing w:line="240" w:lineRule="atLeast"/>
              <w:jc w:val="center"/>
              <w:rPr>
                <w:rFonts w:hint="eastAsia" w:eastAsiaTheme="minorEastAsia"/>
                <w:bCs/>
                <w:color w:val="auto"/>
                <w:lang w:eastAsia="zh-CN"/>
              </w:rPr>
            </w:pPr>
            <w:r>
              <w:rPr>
                <w:rFonts w:hint="eastAsia"/>
                <w:bCs/>
                <w:color w:val="auto"/>
                <w:lang w:eastAsia="zh-CN"/>
              </w:rPr>
              <w:t>固体废物</w:t>
            </w:r>
          </w:p>
        </w:tc>
        <w:tc>
          <w:tcPr>
            <w:tcW w:w="1842" w:type="dxa"/>
            <w:vAlign w:val="center"/>
          </w:tcPr>
          <w:p>
            <w:pPr>
              <w:adjustRightInd w:val="0"/>
              <w:snapToGrid w:val="0"/>
              <w:spacing w:line="240" w:lineRule="atLeast"/>
              <w:jc w:val="center"/>
              <w:rPr>
                <w:bCs/>
                <w:color w:val="auto"/>
              </w:rPr>
            </w:pPr>
            <w:r>
              <w:rPr>
                <w:rFonts w:hint="eastAsia"/>
                <w:bCs/>
                <w:color w:val="auto"/>
                <w:lang w:eastAsia="zh-CN"/>
              </w:rPr>
              <w:t>不定量</w:t>
            </w:r>
          </w:p>
        </w:tc>
        <w:tc>
          <w:tcPr>
            <w:tcW w:w="2741" w:type="dxa"/>
            <w:tcBorders>
              <w:top w:val="single" w:color="auto" w:sz="4" w:space="0"/>
            </w:tcBorders>
            <w:vAlign w:val="center"/>
          </w:tcPr>
          <w:p>
            <w:pPr>
              <w:adjustRightInd w:val="0"/>
              <w:snapToGrid w:val="0"/>
              <w:jc w:val="center"/>
              <w:rPr>
                <w:rFonts w:hint="default" w:ascii="t" w:hAnsi="t" w:eastAsiaTheme="minorEastAsia"/>
                <w:color w:val="auto"/>
                <w:szCs w:val="21"/>
                <w:lang w:val="en-US" w:eastAsia="zh-CN"/>
              </w:rPr>
            </w:pPr>
            <w:r>
              <w:rPr>
                <w:rFonts w:hint="eastAsia" w:ascii="t" w:hAnsi="t"/>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9" w:type="dxa"/>
            <w:vAlign w:val="center"/>
          </w:tcPr>
          <w:p>
            <w:pPr>
              <w:snapToGrid w:val="0"/>
              <w:jc w:val="center"/>
              <w:rPr>
                <w:color w:val="auto"/>
                <w:szCs w:val="21"/>
              </w:rPr>
            </w:pPr>
            <w:r>
              <w:rPr>
                <w:b/>
                <w:bCs/>
                <w:color w:val="auto"/>
                <w:szCs w:val="21"/>
              </w:rPr>
              <w:t>噪声</w:t>
            </w:r>
          </w:p>
        </w:tc>
        <w:tc>
          <w:tcPr>
            <w:tcW w:w="795" w:type="dxa"/>
            <w:tcBorders>
              <w:right w:val="single" w:color="auto" w:sz="4" w:space="0"/>
            </w:tcBorders>
            <w:vAlign w:val="center"/>
          </w:tcPr>
          <w:p>
            <w:pPr>
              <w:snapToGrid w:val="0"/>
              <w:jc w:val="center"/>
              <w:rPr>
                <w:color w:val="auto"/>
                <w:szCs w:val="21"/>
              </w:rPr>
            </w:pPr>
            <w:r>
              <w:rPr>
                <w:color w:val="auto"/>
                <w:szCs w:val="21"/>
              </w:rPr>
              <w:t>施工期</w:t>
            </w:r>
          </w:p>
        </w:tc>
        <w:tc>
          <w:tcPr>
            <w:tcW w:w="1021" w:type="dxa"/>
            <w:tcBorders>
              <w:top w:val="single" w:color="auto" w:sz="4" w:space="0"/>
              <w:left w:val="single" w:color="auto" w:sz="4" w:space="0"/>
            </w:tcBorders>
            <w:vAlign w:val="center"/>
          </w:tcPr>
          <w:p>
            <w:pPr>
              <w:snapToGrid w:val="0"/>
              <w:jc w:val="center"/>
              <w:rPr>
                <w:color w:val="auto"/>
                <w:szCs w:val="21"/>
              </w:rPr>
            </w:pPr>
            <w:r>
              <w:rPr>
                <w:color w:val="auto"/>
                <w:szCs w:val="21"/>
              </w:rPr>
              <w:t>施工机械及运输车辆</w:t>
            </w:r>
          </w:p>
        </w:tc>
        <w:tc>
          <w:tcPr>
            <w:tcW w:w="1558" w:type="dxa"/>
            <w:vAlign w:val="center"/>
          </w:tcPr>
          <w:p>
            <w:pPr>
              <w:snapToGrid w:val="0"/>
              <w:jc w:val="center"/>
              <w:rPr>
                <w:color w:val="auto"/>
                <w:szCs w:val="21"/>
              </w:rPr>
            </w:pPr>
            <w:r>
              <w:rPr>
                <w:color w:val="auto"/>
                <w:szCs w:val="21"/>
              </w:rPr>
              <w:t>噪声</w:t>
            </w:r>
          </w:p>
        </w:tc>
        <w:tc>
          <w:tcPr>
            <w:tcW w:w="1842" w:type="dxa"/>
            <w:vAlign w:val="center"/>
          </w:tcPr>
          <w:p>
            <w:pPr>
              <w:pStyle w:val="311"/>
              <w:spacing w:line="262" w:lineRule="exact"/>
              <w:ind w:right="2"/>
              <w:jc w:val="center"/>
              <w:rPr>
                <w:rFonts w:ascii="宋体" w:hAnsi="宋体" w:eastAsia="宋体" w:cs="宋体"/>
                <w:color w:val="auto"/>
                <w:sz w:val="21"/>
                <w:szCs w:val="21"/>
              </w:rPr>
            </w:pPr>
            <w:r>
              <w:rPr>
                <w:rFonts w:ascii="宋体" w:hAnsi="宋体" w:eastAsia="宋体" w:cs="宋体"/>
                <w:color w:val="auto"/>
                <w:sz w:val="21"/>
                <w:szCs w:val="21"/>
              </w:rPr>
              <w:t>噪声源强在</w:t>
            </w:r>
          </w:p>
          <w:p>
            <w:pPr>
              <w:pStyle w:val="311"/>
              <w:spacing w:before="84" w:line="240" w:lineRule="auto"/>
              <w:ind w:right="2"/>
              <w:jc w:val="center"/>
              <w:rPr>
                <w:rFonts w:ascii="Times New Roman" w:hAnsi="Times New Roman" w:eastAsia="Times New Roman" w:cs="Times New Roman"/>
                <w:color w:val="auto"/>
                <w:sz w:val="21"/>
                <w:szCs w:val="21"/>
              </w:rPr>
            </w:pPr>
            <w:r>
              <w:rPr>
                <w:rFonts w:hint="eastAsia" w:ascii="Times New Roman"/>
                <w:color w:val="auto"/>
                <w:sz w:val="21"/>
                <w:lang w:val="en-US" w:eastAsia="zh-CN"/>
              </w:rPr>
              <w:t>80</w:t>
            </w:r>
            <w:r>
              <w:rPr>
                <w:rFonts w:ascii="Times New Roman"/>
                <w:color w:val="auto"/>
                <w:sz w:val="21"/>
              </w:rPr>
              <w:t>~</w:t>
            </w:r>
            <w:r>
              <w:rPr>
                <w:rFonts w:hint="eastAsia" w:ascii="Times New Roman"/>
                <w:color w:val="auto"/>
                <w:sz w:val="21"/>
                <w:lang w:val="en-US" w:eastAsia="zh-CN"/>
              </w:rPr>
              <w:t>10</w:t>
            </w:r>
            <w:r>
              <w:rPr>
                <w:rFonts w:ascii="Times New Roman"/>
                <w:color w:val="auto"/>
                <w:sz w:val="21"/>
              </w:rPr>
              <w:t>0dB(A)</w:t>
            </w:r>
          </w:p>
          <w:p>
            <w:pPr>
              <w:snapToGrid w:val="0"/>
              <w:jc w:val="center"/>
              <w:rPr>
                <w:color w:val="auto"/>
                <w:szCs w:val="21"/>
              </w:rPr>
            </w:pPr>
            <w:r>
              <w:rPr>
                <w:rFonts w:ascii="宋体" w:hAnsi="宋体" w:eastAsia="宋体" w:cs="宋体"/>
                <w:color w:val="auto"/>
                <w:sz w:val="21"/>
                <w:szCs w:val="21"/>
              </w:rPr>
              <w:t>之间</w:t>
            </w:r>
          </w:p>
        </w:tc>
        <w:tc>
          <w:tcPr>
            <w:tcW w:w="2741" w:type="dxa"/>
            <w:vAlign w:val="center"/>
          </w:tcPr>
          <w:p>
            <w:pPr>
              <w:snapToGrid w:val="0"/>
              <w:jc w:val="center"/>
              <w:rPr>
                <w:color w:val="auto"/>
                <w:szCs w:val="21"/>
              </w:rPr>
            </w:pPr>
            <w:r>
              <w:rPr>
                <w:rFonts w:hint="eastAsia"/>
                <w:color w:val="auto"/>
                <w:szCs w:val="21"/>
              </w:rPr>
              <w:t>55~70dB（A）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23" w:hRule="atLeast"/>
          <w:jc w:val="center"/>
        </w:trPr>
        <w:tc>
          <w:tcPr>
            <w:tcW w:w="8946" w:type="dxa"/>
            <w:gridSpan w:val="6"/>
          </w:tcPr>
          <w:p>
            <w:pPr>
              <w:adjustRightInd w:val="0"/>
              <w:snapToGrid w:val="0"/>
              <w:spacing w:line="360" w:lineRule="auto"/>
              <w:rPr>
                <w:rFonts w:ascii="t" w:hAnsi="t"/>
                <w:b/>
                <w:color w:val="auto"/>
                <w:sz w:val="24"/>
              </w:rPr>
            </w:pPr>
            <w:r>
              <w:rPr>
                <w:rFonts w:ascii="t" w:hAnsi="t"/>
                <w:b/>
                <w:color w:val="auto"/>
                <w:sz w:val="24"/>
              </w:rPr>
              <w:t>主要生态影响</w:t>
            </w:r>
          </w:p>
          <w:p>
            <w:pPr>
              <w:pStyle w:val="316"/>
              <w:adjustRightInd w:val="0"/>
              <w:snapToGrid w:val="0"/>
              <w:spacing w:before="0" w:line="360" w:lineRule="auto"/>
              <w:ind w:firstLine="480" w:firstLineChars="200"/>
              <w:rPr>
                <w:b w:val="0"/>
                <w:bCs/>
                <w:color w:val="auto"/>
                <w:sz w:val="24"/>
              </w:rPr>
            </w:pPr>
            <w:r>
              <w:rPr>
                <w:rFonts w:hint="eastAsia"/>
                <w:b w:val="0"/>
                <w:bCs/>
                <w:color w:val="auto"/>
                <w:sz w:val="24"/>
              </w:rPr>
              <w:t>主要为临时占地对生态的影响，临时占地包括施工场地占地等，根据现场调查，临时占地类型主要为</w:t>
            </w:r>
            <w:r>
              <w:rPr>
                <w:rFonts w:hint="eastAsia"/>
                <w:b w:val="0"/>
                <w:bCs/>
                <w:color w:val="auto"/>
                <w:sz w:val="24"/>
                <w:lang w:val="en-US" w:eastAsia="zh-CN"/>
              </w:rPr>
              <w:t>沟谷地以及沟谷周边的荒草地</w:t>
            </w:r>
            <w:r>
              <w:rPr>
                <w:rFonts w:hint="eastAsia"/>
                <w:b w:val="0"/>
                <w:bCs/>
                <w:color w:val="auto"/>
                <w:sz w:val="24"/>
              </w:rPr>
              <w:t>，施工期结束后，对临时占地进行复耕或绿化，减少了施工期对生态的影响。</w:t>
            </w:r>
          </w:p>
          <w:p>
            <w:pPr>
              <w:tabs>
                <w:tab w:val="left" w:pos="-108"/>
                <w:tab w:val="left" w:pos="0"/>
              </w:tabs>
              <w:adjustRightInd w:val="0"/>
              <w:snapToGrid w:val="0"/>
              <w:spacing w:line="360" w:lineRule="auto"/>
              <w:ind w:firstLine="480" w:firstLineChars="200"/>
              <w:rPr>
                <w:color w:val="auto"/>
                <w:sz w:val="24"/>
              </w:rPr>
            </w:pPr>
          </w:p>
          <w:p>
            <w:pPr>
              <w:tabs>
                <w:tab w:val="left" w:pos="-108"/>
                <w:tab w:val="left" w:pos="0"/>
              </w:tabs>
              <w:adjustRightInd w:val="0"/>
              <w:snapToGrid w:val="0"/>
              <w:spacing w:line="360" w:lineRule="auto"/>
              <w:ind w:firstLine="480" w:firstLineChars="200"/>
              <w:rPr>
                <w:color w:val="auto"/>
                <w:sz w:val="24"/>
              </w:rPr>
            </w:pPr>
          </w:p>
          <w:p>
            <w:pPr>
              <w:tabs>
                <w:tab w:val="left" w:pos="-108"/>
                <w:tab w:val="left" w:pos="0"/>
              </w:tabs>
              <w:adjustRightInd w:val="0"/>
              <w:snapToGrid w:val="0"/>
              <w:spacing w:line="360" w:lineRule="auto"/>
              <w:ind w:firstLine="480" w:firstLineChars="200"/>
              <w:rPr>
                <w:color w:val="auto"/>
                <w:sz w:val="24"/>
              </w:rPr>
            </w:pPr>
          </w:p>
          <w:p>
            <w:pPr>
              <w:tabs>
                <w:tab w:val="left" w:pos="-108"/>
                <w:tab w:val="left" w:pos="0"/>
              </w:tabs>
              <w:adjustRightInd w:val="0"/>
              <w:snapToGrid w:val="0"/>
              <w:spacing w:line="360" w:lineRule="auto"/>
              <w:ind w:firstLine="480" w:firstLineChars="200"/>
              <w:rPr>
                <w:color w:val="auto"/>
                <w:sz w:val="24"/>
              </w:rPr>
            </w:pPr>
          </w:p>
          <w:p>
            <w:pPr>
              <w:tabs>
                <w:tab w:val="left" w:pos="-108"/>
                <w:tab w:val="left" w:pos="0"/>
              </w:tabs>
              <w:adjustRightInd w:val="0"/>
              <w:snapToGrid w:val="0"/>
              <w:spacing w:line="360" w:lineRule="auto"/>
              <w:ind w:firstLine="480" w:firstLineChars="200"/>
              <w:rPr>
                <w:color w:val="auto"/>
                <w:sz w:val="24"/>
              </w:rPr>
            </w:pPr>
          </w:p>
          <w:p>
            <w:pPr>
              <w:tabs>
                <w:tab w:val="left" w:pos="-108"/>
                <w:tab w:val="left" w:pos="0"/>
              </w:tabs>
              <w:adjustRightInd w:val="0"/>
              <w:snapToGrid w:val="0"/>
              <w:spacing w:line="360" w:lineRule="auto"/>
              <w:ind w:firstLine="480" w:firstLineChars="200"/>
              <w:rPr>
                <w:color w:val="auto"/>
                <w:sz w:val="24"/>
              </w:rPr>
            </w:pPr>
          </w:p>
          <w:p>
            <w:pPr>
              <w:pStyle w:val="29"/>
              <w:spacing w:line="360" w:lineRule="auto"/>
              <w:ind w:firstLine="480"/>
              <w:rPr>
                <w:rFonts w:ascii="t" w:hAnsi="t"/>
                <w:color w:val="auto"/>
                <w:sz w:val="24"/>
              </w:rPr>
            </w:pPr>
          </w:p>
          <w:p>
            <w:pPr>
              <w:pStyle w:val="29"/>
              <w:spacing w:line="360" w:lineRule="auto"/>
              <w:ind w:firstLine="480"/>
              <w:rPr>
                <w:rFonts w:ascii="t" w:hAnsi="t"/>
                <w:color w:val="auto"/>
                <w:sz w:val="24"/>
              </w:rPr>
            </w:pPr>
          </w:p>
          <w:p>
            <w:pPr>
              <w:pStyle w:val="29"/>
              <w:spacing w:line="360" w:lineRule="auto"/>
              <w:ind w:firstLine="480"/>
              <w:rPr>
                <w:rFonts w:ascii="t" w:hAnsi="t"/>
                <w:color w:val="auto"/>
                <w:szCs w:val="21"/>
              </w:rPr>
            </w:pPr>
          </w:p>
        </w:tc>
      </w:tr>
    </w:tbl>
    <w:p>
      <w:pPr>
        <w:tabs>
          <w:tab w:val="left" w:pos="5760"/>
        </w:tabs>
        <w:adjustRightInd w:val="0"/>
        <w:snapToGrid w:val="0"/>
        <w:spacing w:before="156" w:beforeLines="50"/>
        <w:outlineLvl w:val="0"/>
        <w:rPr>
          <w:rFonts w:ascii="Times New Roman" w:hAnsi="Times New Roman" w:cs="Times New Roman"/>
          <w:b/>
          <w:color w:val="auto"/>
          <w:sz w:val="30"/>
          <w:szCs w:val="30"/>
        </w:rPr>
      </w:pPr>
      <w:r>
        <w:rPr>
          <w:rFonts w:ascii="Times New Roman" w:hAnsi="Times New Roman" w:cs="Times New Roman"/>
          <w:b/>
          <w:color w:val="auto"/>
          <w:sz w:val="30"/>
          <w:szCs w:val="30"/>
        </w:rPr>
        <w:t>环境影响分析</w:t>
      </w:r>
      <w:r>
        <w:rPr>
          <w:rFonts w:hint="eastAsia" w:ascii="Times New Roman" w:hAnsi="Times New Roman" w:cs="Times New Roman"/>
          <w:b/>
          <w:color w:val="auto"/>
          <w:sz w:val="30"/>
          <w:szCs w:val="30"/>
        </w:rPr>
        <w:t xml:space="preserve">                                          （</w:t>
      </w:r>
      <w:r>
        <w:rPr>
          <w:rFonts w:hint="eastAsia" w:ascii="Times New Roman" w:hAnsi="Times New Roman" w:cs="Times New Roman"/>
          <w:b/>
          <w:snapToGrid w:val="0"/>
          <w:color w:val="auto"/>
          <w:kern w:val="0"/>
          <w:sz w:val="30"/>
          <w:szCs w:val="30"/>
        </w:rPr>
        <w:t>表七</w:t>
      </w:r>
      <w:r>
        <w:rPr>
          <w:rFonts w:hint="eastAsia" w:ascii="Times New Roman" w:hAnsi="Times New Roman" w:cs="Times New Roman"/>
          <w:b/>
          <w:color w:val="auto"/>
          <w:sz w:val="30"/>
          <w:szCs w:val="30"/>
        </w:rPr>
        <w:t>）</w:t>
      </w:r>
    </w:p>
    <w:tbl>
      <w:tblPr>
        <w:tblStyle w:val="51"/>
        <w:tblW w:w="9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9" w:hRule="atLeast"/>
          <w:jc w:val="center"/>
        </w:trPr>
        <w:tc>
          <w:tcPr>
            <w:tcW w:w="9504" w:type="dxa"/>
            <w:vAlign w:val="center"/>
          </w:tcPr>
          <w:p>
            <w:pPr>
              <w:spacing w:line="360" w:lineRule="auto"/>
              <w:rPr>
                <w:rFonts w:hint="eastAsia" w:ascii="Times New Roman" w:hAnsi="Times New Roman"/>
                <w:b/>
                <w:bCs/>
                <w:snapToGrid w:val="0"/>
                <w:kern w:val="0"/>
                <w:sz w:val="24"/>
                <w:lang w:val="en-US" w:eastAsia="zh-CN"/>
              </w:rPr>
            </w:pPr>
            <w:r>
              <w:rPr>
                <w:rFonts w:hint="eastAsia" w:ascii="Times New Roman" w:hAnsi="Times New Roman"/>
                <w:b/>
                <w:bCs/>
                <w:snapToGrid w:val="0"/>
                <w:kern w:val="0"/>
                <w:sz w:val="24"/>
                <w:lang w:val="en-US" w:eastAsia="zh-CN"/>
              </w:rPr>
              <w:t>一、评价等级</w:t>
            </w:r>
          </w:p>
          <w:p>
            <w:pPr>
              <w:spacing w:line="360" w:lineRule="auto"/>
              <w:ind w:firstLine="480" w:firstLineChars="200"/>
              <w:rPr>
                <w:rFonts w:hint="eastAsia" w:ascii="Times New Roman" w:hAnsi="Times New Roman"/>
                <w:snapToGrid w:val="0"/>
                <w:kern w:val="0"/>
                <w:sz w:val="24"/>
                <w:lang w:val="en-US" w:eastAsia="zh-CN"/>
              </w:rPr>
            </w:pPr>
            <w:r>
              <w:rPr>
                <w:rFonts w:hint="eastAsia" w:ascii="Times New Roman" w:hAnsi="Times New Roman"/>
                <w:snapToGrid w:val="0"/>
                <w:kern w:val="0"/>
                <w:sz w:val="24"/>
                <w:lang w:val="en-US" w:eastAsia="zh-CN"/>
              </w:rPr>
              <w:t>根据本项目工程特点、建设地区环境特征、按《环境影响评价技术导则》中确定评价等级的原则和方法，确定本项目评价工作等级如表7-1所示。</w:t>
            </w:r>
          </w:p>
          <w:p>
            <w:pPr>
              <w:tabs>
                <w:tab w:val="left" w:pos="860"/>
              </w:tabs>
              <w:spacing w:before="34" w:line="240" w:lineRule="auto"/>
              <w:ind w:left="1" w:right="0" w:firstLine="0"/>
              <w:jc w:val="center"/>
              <w:rPr>
                <w:rFonts w:ascii="宋体" w:hAnsi="宋体" w:eastAsia="宋体" w:cs="宋体"/>
                <w:b/>
                <w:bCs/>
                <w:sz w:val="21"/>
                <w:szCs w:val="21"/>
              </w:rPr>
            </w:pPr>
            <w:r>
              <w:rPr>
                <w:rFonts w:ascii="宋体" w:hAnsi="宋体" w:eastAsia="宋体" w:cs="宋体"/>
                <w:b/>
                <w:bCs/>
                <w:sz w:val="21"/>
                <w:szCs w:val="21"/>
              </w:rPr>
              <w:t>表</w:t>
            </w:r>
            <w:r>
              <w:rPr>
                <w:rFonts w:ascii="宋体" w:hAnsi="宋体" w:eastAsia="宋体" w:cs="宋体"/>
                <w:b/>
                <w:bCs/>
                <w:spacing w:val="-54"/>
                <w:sz w:val="21"/>
                <w:szCs w:val="21"/>
              </w:rPr>
              <w:t xml:space="preserve"> </w:t>
            </w:r>
            <w:r>
              <w:rPr>
                <w:rFonts w:hint="eastAsia" w:ascii="Times New Roman" w:hAnsi="Times New Roman" w:eastAsia="宋体" w:cs="Times New Roman"/>
                <w:b/>
                <w:bCs/>
                <w:sz w:val="21"/>
                <w:szCs w:val="21"/>
                <w:lang w:val="en-US" w:eastAsia="zh-CN"/>
              </w:rPr>
              <w:t>7</w:t>
            </w:r>
            <w:r>
              <w:rPr>
                <w:rFonts w:ascii="Times New Roman" w:hAnsi="Times New Roman" w:eastAsia="Times New Roman" w:cs="Times New Roman"/>
                <w:b/>
                <w:bCs/>
                <w:sz w:val="21"/>
                <w:szCs w:val="21"/>
              </w:rPr>
              <w:t>-1</w:t>
            </w:r>
            <w:r>
              <w:rPr>
                <w:rFonts w:ascii="Times New Roman" w:hAnsi="Times New Roman" w:eastAsia="Times New Roman" w:cs="Times New Roman"/>
                <w:b/>
                <w:bCs/>
                <w:sz w:val="21"/>
                <w:szCs w:val="21"/>
              </w:rPr>
              <w:tab/>
            </w:r>
            <w:r>
              <w:rPr>
                <w:rFonts w:ascii="宋体" w:hAnsi="宋体" w:eastAsia="宋体" w:cs="宋体"/>
                <w:b/>
                <w:bCs/>
                <w:sz w:val="21"/>
                <w:szCs w:val="21"/>
              </w:rPr>
              <w:t>评价等级划分</w:t>
            </w:r>
          </w:p>
          <w:tbl>
            <w:tblPr>
              <w:tblStyle w:val="5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886"/>
              <w:gridCol w:w="5365"/>
              <w:gridCol w:w="19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eastAsia="宋体" w:cs="宋体"/>
                      <w:sz w:val="21"/>
                      <w:szCs w:val="21"/>
                    </w:rPr>
                  </w:pPr>
                  <w:r>
                    <w:rPr>
                      <w:rFonts w:ascii="宋体" w:hAnsi="宋体" w:eastAsia="宋体" w:cs="宋体"/>
                      <w:b/>
                      <w:bCs/>
                      <w:sz w:val="21"/>
                      <w:szCs w:val="21"/>
                    </w:rPr>
                    <w:t>评价内容</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eastAsia="宋体" w:cs="宋体"/>
                      <w:sz w:val="21"/>
                      <w:szCs w:val="21"/>
                    </w:rPr>
                  </w:pPr>
                  <w:r>
                    <w:rPr>
                      <w:rFonts w:ascii="宋体" w:hAnsi="宋体" w:eastAsia="宋体" w:cs="宋体"/>
                      <w:b/>
                      <w:bCs/>
                      <w:sz w:val="21"/>
                      <w:szCs w:val="21"/>
                    </w:rPr>
                    <w:t>工作等级</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cs="宋体"/>
                      <w:b/>
                      <w:bCs/>
                      <w:sz w:val="21"/>
                      <w:szCs w:val="21"/>
                      <w:lang w:val="en-US" w:eastAsia="zh-CN"/>
                    </w:rPr>
                    <w:t>依据</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评价范围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p>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根据《环境影响评价技术导则——声环境》（HJ 2.4-2009），本项目位于松潘县安宏乡，项目区周边主要以居住为主，为 2 类声环境功能区。因此本项目声环境评价工作等级按二级进行。</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以建设项目边界向外</w:t>
                  </w:r>
                  <w:r>
                    <w:rPr>
                      <w:rFonts w:hint="eastAsia" w:ascii="Times New Roman" w:hAnsi="Times New Roman" w:cs="Times New Roman"/>
                      <w:spacing w:val="-2"/>
                      <w:sz w:val="21"/>
                      <w:szCs w:val="21"/>
                      <w:lang w:val="en-US" w:eastAsia="zh-CN"/>
                    </w:rPr>
                    <w:t>2</w:t>
                  </w:r>
                  <w:r>
                    <w:rPr>
                      <w:rFonts w:hint="default" w:ascii="Times New Roman" w:hAnsi="Times New Roman" w:eastAsia="宋体" w:cs="Times New Roman"/>
                      <w:spacing w:val="-2"/>
                      <w:sz w:val="21"/>
                      <w:szCs w:val="21"/>
                    </w:rPr>
                    <w:t>00 m 为评价范围；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p>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三级</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根据《环境影响评价技术导则——大气环境》（HJ 2.2-2018），本项目主要归流堤、副坝基础挡土墙、排导槽边墙、底板修复及清淤。沿线</w:t>
                  </w:r>
                  <w:r>
                    <w:rPr>
                      <w:rFonts w:hint="eastAsia" w:eastAsia="宋体" w:cs="Times New Roman"/>
                      <w:spacing w:val="-2"/>
                      <w:sz w:val="21"/>
                      <w:szCs w:val="21"/>
                      <w:lang w:val="en-US" w:eastAsia="zh-CN"/>
                    </w:rPr>
                    <w:t>无</w:t>
                  </w:r>
                  <w:r>
                    <w:rPr>
                      <w:rFonts w:hint="default" w:ascii="Times New Roman" w:hAnsi="Times New Roman" w:eastAsia="宋体" w:cs="Times New Roman"/>
                      <w:spacing w:val="-2"/>
                      <w:sz w:val="21"/>
                      <w:szCs w:val="21"/>
                    </w:rPr>
                    <w:t>集中式排放源，项目营运期对环境空气无影响，环境空气影响评价工作等级确定为三级。</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不需设置大气环境影响评价范围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根据《环境影响评价技术导则——地表水环境》（HJ 2.3-2018），本项目属于</w:t>
                  </w:r>
                  <w:r>
                    <w:rPr>
                      <w:rFonts w:hint="eastAsia" w:ascii="Times New Roman" w:hAnsi="Times New Roman" w:eastAsia="宋体" w:cs="Times New Roman"/>
                      <w:color w:val="auto"/>
                      <w:spacing w:val="-2"/>
                      <w:sz w:val="21"/>
                      <w:szCs w:val="21"/>
                      <w:lang w:val="en-US" w:eastAsia="zh-CN"/>
                    </w:rPr>
                    <w:t>水文要素</w:t>
                  </w:r>
                  <w:r>
                    <w:rPr>
                      <w:rFonts w:hint="default" w:ascii="Times New Roman" w:hAnsi="Times New Roman" w:eastAsia="宋体" w:cs="Times New Roman"/>
                      <w:color w:val="auto"/>
                      <w:spacing w:val="-2"/>
                      <w:sz w:val="21"/>
                      <w:szCs w:val="21"/>
                    </w:rPr>
                    <w:t>影响型，</w:t>
                  </w:r>
                  <w:r>
                    <w:rPr>
                      <w:rFonts w:hint="eastAsia" w:ascii="Times New Roman" w:hAnsi="Times New Roman" w:eastAsia="宋体" w:cs="Times New Roman"/>
                      <w:color w:val="auto"/>
                      <w:spacing w:val="-2"/>
                      <w:sz w:val="21"/>
                      <w:szCs w:val="21"/>
                      <w:lang w:val="en-US" w:eastAsia="zh-CN"/>
                    </w:rPr>
                    <w:t>工程垂直投影面积＜0.05km</w:t>
                  </w:r>
                  <w:r>
                    <w:rPr>
                      <w:rFonts w:hint="eastAsia" w:ascii="Times New Roman" w:hAnsi="Times New Roman" w:eastAsia="宋体" w:cs="Times New Roman"/>
                      <w:color w:val="auto"/>
                      <w:spacing w:val="-2"/>
                      <w:sz w:val="21"/>
                      <w:szCs w:val="21"/>
                      <w:vertAlign w:val="superscript"/>
                      <w:lang w:val="en-US" w:eastAsia="zh-CN"/>
                    </w:rPr>
                    <w:t>2</w:t>
                  </w:r>
                  <w:r>
                    <w:rPr>
                      <w:rFonts w:hint="default" w:ascii="Times New Roman" w:hAnsi="Times New Roman" w:eastAsia="宋体" w:cs="Times New Roman"/>
                      <w:color w:val="auto"/>
                      <w:spacing w:val="-2"/>
                      <w:sz w:val="21"/>
                      <w:szCs w:val="21"/>
                    </w:rPr>
                    <w:t>，因此，评价工作等级确定为三级。</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2"/>
                      <w:sz w:val="21"/>
                      <w:szCs w:val="21"/>
                      <w:lang w:val="en-US" w:eastAsia="zh-CN"/>
                    </w:rPr>
                  </w:pPr>
                  <w:r>
                    <w:rPr>
                      <w:rFonts w:hint="eastAsia" w:ascii="Times New Roman" w:hAnsi="Times New Roman" w:cs="Times New Roman"/>
                      <w:color w:val="auto"/>
                      <w:spacing w:val="-2"/>
                      <w:sz w:val="21"/>
                      <w:szCs w:val="21"/>
                      <w:lang w:val="en-US" w:eastAsia="zh-CN"/>
                    </w:rPr>
                    <w:t>项目工程段所在河段上游500m，下游1000m。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w:t>
                  </w:r>
                </w:p>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p>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Times New Roman" w:cs="Times New Roman"/>
                      <w:sz w:val="21"/>
                      <w:szCs w:val="21"/>
                    </w:rPr>
                  </w:pPr>
                  <w:r>
                    <w:rPr>
                      <w:rFonts w:hint="default" w:ascii="Times New Roman" w:hAnsi="Times New Roman" w:cs="Times New Roman"/>
                      <w:w w:val="99"/>
                      <w:sz w:val="21"/>
                      <w:szCs w:val="21"/>
                    </w:rPr>
                    <w:t>/</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根据《环境影响评价技术导则——地下水环境》（HJ 610-2016），本项目为Ⅳ类建设项目，无需进行地下水评价。</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rPr>
                    <w:t>不需设置</w:t>
                  </w:r>
                  <w:r>
                    <w:rPr>
                      <w:rFonts w:hint="default" w:ascii="Times New Roman" w:hAnsi="Times New Roman" w:eastAsia="宋体" w:cs="Times New Roman"/>
                      <w:sz w:val="21"/>
                      <w:szCs w:val="21"/>
                    </w:rPr>
                    <w:t>地下水环境</w:t>
                  </w:r>
                  <w:r>
                    <w:rPr>
                      <w:rFonts w:hint="default" w:ascii="Times New Roman" w:hAnsi="Times New Roman" w:eastAsia="宋体" w:cs="Times New Roman"/>
                      <w:spacing w:val="-2"/>
                      <w:sz w:val="21"/>
                      <w:szCs w:val="21"/>
                    </w:rPr>
                    <w:t>影响评价范围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土壤环境</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Times New Roman" w:cs="Times New Roman"/>
                      <w:sz w:val="21"/>
                      <w:szCs w:val="21"/>
                    </w:rPr>
                  </w:pPr>
                  <w:r>
                    <w:rPr>
                      <w:rFonts w:hint="default" w:ascii="Times New Roman" w:hAnsi="Times New Roman" w:cs="Times New Roman"/>
                      <w:w w:val="99"/>
                      <w:sz w:val="21"/>
                      <w:szCs w:val="21"/>
                    </w:rPr>
                    <w:t>/</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根据《环境影响评价技术导则——土壤环境（试行）》（HJ 964-2018），本项目属于Ⅳ类项目，可不开展土壤环境影响评价。</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不需设置</w:t>
                  </w:r>
                  <w:r>
                    <w:rPr>
                      <w:rFonts w:hint="default" w:ascii="Times New Roman" w:hAnsi="Times New Roman" w:eastAsia="宋体" w:cs="Times New Roman"/>
                      <w:sz w:val="21"/>
                      <w:szCs w:val="21"/>
                    </w:rPr>
                    <w:t>地下土壤环境</w:t>
                  </w:r>
                  <w:r>
                    <w:rPr>
                      <w:rFonts w:hint="default" w:ascii="Times New Roman" w:hAnsi="Times New Roman" w:eastAsia="宋体" w:cs="Times New Roman"/>
                      <w:spacing w:val="-2"/>
                      <w:sz w:val="21"/>
                      <w:szCs w:val="21"/>
                    </w:rPr>
                    <w:t>影响评价范围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sz w:val="21"/>
                      <w:szCs w:val="21"/>
                    </w:rPr>
                  </w:pPr>
                </w:p>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w w:val="99"/>
                      <w:sz w:val="21"/>
                      <w:szCs w:val="21"/>
                    </w:rPr>
                  </w:pPr>
                  <w:r>
                    <w:rPr>
                      <w:rFonts w:hint="default" w:ascii="Times New Roman" w:hAnsi="Times New Roman" w:eastAsia="宋体" w:cs="Times New Roman"/>
                      <w:sz w:val="21"/>
                      <w:szCs w:val="21"/>
                    </w:rPr>
                    <w:t>三级</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根据《环境影响评价技术导则——生态影响》（HJ19-2011），本项目不涉及特殊生态敏感区和重要生态敏感区，为一般区域。本工程</w:t>
                  </w:r>
                  <w:r>
                    <w:rPr>
                      <w:rFonts w:hint="eastAsia" w:ascii="Times New Roman" w:hAnsi="Times New Roman" w:cs="Times New Roman"/>
                      <w:spacing w:val="-2"/>
                      <w:sz w:val="21"/>
                      <w:szCs w:val="21"/>
                      <w:lang w:val="en-US" w:eastAsia="zh-CN"/>
                    </w:rPr>
                    <w:t>建设规模</w:t>
                  </w:r>
                  <w:r>
                    <w:rPr>
                      <w:rFonts w:hint="eastAsia" w:ascii="Times New Roman" w:hAnsi="Times New Roman" w:eastAsia="宋体" w:cs="Times New Roman"/>
                      <w:spacing w:val="-2"/>
                      <w:sz w:val="21"/>
                      <w:szCs w:val="21"/>
                      <w:lang w:val="en-US" w:eastAsia="zh-CN"/>
                    </w:rPr>
                    <w:t>300</w:t>
                  </w:r>
                  <w:r>
                    <w:rPr>
                      <w:rFonts w:hint="default" w:ascii="Times New Roman" w:hAnsi="Times New Roman" w:eastAsia="宋体" w:cs="Times New Roman"/>
                      <w:spacing w:val="-2"/>
                      <w:sz w:val="21"/>
                      <w:szCs w:val="21"/>
                    </w:rPr>
                    <w:t>m</w:t>
                  </w:r>
                  <w:r>
                    <w:rPr>
                      <w:rFonts w:hint="default" w:ascii="Times New Roman" w:hAnsi="Times New Roman" w:eastAsia="宋体" w:cs="Times New Roman"/>
                      <w:spacing w:val="-2"/>
                      <w:sz w:val="21"/>
                      <w:szCs w:val="21"/>
                      <w:vertAlign w:val="superscript"/>
                    </w:rPr>
                    <w:t>2</w:t>
                  </w:r>
                  <w:r>
                    <w:rPr>
                      <w:rFonts w:hint="default" w:ascii="Times New Roman" w:hAnsi="Times New Roman" w:eastAsia="宋体" w:cs="Times New Roman"/>
                      <w:spacing w:val="-2"/>
                      <w:sz w:val="21"/>
                      <w:szCs w:val="21"/>
                    </w:rPr>
                    <w:t>＜2km</w:t>
                  </w:r>
                  <w:r>
                    <w:rPr>
                      <w:rFonts w:hint="default" w:ascii="Times New Roman" w:hAnsi="Times New Roman" w:eastAsia="宋体" w:cs="Times New Roman"/>
                      <w:spacing w:val="-2"/>
                      <w:sz w:val="21"/>
                      <w:szCs w:val="21"/>
                      <w:vertAlign w:val="superscript"/>
                    </w:rPr>
                    <w:t>2</w:t>
                  </w:r>
                  <w:r>
                    <w:rPr>
                      <w:rFonts w:hint="default" w:ascii="Times New Roman" w:hAnsi="Times New Roman" w:eastAsia="宋体" w:cs="Times New Roman"/>
                      <w:spacing w:val="-2"/>
                      <w:sz w:val="21"/>
                      <w:szCs w:val="21"/>
                    </w:rPr>
                    <w:t>，长度＜50km。因此，生态环境影响评价工作等级确定为三级。</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以建设项目边界向外</w:t>
                  </w:r>
                  <w:r>
                    <w:rPr>
                      <w:rFonts w:hint="eastAsia" w:ascii="Times New Roman" w:hAnsi="Times New Roman" w:cs="Times New Roman"/>
                      <w:spacing w:val="-2"/>
                      <w:sz w:val="21"/>
                      <w:szCs w:val="21"/>
                      <w:lang w:val="en-US" w:eastAsia="zh-CN"/>
                    </w:rPr>
                    <w:t>2</w:t>
                  </w:r>
                  <w:r>
                    <w:rPr>
                      <w:rFonts w:hint="default" w:ascii="Times New Roman" w:hAnsi="Times New Roman" w:eastAsia="宋体" w:cs="Times New Roman"/>
                      <w:spacing w:val="-2"/>
                      <w:sz w:val="21"/>
                      <w:szCs w:val="21"/>
                    </w:rPr>
                    <w:t>00 m 为评价范围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8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eastAsia"/>
                      <w:lang w:val="en-US" w:eastAsia="zh-CN"/>
                    </w:rPr>
                    <w:t>环境</w:t>
                  </w:r>
                  <w:r>
                    <w:rPr>
                      <w:rFonts w:hint="eastAsia" w:ascii="Times New Roman" w:hAnsi="Times New Roman" w:eastAsia="宋体" w:cs="Times New Roman"/>
                      <w:sz w:val="21"/>
                      <w:szCs w:val="21"/>
                      <w:lang w:val="en-US" w:eastAsia="zh-CN"/>
                    </w:rPr>
                    <w:t>风险</w:t>
                  </w:r>
                </w:p>
              </w:tc>
              <w:tc>
                <w:tcPr>
                  <w:tcW w:w="886"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简单分析</w:t>
                  </w:r>
                </w:p>
              </w:tc>
              <w:tc>
                <w:tcPr>
                  <w:tcW w:w="5365"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default" w:ascii="Times New Roman" w:hAnsi="Times New Roman" w:eastAsia="宋体" w:cs="Times New Roman"/>
                      <w:spacing w:val="-2"/>
                      <w:sz w:val="21"/>
                      <w:szCs w:val="21"/>
                    </w:rPr>
                    <w:t>本项目的环境风险潜势为I，根据风险评价工作等级判定，本项目只需进行简单分析，因此本项目环境风险评价工作主要进行可能的事故类型及源项分析，提出防范、减缓和应急措施。</w:t>
                  </w:r>
                </w:p>
              </w:tc>
              <w:tc>
                <w:tcPr>
                  <w:tcW w:w="1910" w:type="dxa"/>
                  <w:tcBorders>
                    <w:tl2br w:val="nil"/>
                    <w:tr2bl w:val="nil"/>
                  </w:tcBorders>
                  <w:noWrap w:val="0"/>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pacing w:val="-2"/>
                      <w:sz w:val="21"/>
                      <w:szCs w:val="21"/>
                    </w:rPr>
                  </w:pPr>
                  <w:r>
                    <w:rPr>
                      <w:rFonts w:hint="eastAsia" w:ascii="Times New Roman" w:hAnsi="Times New Roman" w:eastAsia="宋体" w:cs="Times New Roman"/>
                      <w:spacing w:val="-2"/>
                      <w:sz w:val="21"/>
                      <w:szCs w:val="21"/>
                      <w:lang w:val="en-US" w:eastAsia="zh-CN"/>
                    </w:rPr>
                    <w:t>本项目风险涉及地表水环境风险，风险评价范围同</w:t>
                  </w:r>
                  <w:r>
                    <w:rPr>
                      <w:rFonts w:hint="default" w:ascii="Times New Roman" w:hAnsi="Times New Roman" w:eastAsia="宋体" w:cs="Times New Roman"/>
                      <w:sz w:val="21"/>
                      <w:szCs w:val="21"/>
                    </w:rPr>
                    <w:t>地表水环境</w:t>
                  </w:r>
                  <w:r>
                    <w:rPr>
                      <w:rFonts w:hint="eastAsia" w:ascii="Times New Roman" w:hAnsi="Times New Roman" w:eastAsia="宋体" w:cs="Times New Roman"/>
                      <w:sz w:val="21"/>
                      <w:szCs w:val="21"/>
                      <w:lang w:val="en-US" w:eastAsia="zh-CN"/>
                    </w:rPr>
                    <w:t>评价范围，</w:t>
                  </w:r>
                  <w:r>
                    <w:rPr>
                      <w:rFonts w:hint="eastAsia" w:ascii="Times New Roman" w:hAnsi="Times New Roman" w:cs="Times New Roman"/>
                      <w:spacing w:val="-2"/>
                      <w:sz w:val="21"/>
                      <w:szCs w:val="21"/>
                      <w:lang w:val="en-US" w:eastAsia="zh-CN"/>
                    </w:rPr>
                    <w:t>项目工程段所在河段上游500m，下游1000m。</w:t>
                  </w:r>
                </w:p>
              </w:tc>
            </w:tr>
          </w:tbl>
          <w:p>
            <w:pPr>
              <w:adjustRightInd w:val="0"/>
              <w:snapToGrid w:val="0"/>
              <w:spacing w:line="360" w:lineRule="auto"/>
              <w:rPr>
                <w:rFonts w:ascii="t" w:hAnsi="t"/>
                <w:b/>
                <w:snapToGrid w:val="0"/>
                <w:color w:val="auto"/>
                <w:sz w:val="24"/>
              </w:rPr>
            </w:pPr>
            <w:r>
              <w:rPr>
                <w:rFonts w:hint="eastAsia" w:ascii="t" w:hAnsi="t"/>
                <w:b/>
                <w:snapToGrid w:val="0"/>
                <w:color w:val="auto"/>
                <w:sz w:val="24"/>
                <w:lang w:val="en-US" w:eastAsia="zh-CN"/>
              </w:rPr>
              <w:t>二</w:t>
            </w:r>
            <w:r>
              <w:rPr>
                <w:rFonts w:ascii="t" w:hAnsi="t"/>
                <w:b/>
                <w:snapToGrid w:val="0"/>
                <w:color w:val="auto"/>
                <w:sz w:val="24"/>
              </w:rPr>
              <w:t>、施工期环境影响分析</w:t>
            </w:r>
          </w:p>
          <w:p>
            <w:pPr>
              <w:spacing w:line="360" w:lineRule="auto"/>
              <w:ind w:firstLine="480" w:firstLineChars="200"/>
              <w:rPr>
                <w:rFonts w:ascii="t" w:hAnsi="t"/>
                <w:b/>
                <w:snapToGrid w:val="0"/>
                <w:color w:val="auto"/>
                <w:kern w:val="0"/>
                <w:sz w:val="24"/>
              </w:rPr>
            </w:pPr>
            <w:r>
              <w:rPr>
                <w:rFonts w:hint="eastAsia" w:ascii="t" w:hAnsi="t"/>
                <w:b/>
                <w:snapToGrid w:val="0"/>
                <w:color w:val="auto"/>
                <w:kern w:val="0"/>
                <w:sz w:val="24"/>
                <w:lang w:eastAsia="zh-CN"/>
              </w:rPr>
              <w:t>（一）</w:t>
            </w:r>
            <w:r>
              <w:rPr>
                <w:rFonts w:hint="eastAsia" w:ascii="t" w:hAnsi="t"/>
                <w:b/>
                <w:snapToGrid w:val="0"/>
                <w:color w:val="auto"/>
                <w:kern w:val="0"/>
                <w:sz w:val="24"/>
              </w:rPr>
              <w:t>大气环境影响分析</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本项目施工期大气污染物主要来源于施工期扬尘，次要有施工车辆、挖土机等机械设备燃油燃烧时排放的 SO</w:t>
            </w:r>
            <w:r>
              <w:rPr>
                <w:rFonts w:hint="eastAsia" w:ascii="t" w:hAnsi="t"/>
                <w:snapToGrid w:val="0"/>
                <w:color w:val="auto"/>
                <w:kern w:val="0"/>
                <w:sz w:val="24"/>
                <w:vertAlign w:val="subscript"/>
              </w:rPr>
              <w:t>2</w:t>
            </w:r>
            <w:r>
              <w:rPr>
                <w:rFonts w:hint="eastAsia" w:ascii="t" w:hAnsi="t"/>
                <w:snapToGrid w:val="0"/>
                <w:color w:val="auto"/>
                <w:kern w:val="0"/>
                <w:sz w:val="24"/>
              </w:rPr>
              <w:t>、NO</w:t>
            </w:r>
            <w:r>
              <w:rPr>
                <w:rFonts w:hint="eastAsia" w:ascii="t" w:hAnsi="t"/>
                <w:snapToGrid w:val="0"/>
                <w:color w:val="auto"/>
                <w:kern w:val="0"/>
                <w:sz w:val="24"/>
                <w:vertAlign w:val="subscript"/>
              </w:rPr>
              <w:t>X</w:t>
            </w:r>
            <w:r>
              <w:rPr>
                <w:rFonts w:hint="eastAsia" w:ascii="t" w:hAnsi="t"/>
                <w:snapToGrid w:val="0"/>
                <w:color w:val="auto"/>
                <w:kern w:val="0"/>
                <w:sz w:val="24"/>
              </w:rPr>
              <w:t xml:space="preserve">、CO、烃类（THC）等污染物。 </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 xml:space="preserve">1、扬尘 </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工程施工时，在运输车辆行驶、施工垃圾的清理及堆放、人来车往、堆料场装卸材料等均可能产生扬尘。一般情况下，其产生量在有风旱季晴天多于无风和雨季，动态施工多于静态作业。</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经综合对比，项目施工过程中的施工扬尘将是大气污染因子中对周边敏感点大气环境影响最大的一项，其污染面广。</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 xml:space="preserve">（1）施工扬尘起尘因素分析 </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在整个施工期间，产生扬尘的作业主要有土地平整、打桩、开挖、回填、浇注、建材运输、露天堆放、装卸和搅拌等过程，其中车辆运输、装卸及施工开挖造成的扬尘最为严重。</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施工期扬尘的另一个主要原因是露天堆场和裸露场地的风力扬尘。由于施工的需要，一些建材需露天堆放，一些施工点表层土壤需人工开挖、堆放，在气候干燥又有风的情况下，也会产生扬尘。扬尘量与距地面 50m 处风速、起尘风速、尖粒的含水率有关，因此，减少露天堆放和保证一定的含水率及减少裸露地面是减少风力起尘的有效手段。</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（2）施工扬尘防治对策</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施工期扬尘的环境影响通过优化施工规划，合理布局、合理施工、加强管理等措施得以控制或减轻；同时，此阶段的影响时间短，伴随施工结束而消失，而且仅局限于施工区域，属于短期、阶段性影响。环评建议施工期采取的扬尘治理措施有：安排专职人员负责施工现场卫生管理工作；施工时湿法作业，对暴露的土层及时恢复或临时覆盖，及时洒水以减少风沙扬尘；运输线路及时清除尘土；定时洒水降尘，减少道路等二次扬尘；对施工场地周边进行打围；车辆（施工机械）离场前进行冲洗。</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（3）影响分析 工程建设对大气环境的影响仅限于施工期，工程结束后影响将自行消除。并由于TSP浓度随其距离衰减很快，故在施工过程中采取有效的防治措施的情况下，可以有效减轻扬尘对周围环境的影响。</w:t>
            </w:r>
          </w:p>
          <w:p>
            <w:pPr>
              <w:spacing w:line="360" w:lineRule="auto"/>
              <w:ind w:firstLine="480" w:firstLineChars="200"/>
              <w:rPr>
                <w:rFonts w:hint="eastAsia" w:ascii="t" w:hAnsi="t" w:eastAsiaTheme="minorEastAsia"/>
                <w:snapToGrid w:val="0"/>
                <w:color w:val="auto"/>
                <w:kern w:val="0"/>
                <w:sz w:val="24"/>
                <w:lang w:val="en-US" w:eastAsia="zh-CN"/>
              </w:rPr>
            </w:pPr>
            <w:r>
              <w:rPr>
                <w:rFonts w:hint="eastAsia" w:ascii="t" w:hAnsi="t"/>
                <w:snapToGrid w:val="0"/>
                <w:color w:val="auto"/>
                <w:kern w:val="0"/>
                <w:sz w:val="24"/>
                <w:lang w:val="en-US" w:eastAsia="zh-CN"/>
              </w:rPr>
              <w:t>2、</w:t>
            </w:r>
            <w:r>
              <w:rPr>
                <w:rFonts w:hint="eastAsia"/>
                <w:sz w:val="24"/>
                <w:szCs w:val="24"/>
              </w:rPr>
              <w:t>施工机械燃油</w:t>
            </w:r>
            <w:r>
              <w:rPr>
                <w:rFonts w:hint="eastAsia" w:ascii="t" w:hAnsi="t"/>
                <w:snapToGrid w:val="0"/>
                <w:color w:val="auto"/>
                <w:kern w:val="0"/>
                <w:sz w:val="24"/>
                <w:lang w:val="en-US" w:eastAsia="zh-CN"/>
              </w:rPr>
              <w:t>废气</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本项目施工期废气的主要来源是运输车辆、施工机械排放的燃油废气，属间断性排放。项目施工场地扩散条件良好，对环境的影响较小。</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综上所述，项目施工期不会对项目所在地环境空气质量造成明显影响。</w:t>
            </w:r>
          </w:p>
          <w:p>
            <w:pPr>
              <w:spacing w:line="360" w:lineRule="auto"/>
              <w:ind w:firstLine="480" w:firstLineChars="200"/>
              <w:rPr>
                <w:rFonts w:ascii="t" w:hAnsi="t"/>
                <w:b/>
                <w:snapToGrid w:val="0"/>
                <w:color w:val="auto"/>
                <w:kern w:val="0"/>
                <w:sz w:val="24"/>
              </w:rPr>
            </w:pPr>
            <w:r>
              <w:rPr>
                <w:rFonts w:hint="eastAsia" w:ascii="t" w:hAnsi="t"/>
                <w:b/>
                <w:snapToGrid w:val="0"/>
                <w:color w:val="auto"/>
                <w:kern w:val="0"/>
                <w:sz w:val="24"/>
                <w:lang w:eastAsia="zh-CN"/>
              </w:rPr>
              <w:t>（二）</w:t>
            </w:r>
            <w:r>
              <w:rPr>
                <w:rFonts w:hint="eastAsia" w:ascii="t" w:hAnsi="t"/>
                <w:b/>
                <w:snapToGrid w:val="0"/>
                <w:color w:val="auto"/>
                <w:kern w:val="0"/>
                <w:sz w:val="24"/>
              </w:rPr>
              <w:t>水环境影响分析</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snapToGrid w:val="0"/>
                <w:color w:val="auto"/>
                <w:kern w:val="0"/>
                <w:sz w:val="24"/>
                <w:szCs w:val="24"/>
              </w:rPr>
            </w:pPr>
            <w:r>
              <w:rPr>
                <w:rFonts w:hint="eastAsia" w:ascii="t" w:hAnsi="t"/>
                <w:snapToGrid w:val="0"/>
                <w:color w:val="auto"/>
                <w:kern w:val="0"/>
                <w:sz w:val="24"/>
                <w:szCs w:val="24"/>
              </w:rPr>
              <w:t>施工期废水主要为机械设备冲洗水及施工人员生活污水。施工废水中主要污染物为 SS、COD、BOD</w:t>
            </w:r>
            <w:r>
              <w:rPr>
                <w:rFonts w:hint="eastAsia" w:ascii="t" w:hAnsi="t"/>
                <w:snapToGrid w:val="0"/>
                <w:color w:val="auto"/>
                <w:kern w:val="0"/>
                <w:sz w:val="24"/>
                <w:szCs w:val="24"/>
                <w:vertAlign w:val="subscript"/>
              </w:rPr>
              <w:t>5</w:t>
            </w:r>
            <w:r>
              <w:rPr>
                <w:rFonts w:hint="eastAsia" w:ascii="t" w:hAnsi="t"/>
                <w:snapToGrid w:val="0"/>
                <w:color w:val="auto"/>
                <w:kern w:val="0"/>
                <w:sz w:val="24"/>
                <w:szCs w:val="24"/>
              </w:rPr>
              <w:t>、NH</w:t>
            </w:r>
            <w:r>
              <w:rPr>
                <w:rFonts w:hint="eastAsia" w:ascii="t" w:hAnsi="t"/>
                <w:snapToGrid w:val="0"/>
                <w:color w:val="auto"/>
                <w:kern w:val="0"/>
                <w:sz w:val="24"/>
                <w:szCs w:val="24"/>
                <w:vertAlign w:val="subscript"/>
              </w:rPr>
              <w:t>3</w:t>
            </w:r>
            <w:r>
              <w:rPr>
                <w:rFonts w:hint="eastAsia" w:ascii="t" w:hAnsi="t"/>
                <w:snapToGrid w:val="0"/>
                <w:color w:val="auto"/>
                <w:kern w:val="0"/>
                <w:sz w:val="24"/>
                <w:szCs w:val="24"/>
              </w:rPr>
              <w:t>-N、石油类及泥沙，施工阶段生产性废水经沉淀处理后的上清液循环使用，不外排；沉淀泥砂多为砂石、泥料等，作为构筑物地基填料使用。</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snapToGrid w:val="0"/>
                <w:color w:val="auto"/>
                <w:kern w:val="0"/>
                <w:sz w:val="24"/>
                <w:szCs w:val="24"/>
              </w:rPr>
            </w:pPr>
            <w:r>
              <w:rPr>
                <w:rFonts w:hint="eastAsia" w:ascii="t" w:hAnsi="t"/>
                <w:snapToGrid w:val="0"/>
                <w:color w:val="auto"/>
                <w:kern w:val="0"/>
                <w:sz w:val="24"/>
                <w:szCs w:val="24"/>
              </w:rPr>
              <w:t>施工人员生活污水</w:t>
            </w:r>
            <w:r>
              <w:rPr>
                <w:rFonts w:hint="eastAsia" w:ascii="t" w:hAnsi="t"/>
                <w:snapToGrid w:val="0"/>
                <w:color w:val="auto"/>
                <w:kern w:val="0"/>
                <w:sz w:val="24"/>
                <w:szCs w:val="24"/>
                <w:lang w:val="en-US" w:eastAsia="zh-CN"/>
              </w:rPr>
              <w:t>当地居民住房的化粪池</w:t>
            </w:r>
            <w:r>
              <w:rPr>
                <w:rFonts w:hint="eastAsia" w:ascii="t" w:hAnsi="t"/>
                <w:snapToGrid w:val="0"/>
                <w:color w:val="auto"/>
                <w:kern w:val="0"/>
                <w:sz w:val="24"/>
                <w:szCs w:val="24"/>
              </w:rPr>
              <w:t>处理</w:t>
            </w:r>
            <w:r>
              <w:rPr>
                <w:rFonts w:hint="eastAsia" w:ascii="t" w:hAnsi="t"/>
                <w:snapToGrid w:val="0"/>
                <w:color w:val="auto"/>
                <w:kern w:val="0"/>
                <w:sz w:val="24"/>
                <w:szCs w:val="24"/>
                <w:lang w:val="en-US" w:eastAsia="zh-CN"/>
              </w:rPr>
              <w:t>后用于农灌</w:t>
            </w:r>
            <w:r>
              <w:rPr>
                <w:rFonts w:hint="eastAsia" w:ascii="t" w:hAnsi="t"/>
                <w:snapToGrid w:val="0"/>
                <w:color w:val="auto"/>
                <w:kern w:val="0"/>
                <w:sz w:val="24"/>
                <w:szCs w:val="24"/>
              </w:rPr>
              <w:t>，不排入项目周边地表水体。</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snapToGrid w:val="0"/>
                <w:color w:val="auto"/>
                <w:kern w:val="0"/>
                <w:sz w:val="24"/>
                <w:szCs w:val="24"/>
              </w:rPr>
            </w:pPr>
            <w:r>
              <w:rPr>
                <w:rFonts w:hint="eastAsia" w:ascii="t" w:hAnsi="t"/>
                <w:snapToGrid w:val="0"/>
                <w:color w:val="auto"/>
                <w:kern w:val="0"/>
                <w:sz w:val="24"/>
                <w:szCs w:val="24"/>
              </w:rPr>
              <w:t>施工采取上述处理措施后，本项目施工期废水可实现资源化利用，不会对区域地表水环境造成影响。</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ascii="t" w:hAnsi="t"/>
                <w:b/>
                <w:snapToGrid w:val="0"/>
                <w:color w:val="auto"/>
                <w:kern w:val="0"/>
                <w:sz w:val="24"/>
                <w:szCs w:val="24"/>
              </w:rPr>
            </w:pPr>
            <w:r>
              <w:rPr>
                <w:rFonts w:hint="eastAsia" w:ascii="t" w:hAnsi="t"/>
                <w:b/>
                <w:snapToGrid w:val="0"/>
                <w:color w:val="auto"/>
                <w:kern w:val="0"/>
                <w:sz w:val="24"/>
                <w:szCs w:val="24"/>
                <w:lang w:eastAsia="zh-CN"/>
              </w:rPr>
              <w:t>（三）</w:t>
            </w:r>
            <w:r>
              <w:rPr>
                <w:rFonts w:hint="eastAsia" w:ascii="t" w:hAnsi="t"/>
                <w:b/>
                <w:snapToGrid w:val="0"/>
                <w:color w:val="auto"/>
                <w:kern w:val="0"/>
                <w:sz w:val="24"/>
                <w:szCs w:val="24"/>
              </w:rPr>
              <w:t>声环境影响分析</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b/>
                <w:bCs/>
                <w:sz w:val="24"/>
                <w:szCs w:val="24"/>
              </w:rPr>
            </w:pPr>
            <w:r>
              <w:rPr>
                <w:b/>
                <w:bCs/>
                <w:sz w:val="24"/>
                <w:szCs w:val="24"/>
              </w:rPr>
              <w:t>（</w:t>
            </w:r>
            <w:r>
              <w:rPr>
                <w:rFonts w:hint="eastAsia"/>
                <w:b/>
                <w:bCs/>
                <w:sz w:val="24"/>
                <w:szCs w:val="24"/>
                <w:lang w:val="en-US" w:eastAsia="zh-CN"/>
              </w:rPr>
              <w:t>1</w:t>
            </w:r>
            <w:r>
              <w:rPr>
                <w:b/>
                <w:bCs/>
                <w:sz w:val="24"/>
                <w:szCs w:val="24"/>
              </w:rPr>
              <w:t>）</w:t>
            </w:r>
            <w:r>
              <w:rPr>
                <w:rFonts w:hint="eastAsia" w:eastAsia="宋体"/>
                <w:b/>
                <w:bCs/>
                <w:color w:val="auto"/>
                <w:sz w:val="24"/>
                <w:szCs w:val="24"/>
                <w:lang w:val="en-US" w:eastAsia="zh-CN"/>
              </w:rPr>
              <w:t>噪声源强</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sz w:val="24"/>
                <w:szCs w:val="24"/>
              </w:rPr>
            </w:pPr>
            <w:r>
              <w:rPr>
                <w:rFonts w:hint="eastAsia"/>
                <w:sz w:val="24"/>
                <w:szCs w:val="24"/>
              </w:rPr>
              <w:t>施工期噪声主要来自</w:t>
            </w:r>
            <w:r>
              <w:rPr>
                <w:sz w:val="24"/>
                <w:szCs w:val="24"/>
              </w:rPr>
              <w:t>装载机、搅拌机、打夯机、挖土机</w:t>
            </w:r>
            <w:r>
              <w:rPr>
                <w:rFonts w:hint="eastAsia"/>
                <w:sz w:val="24"/>
                <w:szCs w:val="24"/>
              </w:rPr>
              <w:t>等</w:t>
            </w:r>
            <w:r>
              <w:rPr>
                <w:sz w:val="24"/>
                <w:szCs w:val="24"/>
              </w:rPr>
              <w:t>施工机械</w:t>
            </w:r>
            <w:r>
              <w:rPr>
                <w:rFonts w:hint="eastAsia"/>
                <w:sz w:val="24"/>
                <w:szCs w:val="24"/>
              </w:rPr>
              <w:t>，</w:t>
            </w:r>
            <w:r>
              <w:rPr>
                <w:sz w:val="24"/>
                <w:szCs w:val="24"/>
              </w:rPr>
              <w:t>噪声</w:t>
            </w:r>
            <w:r>
              <w:rPr>
                <w:rFonts w:hint="eastAsia"/>
                <w:sz w:val="24"/>
                <w:szCs w:val="24"/>
              </w:rPr>
              <w:t>值</w:t>
            </w:r>
            <w:r>
              <w:rPr>
                <w:sz w:val="24"/>
                <w:szCs w:val="24"/>
              </w:rPr>
              <w:t>为80～100dB(A)。</w:t>
            </w:r>
          </w:p>
          <w:p>
            <w:pPr>
              <w:pStyle w:val="32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bCs/>
                <w:color w:val="auto"/>
                <w:sz w:val="24"/>
                <w:szCs w:val="24"/>
                <w:lang w:val="en-US" w:eastAsia="zh-CN"/>
              </w:rPr>
            </w:pPr>
            <w:r>
              <w:rPr>
                <w:rFonts w:hint="eastAsia"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预测模式</w:t>
            </w:r>
          </w:p>
          <w:p>
            <w:pPr>
              <w:pStyle w:val="29"/>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sz w:val="24"/>
                <w:szCs w:val="24"/>
              </w:rPr>
            </w:pPr>
            <w:r>
              <w:rPr>
                <w:rFonts w:hint="eastAsia"/>
                <w:sz w:val="24"/>
                <w:szCs w:val="24"/>
              </w:rPr>
              <w:t>本项目施工噪声源可近似作为点声源处理，根据点声源噪声衰减模式，可估算其施工期间离噪声源不同距离处的噪声值，预测模式如下:</w:t>
            </w:r>
          </w:p>
          <w:p>
            <w:pPr>
              <w:pStyle w:val="29"/>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eastAsia="宋体"/>
                <w:sz w:val="24"/>
                <w:szCs w:val="24"/>
                <w:lang w:eastAsia="zh-CN"/>
              </w:rPr>
            </w:pPr>
            <w:r>
              <w:rPr>
                <w:position w:val="-30"/>
                <w:sz w:val="24"/>
                <w:szCs w:val="24"/>
              </w:rPr>
              <w:object>
                <v:shape id="_x0000_i1073" o:spt="75" type="#_x0000_t75" style="height:38.65pt;width:163.6pt;" o:ole="t" filled="f" o:preferrelative="t" stroked="f" coordsize="21600,21600">
                  <v:path/>
                  <v:fill on="f" focussize="0,0"/>
                  <v:stroke on="f"/>
                  <v:imagedata r:id="rId82" o:title=""/>
                  <o:lock v:ext="edit" aspectratio="t"/>
                  <w10:wrap type="none"/>
                  <w10:anchorlock/>
                </v:shape>
                <o:OLEObject Type="Embed" ProgID="Equation.KSEE3" ShapeID="_x0000_i1073" DrawAspect="Content" ObjectID="_1468075773" r:id="rId81">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sz w:val="24"/>
                <w:szCs w:val="24"/>
              </w:rPr>
            </w:pPr>
            <w:r>
              <w:rPr>
                <w:rFonts w:hint="eastAsia"/>
                <w:sz w:val="24"/>
                <w:szCs w:val="24"/>
              </w:rPr>
              <w:t xml:space="preserve">   L</w:t>
            </w:r>
            <w:r>
              <w:rPr>
                <w:rFonts w:hint="eastAsia"/>
                <w:sz w:val="24"/>
                <w:szCs w:val="24"/>
                <w:lang w:val="en-US" w:eastAsia="zh-CN"/>
              </w:rPr>
              <w:t>2</w:t>
            </w:r>
            <w:r>
              <w:rPr>
                <w:rFonts w:hint="eastAsia"/>
                <w:sz w:val="24"/>
                <w:szCs w:val="24"/>
              </w:rPr>
              <w:t>-一点声源在预测点产生的声压级;</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sz w:val="24"/>
                <w:szCs w:val="24"/>
              </w:rPr>
            </w:pPr>
            <w:r>
              <w:rPr>
                <w:rFonts w:hint="eastAsia"/>
                <w:sz w:val="24"/>
                <w:szCs w:val="24"/>
              </w:rPr>
              <w:t xml:space="preserve">    L</w:t>
            </w:r>
            <w:r>
              <w:rPr>
                <w:rFonts w:hint="eastAsia"/>
                <w:sz w:val="24"/>
                <w:szCs w:val="24"/>
                <w:lang w:val="en-US" w:eastAsia="zh-CN"/>
              </w:rPr>
              <w:t>1</w:t>
            </w:r>
            <w:r>
              <w:rPr>
                <w:rFonts w:hint="eastAsia"/>
                <w:sz w:val="24"/>
                <w:szCs w:val="24"/>
              </w:rPr>
              <w:t>—点声源在参考点产生的声压级;</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sz w:val="24"/>
                <w:szCs w:val="24"/>
              </w:rPr>
            </w:pPr>
            <w:r>
              <w:rPr>
                <w:rFonts w:hint="eastAsia"/>
                <w:sz w:val="24"/>
                <w:szCs w:val="24"/>
              </w:rPr>
              <w:t xml:space="preserve">   </w:t>
            </w:r>
            <w:r>
              <w:rPr>
                <w:rFonts w:hint="eastAsia"/>
                <w:sz w:val="24"/>
                <w:szCs w:val="24"/>
                <w:lang w:val="en-US" w:eastAsia="zh-CN"/>
              </w:rPr>
              <w:t xml:space="preserve"> r</w:t>
            </w:r>
            <w:r>
              <w:rPr>
                <w:rFonts w:hint="eastAsia"/>
                <w:sz w:val="24"/>
                <w:szCs w:val="24"/>
              </w:rPr>
              <w:t>2—预测点距声源的距离;</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sz w:val="24"/>
                <w:szCs w:val="24"/>
              </w:rPr>
            </w:pPr>
            <w:r>
              <w:rPr>
                <w:rFonts w:hint="eastAsia"/>
                <w:sz w:val="24"/>
                <w:szCs w:val="24"/>
              </w:rPr>
              <w:t xml:space="preserve">    </w:t>
            </w:r>
            <w:r>
              <w:rPr>
                <w:rFonts w:hint="eastAsia"/>
                <w:sz w:val="24"/>
                <w:szCs w:val="24"/>
                <w:lang w:val="en-US" w:eastAsia="zh-CN"/>
              </w:rPr>
              <w:t>r1</w:t>
            </w:r>
            <w:r>
              <w:rPr>
                <w:rFonts w:hint="eastAsia"/>
                <w:sz w:val="24"/>
                <w:szCs w:val="24"/>
              </w:rPr>
              <w:t>—参考点距声源的距离;</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sz w:val="24"/>
                <w:szCs w:val="24"/>
              </w:rPr>
            </w:pPr>
            <w:r>
              <w:rPr>
                <w:rFonts w:hint="eastAsia"/>
                <w:sz w:val="24"/>
                <w:szCs w:val="24"/>
              </w:rPr>
              <w:t xml:space="preserve">    △L—各种因素引起的衰减量(包括声屏障、空气吸收等引起的衰减量)，对</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sz w:val="24"/>
                <w:szCs w:val="24"/>
              </w:rPr>
            </w:pPr>
            <w:r>
              <w:rPr>
                <w:rFonts w:hint="eastAsia"/>
                <w:sz w:val="24"/>
                <w:szCs w:val="24"/>
              </w:rPr>
              <w:t>两个以上多个声源同时存在时，其预测点总声级采用下面公式:</w:t>
            </w:r>
          </w:p>
          <w:p>
            <w:pPr>
              <w:pStyle w:val="32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eastAsia="宋体"/>
                <w:color w:val="auto"/>
                <w:sz w:val="24"/>
                <w:szCs w:val="24"/>
              </w:rPr>
            </w:pPr>
            <w:r>
              <w:rPr>
                <w:rFonts w:hint="eastAsia" w:eastAsia="宋体"/>
                <w:color w:val="auto"/>
                <w:sz w:val="24"/>
                <w:szCs w:val="24"/>
              </w:rPr>
              <w:drawing>
                <wp:inline distT="0" distB="0" distL="114300" distR="114300">
                  <wp:extent cx="1505585" cy="488950"/>
                  <wp:effectExtent l="0" t="0" r="0" b="5080"/>
                  <wp:docPr id="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1"/>
                          <pic:cNvPicPr>
                            <a:picLocks noChangeAspect="1"/>
                          </pic:cNvPicPr>
                        </pic:nvPicPr>
                        <pic:blipFill>
                          <a:blip r:embed="rId83"/>
                          <a:stretch>
                            <a:fillRect/>
                          </a:stretch>
                        </pic:blipFill>
                        <pic:spPr>
                          <a:xfrm>
                            <a:off x="0" y="0"/>
                            <a:ext cx="1505585" cy="488950"/>
                          </a:xfrm>
                          <a:prstGeom prst="rect">
                            <a:avLst/>
                          </a:prstGeom>
                          <a:noFill/>
                          <a:ln>
                            <a:noFill/>
                          </a:ln>
                        </pic:spPr>
                      </pic:pic>
                    </a:graphicData>
                  </a:graphic>
                </wp:inline>
              </w:drawing>
            </w:r>
          </w:p>
          <w:p>
            <w:pPr>
              <w:pStyle w:val="32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eastAsia="宋体"/>
                <w:color w:val="auto"/>
                <w:sz w:val="24"/>
                <w:szCs w:val="24"/>
              </w:rPr>
            </w:pPr>
            <w:r>
              <w:rPr>
                <w:rFonts w:hint="eastAsia" w:eastAsia="宋体"/>
                <w:color w:val="auto"/>
                <w:sz w:val="24"/>
                <w:szCs w:val="24"/>
              </w:rPr>
              <w:t>式中：L——叠加后总声压级[dB(A)]；</w:t>
            </w:r>
          </w:p>
          <w:p>
            <w:pPr>
              <w:pStyle w:val="32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eastAsia="宋体"/>
                <w:color w:val="auto"/>
                <w:sz w:val="24"/>
                <w:szCs w:val="24"/>
              </w:rPr>
            </w:pPr>
            <w:r>
              <w:rPr>
                <w:rFonts w:hint="eastAsia" w:eastAsia="宋体"/>
                <w:color w:val="auto"/>
                <w:sz w:val="24"/>
                <w:szCs w:val="24"/>
              </w:rPr>
              <w:t>Li——各声源的噪声值[dB(A)]；</w:t>
            </w:r>
          </w:p>
          <w:p>
            <w:pPr>
              <w:pStyle w:val="32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eastAsia="宋体"/>
                <w:color w:val="auto"/>
                <w:sz w:val="24"/>
                <w:szCs w:val="24"/>
              </w:rPr>
            </w:pPr>
            <w:r>
              <w:rPr>
                <w:rFonts w:hint="eastAsia" w:eastAsia="宋体"/>
                <w:color w:val="auto"/>
                <w:sz w:val="24"/>
                <w:szCs w:val="24"/>
              </w:rPr>
              <w:t>n——声源个数。</w:t>
            </w:r>
          </w:p>
          <w:p>
            <w:pPr>
              <w:pStyle w:val="323"/>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eastAsia="宋体"/>
                <w:b/>
                <w:bCs/>
                <w:color w:val="auto"/>
                <w:sz w:val="24"/>
                <w:szCs w:val="24"/>
                <w:lang w:val="en-US" w:eastAsia="zh-CN"/>
              </w:rPr>
            </w:pPr>
            <w:r>
              <w:rPr>
                <w:rFonts w:hint="eastAsia" w:eastAsia="宋体" w:cs="Times New Roman"/>
                <w:b/>
                <w:bCs/>
                <w:color w:val="auto"/>
                <w:sz w:val="24"/>
                <w:szCs w:val="24"/>
                <w:lang w:val="en-US" w:eastAsia="zh-CN"/>
              </w:rPr>
              <w:t>（3）</w:t>
            </w:r>
            <w:r>
              <w:rPr>
                <w:rFonts w:hint="eastAsia" w:eastAsia="宋体"/>
                <w:b/>
                <w:bCs/>
                <w:color w:val="auto"/>
                <w:sz w:val="24"/>
                <w:szCs w:val="24"/>
                <w:lang w:val="en-US" w:eastAsia="zh-CN"/>
              </w:rPr>
              <w:t>预测结果</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default" w:eastAsia="宋体"/>
                <w:sz w:val="24"/>
                <w:szCs w:val="24"/>
                <w:lang w:val="en-US" w:eastAsia="zh-CN"/>
              </w:rPr>
            </w:pPr>
            <w:r>
              <w:rPr>
                <w:rFonts w:hint="eastAsia"/>
                <w:sz w:val="24"/>
                <w:szCs w:val="24"/>
              </w:rPr>
              <w:t>在不考虑各种衰减影响情况下，利用模式可模拟计算得到各施工机械在不同距离处的噪声影响值，具体结果详见表</w:t>
            </w:r>
            <w:r>
              <w:rPr>
                <w:rFonts w:hint="eastAsia"/>
                <w:sz w:val="24"/>
                <w:szCs w:val="24"/>
                <w:lang w:val="en-US" w:eastAsia="zh-CN"/>
              </w:rPr>
              <w:t>7</w:t>
            </w:r>
            <w:r>
              <w:rPr>
                <w:rFonts w:hint="eastAsia"/>
                <w:sz w:val="24"/>
                <w:szCs w:val="24"/>
              </w:rPr>
              <w:t>-</w:t>
            </w:r>
            <w:r>
              <w:rPr>
                <w:rFonts w:hint="eastAsia"/>
                <w:sz w:val="24"/>
                <w:szCs w:val="24"/>
                <w:lang w:val="en-US" w:eastAsia="zh-CN"/>
              </w:rPr>
              <w:t>2</w:t>
            </w:r>
            <w:r>
              <w:rPr>
                <w:rFonts w:hint="eastAsia"/>
                <w:sz w:val="24"/>
                <w:szCs w:val="24"/>
              </w:rPr>
              <w:t>。各类施工机械同时作业噪声对不同距离受声点的影响预测结果见表</w:t>
            </w:r>
            <w:r>
              <w:rPr>
                <w:rFonts w:hint="eastAsia"/>
                <w:sz w:val="24"/>
                <w:szCs w:val="24"/>
                <w:lang w:val="en-US" w:eastAsia="zh-CN"/>
              </w:rPr>
              <w:t>7</w:t>
            </w:r>
            <w:r>
              <w:rPr>
                <w:rFonts w:hint="eastAsia"/>
                <w:sz w:val="24"/>
                <w:szCs w:val="24"/>
              </w:rPr>
              <w:t>-</w:t>
            </w:r>
            <w:r>
              <w:rPr>
                <w:rFonts w:hint="eastAsia"/>
                <w:sz w:val="24"/>
                <w:szCs w:val="24"/>
                <w:lang w:val="en-US" w:eastAsia="zh-CN"/>
              </w:rPr>
              <w:t>3。</w:t>
            </w:r>
          </w:p>
          <w:p>
            <w:pPr>
              <w:jc w:val="center"/>
              <w:rPr>
                <w:rFonts w:hint="eastAsia"/>
                <w:b/>
                <w:bCs/>
                <w:color w:val="auto"/>
                <w:szCs w:val="21"/>
                <w:lang w:val="en-US" w:eastAsia="zh-CN"/>
              </w:rPr>
            </w:pPr>
          </w:p>
          <w:p>
            <w:pPr>
              <w:jc w:val="center"/>
              <w:rPr>
                <w:rFonts w:hint="eastAsia"/>
                <w:b/>
                <w:bCs/>
                <w:color w:val="auto"/>
                <w:szCs w:val="21"/>
                <w:lang w:val="en-US" w:eastAsia="zh-CN"/>
              </w:rPr>
            </w:pPr>
          </w:p>
          <w:p>
            <w:pPr>
              <w:jc w:val="center"/>
              <w:rPr>
                <w:rFonts w:hint="eastAsia"/>
                <w:b/>
                <w:bCs/>
                <w:color w:val="auto"/>
                <w:szCs w:val="21"/>
                <w:lang w:val="en-US" w:eastAsia="zh-CN"/>
              </w:rPr>
            </w:pPr>
          </w:p>
          <w:p>
            <w:pPr>
              <w:jc w:val="center"/>
              <w:rPr>
                <w:rFonts w:hint="eastAsia"/>
                <w:b/>
                <w:bCs/>
                <w:color w:val="auto"/>
                <w:szCs w:val="21"/>
                <w:lang w:val="en-US" w:eastAsia="zh-CN"/>
              </w:rPr>
            </w:pPr>
            <w:r>
              <w:rPr>
                <w:rFonts w:hint="eastAsia"/>
                <w:b/>
                <w:bCs/>
                <w:color w:val="auto"/>
                <w:szCs w:val="21"/>
                <w:lang w:val="en-US" w:eastAsia="zh-CN"/>
              </w:rPr>
              <w:t>表7-2  主要施工机械噪声预测结果  单位：Leq[dB（A）]</w:t>
            </w:r>
          </w:p>
          <w:tbl>
            <w:tblPr>
              <w:tblStyle w:val="52"/>
              <w:tblW w:w="928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2496"/>
              <w:gridCol w:w="600"/>
              <w:gridCol w:w="709"/>
              <w:gridCol w:w="641"/>
              <w:gridCol w:w="641"/>
              <w:gridCol w:w="654"/>
              <w:gridCol w:w="668"/>
              <w:gridCol w:w="600"/>
              <w:gridCol w:w="614"/>
              <w:gridCol w:w="627"/>
              <w:gridCol w:w="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序号</w:t>
                  </w:r>
                </w:p>
              </w:tc>
              <w:tc>
                <w:tcPr>
                  <w:tcW w:w="249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机械类型</w:t>
                  </w:r>
                </w:p>
              </w:tc>
              <w:tc>
                <w:tcPr>
                  <w:tcW w:w="6357"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p>
              </w:tc>
              <w:tc>
                <w:tcPr>
                  <w:tcW w:w="249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5</w:t>
                  </w:r>
                </w:p>
              </w:tc>
              <w:tc>
                <w:tcPr>
                  <w:tcW w:w="7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10</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20</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40</w:t>
                  </w:r>
                </w:p>
              </w:tc>
              <w:tc>
                <w:tcPr>
                  <w:tcW w:w="6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60</w:t>
                  </w:r>
                </w:p>
              </w:tc>
              <w:tc>
                <w:tcPr>
                  <w:tcW w:w="6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80</w:t>
                  </w:r>
                </w:p>
              </w:tc>
              <w:tc>
                <w:tcPr>
                  <w:tcW w:w="6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100</w:t>
                  </w:r>
                </w:p>
              </w:tc>
              <w:tc>
                <w:tcPr>
                  <w:tcW w:w="6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150</w:t>
                  </w:r>
                </w:p>
              </w:tc>
              <w:tc>
                <w:tcPr>
                  <w:tcW w:w="6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200</w:t>
                  </w:r>
                </w:p>
              </w:tc>
              <w:tc>
                <w:tcPr>
                  <w:tcW w:w="6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 w:hAnsi="t"/>
                      <w:snapToGrid w:val="0"/>
                      <w:color w:val="auto"/>
                      <w:kern w:val="0"/>
                      <w:sz w:val="21"/>
                      <w:szCs w:val="21"/>
                      <w:vertAlign w:val="baseline"/>
                      <w:lang w:val="en-US" w:eastAsia="zh-CN"/>
                    </w:rPr>
                  </w:pPr>
                  <w:r>
                    <w:rPr>
                      <w:rFonts w:hint="eastAsia" w:ascii="t" w:hAnsi="t"/>
                      <w:snapToGrid w:val="0"/>
                      <w:color w:val="auto"/>
                      <w:kern w:val="0"/>
                      <w:sz w:val="21"/>
                      <w:szCs w:val="21"/>
                      <w:vertAlign w:val="baseli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5"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w w:val="100"/>
                      <w:sz w:val="21"/>
                    </w:rPr>
                    <w:t>1</w:t>
                  </w:r>
                </w:p>
              </w:tc>
              <w:tc>
                <w:tcPr>
                  <w:tcW w:w="249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宋体" w:hAnsi="宋体" w:eastAsia="宋体" w:cs="宋体"/>
                      <w:color w:val="auto"/>
                      <w:sz w:val="21"/>
                      <w:szCs w:val="21"/>
                    </w:rPr>
                    <w:t>混凝土搅拌机</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95</w:t>
                  </w:r>
                </w:p>
              </w:tc>
              <w:tc>
                <w:tcPr>
                  <w:tcW w:w="709"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89</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83</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77</w:t>
                  </w:r>
                </w:p>
              </w:tc>
              <w:tc>
                <w:tcPr>
                  <w:tcW w:w="65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74</w:t>
                  </w:r>
                </w:p>
              </w:tc>
              <w:tc>
                <w:tcPr>
                  <w:tcW w:w="668"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71</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69</w:t>
                  </w:r>
                </w:p>
              </w:tc>
              <w:tc>
                <w:tcPr>
                  <w:tcW w:w="61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65.5</w:t>
                  </w:r>
                </w:p>
              </w:tc>
              <w:tc>
                <w:tcPr>
                  <w:tcW w:w="627"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63</w:t>
                  </w:r>
                </w:p>
              </w:tc>
              <w:tc>
                <w:tcPr>
                  <w:tcW w:w="603"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5"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w w:val="100"/>
                      <w:sz w:val="21"/>
                    </w:rPr>
                    <w:t>2</w:t>
                  </w:r>
                </w:p>
              </w:tc>
              <w:tc>
                <w:tcPr>
                  <w:tcW w:w="249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rightChars="0"/>
                    <w:jc w:val="center"/>
                    <w:textAlignment w:val="auto"/>
                    <w:rPr>
                      <w:rFonts w:hint="default" w:ascii="t" w:hAnsi="t"/>
                      <w:snapToGrid w:val="0"/>
                      <w:color w:val="auto"/>
                      <w:kern w:val="0"/>
                      <w:sz w:val="21"/>
                      <w:szCs w:val="21"/>
                      <w:vertAlign w:val="baseline"/>
                      <w:lang w:val="en-US" w:eastAsia="zh-CN"/>
                    </w:rPr>
                  </w:pPr>
                  <w:r>
                    <w:rPr>
                      <w:rFonts w:ascii="宋体" w:hAnsi="宋体" w:eastAsia="宋体" w:cs="宋体"/>
                      <w:color w:val="auto"/>
                      <w:sz w:val="21"/>
                      <w:szCs w:val="21"/>
                    </w:rPr>
                    <w:t>推土机</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86</w:t>
                  </w:r>
                </w:p>
              </w:tc>
              <w:tc>
                <w:tcPr>
                  <w:tcW w:w="709"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80.0</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74.0</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67.9</w:t>
                  </w:r>
                </w:p>
              </w:tc>
              <w:tc>
                <w:tcPr>
                  <w:tcW w:w="65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64.4</w:t>
                  </w:r>
                </w:p>
              </w:tc>
              <w:tc>
                <w:tcPr>
                  <w:tcW w:w="668"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61.9</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60.0</w:t>
                  </w:r>
                </w:p>
              </w:tc>
              <w:tc>
                <w:tcPr>
                  <w:tcW w:w="61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56.5</w:t>
                  </w:r>
                </w:p>
              </w:tc>
              <w:tc>
                <w:tcPr>
                  <w:tcW w:w="627"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54.0</w:t>
                  </w:r>
                </w:p>
              </w:tc>
              <w:tc>
                <w:tcPr>
                  <w:tcW w:w="603"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5"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w w:val="100"/>
                      <w:sz w:val="21"/>
                    </w:rPr>
                    <w:t>3</w:t>
                  </w:r>
                </w:p>
              </w:tc>
              <w:tc>
                <w:tcPr>
                  <w:tcW w:w="249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hint="eastAsia" w:ascii="宋体" w:hAnsi="宋体" w:eastAsia="宋体" w:cs="宋体"/>
                      <w:color w:val="auto"/>
                      <w:spacing w:val="-3"/>
                      <w:sz w:val="21"/>
                      <w:szCs w:val="21"/>
                      <w:lang w:val="en-US" w:eastAsia="zh-CN"/>
                    </w:rPr>
                    <w:t>单斗</w:t>
                  </w:r>
                  <w:r>
                    <w:rPr>
                      <w:rFonts w:ascii="宋体" w:hAnsi="宋体" w:eastAsia="宋体" w:cs="宋体"/>
                      <w:color w:val="auto"/>
                      <w:spacing w:val="-3"/>
                      <w:sz w:val="21"/>
                      <w:szCs w:val="21"/>
                    </w:rPr>
                    <w:t>液压挖掘机</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84</w:t>
                  </w:r>
                </w:p>
              </w:tc>
              <w:tc>
                <w:tcPr>
                  <w:tcW w:w="709"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78.0</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72.0</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65.9</w:t>
                  </w:r>
                </w:p>
              </w:tc>
              <w:tc>
                <w:tcPr>
                  <w:tcW w:w="65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62.4</w:t>
                  </w:r>
                </w:p>
              </w:tc>
              <w:tc>
                <w:tcPr>
                  <w:tcW w:w="668"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59.9</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58.0</w:t>
                  </w:r>
                </w:p>
              </w:tc>
              <w:tc>
                <w:tcPr>
                  <w:tcW w:w="61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54.5</w:t>
                  </w:r>
                </w:p>
              </w:tc>
              <w:tc>
                <w:tcPr>
                  <w:tcW w:w="627"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52.0</w:t>
                  </w:r>
                </w:p>
              </w:tc>
              <w:tc>
                <w:tcPr>
                  <w:tcW w:w="603"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5"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w w:val="100"/>
                      <w:sz w:val="21"/>
                    </w:rPr>
                    <w:t>4</w:t>
                  </w:r>
                </w:p>
              </w:tc>
              <w:tc>
                <w:tcPr>
                  <w:tcW w:w="249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宋体" w:hAnsi="宋体" w:eastAsia="宋体" w:cs="宋体"/>
                      <w:color w:val="auto"/>
                      <w:sz w:val="21"/>
                      <w:szCs w:val="21"/>
                    </w:rPr>
                    <w:t>运输车辆</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88</w:t>
                  </w:r>
                </w:p>
              </w:tc>
              <w:tc>
                <w:tcPr>
                  <w:tcW w:w="709"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82</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76</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70</w:t>
                  </w:r>
                </w:p>
              </w:tc>
              <w:tc>
                <w:tcPr>
                  <w:tcW w:w="65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67</w:t>
                  </w:r>
                </w:p>
              </w:tc>
              <w:tc>
                <w:tcPr>
                  <w:tcW w:w="668"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64</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62</w:t>
                  </w:r>
                </w:p>
              </w:tc>
              <w:tc>
                <w:tcPr>
                  <w:tcW w:w="61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58.5</w:t>
                  </w:r>
                </w:p>
              </w:tc>
              <w:tc>
                <w:tcPr>
                  <w:tcW w:w="627"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56</w:t>
                  </w:r>
                </w:p>
              </w:tc>
              <w:tc>
                <w:tcPr>
                  <w:tcW w:w="603"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5"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w w:val="100"/>
                      <w:sz w:val="21"/>
                    </w:rPr>
                    <w:t>5</w:t>
                  </w:r>
                </w:p>
              </w:tc>
              <w:tc>
                <w:tcPr>
                  <w:tcW w:w="2496"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right="0" w:rightChars="0"/>
                    <w:jc w:val="center"/>
                    <w:textAlignment w:val="auto"/>
                    <w:rPr>
                      <w:rFonts w:hint="default" w:ascii="t" w:hAnsi="t"/>
                      <w:snapToGrid w:val="0"/>
                      <w:color w:val="auto"/>
                      <w:kern w:val="0"/>
                      <w:sz w:val="21"/>
                      <w:szCs w:val="21"/>
                      <w:vertAlign w:val="baseline"/>
                      <w:lang w:val="en-US" w:eastAsia="zh-CN"/>
                    </w:rPr>
                  </w:pPr>
                  <w:r>
                    <w:rPr>
                      <w:rFonts w:hint="eastAsia"/>
                      <w:color w:val="auto"/>
                      <w:sz w:val="21"/>
                      <w:szCs w:val="21"/>
                    </w:rPr>
                    <w:t xml:space="preserve">蛙式夯实机 </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95</w:t>
                  </w:r>
                </w:p>
              </w:tc>
              <w:tc>
                <w:tcPr>
                  <w:tcW w:w="709"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89</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83</w:t>
                  </w:r>
                </w:p>
              </w:tc>
              <w:tc>
                <w:tcPr>
                  <w:tcW w:w="641"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77</w:t>
                  </w:r>
                </w:p>
              </w:tc>
              <w:tc>
                <w:tcPr>
                  <w:tcW w:w="65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74</w:t>
                  </w:r>
                </w:p>
              </w:tc>
              <w:tc>
                <w:tcPr>
                  <w:tcW w:w="668"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71</w:t>
                  </w:r>
                </w:p>
              </w:tc>
              <w:tc>
                <w:tcPr>
                  <w:tcW w:w="600"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69</w:t>
                  </w:r>
                </w:p>
              </w:tc>
              <w:tc>
                <w:tcPr>
                  <w:tcW w:w="614"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65.5</w:t>
                  </w:r>
                </w:p>
              </w:tc>
              <w:tc>
                <w:tcPr>
                  <w:tcW w:w="627"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63</w:t>
                  </w:r>
                </w:p>
              </w:tc>
              <w:tc>
                <w:tcPr>
                  <w:tcW w:w="603"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 w:hAnsi="t"/>
                      <w:snapToGrid w:val="0"/>
                      <w:color w:val="auto"/>
                      <w:kern w:val="0"/>
                      <w:sz w:val="21"/>
                      <w:szCs w:val="21"/>
                      <w:vertAlign w:val="baseline"/>
                      <w:lang w:val="en-US" w:eastAsia="zh-CN"/>
                    </w:rPr>
                  </w:pPr>
                  <w:r>
                    <w:rPr>
                      <w:rFonts w:ascii="Times New Roman"/>
                      <w:color w:val="auto"/>
                      <w:sz w:val="21"/>
                    </w:rPr>
                    <w:t>59.5</w:t>
                  </w:r>
                </w:p>
              </w:tc>
            </w:tr>
          </w:tbl>
          <w:p>
            <w:pPr>
              <w:pStyle w:val="323"/>
              <w:tabs>
                <w:tab w:val="left" w:pos="2137"/>
              </w:tabs>
              <w:spacing w:line="240" w:lineRule="auto"/>
              <w:ind w:firstLine="480"/>
              <w:jc w:val="center"/>
              <w:rPr>
                <w:rFonts w:hint="eastAsia" w:ascii="宋体" w:hAnsi="宋体" w:eastAsia="宋体" w:cs="宋体"/>
                <w:b/>
                <w:bCs w:val="0"/>
                <w:color w:val="000000"/>
                <w:kern w:val="2"/>
                <w:sz w:val="21"/>
                <w:szCs w:val="21"/>
                <w:lang w:val="zh-CN" w:eastAsia="zh-CN" w:bidi="ar-SA"/>
              </w:rPr>
            </w:pPr>
          </w:p>
          <w:p>
            <w:pPr>
              <w:pStyle w:val="323"/>
              <w:tabs>
                <w:tab w:val="left" w:pos="2137"/>
              </w:tabs>
              <w:spacing w:line="240" w:lineRule="auto"/>
              <w:ind w:firstLine="480"/>
              <w:jc w:val="center"/>
              <w:rPr>
                <w:rFonts w:hint="eastAsia" w:ascii="宋体" w:hAnsi="宋体" w:eastAsia="宋体" w:cs="宋体"/>
                <w:b/>
                <w:bCs w:val="0"/>
                <w:color w:val="000000"/>
                <w:kern w:val="2"/>
                <w:sz w:val="21"/>
                <w:szCs w:val="21"/>
                <w:lang w:val="en-US" w:eastAsia="zh-CN" w:bidi="ar-SA"/>
              </w:rPr>
            </w:pPr>
            <w:r>
              <w:rPr>
                <w:rFonts w:hint="eastAsia" w:ascii="宋体" w:hAnsi="宋体" w:eastAsia="宋体" w:cs="宋体"/>
                <w:b/>
                <w:bCs w:val="0"/>
                <w:color w:val="000000"/>
                <w:kern w:val="2"/>
                <w:sz w:val="21"/>
                <w:szCs w:val="21"/>
                <w:lang w:val="zh-CN" w:eastAsia="zh-CN" w:bidi="ar-SA"/>
              </w:rPr>
              <w:t>表7-</w:t>
            </w:r>
            <w:r>
              <w:rPr>
                <w:rFonts w:hint="eastAsia" w:ascii="宋体" w:hAnsi="宋体" w:eastAsia="宋体" w:cs="宋体"/>
                <w:b/>
                <w:bCs w:val="0"/>
                <w:color w:val="000000"/>
                <w:kern w:val="2"/>
                <w:sz w:val="21"/>
                <w:szCs w:val="21"/>
                <w:lang w:val="en-US" w:eastAsia="zh-CN" w:bidi="ar-SA"/>
              </w:rPr>
              <w:t>3 各种施工机械在不同距离处的噪声预测值    单位：dB(A)</w:t>
            </w:r>
          </w:p>
          <w:tbl>
            <w:tblPr>
              <w:tblStyle w:val="5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8"/>
              <w:gridCol w:w="735"/>
              <w:gridCol w:w="750"/>
              <w:gridCol w:w="675"/>
              <w:gridCol w:w="675"/>
              <w:gridCol w:w="645"/>
              <w:gridCol w:w="735"/>
              <w:gridCol w:w="645"/>
              <w:gridCol w:w="720"/>
              <w:gridCol w:w="720"/>
              <w:gridCol w:w="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噪声源</w:t>
                  </w:r>
                </w:p>
              </w:tc>
              <w:tc>
                <w:tcPr>
                  <w:tcW w:w="7076"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距噪声源不同距离处的噪声预测值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10m</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20m</w:t>
                  </w:r>
                </w:p>
              </w:tc>
              <w:tc>
                <w:tcPr>
                  <w:tcW w:w="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30m</w:t>
                  </w:r>
                </w:p>
              </w:tc>
              <w:tc>
                <w:tcPr>
                  <w:tcW w:w="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40m</w:t>
                  </w:r>
                </w:p>
              </w:tc>
              <w:tc>
                <w:tcPr>
                  <w:tcW w:w="6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50m</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60m</w:t>
                  </w:r>
                </w:p>
              </w:tc>
              <w:tc>
                <w:tcPr>
                  <w:tcW w:w="6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80m</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100m</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150m</w:t>
                  </w:r>
                </w:p>
              </w:tc>
              <w:tc>
                <w:tcPr>
                  <w:tcW w:w="7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各类施工机械噪声叠加值</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85.1</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78.9</w:t>
                  </w:r>
                </w:p>
              </w:tc>
              <w:tc>
                <w:tcPr>
                  <w:tcW w:w="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75.5</w:t>
                  </w:r>
                </w:p>
              </w:tc>
              <w:tc>
                <w:tcPr>
                  <w:tcW w:w="6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72.9</w:t>
                  </w:r>
                </w:p>
              </w:tc>
              <w:tc>
                <w:tcPr>
                  <w:tcW w:w="6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71.0</w:t>
                  </w:r>
                </w:p>
              </w:tc>
              <w:tc>
                <w:tcPr>
                  <w:tcW w:w="7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69.4</w:t>
                  </w:r>
                </w:p>
              </w:tc>
              <w:tc>
                <w:tcPr>
                  <w:tcW w:w="6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66.9</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65</w:t>
                  </w:r>
                </w:p>
              </w:tc>
              <w:tc>
                <w:tcPr>
                  <w:tcW w:w="7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61.5</w:t>
                  </w:r>
                </w:p>
              </w:tc>
              <w:tc>
                <w:tcPr>
                  <w:tcW w:w="7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kern w:val="2"/>
                      <w:sz w:val="21"/>
                      <w:szCs w:val="21"/>
                      <w:vertAlign w:val="baseline"/>
                      <w:lang w:val="en-US" w:eastAsia="zh-CN" w:bidi="ar-SA"/>
                    </w:rPr>
                  </w:pPr>
                  <w:r>
                    <w:rPr>
                      <w:rFonts w:hint="eastAsia" w:ascii="Times New Roman" w:eastAsia="宋体"/>
                      <w:kern w:val="2"/>
                      <w:sz w:val="21"/>
                      <w:szCs w:val="21"/>
                      <w:vertAlign w:val="baseline"/>
                      <w:lang w:val="en-US" w:eastAsia="zh-CN" w:bidi="ar-SA"/>
                    </w:rPr>
                    <w:t>58.9</w:t>
                  </w:r>
                </w:p>
              </w:tc>
            </w:tr>
          </w:tbl>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由于项目夜间不进行施工作业活动，故评价仅对昼间施工对环境的影响进行分析。从表</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w:t>
            </w:r>
            <w:r>
              <w:rPr>
                <w:rFonts w:hint="eastAsia" w:ascii="Times New Roman" w:cs="Times New Roman"/>
                <w:sz w:val="24"/>
                <w:szCs w:val="24"/>
                <w:lang w:val="en-US" w:eastAsia="zh-CN"/>
              </w:rPr>
              <w:t>2</w:t>
            </w:r>
            <w:r>
              <w:rPr>
                <w:rFonts w:hint="default" w:ascii="Times New Roman" w:hAnsi="Times New Roman" w:cs="Times New Roman"/>
                <w:sz w:val="24"/>
                <w:szCs w:val="24"/>
              </w:rPr>
              <w:t>、表</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w:t>
            </w:r>
            <w:r>
              <w:rPr>
                <w:rFonts w:hint="eastAsia" w:ascii="Times New Roman" w:cs="Times New Roman"/>
                <w:sz w:val="24"/>
                <w:szCs w:val="24"/>
                <w:lang w:val="en-US" w:eastAsia="zh-CN"/>
              </w:rPr>
              <w:t>3</w:t>
            </w:r>
            <w:r>
              <w:rPr>
                <w:rFonts w:hint="default" w:ascii="Times New Roman" w:hAnsi="Times New Roman" w:cs="Times New Roman"/>
                <w:sz w:val="24"/>
                <w:szCs w:val="24"/>
              </w:rPr>
              <w:t>各类施工机械在不同距离噪声预测值可以看出</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各施工机械设备产生的噪声昼间在离声源40m以外可符合《建筑施工场界环境噪声排放标准》(GB12523-2011)标准限值，即70dB(A)</w:t>
            </w:r>
            <w:r>
              <w:rPr>
                <w:rFonts w:hint="eastAsia" w:ascii="Times New Roman" w:hAnsi="Times New Roman" w:cs="Times New Roman"/>
                <w:sz w:val="24"/>
                <w:szCs w:val="24"/>
                <w:lang w:eastAsia="zh-CN"/>
              </w:rPr>
              <w:t>。</w:t>
            </w:r>
            <w:r>
              <w:rPr>
                <w:rFonts w:hint="eastAsia"/>
                <w:sz w:val="24"/>
                <w:szCs w:val="24"/>
              </w:rPr>
              <w:t>各</w:t>
            </w:r>
            <w:r>
              <w:rPr>
                <w:rFonts w:hint="eastAsia" w:ascii="Times New Roman" w:hAnsi="Times New Roman" w:cs="Times New Roman"/>
                <w:sz w:val="24"/>
                <w:szCs w:val="24"/>
              </w:rPr>
              <w:t>类施工机械设备同时作业时产生的噪声昼间在离声源</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0m以外可符合《建筑施工场界环境噪声排放标准</w:t>
            </w:r>
            <w:r>
              <w:rPr>
                <w:rFonts w:hint="eastAsia" w:ascii="Times New Roman" w:cs="Times New Roman"/>
                <w:sz w:val="24"/>
                <w:szCs w:val="24"/>
                <w:lang w:eastAsia="zh-CN"/>
              </w:rPr>
              <w:t>》</w:t>
            </w:r>
            <w:r>
              <w:rPr>
                <w:rFonts w:hint="eastAsia" w:ascii="Times New Roman" w:hAnsi="Times New Roman" w:cs="Times New Roman"/>
                <w:sz w:val="24"/>
                <w:szCs w:val="24"/>
              </w:rPr>
              <w:t>(GB12523-2011)标准限值，即70dB(A)</w:t>
            </w:r>
            <w:r>
              <w:rPr>
                <w:rFonts w:hint="eastAsia" w:ascii="Times New Roman" w:cs="Times New Roman"/>
                <w:sz w:val="24"/>
                <w:szCs w:val="24"/>
                <w:lang w:eastAsia="zh-CN"/>
              </w:rPr>
              <w:t>。</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施工噪声对环境的影响很大程度上取决于施工点与敏感点的距离和施工时间，距离越近，产生影响也就越大。由于项目夜间不进行施工活动，故评价仅对昼间施工对敏感点的影响情况进行分析。本项目工程边界距离最近的环境敏感点为丰河村(260m)，施工噪声昼间能够达标排放，为进一步减少噪声对周围环境的影响，施工单位应采取各种措施来尽量减缓项目施工对周边的影响。</w:t>
            </w:r>
          </w:p>
          <w:p>
            <w:pPr>
              <w:spacing w:line="360" w:lineRule="auto"/>
              <w:ind w:firstLine="480" w:firstLineChars="200"/>
              <w:rPr>
                <w:rFonts w:ascii="t" w:hAnsi="t"/>
                <w:b/>
                <w:snapToGrid w:val="0"/>
                <w:color w:val="auto"/>
                <w:kern w:val="0"/>
                <w:sz w:val="24"/>
              </w:rPr>
            </w:pPr>
            <w:r>
              <w:rPr>
                <w:rFonts w:hint="eastAsia" w:ascii="t" w:hAnsi="t"/>
                <w:b/>
                <w:snapToGrid w:val="0"/>
                <w:color w:val="auto"/>
                <w:kern w:val="0"/>
                <w:sz w:val="24"/>
                <w:lang w:eastAsia="zh-CN"/>
              </w:rPr>
              <w:t>（四）</w:t>
            </w:r>
            <w:r>
              <w:rPr>
                <w:rFonts w:hint="eastAsia" w:ascii="t" w:hAnsi="t"/>
                <w:b/>
                <w:snapToGrid w:val="0"/>
                <w:color w:val="auto"/>
                <w:kern w:val="0"/>
                <w:sz w:val="24"/>
              </w:rPr>
              <w:t>固废产生及其治理</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施工固废主要有</w:t>
            </w:r>
            <w:r>
              <w:rPr>
                <w:rFonts w:hint="eastAsia" w:ascii="t" w:hAnsi="t"/>
                <w:snapToGrid w:val="0"/>
                <w:color w:val="auto"/>
                <w:kern w:val="0"/>
                <w:sz w:val="24"/>
                <w:lang w:val="en-US" w:eastAsia="zh-CN"/>
              </w:rPr>
              <w:t>清淤工程产生的淤泥、弃土弃渣和生活垃圾。</w:t>
            </w:r>
          </w:p>
          <w:p>
            <w:pPr>
              <w:spacing w:line="360" w:lineRule="auto"/>
              <w:ind w:firstLine="480" w:firstLineChars="200"/>
              <w:rPr>
                <w:rFonts w:hint="eastAsia"/>
                <w:color w:val="auto"/>
                <w:sz w:val="24"/>
                <w:lang w:val="en-US" w:eastAsia="zh-CN"/>
              </w:rPr>
            </w:pPr>
            <w:r>
              <w:rPr>
                <w:rFonts w:hint="eastAsia"/>
                <w:color w:val="auto"/>
                <w:sz w:val="24"/>
                <w:lang w:val="en-US" w:eastAsia="zh-CN"/>
              </w:rPr>
              <w:t>①清淤工程产生的淤泥</w:t>
            </w:r>
          </w:p>
          <w:p>
            <w:pPr>
              <w:spacing w:line="360" w:lineRule="auto"/>
              <w:ind w:firstLine="480" w:firstLineChars="200"/>
              <w:rPr>
                <w:rFonts w:hint="eastAsia"/>
                <w:color w:val="auto"/>
                <w:sz w:val="24"/>
                <w:lang w:val="en-US" w:eastAsia="zh-CN"/>
              </w:rPr>
            </w:pPr>
            <w:r>
              <w:rPr>
                <w:rFonts w:hint="eastAsia"/>
                <w:color w:val="auto"/>
                <w:sz w:val="24"/>
                <w:lang w:val="en-US" w:eastAsia="zh-CN"/>
              </w:rPr>
              <w:t>璜环沟为当地农灌、排洪河流，项目评价河段两岸主要为荒草地和耕地，上游无工业，污染类型为生活面源污染及农业面源。河道含有机物腐殖的底泥，淤泥经自然脱水后，应及时清运至周边耕地作改良土使用。清淤物中的碎石用于修筑归流堤、副坝基础挡土墙、排导槽修复等，清淤物经综合利用后需外运至临时弃渣场的淤泥量为817.54m</w:t>
            </w:r>
            <w:r>
              <w:rPr>
                <w:rFonts w:hint="eastAsia"/>
                <w:color w:val="auto"/>
                <w:sz w:val="24"/>
                <w:vertAlign w:val="superscript"/>
                <w:lang w:val="en-US" w:eastAsia="zh-CN"/>
              </w:rPr>
              <w:t>3</w:t>
            </w:r>
            <w:r>
              <w:rPr>
                <w:rFonts w:hint="eastAsia"/>
                <w:color w:val="auto"/>
                <w:sz w:val="24"/>
                <w:lang w:val="en-US" w:eastAsia="zh-CN"/>
              </w:rPr>
              <w:t>。</w:t>
            </w:r>
          </w:p>
          <w:p>
            <w:pPr>
              <w:spacing w:line="360" w:lineRule="auto"/>
              <w:ind w:firstLine="480" w:firstLineChars="200"/>
              <w:rPr>
                <w:rFonts w:hint="eastAsia"/>
                <w:color w:val="auto"/>
                <w:sz w:val="24"/>
                <w:lang w:val="en-US" w:eastAsia="zh-CN"/>
              </w:rPr>
            </w:pPr>
            <w:r>
              <w:rPr>
                <w:rFonts w:hint="eastAsia"/>
                <w:color w:val="auto"/>
                <w:sz w:val="24"/>
                <w:lang w:val="en-US" w:eastAsia="zh-CN"/>
              </w:rPr>
              <w:t>②弃土弃渣</w:t>
            </w:r>
          </w:p>
          <w:p>
            <w:pPr>
              <w:spacing w:line="360" w:lineRule="auto"/>
              <w:ind w:firstLine="480" w:firstLineChars="200"/>
              <w:rPr>
                <w:rFonts w:hint="eastAsia"/>
                <w:color w:val="auto"/>
                <w:sz w:val="24"/>
                <w:lang w:val="en-US" w:eastAsia="zh-CN"/>
              </w:rPr>
            </w:pPr>
            <w:r>
              <w:rPr>
                <w:rFonts w:hint="eastAsia"/>
                <w:color w:val="auto"/>
                <w:sz w:val="24"/>
                <w:lang w:val="en-US" w:eastAsia="zh-CN"/>
              </w:rPr>
              <w:t>经土石方平衡分析，施工便道等临时工程中加强剥离表土利用，减少弃渣量，根据项目工程量估算，项目总挖方量326.3m</w:t>
            </w:r>
            <w:r>
              <w:rPr>
                <w:rFonts w:hint="eastAsia"/>
                <w:color w:val="auto"/>
                <w:sz w:val="24"/>
                <w:vertAlign w:val="superscript"/>
                <w:lang w:val="en-US" w:eastAsia="zh-CN"/>
              </w:rPr>
              <w:t>3</w:t>
            </w:r>
            <w:r>
              <w:rPr>
                <w:rFonts w:hint="eastAsia"/>
                <w:color w:val="auto"/>
                <w:sz w:val="24"/>
                <w:vertAlign w:val="baseline"/>
                <w:lang w:val="en-US" w:eastAsia="zh-CN"/>
              </w:rPr>
              <w:t>，</w:t>
            </w:r>
            <w:r>
              <w:rPr>
                <w:rFonts w:hint="eastAsia"/>
                <w:color w:val="auto"/>
                <w:sz w:val="24"/>
                <w:lang w:val="en-US" w:eastAsia="zh-CN"/>
              </w:rPr>
              <w:t>总填方量113.18m</w:t>
            </w:r>
            <w:r>
              <w:rPr>
                <w:rFonts w:hint="eastAsia"/>
                <w:color w:val="auto"/>
                <w:sz w:val="24"/>
                <w:vertAlign w:val="superscript"/>
                <w:lang w:val="en-US" w:eastAsia="zh-CN"/>
              </w:rPr>
              <w:t>3</w:t>
            </w:r>
            <w:r>
              <w:rPr>
                <w:rFonts w:hint="eastAsia"/>
                <w:color w:val="auto"/>
                <w:sz w:val="24"/>
                <w:lang w:val="en-US" w:eastAsia="zh-CN"/>
              </w:rPr>
              <w:t>，本工程土石方弃渣量为213.12m</w:t>
            </w:r>
            <w:r>
              <w:rPr>
                <w:rFonts w:hint="eastAsia"/>
                <w:color w:val="auto"/>
                <w:sz w:val="24"/>
                <w:vertAlign w:val="superscript"/>
                <w:lang w:val="en-US" w:eastAsia="zh-CN"/>
              </w:rPr>
              <w:t>3</w:t>
            </w:r>
            <w:r>
              <w:rPr>
                <w:rFonts w:hint="eastAsia"/>
                <w:color w:val="auto"/>
                <w:sz w:val="24"/>
                <w:lang w:val="en-US" w:eastAsia="zh-CN"/>
              </w:rPr>
              <w:t>。项目区内不设临时弃渣场和永久弃土场，弃渣直接外运土石方运送至松潘县白羊乡建筑垃圾弃渣场集中处置，运距约5km。</w:t>
            </w:r>
          </w:p>
          <w:p>
            <w:pPr>
              <w:spacing w:line="360" w:lineRule="auto"/>
              <w:ind w:firstLine="480" w:firstLineChars="200"/>
              <w:rPr>
                <w:rFonts w:hint="eastAsia"/>
                <w:color w:val="auto"/>
                <w:sz w:val="24"/>
                <w:lang w:val="en-US" w:eastAsia="zh-CN"/>
              </w:rPr>
            </w:pPr>
            <w:r>
              <w:rPr>
                <w:rFonts w:hint="eastAsia"/>
                <w:color w:val="auto"/>
                <w:sz w:val="24"/>
                <w:lang w:val="en-US" w:eastAsia="zh-CN"/>
              </w:rPr>
              <w:t>③施工人员生活垃圾</w:t>
            </w:r>
          </w:p>
          <w:p>
            <w:pPr>
              <w:spacing w:line="360" w:lineRule="auto"/>
              <w:ind w:firstLine="480" w:firstLineChars="200"/>
              <w:rPr>
                <w:rFonts w:hint="eastAsia" w:ascii="t" w:hAnsi="t"/>
                <w:snapToGrid w:val="0"/>
                <w:color w:val="auto"/>
                <w:kern w:val="0"/>
                <w:sz w:val="24"/>
              </w:rPr>
            </w:pPr>
            <w:r>
              <w:rPr>
                <w:rFonts w:hint="eastAsia"/>
                <w:color w:val="auto"/>
                <w:sz w:val="24"/>
                <w:lang w:val="en-US" w:eastAsia="zh-CN"/>
              </w:rPr>
              <w:t>项目高峰期施工人员50人，垃圾产生量约为25kg/d，集中收集后委托当地市政环卫部门送往指定生活垃圾处理场处理。</w:t>
            </w:r>
            <w:r>
              <w:rPr>
                <w:rFonts w:hint="eastAsia" w:ascii="t" w:hAnsi="t"/>
                <w:snapToGrid w:val="0"/>
                <w:color w:val="auto"/>
                <w:kern w:val="0"/>
                <w:sz w:val="24"/>
              </w:rPr>
              <w:t>生活垃圾经上述措施处置后不会对周围环境造成不良影响。</w:t>
            </w:r>
          </w:p>
          <w:p>
            <w:pPr>
              <w:spacing w:line="360" w:lineRule="auto"/>
              <w:ind w:firstLine="480" w:firstLineChars="200"/>
              <w:rPr>
                <w:rFonts w:ascii="t" w:hAnsi="t"/>
                <w:b/>
                <w:snapToGrid w:val="0"/>
                <w:color w:val="auto"/>
                <w:kern w:val="0"/>
                <w:sz w:val="24"/>
              </w:rPr>
            </w:pPr>
            <w:r>
              <w:rPr>
                <w:rFonts w:hint="eastAsia" w:ascii="t" w:hAnsi="t"/>
                <w:b/>
                <w:snapToGrid w:val="0"/>
                <w:color w:val="auto"/>
                <w:kern w:val="0"/>
                <w:sz w:val="24"/>
                <w:lang w:eastAsia="zh-CN"/>
              </w:rPr>
              <w:t>（五）施工期</w:t>
            </w:r>
            <w:r>
              <w:rPr>
                <w:rFonts w:hint="eastAsia" w:ascii="t" w:hAnsi="t"/>
                <w:b/>
                <w:snapToGrid w:val="0"/>
                <w:color w:val="auto"/>
                <w:kern w:val="0"/>
                <w:sz w:val="24"/>
                <w:lang w:val="en-US" w:eastAsia="zh-CN"/>
              </w:rPr>
              <w:t>地下水环境</w:t>
            </w:r>
            <w:r>
              <w:rPr>
                <w:rFonts w:hint="eastAsia" w:ascii="t" w:hAnsi="t"/>
                <w:b/>
                <w:snapToGrid w:val="0"/>
                <w:color w:val="auto"/>
                <w:kern w:val="0"/>
                <w:sz w:val="24"/>
              </w:rPr>
              <w:t>影响分析</w:t>
            </w:r>
          </w:p>
          <w:p>
            <w:pPr>
              <w:spacing w:line="360" w:lineRule="auto"/>
              <w:ind w:firstLine="480" w:firstLineChars="200"/>
              <w:rPr>
                <w:rFonts w:hint="eastAsia" w:ascii="t" w:hAnsi="t"/>
                <w:b w:val="0"/>
                <w:bCs/>
                <w:snapToGrid w:val="0"/>
                <w:color w:val="auto"/>
                <w:kern w:val="0"/>
                <w:sz w:val="24"/>
              </w:rPr>
            </w:pPr>
            <w:r>
              <w:rPr>
                <w:rFonts w:hint="eastAsia" w:ascii="t" w:hAnsi="t"/>
                <w:b w:val="0"/>
                <w:bCs/>
                <w:snapToGrid w:val="0"/>
                <w:color w:val="auto"/>
                <w:kern w:val="0"/>
                <w:sz w:val="24"/>
              </w:rPr>
              <w:t>根据《环境影响评价技术导则地下水环境》（HJ610-2016）可知，地下水评价等级判定根据建设项目所属的地下水环境影响评价项目类别及建设项目的地下水环境敏感程度进行判定。根据《环境影响评价技术导则地下水环境》（HJ610-2016）附录 A 本项目为Ⅳ类项目，可不开展地下水评价。</w:t>
            </w:r>
          </w:p>
          <w:p>
            <w:pPr>
              <w:spacing w:line="360" w:lineRule="auto"/>
              <w:ind w:firstLine="480" w:firstLineChars="200"/>
              <w:rPr>
                <w:rFonts w:hint="default" w:ascii="t" w:hAnsi="t"/>
                <w:b/>
                <w:snapToGrid w:val="0"/>
                <w:color w:val="auto"/>
                <w:kern w:val="0"/>
                <w:sz w:val="24"/>
                <w:lang w:val="en-US" w:eastAsia="zh-CN"/>
              </w:rPr>
            </w:pPr>
            <w:r>
              <w:rPr>
                <w:rFonts w:hint="eastAsia" w:ascii="t" w:hAnsi="t"/>
                <w:b/>
                <w:snapToGrid w:val="0"/>
                <w:color w:val="auto"/>
                <w:kern w:val="0"/>
                <w:sz w:val="24"/>
                <w:lang w:val="en-US" w:eastAsia="zh-CN"/>
              </w:rPr>
              <w:t>（六）施工期土壤环境影响分析</w:t>
            </w:r>
          </w:p>
          <w:p>
            <w:pPr>
              <w:spacing w:line="360" w:lineRule="auto"/>
              <w:ind w:firstLine="480" w:firstLineChars="200"/>
              <w:rPr>
                <w:rFonts w:hint="eastAsia" w:ascii="t" w:hAnsi="t"/>
                <w:snapToGrid w:val="0"/>
                <w:color w:val="auto"/>
                <w:kern w:val="0"/>
                <w:sz w:val="24"/>
                <w:lang w:val="en-US" w:eastAsia="zh-CN"/>
              </w:rPr>
            </w:pPr>
            <w:r>
              <w:rPr>
                <w:rFonts w:hint="eastAsia" w:ascii="t" w:hAnsi="t"/>
                <w:b w:val="0"/>
                <w:bCs/>
                <w:snapToGrid w:val="0"/>
                <w:color w:val="auto"/>
                <w:kern w:val="0"/>
                <w:sz w:val="24"/>
              </w:rPr>
              <w:t>本项目为</w:t>
            </w:r>
            <w:r>
              <w:rPr>
                <w:rFonts w:hint="eastAsia" w:ascii="t" w:hAnsi="t"/>
                <w:b w:val="0"/>
                <w:bCs/>
                <w:snapToGrid w:val="0"/>
                <w:color w:val="auto"/>
                <w:kern w:val="0"/>
                <w:sz w:val="24"/>
                <w:lang w:val="en-US" w:eastAsia="zh-CN"/>
              </w:rPr>
              <w:t>地质灾害治理项目</w:t>
            </w:r>
            <w:r>
              <w:rPr>
                <w:rFonts w:hint="eastAsia" w:ascii="t" w:hAnsi="t"/>
                <w:b w:val="0"/>
                <w:bCs/>
                <w:snapToGrid w:val="0"/>
                <w:color w:val="auto"/>
                <w:kern w:val="0"/>
                <w:sz w:val="24"/>
              </w:rPr>
              <w:t>，根据《环境影响评价技术导则 土壤环境》（HJ964-2018）附录A，本项目属于其他，Ⅳ类项目。Ⅳ类项目可不开展土壤评价。因此本项目可不开展土壤环境影响评价工作。</w:t>
            </w:r>
          </w:p>
          <w:p>
            <w:pPr>
              <w:spacing w:line="360" w:lineRule="auto"/>
              <w:ind w:firstLine="480" w:firstLineChars="200"/>
              <w:rPr>
                <w:rFonts w:hint="default" w:ascii="t" w:hAnsi="t"/>
                <w:b/>
                <w:snapToGrid w:val="0"/>
                <w:color w:val="auto"/>
                <w:kern w:val="0"/>
                <w:sz w:val="24"/>
                <w:lang w:val="en-US" w:eastAsia="zh-CN"/>
              </w:rPr>
            </w:pPr>
            <w:r>
              <w:rPr>
                <w:rFonts w:hint="eastAsia" w:ascii="t" w:hAnsi="t"/>
                <w:b/>
                <w:snapToGrid w:val="0"/>
                <w:color w:val="auto"/>
                <w:kern w:val="0"/>
                <w:sz w:val="24"/>
                <w:lang w:val="en-US" w:eastAsia="zh-CN"/>
              </w:rPr>
              <w:t>（七）施工期生态环境影响分析</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val="en-US" w:eastAsia="zh-CN"/>
              </w:rPr>
              <w:t>1、工程占地的影响</w:t>
            </w:r>
          </w:p>
          <w:p>
            <w:pPr>
              <w:spacing w:line="360" w:lineRule="auto"/>
              <w:ind w:firstLine="480" w:firstLineChars="200"/>
              <w:rPr>
                <w:rFonts w:hint="default" w:ascii="t" w:hAnsi="t" w:eastAsiaTheme="minorEastAsia"/>
                <w:snapToGrid w:val="0"/>
                <w:color w:val="auto"/>
                <w:kern w:val="0"/>
                <w:sz w:val="24"/>
                <w:lang w:val="en-US" w:eastAsia="zh-CN"/>
              </w:rPr>
            </w:pPr>
            <w:r>
              <w:rPr>
                <w:rFonts w:hint="eastAsia" w:ascii="t" w:hAnsi="t"/>
                <w:snapToGrid w:val="0"/>
                <w:color w:val="auto"/>
                <w:kern w:val="0"/>
                <w:sz w:val="24"/>
                <w:lang w:val="en-US" w:eastAsia="zh-CN"/>
              </w:rPr>
              <w:t>（1）工程占地对农业生产的影响分析</w:t>
            </w:r>
          </w:p>
          <w:p>
            <w:pPr>
              <w:spacing w:line="360" w:lineRule="auto"/>
              <w:ind w:firstLine="480" w:firstLineChars="200"/>
              <w:rPr>
                <w:rFonts w:hint="default" w:hAnsi="宋体" w:eastAsiaTheme="minorEastAsia"/>
                <w:color w:val="auto"/>
                <w:sz w:val="24"/>
                <w:lang w:val="en-US" w:eastAsia="zh-CN"/>
              </w:rPr>
            </w:pPr>
            <w:r>
              <w:rPr>
                <w:rFonts w:hint="eastAsia" w:hAnsi="宋体"/>
                <w:color w:val="auto"/>
                <w:sz w:val="24"/>
                <w:lang w:val="en-US" w:eastAsia="zh-CN"/>
              </w:rPr>
              <w:t>工程占地为永久占地和施工临时占地两部分。工程永久占地主要是防护堤和拦挡坝占用沟壑地，施工临时占地主要是施工场地、临时施工道路占地河谷荒草地。</w:t>
            </w:r>
          </w:p>
          <w:p>
            <w:pPr>
              <w:spacing w:line="360" w:lineRule="auto"/>
              <w:ind w:firstLine="480" w:firstLineChars="200"/>
              <w:rPr>
                <w:rFonts w:hint="default" w:hAnsi="宋体" w:eastAsiaTheme="minorEastAsia"/>
                <w:color w:val="auto"/>
                <w:sz w:val="24"/>
                <w:lang w:val="en-US" w:eastAsia="zh-CN"/>
              </w:rPr>
            </w:pPr>
            <w:r>
              <w:rPr>
                <w:rFonts w:hint="eastAsia" w:hAnsi="宋体"/>
                <w:color w:val="auto"/>
                <w:sz w:val="24"/>
                <w:lang w:val="en-US" w:eastAsia="zh-CN"/>
              </w:rPr>
              <w:t>工程永久占地，会造成周边生态环境的破坏，主要采取划定施工界限减少地面扰动可以减轻，治理工程建设提高璜环沟防洪标准。施工场地和施工道路临时占地占用期间，占用土地的生产能力暂时丧失，待工程完工后，可恢复其用地功能。</w:t>
            </w:r>
          </w:p>
          <w:p>
            <w:pPr>
              <w:spacing w:line="360" w:lineRule="auto"/>
              <w:ind w:firstLine="480" w:firstLineChars="200"/>
              <w:rPr>
                <w:rFonts w:hint="default" w:ascii="t" w:hAnsi="t" w:eastAsiaTheme="minorEastAsia"/>
                <w:snapToGrid w:val="0"/>
                <w:color w:val="auto"/>
                <w:kern w:val="0"/>
                <w:sz w:val="24"/>
                <w:lang w:val="en-US" w:eastAsia="zh-CN"/>
              </w:rPr>
            </w:pPr>
            <w:r>
              <w:rPr>
                <w:rFonts w:hint="eastAsia" w:ascii="t" w:hAnsi="t"/>
                <w:snapToGrid w:val="0"/>
                <w:color w:val="auto"/>
                <w:kern w:val="0"/>
                <w:sz w:val="24"/>
                <w:lang w:val="en-US" w:eastAsia="zh-CN"/>
              </w:rPr>
              <w:t>（2）工程占地对地表植被的影响分析</w:t>
            </w:r>
          </w:p>
          <w:p>
            <w:pPr>
              <w:spacing w:line="360" w:lineRule="auto"/>
              <w:ind w:firstLine="480" w:firstLineChars="200"/>
              <w:rPr>
                <w:rFonts w:ascii="t" w:hAnsi="t"/>
                <w:snapToGrid w:val="0"/>
                <w:color w:val="auto"/>
                <w:kern w:val="0"/>
                <w:sz w:val="24"/>
              </w:rPr>
            </w:pPr>
            <w:r>
              <w:rPr>
                <w:rFonts w:hint="eastAsia" w:ascii="t" w:hAnsi="t"/>
                <w:snapToGrid w:val="0"/>
                <w:color w:val="auto"/>
                <w:kern w:val="0"/>
                <w:sz w:val="24"/>
              </w:rPr>
              <w:t>工程周边的植被主要为</w:t>
            </w:r>
            <w:r>
              <w:rPr>
                <w:rFonts w:hint="eastAsia" w:ascii="t" w:hAnsi="t"/>
                <w:snapToGrid w:val="0"/>
                <w:color w:val="auto"/>
                <w:kern w:val="0"/>
                <w:sz w:val="24"/>
                <w:lang w:val="en-US" w:eastAsia="zh-CN"/>
              </w:rPr>
              <w:t>草罐及</w:t>
            </w:r>
            <w:r>
              <w:rPr>
                <w:rFonts w:hint="eastAsia" w:ascii="t" w:hAnsi="t"/>
                <w:snapToGrid w:val="0"/>
                <w:color w:val="auto"/>
                <w:kern w:val="0"/>
                <w:sz w:val="24"/>
              </w:rPr>
              <w:t>农作物，项目不涉及森林公园和自然保护区，建设区内无珍稀濒危植物种类，无国家重点保护野生植物种类以及无名木古树。工程占地及实物等已进行相应的补偿，因此对周边植被影响较小。</w:t>
            </w:r>
          </w:p>
          <w:p>
            <w:pPr>
              <w:spacing w:line="360" w:lineRule="auto"/>
              <w:ind w:firstLine="480" w:firstLineChars="200"/>
              <w:rPr>
                <w:rFonts w:hint="default" w:ascii="t" w:hAnsi="t" w:eastAsiaTheme="minorEastAsia"/>
                <w:snapToGrid w:val="0"/>
                <w:color w:val="auto"/>
                <w:kern w:val="0"/>
                <w:sz w:val="24"/>
                <w:lang w:val="en-US" w:eastAsia="zh-CN"/>
              </w:rPr>
            </w:pPr>
            <w:r>
              <w:rPr>
                <w:rFonts w:hint="eastAsia" w:ascii="t" w:hAnsi="t"/>
                <w:snapToGrid w:val="0"/>
                <w:color w:val="auto"/>
                <w:kern w:val="0"/>
                <w:sz w:val="24"/>
                <w:lang w:val="en-US" w:eastAsia="zh-CN"/>
              </w:rPr>
              <w:t>2、工程建设对植物多样性的影响分析</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rPr>
              <w:t>本项目评价区内植物种类较少，物种多样性指数不高。</w:t>
            </w:r>
            <w:r>
              <w:rPr>
                <w:rFonts w:hint="eastAsia" w:ascii="t" w:hAnsi="t"/>
                <w:snapToGrid w:val="0"/>
                <w:color w:val="auto"/>
                <w:kern w:val="0"/>
                <w:sz w:val="24"/>
                <w:lang w:val="en-US" w:eastAsia="zh-CN"/>
              </w:rPr>
              <w:t>项目周边</w:t>
            </w:r>
            <w:r>
              <w:rPr>
                <w:rFonts w:hint="eastAsia" w:ascii="t" w:hAnsi="t"/>
                <w:snapToGrid w:val="0"/>
                <w:color w:val="auto"/>
                <w:kern w:val="0"/>
                <w:sz w:val="24"/>
              </w:rPr>
              <w:t>多为旱地</w:t>
            </w:r>
            <w:r>
              <w:rPr>
                <w:rFonts w:hint="eastAsia" w:ascii="t" w:hAnsi="t"/>
                <w:snapToGrid w:val="0"/>
                <w:color w:val="auto"/>
                <w:kern w:val="0"/>
                <w:sz w:val="24"/>
                <w:lang w:val="en-US" w:eastAsia="zh-CN"/>
              </w:rPr>
              <w:t>和荒地</w:t>
            </w:r>
            <w:r>
              <w:rPr>
                <w:rFonts w:hint="eastAsia" w:ascii="t" w:hAnsi="t"/>
                <w:snapToGrid w:val="0"/>
                <w:color w:val="auto"/>
                <w:kern w:val="0"/>
                <w:sz w:val="24"/>
              </w:rPr>
              <w:t>等。植被主要为人工植被、野生草本植物等，</w:t>
            </w:r>
            <w:r>
              <w:rPr>
                <w:rFonts w:hint="eastAsia" w:ascii="t" w:hAnsi="t"/>
                <w:snapToGrid w:val="0"/>
                <w:color w:val="auto"/>
                <w:kern w:val="0"/>
                <w:sz w:val="24"/>
                <w:lang w:val="en-US" w:eastAsia="zh-CN"/>
              </w:rPr>
              <w:t>项目</w:t>
            </w:r>
            <w:r>
              <w:rPr>
                <w:rFonts w:hint="eastAsia" w:ascii="t" w:hAnsi="t"/>
                <w:snapToGrid w:val="0"/>
                <w:color w:val="auto"/>
                <w:kern w:val="0"/>
                <w:sz w:val="24"/>
              </w:rPr>
              <w:t>施工对植被的影响多为对河滩地内生长的草本植物的影响，项目区域内无自然保护区、风景名胜区等。因此工程施工对植物多样性的影响相对较小。</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3、项目建设对水土流失的影响</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rPr>
              <w:t>本工程施工建设前，所占用土地以内陆滩地和荒草地为主，水土流失情况为微度侵蚀。新增的水土流失主要集中在工程建设期。施工期由于工程开挖、占压造成的原地貌水土保持功能降低甚至丧失，导致土壤侵蚀加剧而增加的水土流失量。本项目施工期已结束，临时占用土地功能恢复为原貌，该区域水土流失情况恢复为施工期以前。因此，本项目施工期水土流失是暂时的，水土流失对区域影响不大。</w:t>
            </w:r>
          </w:p>
          <w:p>
            <w:pPr>
              <w:spacing w:line="360" w:lineRule="auto"/>
              <w:ind w:firstLine="480" w:firstLineChars="200"/>
              <w:rPr>
                <w:rFonts w:hint="default" w:ascii="t" w:hAnsi="t" w:eastAsiaTheme="minorEastAsia"/>
                <w:snapToGrid w:val="0"/>
                <w:color w:val="auto"/>
                <w:kern w:val="0"/>
                <w:sz w:val="24"/>
                <w:lang w:val="en-US" w:eastAsia="zh-CN"/>
              </w:rPr>
            </w:pPr>
            <w:r>
              <w:rPr>
                <w:rFonts w:hint="eastAsia" w:ascii="t" w:hAnsi="t"/>
                <w:snapToGrid w:val="0"/>
                <w:color w:val="auto"/>
                <w:kern w:val="0"/>
                <w:sz w:val="24"/>
                <w:lang w:val="en-US" w:eastAsia="zh-CN"/>
              </w:rPr>
              <w:t>本项目可采取如下水土保持措施：</w:t>
            </w:r>
          </w:p>
          <w:p>
            <w:pPr>
              <w:spacing w:line="360" w:lineRule="auto"/>
              <w:ind w:firstLine="480" w:firstLineChars="200"/>
              <w:rPr>
                <w:rFonts w:hint="default" w:ascii="t" w:hAnsi="t" w:eastAsiaTheme="minorEastAsia"/>
                <w:snapToGrid w:val="0"/>
                <w:color w:val="auto"/>
                <w:kern w:val="0"/>
                <w:sz w:val="24"/>
                <w:lang w:val="en-US" w:eastAsia="zh-CN"/>
              </w:rPr>
            </w:pPr>
            <w:r>
              <w:rPr>
                <w:rFonts w:hint="eastAsia" w:ascii="t" w:hAnsi="t"/>
                <w:snapToGrid w:val="0"/>
                <w:color w:val="auto"/>
                <w:kern w:val="0"/>
                <w:sz w:val="24"/>
                <w:lang w:val="en-US" w:eastAsia="zh-CN"/>
              </w:rPr>
              <w:t>A工程措施、临时措施</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lang w:val="en-US" w:eastAsia="zh-CN"/>
              </w:rPr>
              <w:t>①</w:t>
            </w:r>
            <w:r>
              <w:rPr>
                <w:rFonts w:hint="eastAsia" w:ascii="t" w:hAnsi="t"/>
                <w:snapToGrid w:val="0"/>
                <w:color w:val="auto"/>
                <w:kern w:val="0"/>
                <w:sz w:val="24"/>
              </w:rPr>
              <w:t>根据场地坡面汇水情况在场地周边设置排水沟、沉砂池，施工完毕后，对其进行土地整治，迹地恢复；</w:t>
            </w:r>
          </w:p>
          <w:p>
            <w:pPr>
              <w:spacing w:line="360" w:lineRule="auto"/>
              <w:ind w:firstLine="480" w:firstLineChars="200"/>
              <w:rPr>
                <w:rFonts w:hint="eastAsia" w:ascii="t" w:hAnsi="t"/>
                <w:snapToGrid w:val="0"/>
                <w:color w:val="auto"/>
                <w:kern w:val="0"/>
                <w:sz w:val="24"/>
              </w:rPr>
            </w:pPr>
            <w:r>
              <w:rPr>
                <w:rFonts w:hint="eastAsia" w:ascii="t" w:hAnsi="t"/>
                <w:snapToGrid w:val="0"/>
                <w:color w:val="auto"/>
                <w:kern w:val="0"/>
                <w:sz w:val="24"/>
                <w:lang w:val="en-US" w:eastAsia="zh-CN"/>
              </w:rPr>
              <w:t>②</w:t>
            </w:r>
            <w:r>
              <w:rPr>
                <w:rFonts w:hint="eastAsia" w:ascii="t" w:hAnsi="t"/>
                <w:snapToGrid w:val="0"/>
                <w:color w:val="auto"/>
                <w:kern w:val="0"/>
                <w:sz w:val="24"/>
              </w:rPr>
              <w:t>加强对施工人员的教育，提高其水土保持意识，严格控制施工场地区的扰动范围。</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B植物措施</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①主体工程区</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项目主体施工时在河道两边施工，将弃土回填至边坡，路肩与边沟、地势低洼处以弧线顺势衔接并植草防护，对挖方边坡平台采取覆土栽植灌木撒播草籽的植物措施。</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②施工场地区</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在施工结束后需按占地类型进行土地整治并迹地恢复，可采取灌草结合的方式进行。为了尽快达到绿化和水土保持效果，先进行迹地清理，清除杂物，对地表翻松，以便绿化，绿化草选择</w:t>
            </w:r>
            <w:r>
              <w:rPr>
                <w:rFonts w:hint="eastAsia" w:ascii="t" w:hAnsi="t"/>
                <w:snapToGrid w:val="0"/>
                <w:color w:val="auto"/>
                <w:kern w:val="0"/>
                <w:sz w:val="24"/>
                <w:lang w:val="en-US" w:eastAsia="zh-CN"/>
              </w:rPr>
              <w:t>当地优势种草罐</w:t>
            </w:r>
            <w:r>
              <w:rPr>
                <w:rFonts w:hint="eastAsia" w:ascii="t" w:hAnsi="t"/>
                <w:snapToGrid w:val="0"/>
                <w:color w:val="auto"/>
                <w:kern w:val="0"/>
                <w:sz w:val="24"/>
                <w:lang w:eastAsia="zh-CN"/>
              </w:rPr>
              <w:t>等。</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eastAsia="zh-CN"/>
              </w:rPr>
              <w:t>另外，建设单位应与当地各相关部门共同配合，加强水土保持工作的监督和管理，工程施工时注意合理分配施工时段，避开降雨集中时段，开挖的土石方、开挖裸露面做好防治措施，尽量缩短暴露时间，开挖的土石方在及时回填、弃土及时进行合理处置的情况下，施工阶段造成的水土流失影响不大。</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4、生态恢复措施</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①陆生植物恢复与补偿措施</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植被恢复措施是主要的植物保护措施，对植被的恢复应根据当地的气候特点，在植被恢复措施中应注意的技术要点如下：保存熟化土，为植被恢复提供良好的土壤；对建设中永久占地中的表层土予以收集保存，在其它土壤贫瘠处铺设以种植树木；临时占地在施工前也应保存好熟化土，施工结束后及时清理、松土、覆盖熟化土，复种或选择当地适宜植物及时恢复绿化。</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②陆生动物恢复与补偿措施</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在原植被茂密区域路段采用加密绿化带，有利于动物适应新的生境。</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③施工便道及其它临时工程占地恢复与补偿措施</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禁止随意占用规划外的土地修建施工便道；堆土场等临时占地应布设在工程征地范围内，施工结束后应及时拆除因施工硬化的地面，恢复其原有的使用功能或者进行植物绿化。</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5、工程建设对白草河电站库区的影响</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val="en-US" w:eastAsia="zh-CN"/>
              </w:rPr>
              <w:t>项目施工区域下游为白草河电站库区，</w:t>
            </w:r>
            <w:r>
              <w:rPr>
                <w:rFonts w:hint="eastAsia" w:ascii="t" w:hAnsi="t"/>
                <w:snapToGrid w:val="0"/>
                <w:color w:val="auto"/>
                <w:kern w:val="0"/>
                <w:sz w:val="24"/>
                <w:lang w:eastAsia="zh-CN"/>
              </w:rPr>
              <w:t>经调查本项目评价段内，</w:t>
            </w:r>
            <w:r>
              <w:rPr>
                <w:rFonts w:hint="eastAsia" w:ascii="t" w:hAnsi="t"/>
                <w:snapToGrid w:val="0"/>
                <w:color w:val="auto"/>
                <w:kern w:val="0"/>
                <w:sz w:val="24"/>
                <w:lang w:val="en-US" w:eastAsia="zh-CN"/>
              </w:rPr>
              <w:t>白草河电站库区</w:t>
            </w:r>
            <w:r>
              <w:rPr>
                <w:rFonts w:hint="eastAsia" w:ascii="t" w:hAnsi="t"/>
                <w:snapToGrid w:val="0"/>
                <w:color w:val="auto"/>
                <w:kern w:val="0"/>
                <w:sz w:val="24"/>
                <w:lang w:eastAsia="zh-CN"/>
              </w:rPr>
              <w:t>不涉及珍稀鱼类“三场”，产生的少量生产废水、 水活污水、固体废弃物、生活垃圾等均进行了必要的处理，不会对河流水质造成明显影响，对鱼类生存无明显影响。</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 xml:space="preserve">本次环境提出以下环保要求： </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 xml:space="preserve">（1）施工期选择水量较小时期进行（枯水期）。 </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（2）</w:t>
            </w:r>
            <w:r>
              <w:rPr>
                <w:rFonts w:hint="eastAsia" w:ascii="t" w:hAnsi="t"/>
                <w:snapToGrid w:val="0"/>
                <w:color w:val="auto"/>
                <w:kern w:val="0"/>
                <w:sz w:val="24"/>
                <w:lang w:val="en-US" w:eastAsia="zh-CN"/>
              </w:rPr>
              <w:t>施工</w:t>
            </w:r>
            <w:r>
              <w:rPr>
                <w:rFonts w:hint="eastAsia" w:ascii="t" w:hAnsi="t"/>
                <w:snapToGrid w:val="0"/>
                <w:color w:val="auto"/>
                <w:kern w:val="0"/>
                <w:sz w:val="24"/>
                <w:lang w:eastAsia="zh-CN"/>
              </w:rPr>
              <w:t>废水禁止直接排入</w:t>
            </w:r>
            <w:r>
              <w:rPr>
                <w:rFonts w:hint="eastAsia" w:ascii="t" w:hAnsi="t"/>
                <w:snapToGrid w:val="0"/>
                <w:color w:val="auto"/>
                <w:kern w:val="0"/>
                <w:sz w:val="24"/>
                <w:lang w:val="en-US" w:eastAsia="zh-CN"/>
              </w:rPr>
              <w:t>璜环沟</w:t>
            </w:r>
            <w:r>
              <w:rPr>
                <w:rFonts w:hint="eastAsia" w:ascii="t" w:hAnsi="t"/>
                <w:snapToGrid w:val="0"/>
                <w:color w:val="auto"/>
                <w:kern w:val="0"/>
                <w:sz w:val="24"/>
                <w:lang w:eastAsia="zh-CN"/>
              </w:rPr>
              <w:t>，</w:t>
            </w:r>
            <w:r>
              <w:rPr>
                <w:rFonts w:hint="eastAsia" w:ascii="t" w:hAnsi="t"/>
                <w:snapToGrid w:val="0"/>
                <w:color w:val="auto"/>
                <w:kern w:val="0"/>
                <w:sz w:val="24"/>
                <w:lang w:val="en-US" w:eastAsia="zh-CN"/>
              </w:rPr>
              <w:t>施工</w:t>
            </w:r>
            <w:r>
              <w:rPr>
                <w:rFonts w:hint="eastAsia" w:ascii="t" w:hAnsi="t"/>
                <w:snapToGrid w:val="0"/>
                <w:color w:val="auto"/>
                <w:kern w:val="0"/>
                <w:sz w:val="24"/>
                <w:lang w:eastAsia="zh-CN"/>
              </w:rPr>
              <w:t>废水在静置</w:t>
            </w:r>
            <w:r>
              <w:rPr>
                <w:rFonts w:hint="eastAsia" w:ascii="t" w:hAnsi="t"/>
                <w:snapToGrid w:val="0"/>
                <w:color w:val="auto"/>
                <w:kern w:val="0"/>
                <w:sz w:val="24"/>
                <w:lang w:val="en-US" w:eastAsia="zh-CN"/>
              </w:rPr>
              <w:t>沉淀</w:t>
            </w:r>
            <w:r>
              <w:rPr>
                <w:rFonts w:hint="eastAsia" w:ascii="t" w:hAnsi="t"/>
                <w:snapToGrid w:val="0"/>
                <w:color w:val="auto"/>
                <w:kern w:val="0"/>
                <w:sz w:val="24"/>
                <w:lang w:eastAsia="zh-CN"/>
              </w:rPr>
              <w:t>之后，</w:t>
            </w:r>
            <w:r>
              <w:rPr>
                <w:rFonts w:hint="eastAsia" w:ascii="t" w:hAnsi="t"/>
                <w:snapToGrid w:val="0"/>
                <w:color w:val="auto"/>
                <w:kern w:val="0"/>
                <w:sz w:val="24"/>
                <w:lang w:val="en-US" w:eastAsia="zh-CN"/>
              </w:rPr>
              <w:t>回用不外排</w:t>
            </w:r>
            <w:r>
              <w:rPr>
                <w:rFonts w:hint="eastAsia" w:ascii="t" w:hAnsi="t"/>
                <w:snapToGrid w:val="0"/>
                <w:color w:val="auto"/>
                <w:kern w:val="0"/>
                <w:sz w:val="24"/>
                <w:lang w:eastAsia="zh-CN"/>
              </w:rPr>
              <w:t xml:space="preserve">。 </w:t>
            </w:r>
          </w:p>
          <w:p>
            <w:pPr>
              <w:spacing w:line="360" w:lineRule="auto"/>
              <w:ind w:firstLine="480" w:firstLineChars="200"/>
              <w:rPr>
                <w:rFonts w:hint="eastAsia" w:ascii="t" w:hAnsi="t"/>
                <w:snapToGrid w:val="0"/>
                <w:color w:val="auto"/>
                <w:kern w:val="0"/>
                <w:sz w:val="24"/>
                <w:lang w:eastAsia="zh-CN"/>
              </w:rPr>
            </w:pPr>
            <w:r>
              <w:rPr>
                <w:rFonts w:hint="eastAsia" w:ascii="t" w:hAnsi="t"/>
                <w:snapToGrid w:val="0"/>
                <w:color w:val="auto"/>
                <w:kern w:val="0"/>
                <w:sz w:val="24"/>
                <w:lang w:eastAsia="zh-CN"/>
              </w:rPr>
              <w:t>（3）加强施工期管理，控制施工范围，禁止非施工人员随意进入</w:t>
            </w:r>
            <w:r>
              <w:rPr>
                <w:rFonts w:hint="eastAsia" w:ascii="t" w:hAnsi="t"/>
                <w:snapToGrid w:val="0"/>
                <w:color w:val="auto"/>
                <w:kern w:val="0"/>
                <w:sz w:val="24"/>
                <w:lang w:val="en-US" w:eastAsia="zh-CN"/>
              </w:rPr>
              <w:t>施工</w:t>
            </w:r>
            <w:r>
              <w:rPr>
                <w:rFonts w:hint="eastAsia" w:ascii="t" w:hAnsi="t"/>
                <w:snapToGrid w:val="0"/>
                <w:color w:val="auto"/>
                <w:kern w:val="0"/>
                <w:sz w:val="24"/>
                <w:lang w:eastAsia="zh-CN"/>
              </w:rPr>
              <w:t>河道范围， 禁止随意向</w:t>
            </w:r>
            <w:r>
              <w:rPr>
                <w:rFonts w:hint="eastAsia" w:ascii="t" w:hAnsi="t"/>
                <w:snapToGrid w:val="0"/>
                <w:color w:val="auto"/>
                <w:kern w:val="0"/>
                <w:sz w:val="24"/>
                <w:lang w:val="en-US" w:eastAsia="zh-CN"/>
              </w:rPr>
              <w:t>沟内</w:t>
            </w:r>
            <w:r>
              <w:rPr>
                <w:rFonts w:hint="eastAsia" w:ascii="t" w:hAnsi="t"/>
                <w:snapToGrid w:val="0"/>
                <w:color w:val="auto"/>
                <w:kern w:val="0"/>
                <w:sz w:val="24"/>
                <w:lang w:eastAsia="zh-CN"/>
              </w:rPr>
              <w:t xml:space="preserve">抛弃垃圾和排放污水。 </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6、工程建设对</w:t>
            </w:r>
            <w:r>
              <w:rPr>
                <w:rFonts w:hint="eastAsia" w:asciiTheme="minorEastAsia" w:hAnsiTheme="minorEastAsia" w:eastAsiaTheme="minorEastAsia" w:cstheme="minorEastAsia"/>
                <w:color w:val="auto"/>
                <w:sz w:val="24"/>
                <w:szCs w:val="24"/>
                <w:lang w:val="en-US" w:eastAsia="zh-CN"/>
              </w:rPr>
              <w:t>大熊猫国家公园</w:t>
            </w:r>
            <w:r>
              <w:rPr>
                <w:rFonts w:hint="eastAsia" w:asciiTheme="minorEastAsia" w:hAnsiTheme="minorEastAsia" w:cstheme="minorEastAsia"/>
                <w:color w:val="auto"/>
                <w:sz w:val="24"/>
                <w:szCs w:val="24"/>
                <w:lang w:val="en-US" w:eastAsia="zh-CN"/>
              </w:rPr>
              <w:t>的影响</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val="en-US" w:eastAsia="zh-CN"/>
              </w:rPr>
              <w:t>本项目位于松潘县白羊乡茶园坪村，根据业主提供资料，项目距离大熊猫公园最近距离约为5km。施工期可能会对“大熊猫公园”产生一定的影响，本环评提出以下要求和建议：</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val="en-US" w:eastAsia="zh-CN"/>
              </w:rPr>
              <w:t>（1）严格控制施工作业带，临时施工场地，材料堆场等尽可能远离大熊猫公园。</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val="en-US" w:eastAsia="zh-CN"/>
              </w:rPr>
              <w:t>（2）加强施工期管理，做好施工人员环保教育，增强施工人员环保意识，禁止施工人员随意进出大熊猫公园，禁止向大熊猫公园排放污水和垃圾。</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val="en-US" w:eastAsia="zh-CN"/>
              </w:rPr>
              <w:t>（3）加强施工人员教育和管理，禁止捕杀动物和随意破坏植物。</w:t>
            </w:r>
          </w:p>
          <w:p>
            <w:pPr>
              <w:spacing w:line="360" w:lineRule="auto"/>
              <w:ind w:firstLine="480" w:firstLineChars="200"/>
              <w:rPr>
                <w:rFonts w:hint="eastAsia" w:ascii="t" w:hAnsi="t"/>
                <w:snapToGrid w:val="0"/>
                <w:color w:val="auto"/>
                <w:kern w:val="0"/>
                <w:sz w:val="24"/>
                <w:lang w:val="en-US" w:eastAsia="zh-CN"/>
              </w:rPr>
            </w:pPr>
            <w:r>
              <w:rPr>
                <w:rFonts w:hint="eastAsia" w:ascii="t" w:hAnsi="t"/>
                <w:snapToGrid w:val="0"/>
                <w:color w:val="auto"/>
                <w:kern w:val="0"/>
                <w:sz w:val="24"/>
                <w:lang w:val="en-US" w:eastAsia="zh-CN"/>
              </w:rPr>
              <w:t>（4）控制施工人员和施工设备噪声，减小施工期噪声对保护区动物影响。</w:t>
            </w:r>
          </w:p>
          <w:p>
            <w:pPr>
              <w:spacing w:line="360" w:lineRule="auto"/>
              <w:ind w:firstLine="480" w:firstLineChars="200"/>
              <w:rPr>
                <w:rFonts w:hint="default" w:ascii="t" w:hAnsi="t"/>
                <w:b/>
                <w:snapToGrid w:val="0"/>
                <w:color w:val="auto"/>
                <w:kern w:val="0"/>
                <w:sz w:val="24"/>
                <w:lang w:val="en-US" w:eastAsia="zh-CN"/>
              </w:rPr>
            </w:pPr>
            <w:r>
              <w:rPr>
                <w:rFonts w:hint="eastAsia" w:ascii="t" w:hAnsi="t"/>
                <w:b/>
                <w:snapToGrid w:val="0"/>
                <w:color w:val="auto"/>
                <w:kern w:val="0"/>
                <w:sz w:val="24"/>
                <w:lang w:val="en-US" w:eastAsia="zh-CN"/>
              </w:rPr>
              <w:t>（八）弃渣场环境影响分析</w:t>
            </w:r>
          </w:p>
          <w:p>
            <w:pPr>
              <w:spacing w:line="360" w:lineRule="auto"/>
              <w:ind w:firstLine="480" w:firstLineChars="200"/>
              <w:rPr>
                <w:rFonts w:hint="default" w:ascii="t" w:hAnsi="t"/>
                <w:snapToGrid w:val="0"/>
                <w:color w:val="auto"/>
                <w:kern w:val="0"/>
                <w:sz w:val="24"/>
                <w:lang w:val="en-US" w:eastAsia="zh-CN"/>
              </w:rPr>
            </w:pPr>
            <w:r>
              <w:rPr>
                <w:rFonts w:hint="eastAsia" w:ascii="t" w:hAnsi="t"/>
                <w:snapToGrid w:val="0"/>
                <w:color w:val="auto"/>
                <w:kern w:val="0"/>
                <w:sz w:val="24"/>
                <w:lang w:val="en-US" w:eastAsia="zh-CN"/>
              </w:rPr>
              <w:t>本项目弃渣统一运送至松潘县白羊乡指定的建筑垃圾堆场堆放，现有松潘县白羊乡建筑垃圾堆场距离本项目约5km，根据现场勘查，仍有空余空间可堆场，本项目产生的弃方共计为1030.66m</w:t>
            </w:r>
            <w:r>
              <w:rPr>
                <w:rFonts w:hint="eastAsia" w:ascii="t" w:hAnsi="t"/>
                <w:snapToGrid w:val="0"/>
                <w:color w:val="auto"/>
                <w:kern w:val="0"/>
                <w:sz w:val="24"/>
                <w:vertAlign w:val="superscript"/>
                <w:lang w:val="en-US" w:eastAsia="zh-CN"/>
              </w:rPr>
              <w:t>3</w:t>
            </w:r>
            <w:r>
              <w:rPr>
                <w:rFonts w:hint="eastAsia" w:ascii="t" w:hAnsi="t"/>
                <w:snapToGrid w:val="0"/>
                <w:color w:val="auto"/>
                <w:kern w:val="0"/>
                <w:sz w:val="24"/>
                <w:lang w:val="en-US" w:eastAsia="zh-CN"/>
              </w:rPr>
              <w:t>，产生量较小，对渣场的容量影响较小。</w:t>
            </w:r>
          </w:p>
          <w:p>
            <w:pPr>
              <w:spacing w:line="360" w:lineRule="auto"/>
              <w:rPr>
                <w:rFonts w:hint="eastAsia" w:ascii="t" w:hAnsi="t"/>
                <w:b/>
                <w:bCs/>
                <w:snapToGrid w:val="0"/>
                <w:color w:val="auto"/>
                <w:kern w:val="0"/>
                <w:sz w:val="24"/>
              </w:rPr>
            </w:pPr>
            <w:r>
              <w:rPr>
                <w:rFonts w:hint="eastAsia" w:ascii="t" w:hAnsi="t"/>
                <w:b/>
                <w:bCs/>
                <w:snapToGrid w:val="0"/>
                <w:color w:val="auto"/>
                <w:kern w:val="0"/>
                <w:sz w:val="24"/>
                <w:lang w:val="en-US" w:eastAsia="zh-CN"/>
              </w:rPr>
              <w:t>二、运营期环境影响分析</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snapToGrid w:val="0"/>
                <w:color w:val="auto"/>
                <w:kern w:val="0"/>
                <w:sz w:val="24"/>
              </w:rPr>
            </w:pPr>
            <w:r>
              <w:rPr>
                <w:rFonts w:hint="eastAsia" w:ascii="t" w:hAnsi="t"/>
                <w:snapToGrid w:val="0"/>
                <w:color w:val="auto"/>
                <w:kern w:val="0"/>
                <w:sz w:val="24"/>
              </w:rPr>
              <w:t>本项目为</w:t>
            </w:r>
            <w:r>
              <w:rPr>
                <w:rFonts w:hint="eastAsia" w:ascii="t" w:hAnsi="t"/>
                <w:snapToGrid w:val="0"/>
                <w:color w:val="auto"/>
                <w:kern w:val="0"/>
                <w:sz w:val="24"/>
                <w:lang w:val="en-US" w:eastAsia="zh-CN"/>
              </w:rPr>
              <w:t>地质灾害治理</w:t>
            </w:r>
            <w:r>
              <w:rPr>
                <w:rFonts w:hint="eastAsia" w:ascii="t" w:hAnsi="t"/>
                <w:snapToGrid w:val="0"/>
                <w:color w:val="auto"/>
                <w:kern w:val="0"/>
                <w:sz w:val="24"/>
              </w:rPr>
              <w:t>项目，运营期间不设专人值守，不会产生污染物排放。项目区在泥石流发生后会停滞不定量的泥石流堆积物，该类物质为良好的砂石骨料源，可用于保护区内堤防修复。</w:t>
            </w:r>
          </w:p>
          <w:p>
            <w:pPr>
              <w:pStyle w:val="29"/>
              <w:keepNext w:val="0"/>
              <w:keepLines w:val="0"/>
              <w:pageBreakBefore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1、生态环境影响分析</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防洪工程建成后，除保护村庄、现有耕地、植波免遭毁坏外，还可减轻水土流失。改善植被覆盖率，将极大的减少区内水土流失，使该区内环境朝良性方向发展，将产生如下效果：</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（1）减少水土流失；</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（2）可减轻洪灾对璜环沟耕地及农作物的危害。为农作物生长和增产创造了良好条件。</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2、社会环境的影响分析</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防洪工程的建设，可以提高璜环沟沿线防洪减灾的能力，促进松潘县白羊乡茶园坪村社会经济的可持续发展。</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（1）社会环境正效益分析</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本工程实施后，农业生态环境的改善将促使社会环境从根本上有所改善。</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①保护现有耕地。增产保粮，为农业生产稳定持续发展莫定了基础。</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②植被面积增加，生态环境进一步改善，将全面促进多种经济的发展，改变单一的农业生产结构。</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③有效遏制洪灾的发生，为当地群众创造了良好的环境和生产、生活条件。这对改善了人们的生存环境，为当地群众创造良好的社会环境和生产生活条件。并对稳定群众思想情绪、加强民族团结、促进社会安定具有重要的经济政治意义。</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（2）社会环境风险分析</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本项目的建设主要为环境正效益，有效改善了人居环境，工程建设用地为集体用地，不征用土地，不涉及移民搬迁，不存在环境风险。</w:t>
            </w:r>
          </w:p>
          <w:p>
            <w:pPr>
              <w:pStyle w:val="30"/>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olor w:val="auto"/>
                <w:lang w:val="en-US" w:eastAsia="zh-CN"/>
              </w:rPr>
            </w:pPr>
            <w:r>
              <w:rPr>
                <w:rFonts w:hint="eastAsia"/>
                <w:color w:val="auto"/>
                <w:lang w:val="en-US" w:eastAsia="zh-CN"/>
              </w:rPr>
              <w:t>3、行洪影响分析</w:t>
            </w:r>
          </w:p>
          <w:p>
            <w:pPr>
              <w:pStyle w:val="30"/>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rFonts w:hint="eastAsia"/>
                <w:color w:val="auto"/>
                <w:lang w:val="en-US" w:eastAsia="zh-CN"/>
              </w:rPr>
              <w:t>项目建成后对</w:t>
            </w:r>
            <w:r>
              <w:rPr>
                <w:rFonts w:hint="eastAsia" w:ascii="t" w:hAnsi="t" w:eastAsiaTheme="minorEastAsia" w:cstheme="minorBidi"/>
                <w:snapToGrid w:val="0"/>
                <w:color w:val="auto"/>
                <w:kern w:val="0"/>
                <w:sz w:val="24"/>
                <w:szCs w:val="24"/>
                <w:lang w:val="en-US" w:eastAsia="zh-CN" w:bidi="ar-SA"/>
              </w:rPr>
              <w:t>璜环沟</w:t>
            </w:r>
            <w:r>
              <w:rPr>
                <w:rFonts w:hint="eastAsia"/>
                <w:color w:val="auto"/>
                <w:lang w:val="en-US" w:eastAsia="zh-CN"/>
              </w:rPr>
              <w:t>的洪水起到了有效的保护，将项目区洪水经排导堤排至下游白草河防洪体系，不会对下游的村庄造成影响。</w:t>
            </w:r>
          </w:p>
          <w:p>
            <w:pPr>
              <w:pStyle w:val="30"/>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olor w:val="auto"/>
                <w:lang w:val="en-US" w:eastAsia="zh-CN"/>
              </w:rPr>
            </w:pPr>
            <w:r>
              <w:rPr>
                <w:rFonts w:hint="eastAsia"/>
                <w:color w:val="auto"/>
                <w:lang w:val="en-US" w:eastAsia="zh-CN"/>
              </w:rPr>
              <w:t>4、拦挡坝清淤工程</w:t>
            </w:r>
          </w:p>
          <w:p>
            <w:pPr>
              <w:pStyle w:val="30"/>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color w:val="auto"/>
                <w:lang w:val="en-US" w:eastAsia="zh-CN"/>
              </w:rPr>
            </w:pPr>
            <w:r>
              <w:rPr>
                <w:rFonts w:hint="eastAsia"/>
                <w:color w:val="auto"/>
                <w:lang w:val="en-US" w:eastAsia="zh-CN"/>
              </w:rPr>
              <w:t>本项目运营期在有泥石流洪水的情况下，拦挡坝会淤积一定的淤泥。淤泥需要及时清理以免影响后续防洪。淤泥量与洪水爆发次序有关，环评要求建设单位一旦发生洪水有淤泥淤积的情形下，建设单位应及时组织清理，淤泥清理至当地城建部门指定的地点堆存，对环境影响较小。</w:t>
            </w:r>
          </w:p>
          <w:p>
            <w:pPr>
              <w:pStyle w:val="30"/>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5、环境正效益</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（1）疏浚河槽、巩固河岸，提高城市防洪能力</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本项目泥石流治理工程建成后，巩固河岸，使保护区防洪能力达到50年一遇洪水标准，同时提升城镇的整体形象。</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（2）提高河道行洪能力，改善水环境</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兴建泥石流治理工程，不仅可以拓宽、疏通河道，减少洪灾损失，而且也是璜环沟、涪江流域水环境综合治理的重要部分，有利于项目区域水土保持和环境卫生的改观。</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（3）兴建防洪工程是水土保持的需要</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受地震灾害影响璜环沟沿岸部分地段防洪措施不断垮塌，水土流失日益严重，新建归流堤、副坝基础挡土墙、排导槽边墙、底板修复及清淤对水土保持将起到积极的作用。</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（4）形成完整防洪体系，保障灾民生命财产安全</w:t>
            </w:r>
          </w:p>
          <w:p>
            <w:pPr>
              <w:pStyle w:val="31"/>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地质灾害是影响当地社会稳定，制约经济发展的严重问题。本工程完工后，加大了璜环沟泄洪能力，减少河道侵蚀，保护沟道下游的农田和居民的生命财产安全，消除了地质灾害对经济发展的不利影响，并将有效地保护影响区内居民点、交通等公共设施。因此，整个防治工程有利于社会发展和人民安居乐业。</w:t>
            </w:r>
          </w:p>
          <w:p>
            <w:pPr>
              <w:spacing w:line="360" w:lineRule="auto"/>
              <w:rPr>
                <w:rFonts w:hint="default" w:ascii="t" w:hAnsi="t"/>
                <w:b/>
                <w:snapToGrid w:val="0"/>
                <w:color w:val="auto"/>
                <w:sz w:val="24"/>
                <w:lang w:val="en-US" w:eastAsia="zh-CN"/>
              </w:rPr>
            </w:pPr>
            <w:r>
              <w:rPr>
                <w:rFonts w:hint="eastAsia" w:ascii="t" w:hAnsi="t"/>
                <w:b/>
                <w:snapToGrid w:val="0"/>
                <w:color w:val="auto"/>
                <w:sz w:val="24"/>
                <w:lang w:val="en-US" w:eastAsia="zh-CN"/>
              </w:rPr>
              <w:t>三、环境风险分析</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所谓“环境风险”是指突发性事故对环境造成的危害程度及可能性。根据《建设项目环境风险评价技术导则》（HJ169-2018）相关技术要求，本评价将对施工过程中可能发生的事故风险进行环境影响分析，提出防范及应急措施，力求将环境风险降至最低。</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（1）风险调查</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根据工程施工特点、周围环境特点以及工程与周围环境之间的关系分析施工期的环境风险，风险主要体现在：废水处理设施事故引起水质污染；</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（2）风险评价工作等级</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本项目的环境风险潜势为I，根据风险评价工作等级判定，本项目只需进行简单分析，因此本项目环境风险评价工作主要进行可能的事故类型及源项分析，提出防范、减缓和应急措施。</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（3）风险识别及分析</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本工程正常施工期间生产废水经沉淀处理后回用，施工现场生活污水依托当地农户化粪池处理，不外排。不会对周边水体水质产生不良影响。当污废水事故排放，污水未经处理而直接排入河道，可能对璜环沟水质产生一定的影响。事故排放将使下游河段COD、SS和石油类浓度增值较大，在短距离范围内超标严重。因此，工程施工期间应当严格把好安全关，杜绝事故排放。严禁将施工废水、废液排入河流等地表水体。</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（4）风险分析结论</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 w:hAnsi="t" w:eastAsiaTheme="minorEastAsia" w:cstheme="minorBidi"/>
                <w:snapToGrid w:val="0"/>
                <w:color w:val="auto"/>
                <w:kern w:val="0"/>
                <w:sz w:val="24"/>
                <w:szCs w:val="24"/>
                <w:lang w:val="en-US" w:eastAsia="zh-CN" w:bidi="ar-SA"/>
              </w:rPr>
            </w:pPr>
            <w:r>
              <w:rPr>
                <w:rFonts w:hint="eastAsia" w:ascii="t" w:hAnsi="t" w:eastAsiaTheme="minorEastAsia" w:cstheme="minorBidi"/>
                <w:snapToGrid w:val="0"/>
                <w:color w:val="auto"/>
                <w:kern w:val="0"/>
                <w:sz w:val="24"/>
                <w:szCs w:val="24"/>
                <w:lang w:val="en-US" w:eastAsia="zh-CN" w:bidi="ar-SA"/>
              </w:rPr>
              <w:t>本项目涉及的主要环境风险危害物质为柴油等，在严格落实本次评价提出的各项环境风险防范措施和应急预案、安全评价提出的各项要求的情况下，从环境风险角度，项目建设可行。</w:t>
            </w:r>
          </w:p>
          <w:p>
            <w:pPr>
              <w:spacing w:line="360" w:lineRule="auto"/>
              <w:rPr>
                <w:rFonts w:hint="default" w:ascii="t" w:hAnsi="t" w:eastAsiaTheme="minorEastAsia"/>
                <w:b/>
                <w:snapToGrid w:val="0"/>
                <w:color w:val="auto"/>
                <w:sz w:val="24"/>
                <w:lang w:val="en-US" w:eastAsia="zh-CN"/>
              </w:rPr>
            </w:pPr>
            <w:r>
              <w:rPr>
                <w:rFonts w:hint="eastAsia" w:ascii="t" w:hAnsi="t"/>
                <w:b/>
                <w:snapToGrid w:val="0"/>
                <w:color w:val="auto"/>
                <w:sz w:val="24"/>
                <w:lang w:val="en-US" w:eastAsia="zh-CN"/>
              </w:rPr>
              <w:t>四、环境管理与监控计划</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由于工程施工期间会对周边声和大气等环境产生一定时间和范用的影响，为最大限度减少工程建设对环境带来的不利影响，保证工程完建后良好的运行。需建立专门的环境保护机构，对工程的施工期以及</w:t>
            </w:r>
            <w:r>
              <w:rPr>
                <w:rFonts w:hint="eastAsia" w:ascii="t" w:hAnsi="t"/>
                <w:b w:val="0"/>
                <w:bCs/>
                <w:snapToGrid w:val="0"/>
                <w:color w:val="auto"/>
                <w:sz w:val="24"/>
                <w:lang w:val="en-US" w:eastAsia="zh-CN"/>
              </w:rPr>
              <w:t>营</w:t>
            </w:r>
            <w:r>
              <w:rPr>
                <w:rFonts w:hint="eastAsia" w:ascii="t" w:hAnsi="t"/>
                <w:b w:val="0"/>
                <w:bCs/>
                <w:snapToGrid w:val="0"/>
                <w:color w:val="auto"/>
                <w:sz w:val="24"/>
                <w:lang w:eastAsia="zh-CN"/>
              </w:rPr>
              <w:t>运期的环</w:t>
            </w:r>
            <w:r>
              <w:rPr>
                <w:rFonts w:hint="eastAsia" w:ascii="t" w:hAnsi="t"/>
                <w:b w:val="0"/>
                <w:bCs/>
                <w:snapToGrid w:val="0"/>
                <w:color w:val="auto"/>
                <w:sz w:val="24"/>
                <w:lang w:val="en-US" w:eastAsia="zh-CN"/>
              </w:rPr>
              <w:t>境</w:t>
            </w:r>
            <w:r>
              <w:rPr>
                <w:rFonts w:hint="eastAsia" w:ascii="t" w:hAnsi="t"/>
                <w:b w:val="0"/>
                <w:bCs/>
                <w:snapToGrid w:val="0"/>
                <w:color w:val="auto"/>
                <w:sz w:val="24"/>
                <w:lang w:eastAsia="zh-CN"/>
              </w:rPr>
              <w:t>开展保护工作。</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l、环境</w:t>
            </w:r>
            <w:r>
              <w:rPr>
                <w:rFonts w:hint="eastAsia" w:ascii="t" w:hAnsi="t"/>
                <w:b w:val="0"/>
                <w:bCs/>
                <w:snapToGrid w:val="0"/>
                <w:color w:val="auto"/>
                <w:sz w:val="24"/>
                <w:lang w:val="en-US" w:eastAsia="zh-CN"/>
              </w:rPr>
              <w:t>监控</w:t>
            </w:r>
            <w:r>
              <w:rPr>
                <w:rFonts w:hint="eastAsia" w:ascii="t" w:hAnsi="t"/>
                <w:b w:val="0"/>
                <w:bCs/>
                <w:snapToGrid w:val="0"/>
                <w:color w:val="auto"/>
                <w:sz w:val="24"/>
                <w:lang w:eastAsia="zh-CN"/>
              </w:rPr>
              <w:t>体系</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拟建项目施工管理组成应包括建设单位、监理单位、施工单位在内的三级管理体系；同时要求工程设计单位做好服务和配合。</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施工单位应加强自身的环境管理，各施工单位须配备必要的专、兼职环保管理人员。这些人员应是施工前经过相关培训、具备一定能力和资质的技术人员，并赋予其相应的职责和权力，使其充分发挥施工现场环保监督、管理职能，确保工程施工按照国家有关环保法规及工程设计的措施要求进行。</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监理单位应根据环境影响报告表，环保工程施工设计文件及施工合同中规定执行的各项环保措施作为监理工作重要内容，并要求工程施工严格按照国家、地方有关环保法规、标准进行.对建设项目的各项环保工程建设质量把关。监督施工单位落实施工中应采取的各项环保措施。施工建设阶段。环境管理监督机构的职责如下：</w:t>
            </w:r>
          </w:p>
          <w:p>
            <w:pPr>
              <w:numPr>
                <w:ilvl w:val="0"/>
                <w:numId w:val="0"/>
              </w:num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1</w:t>
            </w:r>
            <w:r>
              <w:rPr>
                <w:rFonts w:hint="eastAsia" w:ascii="t" w:hAnsi="t"/>
                <w:b w:val="0"/>
                <w:bCs/>
                <w:snapToGrid w:val="0"/>
                <w:color w:val="auto"/>
                <w:sz w:val="24"/>
                <w:lang w:eastAsia="zh-CN"/>
              </w:rPr>
              <w:t>）监督施工单位按时提交施工方案，协助建设单位、上级主管部门和环保部门对施工方案进行检查和审核。以确保施工方案符合国家有关法律、法规要求；</w:t>
            </w:r>
          </w:p>
          <w:p>
            <w:pPr>
              <w:numPr>
                <w:ilvl w:val="0"/>
                <w:numId w:val="0"/>
              </w:num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2</w:t>
            </w:r>
            <w:r>
              <w:rPr>
                <w:rFonts w:hint="eastAsia" w:ascii="t" w:hAnsi="t"/>
                <w:b w:val="0"/>
                <w:bCs/>
                <w:snapToGrid w:val="0"/>
                <w:color w:val="auto"/>
                <w:sz w:val="24"/>
                <w:lang w:eastAsia="zh-CN"/>
              </w:rPr>
              <w:t>）对施工单位提出施工具体环境保护要求.井监督其污染防治措施的实施；</w:t>
            </w:r>
          </w:p>
          <w:p>
            <w:pPr>
              <w:spacing w:line="360" w:lineRule="auto"/>
              <w:ind w:firstLine="480" w:firstLineChars="200"/>
              <w:rPr>
                <w:rFonts w:hint="eastAsia" w:ascii="t" w:hAnsi="t"/>
                <w:b w:val="0"/>
                <w:bCs/>
                <w:snapToGrid w:val="0"/>
                <w:color w:val="auto"/>
                <w:sz w:val="24"/>
                <w:lang w:val="en-US"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3</w:t>
            </w:r>
            <w:r>
              <w:rPr>
                <w:rFonts w:hint="eastAsia" w:ascii="t" w:hAnsi="t"/>
                <w:b w:val="0"/>
                <w:bCs/>
                <w:snapToGrid w:val="0"/>
                <w:color w:val="auto"/>
                <w:sz w:val="24"/>
                <w:lang w:eastAsia="zh-CN"/>
              </w:rPr>
              <w:t>）监督环保工程的实施情况，确保与主体工程同时投产使用:监督工程施工质</w:t>
            </w:r>
            <w:r>
              <w:rPr>
                <w:rFonts w:hint="eastAsia" w:ascii="t" w:hAnsi="t"/>
                <w:b w:val="0"/>
                <w:bCs/>
                <w:snapToGrid w:val="0"/>
                <w:color w:val="auto"/>
                <w:sz w:val="24"/>
                <w:lang w:val="en-US" w:eastAsia="zh-CN"/>
              </w:rPr>
              <w:t>量；</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4</w:t>
            </w:r>
            <w:r>
              <w:rPr>
                <w:rFonts w:hint="eastAsia" w:ascii="t" w:hAnsi="t"/>
                <w:b w:val="0"/>
                <w:bCs/>
                <w:snapToGrid w:val="0"/>
                <w:color w:val="auto"/>
                <w:sz w:val="24"/>
                <w:lang w:eastAsia="zh-CN"/>
              </w:rPr>
              <w:t>）协助施工单位和建设单位开展环保法律、法规及环保知识的宜传和培训，增强施工人员的环保意识和法制观念，贯彻“预防为主，防治结合，因地制宜，综合治理”的</w:t>
            </w:r>
            <w:r>
              <w:rPr>
                <w:rFonts w:hint="eastAsia" w:ascii="t" w:hAnsi="t"/>
                <w:b w:val="0"/>
                <w:bCs/>
                <w:snapToGrid w:val="0"/>
                <w:color w:val="auto"/>
                <w:sz w:val="24"/>
                <w:lang w:val="en-US" w:eastAsia="zh-CN"/>
              </w:rPr>
              <w:t>指</w:t>
            </w:r>
            <w:r>
              <w:rPr>
                <w:rFonts w:hint="eastAsia" w:ascii="t" w:hAnsi="t"/>
                <w:b w:val="0"/>
                <w:bCs/>
                <w:snapToGrid w:val="0"/>
                <w:color w:val="auto"/>
                <w:sz w:val="24"/>
                <w:lang w:eastAsia="zh-CN"/>
              </w:rPr>
              <w:t>导方针；</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5</w:t>
            </w:r>
            <w:r>
              <w:rPr>
                <w:rFonts w:hint="eastAsia" w:ascii="t" w:hAnsi="t"/>
                <w:b w:val="0"/>
                <w:bCs/>
                <w:snapToGrid w:val="0"/>
                <w:color w:val="auto"/>
                <w:sz w:val="24"/>
                <w:lang w:eastAsia="zh-CN"/>
              </w:rPr>
              <w:t>）监督施工单位对弃土、弃石的堆存处置工作，确保符合有关环保要求；</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6</w:t>
            </w:r>
            <w:r>
              <w:rPr>
                <w:rFonts w:hint="eastAsia" w:ascii="t" w:hAnsi="t"/>
                <w:b w:val="0"/>
                <w:bCs/>
                <w:snapToGrid w:val="0"/>
                <w:color w:val="auto"/>
                <w:sz w:val="24"/>
                <w:lang w:eastAsia="zh-CN"/>
              </w:rPr>
              <w:t>）监督施工结束后施工场地的清理整治工作，恢复原有地貌和临时占地的植被。施工期产生的垃圾应送集中堆放点堆放。</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2、</w:t>
            </w:r>
            <w:r>
              <w:rPr>
                <w:rFonts w:hint="eastAsia" w:ascii="t" w:hAnsi="t"/>
                <w:b w:val="0"/>
                <w:bCs/>
                <w:snapToGrid w:val="0"/>
                <w:color w:val="auto"/>
                <w:sz w:val="24"/>
                <w:lang w:val="en-US" w:eastAsia="zh-CN"/>
              </w:rPr>
              <w:t>环境管</w:t>
            </w:r>
            <w:r>
              <w:rPr>
                <w:rFonts w:hint="eastAsia" w:ascii="t" w:hAnsi="t"/>
                <w:b w:val="0"/>
                <w:bCs/>
                <w:snapToGrid w:val="0"/>
                <w:color w:val="auto"/>
                <w:sz w:val="24"/>
                <w:lang w:eastAsia="zh-CN"/>
              </w:rPr>
              <w:t>理要求</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1</w:t>
            </w:r>
            <w:r>
              <w:rPr>
                <w:rFonts w:hint="eastAsia" w:ascii="t" w:hAnsi="t"/>
                <w:b w:val="0"/>
                <w:bCs/>
                <w:snapToGrid w:val="0"/>
                <w:color w:val="auto"/>
                <w:sz w:val="24"/>
                <w:lang w:eastAsia="zh-CN"/>
              </w:rPr>
              <w:t>）建设单位与施工单位签定工程承包合同中，应包括有关工程施工期间环境保护条款，包括工程施工中生态环境保护(水土保持)、施工期间环境污染控制。污染物排放管理，施工人员环保教育及相关奖惩</w:t>
            </w:r>
            <w:r>
              <w:rPr>
                <w:rFonts w:hint="eastAsia" w:ascii="t" w:hAnsi="t"/>
                <w:b w:val="0"/>
                <w:bCs/>
                <w:snapToGrid w:val="0"/>
                <w:color w:val="auto"/>
                <w:sz w:val="24"/>
                <w:lang w:val="en-US" w:eastAsia="zh-CN"/>
              </w:rPr>
              <w:t>条款：</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2</w:t>
            </w:r>
            <w:r>
              <w:rPr>
                <w:rFonts w:hint="eastAsia" w:ascii="t" w:hAnsi="t"/>
                <w:b w:val="0"/>
                <w:bCs/>
                <w:snapToGrid w:val="0"/>
                <w:color w:val="auto"/>
                <w:sz w:val="24"/>
                <w:lang w:eastAsia="zh-CN"/>
              </w:rPr>
              <w:t>）施工单位应提高环保意识。加强驻地和施工现场的环境管理。合理安排施工计划。切实做到组织计划严谨，文明施工；环保措施逐项落实到位，环保工程与主体工程同时实施、同时运行，环保工程费用</w:t>
            </w:r>
            <w:r>
              <w:rPr>
                <w:rFonts w:hint="eastAsia" w:ascii="t" w:hAnsi="t"/>
                <w:b w:val="0"/>
                <w:bCs/>
                <w:snapToGrid w:val="0"/>
                <w:color w:val="auto"/>
                <w:sz w:val="24"/>
                <w:lang w:val="en-US" w:eastAsia="zh-CN"/>
              </w:rPr>
              <w:t>专款</w:t>
            </w:r>
            <w:r>
              <w:rPr>
                <w:rFonts w:hint="eastAsia" w:ascii="t" w:hAnsi="t"/>
                <w:b w:val="0"/>
                <w:bCs/>
                <w:snapToGrid w:val="0"/>
                <w:color w:val="auto"/>
                <w:sz w:val="24"/>
                <w:lang w:eastAsia="zh-CN"/>
              </w:rPr>
              <w:t>专用，不愉工减料，延误工期；</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3</w:t>
            </w:r>
            <w:r>
              <w:rPr>
                <w:rFonts w:hint="eastAsia" w:ascii="t" w:hAnsi="t"/>
                <w:b w:val="0"/>
                <w:bCs/>
                <w:snapToGrid w:val="0"/>
                <w:color w:val="auto"/>
                <w:sz w:val="24"/>
                <w:lang w:eastAsia="zh-CN"/>
              </w:rPr>
              <w:t>）施工单位应特别注意工程施工中的水土保持，尽可能保护好沿线</w:t>
            </w:r>
            <w:r>
              <w:rPr>
                <w:rFonts w:hint="eastAsia" w:ascii="t" w:hAnsi="t"/>
                <w:b w:val="0"/>
                <w:bCs/>
                <w:snapToGrid w:val="0"/>
                <w:color w:val="auto"/>
                <w:sz w:val="24"/>
                <w:lang w:val="en-US" w:eastAsia="zh-CN"/>
              </w:rPr>
              <w:t>土壤，</w:t>
            </w:r>
            <w:r>
              <w:rPr>
                <w:rFonts w:hint="eastAsia" w:ascii="t" w:hAnsi="t"/>
                <w:b w:val="0"/>
                <w:bCs/>
                <w:snapToGrid w:val="0"/>
                <w:color w:val="auto"/>
                <w:sz w:val="24"/>
                <w:lang w:eastAsia="zh-CN"/>
              </w:rPr>
              <w:t>植被、弃土、弃石须运至设计中指定地点弃置，严禁随意堆置；</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4</w:t>
            </w:r>
            <w:r>
              <w:rPr>
                <w:rFonts w:hint="eastAsia" w:ascii="t" w:hAnsi="t"/>
                <w:b w:val="0"/>
                <w:bCs/>
                <w:snapToGrid w:val="0"/>
                <w:color w:val="auto"/>
                <w:sz w:val="24"/>
                <w:lang w:eastAsia="zh-CN"/>
              </w:rPr>
              <w:t>）各施工现场、施工单位驻地及其他施工临时设施，应加强环坡管理，施工污水禁止无组织排放，尽可能集中收集沉淀处理后用于场地及道路抑尘；工地应采取降尘措施，工程施工完毕后施工单位及时清理和恢复施工现场，妥善处理生活垃圾与施工弃</w:t>
            </w:r>
            <w:r>
              <w:rPr>
                <w:rFonts w:hint="eastAsia" w:ascii="t" w:hAnsi="t"/>
                <w:b w:val="0"/>
                <w:bCs/>
                <w:snapToGrid w:val="0"/>
                <w:color w:val="auto"/>
                <w:sz w:val="24"/>
                <w:lang w:val="en-US" w:eastAsia="zh-CN"/>
              </w:rPr>
              <w:t>渣</w:t>
            </w:r>
            <w:r>
              <w:rPr>
                <w:rFonts w:hint="eastAsia" w:ascii="t" w:hAnsi="t"/>
                <w:b w:val="0"/>
                <w:bCs/>
                <w:snapToGrid w:val="0"/>
                <w:color w:val="auto"/>
                <w:sz w:val="24"/>
                <w:lang w:eastAsia="zh-CN"/>
              </w:rPr>
              <w:t>，减少扬尘；施工现场应执行《建筑施工场界嗓声限值》(GB 12523-2011)中的有关规定和要求；</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5</w:t>
            </w:r>
            <w:r>
              <w:rPr>
                <w:rFonts w:hint="eastAsia" w:ascii="t" w:hAnsi="t"/>
                <w:b w:val="0"/>
                <w:bCs/>
                <w:snapToGrid w:val="0"/>
                <w:color w:val="auto"/>
                <w:sz w:val="24"/>
                <w:lang w:eastAsia="zh-CN"/>
              </w:rPr>
              <w:t>）认真落实各项补偿措施，做好工程各项环保设施的施工监理与验收，保证环保工程质</w:t>
            </w:r>
            <w:r>
              <w:rPr>
                <w:rFonts w:hint="eastAsia" w:ascii="t" w:hAnsi="t"/>
                <w:b w:val="0"/>
                <w:bCs/>
                <w:snapToGrid w:val="0"/>
                <w:color w:val="auto"/>
                <w:sz w:val="24"/>
                <w:lang w:val="en-US" w:eastAsia="zh-CN"/>
              </w:rPr>
              <w:t>量</w:t>
            </w:r>
            <w:r>
              <w:rPr>
                <w:rFonts w:hint="eastAsia" w:ascii="t" w:hAnsi="t"/>
                <w:b w:val="0"/>
                <w:bCs/>
                <w:snapToGrid w:val="0"/>
                <w:color w:val="auto"/>
                <w:sz w:val="24"/>
                <w:lang w:eastAsia="zh-CN"/>
              </w:rPr>
              <w:t>，真正做到环保工程“三同时”。</w:t>
            </w:r>
          </w:p>
          <w:p>
            <w:pPr>
              <w:spacing w:line="360" w:lineRule="auto"/>
              <w:ind w:firstLine="480" w:firstLineChars="200"/>
              <w:rPr>
                <w:rFonts w:hint="default" w:ascii="t" w:hAnsi="t"/>
                <w:b w:val="0"/>
                <w:bCs/>
                <w:snapToGrid w:val="0"/>
                <w:color w:val="auto"/>
                <w:sz w:val="24"/>
                <w:lang w:val="en-US" w:eastAsia="zh-CN"/>
              </w:rPr>
            </w:pPr>
            <w:r>
              <w:rPr>
                <w:rFonts w:hint="eastAsia" w:ascii="t" w:hAnsi="t"/>
                <w:b w:val="0"/>
                <w:bCs/>
                <w:snapToGrid w:val="0"/>
                <w:color w:val="auto"/>
                <w:sz w:val="24"/>
                <w:lang w:eastAsia="zh-CN"/>
              </w:rPr>
              <w:t>3、监</w:t>
            </w:r>
            <w:r>
              <w:rPr>
                <w:rFonts w:hint="eastAsia" w:ascii="t" w:hAnsi="t"/>
                <w:b w:val="0"/>
                <w:bCs/>
                <w:snapToGrid w:val="0"/>
                <w:color w:val="auto"/>
                <w:sz w:val="24"/>
                <w:lang w:val="en-US" w:eastAsia="zh-CN"/>
              </w:rPr>
              <w:t>控计划</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1</w:t>
            </w:r>
            <w:r>
              <w:rPr>
                <w:rFonts w:hint="eastAsia" w:ascii="t" w:hAnsi="t"/>
                <w:b w:val="0"/>
                <w:bCs/>
                <w:snapToGrid w:val="0"/>
                <w:color w:val="auto"/>
                <w:sz w:val="24"/>
                <w:lang w:eastAsia="zh-CN"/>
              </w:rPr>
              <w:t>）协调各施工段的关系，计算好运输车辆流</w:t>
            </w:r>
            <w:r>
              <w:rPr>
                <w:rFonts w:hint="eastAsia" w:ascii="t" w:hAnsi="t"/>
                <w:b w:val="0"/>
                <w:bCs/>
                <w:snapToGrid w:val="0"/>
                <w:color w:val="auto"/>
                <w:sz w:val="24"/>
                <w:lang w:val="en-US" w:eastAsia="zh-CN"/>
              </w:rPr>
              <w:t>量</w:t>
            </w:r>
            <w:r>
              <w:rPr>
                <w:rFonts w:hint="eastAsia" w:ascii="t" w:hAnsi="t"/>
                <w:b w:val="0"/>
                <w:bCs/>
                <w:snapToGrid w:val="0"/>
                <w:color w:val="auto"/>
                <w:sz w:val="24"/>
                <w:lang w:eastAsia="zh-CN"/>
              </w:rPr>
              <w:t>，合理分配车辆运</w:t>
            </w:r>
            <w:r>
              <w:rPr>
                <w:rFonts w:hint="eastAsia" w:ascii="t" w:hAnsi="t"/>
                <w:b w:val="0"/>
                <w:bCs/>
                <w:snapToGrid w:val="0"/>
                <w:color w:val="auto"/>
                <w:sz w:val="24"/>
                <w:lang w:val="en-US" w:eastAsia="zh-CN"/>
              </w:rPr>
              <w:t>营</w:t>
            </w:r>
            <w:r>
              <w:rPr>
                <w:rFonts w:hint="eastAsia" w:ascii="t" w:hAnsi="t"/>
                <w:b w:val="0"/>
                <w:bCs/>
                <w:snapToGrid w:val="0"/>
                <w:color w:val="auto"/>
                <w:sz w:val="24"/>
                <w:lang w:eastAsia="zh-CN"/>
              </w:rPr>
              <w:t>。</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2</w:t>
            </w:r>
            <w:r>
              <w:rPr>
                <w:rFonts w:hint="eastAsia" w:ascii="t" w:hAnsi="t"/>
                <w:b w:val="0"/>
                <w:bCs/>
                <w:snapToGrid w:val="0"/>
                <w:color w:val="auto"/>
                <w:sz w:val="24"/>
                <w:lang w:eastAsia="zh-CN"/>
              </w:rPr>
              <w:t>）施工线路较长，需合理进行施工部署。优选最佳方案，合理布设及使用施工机械，对施工</w:t>
            </w:r>
            <w:r>
              <w:rPr>
                <w:rFonts w:hint="eastAsia" w:ascii="t" w:hAnsi="t"/>
                <w:b w:val="0"/>
                <w:bCs/>
                <w:snapToGrid w:val="0"/>
                <w:color w:val="auto"/>
                <w:sz w:val="24"/>
                <w:lang w:val="en-US" w:eastAsia="zh-CN"/>
              </w:rPr>
              <w:t>噪</w:t>
            </w:r>
            <w:r>
              <w:rPr>
                <w:rFonts w:hint="eastAsia" w:ascii="t" w:hAnsi="t"/>
                <w:b w:val="0"/>
                <w:bCs/>
                <w:snapToGrid w:val="0"/>
                <w:color w:val="auto"/>
                <w:sz w:val="24"/>
                <w:lang w:eastAsia="zh-CN"/>
              </w:rPr>
              <w:t>声、施工垃圾做好控制管理工作。施工中对</w:t>
            </w:r>
            <w:r>
              <w:rPr>
                <w:rFonts w:hint="eastAsia" w:ascii="t" w:hAnsi="t"/>
                <w:b w:val="0"/>
                <w:bCs/>
                <w:snapToGrid w:val="0"/>
                <w:color w:val="auto"/>
                <w:sz w:val="24"/>
                <w:lang w:val="en-US" w:eastAsia="zh-CN"/>
              </w:rPr>
              <w:t>噪音</w:t>
            </w:r>
            <w:r>
              <w:rPr>
                <w:rFonts w:hint="eastAsia" w:ascii="t" w:hAnsi="t"/>
                <w:b w:val="0"/>
                <w:bCs/>
                <w:snapToGrid w:val="0"/>
                <w:color w:val="auto"/>
                <w:sz w:val="24"/>
                <w:lang w:eastAsia="zh-CN"/>
              </w:rPr>
              <w:t>的污染要严格进行控制。以保证周边环境不因施工噪音而受到破坏。严格控制人为</w:t>
            </w:r>
            <w:r>
              <w:rPr>
                <w:rFonts w:hint="eastAsia" w:ascii="t" w:hAnsi="t"/>
                <w:b w:val="0"/>
                <w:bCs/>
                <w:snapToGrid w:val="0"/>
                <w:color w:val="auto"/>
                <w:sz w:val="24"/>
                <w:lang w:val="en-US" w:eastAsia="zh-CN"/>
              </w:rPr>
              <w:t>噪声</w:t>
            </w:r>
            <w:r>
              <w:rPr>
                <w:rFonts w:hint="eastAsia" w:ascii="t" w:hAnsi="t"/>
                <w:b w:val="0"/>
                <w:bCs/>
                <w:snapToGrid w:val="0"/>
                <w:color w:val="auto"/>
                <w:sz w:val="24"/>
                <w:lang w:eastAsia="zh-CN"/>
              </w:rPr>
              <w:t>，进入施工现场不得高声喊叫、无故摔打模板、乱吹哨。杜绝高音喇叭的使用，最大限度地减少</w:t>
            </w:r>
            <w:r>
              <w:rPr>
                <w:rFonts w:hint="eastAsia" w:ascii="t" w:hAnsi="t"/>
                <w:b w:val="0"/>
                <w:bCs/>
                <w:snapToGrid w:val="0"/>
                <w:color w:val="auto"/>
                <w:sz w:val="24"/>
                <w:lang w:val="en-US" w:eastAsia="zh-CN"/>
              </w:rPr>
              <w:t>噪声</w:t>
            </w:r>
            <w:r>
              <w:rPr>
                <w:rFonts w:hint="eastAsia" w:ascii="t" w:hAnsi="t"/>
                <w:b w:val="0"/>
                <w:bCs/>
                <w:snapToGrid w:val="0"/>
                <w:color w:val="auto"/>
                <w:sz w:val="24"/>
                <w:lang w:eastAsia="zh-CN"/>
              </w:rPr>
              <w:t>干扰。施工现场</w:t>
            </w:r>
            <w:r>
              <w:rPr>
                <w:rFonts w:hint="eastAsia" w:ascii="t" w:hAnsi="t"/>
                <w:b w:val="0"/>
                <w:bCs/>
                <w:snapToGrid w:val="0"/>
                <w:color w:val="auto"/>
                <w:sz w:val="24"/>
                <w:lang w:val="en-US" w:eastAsia="zh-CN"/>
              </w:rPr>
              <w:t>噪音</w:t>
            </w:r>
            <w:r>
              <w:rPr>
                <w:rFonts w:hint="eastAsia" w:ascii="t" w:hAnsi="t"/>
                <w:b w:val="0"/>
                <w:bCs/>
                <w:snapToGrid w:val="0"/>
                <w:color w:val="auto"/>
                <w:sz w:val="24"/>
                <w:lang w:eastAsia="zh-CN"/>
              </w:rPr>
              <w:t>按照有关的规定进行控制，不得影响施工现场单位的正常工作。</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3</w:t>
            </w:r>
            <w:r>
              <w:rPr>
                <w:rFonts w:hint="eastAsia" w:ascii="t" w:hAnsi="t"/>
                <w:b w:val="0"/>
                <w:bCs/>
                <w:snapToGrid w:val="0"/>
                <w:color w:val="auto"/>
                <w:sz w:val="24"/>
                <w:lang w:eastAsia="zh-CN"/>
              </w:rPr>
              <w:t>）废弃物管理消纳达标：废弃物不在现场乱扔，运出后不污染土地，在施工现场搭设封闭垃圾站。建筑垃圾与生活垃圾分离；建筑垃圾应分检再入垃圾站，并找有渣土消纳资质的单位运走。</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4、环境监测计划</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1</w:t>
            </w: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环境</w:t>
            </w:r>
            <w:r>
              <w:rPr>
                <w:rFonts w:hint="eastAsia" w:ascii="t" w:hAnsi="t"/>
                <w:b w:val="0"/>
                <w:bCs/>
                <w:snapToGrid w:val="0"/>
                <w:color w:val="auto"/>
                <w:sz w:val="24"/>
                <w:lang w:eastAsia="zh-CN"/>
              </w:rPr>
              <w:t>监测工作组织</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本工程环境监测任务应由工程环境管理机构负责组织实施，大气环境、生态环境及水土保持监测应委托具有相应监侧资质和监测经验的单位进行监测。</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环境监测应按国家和地方的环保要求进行，采用国家规定的标准监侧方法，并按照规定。定期向有关环境保护主管部门上报监测结果。</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2</w:t>
            </w:r>
            <w:r>
              <w:rPr>
                <w:rFonts w:hint="eastAsia" w:ascii="t" w:hAnsi="t"/>
                <w:b w:val="0"/>
                <w:bCs/>
                <w:snapToGrid w:val="0"/>
                <w:color w:val="auto"/>
                <w:sz w:val="24"/>
                <w:lang w:eastAsia="zh-CN"/>
              </w:rPr>
              <w:t>）环境监测工作内容</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根据工程特点及工程区环境特点，工程主要进行污染控制监测、生态环境监侧和水土保持监侧，监侧分施工期和运行期两个时段。</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val="en-US" w:eastAsia="zh-CN"/>
              </w:rPr>
              <w:t>①</w:t>
            </w:r>
            <w:r>
              <w:rPr>
                <w:rFonts w:hint="eastAsia" w:ascii="t" w:hAnsi="t"/>
                <w:b w:val="0"/>
                <w:bCs/>
                <w:snapToGrid w:val="0"/>
                <w:color w:val="auto"/>
                <w:sz w:val="24"/>
                <w:lang w:eastAsia="zh-CN"/>
              </w:rPr>
              <w:t>污染控制监侧</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根据工程内容、工程实施区域环境特点和地环保部门要求，工程污染控制监</w:t>
            </w:r>
            <w:r>
              <w:rPr>
                <w:rFonts w:hint="eastAsia" w:ascii="t" w:hAnsi="t"/>
                <w:b w:val="0"/>
                <w:bCs/>
                <w:snapToGrid w:val="0"/>
                <w:color w:val="auto"/>
                <w:sz w:val="24"/>
                <w:lang w:val="en-US" w:eastAsia="zh-CN"/>
              </w:rPr>
              <w:t>测</w:t>
            </w:r>
            <w:r>
              <w:rPr>
                <w:rFonts w:hint="eastAsia" w:ascii="t" w:hAnsi="t"/>
                <w:b w:val="0"/>
                <w:bCs/>
                <w:snapToGrid w:val="0"/>
                <w:color w:val="auto"/>
                <w:sz w:val="24"/>
                <w:lang w:eastAsia="zh-CN"/>
              </w:rPr>
              <w:t>主要是针对</w:t>
            </w:r>
            <w:r>
              <w:rPr>
                <w:rFonts w:hint="eastAsia" w:ascii="t" w:hAnsi="t"/>
                <w:b w:val="0"/>
                <w:bCs/>
                <w:snapToGrid w:val="0"/>
                <w:color w:val="auto"/>
                <w:sz w:val="24"/>
                <w:lang w:val="en-US" w:eastAsia="zh-CN"/>
              </w:rPr>
              <w:t>土壤</w:t>
            </w:r>
            <w:r>
              <w:rPr>
                <w:rFonts w:hint="eastAsia" w:ascii="t" w:hAnsi="t"/>
                <w:b w:val="0"/>
                <w:bCs/>
                <w:snapToGrid w:val="0"/>
                <w:color w:val="auto"/>
                <w:sz w:val="24"/>
                <w:lang w:eastAsia="zh-CN"/>
              </w:rPr>
              <w:t>、植被、施工作业废气、废水和</w:t>
            </w:r>
            <w:r>
              <w:rPr>
                <w:rFonts w:hint="eastAsia" w:ascii="t" w:hAnsi="t"/>
                <w:b w:val="0"/>
                <w:bCs/>
                <w:snapToGrid w:val="0"/>
                <w:color w:val="auto"/>
                <w:sz w:val="24"/>
                <w:lang w:val="en-US" w:eastAsia="zh-CN"/>
              </w:rPr>
              <w:t>噪声</w:t>
            </w:r>
            <w:r>
              <w:rPr>
                <w:rFonts w:hint="eastAsia" w:ascii="t" w:hAnsi="t"/>
                <w:b w:val="0"/>
                <w:bCs/>
                <w:snapToGrid w:val="0"/>
                <w:color w:val="auto"/>
                <w:sz w:val="24"/>
                <w:lang w:eastAsia="zh-CN"/>
              </w:rPr>
              <w:t>等污染控制监测。</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val="en-US" w:eastAsia="zh-CN"/>
              </w:rPr>
              <w:t>②</w:t>
            </w:r>
            <w:r>
              <w:rPr>
                <w:rFonts w:hint="eastAsia" w:ascii="t" w:hAnsi="t"/>
                <w:b w:val="0"/>
                <w:bCs/>
                <w:snapToGrid w:val="0"/>
                <w:color w:val="auto"/>
                <w:sz w:val="24"/>
                <w:lang w:eastAsia="zh-CN"/>
              </w:rPr>
              <w:t>生态环境监测</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生态监</w:t>
            </w:r>
            <w:r>
              <w:rPr>
                <w:rFonts w:hint="eastAsia" w:ascii="t" w:hAnsi="t"/>
                <w:b w:val="0"/>
                <w:bCs/>
                <w:snapToGrid w:val="0"/>
                <w:color w:val="auto"/>
                <w:sz w:val="24"/>
                <w:lang w:val="en-US" w:eastAsia="zh-CN"/>
              </w:rPr>
              <w:t>测</w:t>
            </w:r>
            <w:r>
              <w:rPr>
                <w:rFonts w:hint="eastAsia" w:ascii="t" w:hAnsi="t"/>
                <w:b w:val="0"/>
                <w:bCs/>
                <w:snapToGrid w:val="0"/>
                <w:color w:val="auto"/>
                <w:sz w:val="24"/>
                <w:lang w:eastAsia="zh-CN"/>
              </w:rPr>
              <w:t>的目的是对影响范围内生态现状做出评价，为进行生态恢复措施的实施提供依据。</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工程施工期生态环境监</w:t>
            </w:r>
            <w:r>
              <w:rPr>
                <w:rFonts w:hint="eastAsia" w:ascii="t" w:hAnsi="t"/>
                <w:b w:val="0"/>
                <w:bCs/>
                <w:snapToGrid w:val="0"/>
                <w:color w:val="auto"/>
                <w:sz w:val="24"/>
                <w:lang w:val="en-US" w:eastAsia="zh-CN"/>
              </w:rPr>
              <w:t>测</w:t>
            </w:r>
            <w:r>
              <w:rPr>
                <w:rFonts w:hint="eastAsia" w:ascii="t" w:hAnsi="t"/>
                <w:b w:val="0"/>
                <w:bCs/>
                <w:snapToGrid w:val="0"/>
                <w:color w:val="auto"/>
                <w:sz w:val="24"/>
                <w:lang w:eastAsia="zh-CN"/>
              </w:rPr>
              <w:t>的主要内容有以下几点：由于施工开挖、占地及人员进驻而引发的动、植物资源迁移或破坏造成对生态的影响；由于人员和设备的活动改变了土地的生产能力，造成土地生产能力下降，进而给生态带来影响；由于施工扰动地表及弃渣所造成的水土流失。</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工程施工运行期生态环境主要为了解工程建设后工程区生态环境状况。分析工程运行对区域生态的影响，验证预侧结果和生态保护措施的效果，运行期生态监</w:t>
            </w:r>
            <w:r>
              <w:rPr>
                <w:rFonts w:hint="eastAsia" w:ascii="t" w:hAnsi="t"/>
                <w:b w:val="0"/>
                <w:bCs/>
                <w:snapToGrid w:val="0"/>
                <w:color w:val="auto"/>
                <w:sz w:val="24"/>
                <w:lang w:val="en-US" w:eastAsia="zh-CN"/>
              </w:rPr>
              <w:t>测</w:t>
            </w:r>
            <w:r>
              <w:rPr>
                <w:rFonts w:hint="eastAsia" w:ascii="t" w:hAnsi="t"/>
                <w:b w:val="0"/>
                <w:bCs/>
                <w:snapToGrid w:val="0"/>
                <w:color w:val="auto"/>
                <w:sz w:val="24"/>
                <w:lang w:eastAsia="zh-CN"/>
              </w:rPr>
              <w:t>主要是调查工程建成后工程区植被及水生生物的恢复程度。水土流失状况。分析工程建设对工程区生态的影响与生态减缓及恢复措施的效果。</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w:t>
            </w:r>
            <w:r>
              <w:rPr>
                <w:rFonts w:hint="eastAsia" w:ascii="t" w:hAnsi="t"/>
                <w:b w:val="0"/>
                <w:bCs/>
                <w:snapToGrid w:val="0"/>
                <w:color w:val="auto"/>
                <w:sz w:val="24"/>
                <w:lang w:val="en-US" w:eastAsia="zh-CN"/>
              </w:rPr>
              <w:t>3</w:t>
            </w:r>
            <w:r>
              <w:rPr>
                <w:rFonts w:hint="eastAsia" w:ascii="t" w:hAnsi="t"/>
                <w:b w:val="0"/>
                <w:bCs/>
                <w:snapToGrid w:val="0"/>
                <w:color w:val="auto"/>
                <w:sz w:val="24"/>
                <w:lang w:eastAsia="zh-CN"/>
              </w:rPr>
              <w:t>）施工期环境监测计划</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val="en-US" w:eastAsia="zh-CN"/>
              </w:rPr>
              <w:t>①</w:t>
            </w:r>
            <w:r>
              <w:rPr>
                <w:rFonts w:hint="eastAsia" w:ascii="t" w:hAnsi="t"/>
                <w:b w:val="0"/>
                <w:bCs/>
                <w:snapToGrid w:val="0"/>
                <w:color w:val="auto"/>
                <w:sz w:val="24"/>
                <w:lang w:eastAsia="zh-CN"/>
              </w:rPr>
              <w:t>目的</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检查和监督施工过程中发生的施工扬尘和施工</w:t>
            </w:r>
            <w:r>
              <w:rPr>
                <w:rFonts w:hint="eastAsia" w:ascii="t" w:hAnsi="t"/>
                <w:b w:val="0"/>
                <w:bCs/>
                <w:snapToGrid w:val="0"/>
                <w:color w:val="auto"/>
                <w:sz w:val="24"/>
                <w:lang w:val="en-US" w:eastAsia="zh-CN"/>
              </w:rPr>
              <w:t>噪声</w:t>
            </w:r>
            <w:r>
              <w:rPr>
                <w:rFonts w:hint="eastAsia" w:ascii="t" w:hAnsi="t"/>
                <w:b w:val="0"/>
                <w:bCs/>
                <w:snapToGrid w:val="0"/>
                <w:color w:val="auto"/>
                <w:sz w:val="24"/>
                <w:lang w:eastAsia="zh-CN"/>
              </w:rPr>
              <w:t>引起的环境问</w:t>
            </w:r>
            <w:r>
              <w:rPr>
                <w:rFonts w:hint="eastAsia" w:ascii="t" w:hAnsi="t"/>
                <w:b w:val="0"/>
                <w:bCs/>
                <w:snapToGrid w:val="0"/>
                <w:color w:val="auto"/>
                <w:sz w:val="24"/>
                <w:lang w:val="en-US" w:eastAsia="zh-CN"/>
              </w:rPr>
              <w:t>题</w:t>
            </w:r>
            <w:r>
              <w:rPr>
                <w:rFonts w:hint="eastAsia" w:ascii="t" w:hAnsi="t"/>
                <w:b w:val="0"/>
                <w:bCs/>
                <w:snapToGrid w:val="0"/>
                <w:color w:val="auto"/>
                <w:sz w:val="24"/>
                <w:lang w:eastAsia="zh-CN"/>
              </w:rPr>
              <w:t>，以便及时进行处理。</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val="en-US" w:eastAsia="zh-CN"/>
              </w:rPr>
              <w:t>②</w:t>
            </w:r>
            <w:r>
              <w:rPr>
                <w:rFonts w:hint="eastAsia" w:ascii="t" w:hAnsi="t"/>
                <w:b w:val="0"/>
                <w:bCs/>
                <w:snapToGrid w:val="0"/>
                <w:color w:val="auto"/>
                <w:sz w:val="24"/>
                <w:lang w:eastAsia="zh-CN"/>
              </w:rPr>
              <w:t>监控时段</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包括施工全过程，着重考虑典型气象条件和重要</w:t>
            </w:r>
            <w:r>
              <w:rPr>
                <w:rFonts w:hint="eastAsia" w:ascii="t" w:hAnsi="t"/>
                <w:b w:val="0"/>
                <w:bCs/>
                <w:snapToGrid w:val="0"/>
                <w:color w:val="auto"/>
                <w:sz w:val="24"/>
                <w:lang w:val="en-US" w:eastAsia="zh-CN"/>
              </w:rPr>
              <w:t>敏</w:t>
            </w:r>
            <w:r>
              <w:rPr>
                <w:rFonts w:hint="eastAsia" w:ascii="t" w:hAnsi="t"/>
                <w:b w:val="0"/>
                <w:bCs/>
                <w:snapToGrid w:val="0"/>
                <w:color w:val="auto"/>
                <w:sz w:val="24"/>
                <w:lang w:eastAsia="zh-CN"/>
              </w:rPr>
              <w:t>感点地段的施工监</w:t>
            </w:r>
            <w:r>
              <w:rPr>
                <w:rFonts w:hint="eastAsia" w:ascii="t" w:hAnsi="t"/>
                <w:b w:val="0"/>
                <w:bCs/>
                <w:snapToGrid w:val="0"/>
                <w:color w:val="auto"/>
                <w:sz w:val="24"/>
                <w:lang w:val="en-US" w:eastAsia="zh-CN"/>
              </w:rPr>
              <w:t>测</w:t>
            </w:r>
            <w:r>
              <w:rPr>
                <w:rFonts w:hint="eastAsia" w:ascii="t" w:hAnsi="t"/>
                <w:b w:val="0"/>
                <w:bCs/>
                <w:snapToGrid w:val="0"/>
                <w:color w:val="auto"/>
                <w:sz w:val="24"/>
                <w:lang w:eastAsia="zh-CN"/>
              </w:rPr>
              <w:t>。</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val="en-US" w:eastAsia="zh-CN"/>
              </w:rPr>
              <w:t>③</w:t>
            </w:r>
            <w:r>
              <w:rPr>
                <w:rFonts w:hint="eastAsia" w:ascii="t" w:hAnsi="t"/>
                <w:b w:val="0"/>
                <w:bCs/>
                <w:snapToGrid w:val="0"/>
                <w:color w:val="auto"/>
                <w:sz w:val="24"/>
                <w:lang w:eastAsia="zh-CN"/>
              </w:rPr>
              <w:t>监测项目</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大气环境监侧：TSP</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val="en-US" w:eastAsia="zh-CN"/>
              </w:rPr>
              <w:t>噪声</w:t>
            </w:r>
            <w:r>
              <w:rPr>
                <w:rFonts w:hint="eastAsia" w:ascii="t" w:hAnsi="t"/>
                <w:b w:val="0"/>
                <w:bCs/>
                <w:snapToGrid w:val="0"/>
                <w:color w:val="auto"/>
                <w:sz w:val="24"/>
                <w:lang w:eastAsia="zh-CN"/>
              </w:rPr>
              <w:t>环境监测：等效连续A声级</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val="en-US" w:eastAsia="zh-CN"/>
              </w:rPr>
              <w:t>④</w:t>
            </w:r>
            <w:r>
              <w:rPr>
                <w:rFonts w:hint="eastAsia" w:ascii="t" w:hAnsi="t"/>
                <w:b w:val="0"/>
                <w:bCs/>
                <w:snapToGrid w:val="0"/>
                <w:color w:val="auto"/>
                <w:sz w:val="24"/>
                <w:lang w:eastAsia="zh-CN"/>
              </w:rPr>
              <w:t>监测点位</w:t>
            </w:r>
          </w:p>
          <w:p>
            <w:pPr>
              <w:spacing w:line="360" w:lineRule="auto"/>
              <w:ind w:firstLine="480" w:firstLineChars="200"/>
              <w:rPr>
                <w:rFonts w:hint="eastAsia" w:ascii="t" w:hAnsi="t"/>
                <w:b w:val="0"/>
                <w:bCs/>
                <w:snapToGrid w:val="0"/>
                <w:color w:val="auto"/>
                <w:sz w:val="24"/>
                <w:lang w:eastAsia="zh-CN"/>
              </w:rPr>
            </w:pPr>
            <w:r>
              <w:rPr>
                <w:rFonts w:hint="eastAsia" w:ascii="t" w:hAnsi="t"/>
                <w:b w:val="0"/>
                <w:bCs/>
                <w:snapToGrid w:val="0"/>
                <w:color w:val="auto"/>
                <w:sz w:val="24"/>
                <w:lang w:eastAsia="zh-CN"/>
              </w:rPr>
              <w:t>施工现场居民点。特别是对重点的环境保护目标应在施工影响期进行监</w:t>
            </w:r>
            <w:r>
              <w:rPr>
                <w:rFonts w:hint="eastAsia" w:ascii="t" w:hAnsi="t"/>
                <w:b w:val="0"/>
                <w:bCs/>
                <w:snapToGrid w:val="0"/>
                <w:color w:val="auto"/>
                <w:sz w:val="24"/>
                <w:lang w:val="en-US" w:eastAsia="zh-CN"/>
              </w:rPr>
              <w:t>测</w:t>
            </w:r>
            <w:r>
              <w:rPr>
                <w:rFonts w:hint="eastAsia" w:ascii="t" w:hAnsi="t"/>
                <w:b w:val="0"/>
                <w:bCs/>
                <w:snapToGrid w:val="0"/>
                <w:color w:val="auto"/>
                <w:sz w:val="24"/>
                <w:lang w:eastAsia="zh-CN"/>
              </w:rPr>
              <w:t>，掌握施工的影响程度和范围，若出现纠纷情况。应及时采取防护措施。</w:t>
            </w:r>
          </w:p>
          <w:p>
            <w:pPr>
              <w:spacing w:line="360" w:lineRule="auto"/>
              <w:rPr>
                <w:rFonts w:ascii="t" w:hAnsi="t"/>
                <w:color w:val="auto"/>
                <w:sz w:val="24"/>
              </w:rPr>
            </w:pPr>
            <w:r>
              <w:rPr>
                <w:rFonts w:hint="eastAsia" w:ascii="t" w:hAnsi="t"/>
                <w:b/>
                <w:snapToGrid w:val="0"/>
                <w:color w:val="auto"/>
                <w:sz w:val="24"/>
                <w:lang w:val="en-US" w:eastAsia="zh-CN"/>
              </w:rPr>
              <w:t>五</w:t>
            </w:r>
            <w:r>
              <w:rPr>
                <w:rFonts w:hint="eastAsia" w:ascii="t" w:hAnsi="t"/>
                <w:b/>
                <w:snapToGrid w:val="0"/>
                <w:color w:val="auto"/>
                <w:sz w:val="24"/>
              </w:rPr>
              <w:t>、环保投资概算</w:t>
            </w:r>
          </w:p>
          <w:p>
            <w:pPr>
              <w:adjustRightInd w:val="0"/>
              <w:snapToGrid w:val="0"/>
              <w:spacing w:line="360" w:lineRule="auto"/>
              <w:ind w:firstLine="480" w:firstLineChars="200"/>
              <w:rPr>
                <w:rFonts w:ascii="t" w:hAnsi="t"/>
                <w:color w:val="auto"/>
                <w:sz w:val="24"/>
                <w:szCs w:val="18"/>
              </w:rPr>
            </w:pPr>
            <w:r>
              <w:rPr>
                <w:rFonts w:hint="eastAsia" w:ascii="t" w:hAnsi="t"/>
                <w:snapToGrid w:val="0"/>
                <w:color w:val="auto"/>
                <w:sz w:val="24"/>
              </w:rPr>
              <w:t>本项目总投资</w:t>
            </w:r>
            <w:r>
              <w:rPr>
                <w:rFonts w:hint="eastAsia" w:ascii="t" w:hAnsi="t"/>
                <w:snapToGrid w:val="0"/>
                <w:color w:val="auto"/>
                <w:sz w:val="24"/>
                <w:lang w:val="en-US" w:eastAsia="zh-CN"/>
              </w:rPr>
              <w:t>95.82</w:t>
            </w:r>
            <w:r>
              <w:rPr>
                <w:rFonts w:hint="eastAsia" w:ascii="t" w:hAnsi="t"/>
                <w:snapToGrid w:val="0"/>
                <w:color w:val="auto"/>
                <w:sz w:val="24"/>
              </w:rPr>
              <w:t>万元，其中环保投资为</w:t>
            </w:r>
            <w:r>
              <w:rPr>
                <w:rFonts w:hint="eastAsia" w:ascii="t" w:hAnsi="t"/>
                <w:snapToGrid w:val="0"/>
                <w:color w:val="auto"/>
                <w:sz w:val="24"/>
                <w:lang w:val="en-US" w:eastAsia="zh-CN"/>
              </w:rPr>
              <w:t>15.5</w:t>
            </w:r>
            <w:r>
              <w:rPr>
                <w:rFonts w:hint="eastAsia" w:ascii="t" w:hAnsi="t"/>
                <w:snapToGrid w:val="0"/>
                <w:color w:val="auto"/>
                <w:sz w:val="24"/>
              </w:rPr>
              <w:t>万元，占项目总投资的</w:t>
            </w:r>
            <w:r>
              <w:rPr>
                <w:rFonts w:hint="eastAsia" w:ascii="Times New Roman" w:hAnsi="Times New Roman" w:cs="Times New Roman"/>
                <w:color w:val="auto"/>
                <w:sz w:val="24"/>
                <w:lang w:val="en-US" w:eastAsia="zh-CN"/>
              </w:rPr>
              <w:t>16.18</w:t>
            </w:r>
            <w:r>
              <w:rPr>
                <w:rFonts w:ascii="t" w:hAnsi="t"/>
                <w:snapToGrid w:val="0"/>
                <w:color w:val="auto"/>
                <w:sz w:val="24"/>
              </w:rPr>
              <w:t>%</w:t>
            </w:r>
            <w:r>
              <w:rPr>
                <w:rFonts w:hint="eastAsia" w:ascii="t" w:hAnsi="t"/>
                <w:snapToGrid w:val="0"/>
                <w:color w:val="auto"/>
                <w:sz w:val="24"/>
              </w:rPr>
              <w:t>。项目投资合理。</w:t>
            </w:r>
            <w:r>
              <w:rPr>
                <w:rFonts w:ascii="t" w:hAnsi="t"/>
                <w:color w:val="auto"/>
                <w:sz w:val="24"/>
              </w:rPr>
              <w:t>具体措施见前述内容，其投资统计见下表</w:t>
            </w:r>
            <w:r>
              <w:rPr>
                <w:rFonts w:ascii="t" w:hAnsi="t"/>
                <w:color w:val="auto"/>
                <w:sz w:val="24"/>
                <w:szCs w:val="18"/>
              </w:rPr>
              <w:t>。</w:t>
            </w:r>
          </w:p>
          <w:p>
            <w:pPr>
              <w:jc w:val="center"/>
              <w:rPr>
                <w:rFonts w:hint="eastAsia"/>
                <w:b/>
                <w:bCs/>
                <w:color w:val="auto"/>
                <w:szCs w:val="21"/>
                <w:lang w:val="en-US" w:eastAsia="zh-CN"/>
              </w:rPr>
            </w:pPr>
            <w:r>
              <w:rPr>
                <w:rFonts w:hint="eastAsia"/>
                <w:b/>
                <w:bCs/>
                <w:color w:val="auto"/>
                <w:szCs w:val="21"/>
                <w:lang w:val="en-US" w:eastAsia="zh-CN"/>
              </w:rPr>
              <w:t>表7-3   项目环保投资一览表</w:t>
            </w:r>
          </w:p>
          <w:tbl>
            <w:tblPr>
              <w:tblStyle w:val="51"/>
              <w:tblW w:w="895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8"/>
              <w:gridCol w:w="4677"/>
              <w:gridCol w:w="1554"/>
              <w:gridCol w:w="13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color w:val="auto"/>
                      <w:sz w:val="21"/>
                      <w:szCs w:val="21"/>
                    </w:rPr>
                    <w:t>类    别</w:t>
                  </w:r>
                </w:p>
              </w:tc>
              <w:tc>
                <w:tcPr>
                  <w:tcW w:w="467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textAlignment w:val="auto"/>
                    <w:rPr>
                      <w:color w:val="auto"/>
                      <w:sz w:val="21"/>
                      <w:szCs w:val="21"/>
                    </w:rPr>
                  </w:pPr>
                  <w:r>
                    <w:rPr>
                      <w:color w:val="auto"/>
                      <w:sz w:val="21"/>
                      <w:szCs w:val="21"/>
                    </w:rPr>
                    <w:t>措 施 内 容</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color w:val="auto"/>
                      <w:sz w:val="21"/>
                      <w:szCs w:val="21"/>
                    </w:rPr>
                    <w:t>投资估算（万元）</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rFonts w:ascii="宋体" w:hAnsi="宋体" w:eastAsia="宋体" w:cs="宋体"/>
                      <w:color w:val="auto"/>
                      <w:sz w:val="21"/>
                      <w:szCs w:val="21"/>
                    </w:rPr>
                    <w:t>废气治理</w:t>
                  </w:r>
                </w:p>
              </w:tc>
              <w:tc>
                <w:tcPr>
                  <w:tcW w:w="467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textAlignment w:val="auto"/>
                    <w:rPr>
                      <w:color w:val="auto"/>
                      <w:sz w:val="21"/>
                      <w:szCs w:val="21"/>
                    </w:rPr>
                  </w:pPr>
                  <w:r>
                    <w:rPr>
                      <w:rFonts w:ascii="宋体" w:hAnsi="宋体" w:eastAsia="宋体" w:cs="宋体"/>
                      <w:color w:val="auto"/>
                      <w:spacing w:val="-1"/>
                      <w:sz w:val="21"/>
                      <w:szCs w:val="21"/>
                    </w:rPr>
                    <w:t>建筑、交通运输土石方开挖扬尘及材料的运输洒水、防尘</w:t>
                  </w:r>
                  <w:r>
                    <w:rPr>
                      <w:rFonts w:ascii="宋体" w:hAnsi="宋体" w:eastAsia="宋体" w:cs="宋体"/>
                      <w:color w:val="auto"/>
                      <w:spacing w:val="-79"/>
                      <w:sz w:val="21"/>
                      <w:szCs w:val="21"/>
                    </w:rPr>
                    <w:t xml:space="preserve"> </w:t>
                  </w:r>
                  <w:r>
                    <w:rPr>
                      <w:rFonts w:ascii="宋体" w:hAnsi="宋体" w:eastAsia="宋体" w:cs="宋体"/>
                      <w:color w:val="auto"/>
                      <w:sz w:val="21"/>
                      <w:szCs w:val="21"/>
                    </w:rPr>
                    <w:t>围挡、出场车辆清洗等</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2</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rFonts w:ascii="宋体" w:hAnsi="宋体" w:eastAsia="宋体" w:cs="宋体"/>
                      <w:color w:val="auto"/>
                      <w:sz w:val="21"/>
                      <w:szCs w:val="21"/>
                    </w:rPr>
                    <w:t>废水治理</w:t>
                  </w: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left"/>
                    <w:textAlignment w:val="auto"/>
                    <w:rPr>
                      <w:color w:val="auto"/>
                      <w:sz w:val="21"/>
                      <w:szCs w:val="21"/>
                    </w:rPr>
                  </w:pPr>
                  <w:r>
                    <w:rPr>
                      <w:rFonts w:ascii="宋体" w:hAnsi="宋体" w:eastAsia="宋体" w:cs="宋体"/>
                      <w:color w:val="auto"/>
                      <w:sz w:val="21"/>
                      <w:szCs w:val="21"/>
                    </w:rPr>
                    <w:t>施工期简易沉淀池</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1</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left"/>
                    <w:textAlignment w:val="auto"/>
                    <w:rPr>
                      <w:rFonts w:hint="default" w:eastAsiaTheme="minorEastAsia"/>
                      <w:color w:val="auto"/>
                      <w:sz w:val="21"/>
                      <w:szCs w:val="21"/>
                      <w:lang w:val="en-US" w:eastAsia="zh-CN"/>
                    </w:rPr>
                  </w:pPr>
                  <w:r>
                    <w:rPr>
                      <w:rFonts w:hint="eastAsia"/>
                      <w:color w:val="auto"/>
                      <w:sz w:val="21"/>
                      <w:szCs w:val="21"/>
                      <w:lang w:val="en-US" w:eastAsia="zh-CN"/>
                    </w:rPr>
                    <w:t>生活污水依托周边住户化粪池</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rFonts w:ascii="宋体" w:hAnsi="宋体" w:eastAsia="宋体" w:cs="宋体"/>
                      <w:color w:val="auto"/>
                      <w:sz w:val="21"/>
                      <w:szCs w:val="21"/>
                    </w:rPr>
                    <w:t>噪声</w:t>
                  </w:r>
                </w:p>
              </w:tc>
              <w:tc>
                <w:tcPr>
                  <w:tcW w:w="4677"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textAlignment w:val="auto"/>
                    <w:rPr>
                      <w:color w:val="auto"/>
                      <w:sz w:val="21"/>
                      <w:szCs w:val="21"/>
                    </w:rPr>
                  </w:pPr>
                  <w:r>
                    <w:rPr>
                      <w:rFonts w:ascii="宋体" w:hAnsi="宋体" w:eastAsia="宋体" w:cs="宋体"/>
                      <w:color w:val="auto"/>
                      <w:sz w:val="21"/>
                      <w:szCs w:val="21"/>
                    </w:rPr>
                    <w:t>施工期围挡、选用低噪声设备、合理布局等</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2</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eastAsia" w:eastAsiaTheme="minorEastAsia"/>
                      <w:color w:val="auto"/>
                      <w:sz w:val="21"/>
                      <w:szCs w:val="21"/>
                      <w:lang w:eastAsia="zh-CN"/>
                    </w:rPr>
                  </w:pPr>
                  <w:r>
                    <w:rPr>
                      <w:rFonts w:hint="eastAsia"/>
                      <w:color w:val="auto"/>
                      <w:sz w:val="21"/>
                      <w:szCs w:val="21"/>
                      <w:lang w:eastAsia="zh-CN"/>
                    </w:rPr>
                    <w:t>固体废物处置</w:t>
                  </w: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both"/>
                    <w:textAlignment w:val="auto"/>
                    <w:rPr>
                      <w:rFonts w:hint="eastAsia" w:eastAsia="宋体"/>
                      <w:color w:val="auto"/>
                      <w:sz w:val="21"/>
                      <w:szCs w:val="21"/>
                      <w:lang w:val="en-US" w:eastAsia="zh-CN"/>
                    </w:rPr>
                  </w:pPr>
                  <w:r>
                    <w:rPr>
                      <w:rFonts w:ascii="宋体" w:hAnsi="宋体" w:eastAsia="宋体" w:cs="宋体"/>
                      <w:color w:val="auto"/>
                      <w:sz w:val="21"/>
                      <w:szCs w:val="21"/>
                    </w:rPr>
                    <w:t>建筑垃圾外运</w:t>
                  </w:r>
                  <w:r>
                    <w:rPr>
                      <w:rFonts w:hint="eastAsia" w:ascii="宋体" w:hAnsi="宋体" w:eastAsia="宋体" w:cs="宋体"/>
                      <w:color w:val="auto"/>
                      <w:sz w:val="21"/>
                      <w:szCs w:val="21"/>
                      <w:lang w:val="en-US" w:eastAsia="zh-CN"/>
                    </w:rPr>
                    <w:t>至</w:t>
                  </w:r>
                  <w:r>
                    <w:rPr>
                      <w:rFonts w:hint="eastAsia" w:ascii="Times New Roman" w:hAnsi="Times New Roman" w:eastAsia="宋体" w:cs="Times New Roman"/>
                      <w:color w:val="auto"/>
                      <w:szCs w:val="21"/>
                      <w:lang w:val="en-US" w:eastAsia="zh-CN"/>
                    </w:rPr>
                    <w:t>距本项目5km的松潘县白羊乡建筑垃圾堆场</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c>
                <w:tcPr>
                  <w:tcW w:w="13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rFonts w:ascii="宋体" w:hAnsi="宋体" w:eastAsia="宋体" w:cs="宋体"/>
                      <w:color w:val="auto"/>
                      <w:sz w:val="21"/>
                      <w:szCs w:val="21"/>
                    </w:rPr>
                    <w:t>纳入主体投资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both"/>
                    <w:textAlignment w:val="auto"/>
                    <w:rPr>
                      <w:color w:val="auto"/>
                      <w:sz w:val="21"/>
                      <w:szCs w:val="21"/>
                    </w:rPr>
                  </w:pPr>
                  <w:r>
                    <w:rPr>
                      <w:rFonts w:ascii="宋体" w:hAnsi="宋体" w:eastAsia="宋体" w:cs="宋体"/>
                      <w:color w:val="auto"/>
                      <w:sz w:val="21"/>
                      <w:szCs w:val="21"/>
                    </w:rPr>
                    <w:t>泥石流堆积物外运</w:t>
                  </w:r>
                  <w:r>
                    <w:rPr>
                      <w:rFonts w:hint="eastAsia" w:ascii="宋体" w:hAnsi="宋体" w:eastAsia="宋体" w:cs="宋体"/>
                      <w:color w:val="auto"/>
                      <w:sz w:val="21"/>
                      <w:szCs w:val="21"/>
                      <w:lang w:val="en-US" w:eastAsia="zh-CN"/>
                    </w:rPr>
                    <w:t>至</w:t>
                  </w:r>
                  <w:r>
                    <w:rPr>
                      <w:rFonts w:hint="eastAsia" w:ascii="Times New Roman" w:hAnsi="Times New Roman" w:eastAsia="宋体" w:cs="Times New Roman"/>
                      <w:color w:val="auto"/>
                      <w:szCs w:val="21"/>
                      <w:lang w:val="en-US" w:eastAsia="zh-CN"/>
                    </w:rPr>
                    <w:t>距本项目5km的松潘县白羊乡建筑垃圾堆场</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eastAsia" w:eastAsiaTheme="minorEastAsia"/>
                      <w:color w:val="auto"/>
                      <w:sz w:val="21"/>
                      <w:szCs w:val="21"/>
                      <w:lang w:val="en-US" w:eastAsia="zh-CN"/>
                    </w:rPr>
                  </w:pPr>
                  <w:r>
                    <w:rPr>
                      <w:rFonts w:hint="eastAsia"/>
                      <w:color w:val="auto"/>
                      <w:sz w:val="21"/>
                      <w:szCs w:val="21"/>
                      <w:lang w:val="en-US" w:eastAsia="zh-CN"/>
                    </w:rPr>
                    <w:t>/</w:t>
                  </w:r>
                </w:p>
              </w:tc>
              <w:tc>
                <w:tcPr>
                  <w:tcW w:w="13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left"/>
                    <w:textAlignment w:val="auto"/>
                    <w:rPr>
                      <w:color w:val="auto"/>
                      <w:sz w:val="21"/>
                      <w:szCs w:val="21"/>
                    </w:rPr>
                  </w:pPr>
                  <w:r>
                    <w:rPr>
                      <w:rFonts w:ascii="宋体" w:hAnsi="宋体" w:eastAsia="宋体" w:cs="宋体"/>
                      <w:color w:val="auto"/>
                      <w:sz w:val="21"/>
                      <w:szCs w:val="21"/>
                    </w:rPr>
                    <w:t>临时垃圾桶及生活垃圾外运</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0.5</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eastAsia="zh-CN"/>
                    </w:rPr>
                    <w:t>项目</w:t>
                  </w:r>
                  <w:r>
                    <w:rPr>
                      <w:rFonts w:hint="eastAsia"/>
                      <w:color w:val="auto"/>
                      <w:sz w:val="21"/>
                      <w:szCs w:val="21"/>
                      <w:lang w:val="en-US" w:eastAsia="zh-CN"/>
                    </w:rPr>
                    <w:t>生态环境</w:t>
                  </w:r>
                </w:p>
              </w:tc>
              <w:tc>
                <w:tcPr>
                  <w:tcW w:w="4677"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left"/>
                    <w:textAlignment w:val="auto"/>
                    <w:rPr>
                      <w:color w:val="auto"/>
                      <w:sz w:val="21"/>
                      <w:szCs w:val="21"/>
                    </w:rPr>
                  </w:pPr>
                  <w:r>
                    <w:rPr>
                      <w:rFonts w:ascii="Times New Roman" w:eastAsia="宋体"/>
                      <w:color w:val="auto"/>
                      <w:sz w:val="21"/>
                      <w:szCs w:val="21"/>
                      <w:lang w:eastAsia="zh-CN"/>
                    </w:rPr>
                    <w:t>工程绿化、景观设施及生态恢复</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w:t>
                  </w:r>
                </w:p>
              </w:tc>
              <w:tc>
                <w:tcPr>
                  <w:tcW w:w="13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rFonts w:ascii="宋体" w:hAnsi="宋体" w:eastAsia="宋体" w:cs="宋体"/>
                      <w:color w:val="auto"/>
                      <w:sz w:val="21"/>
                      <w:szCs w:val="21"/>
                    </w:rPr>
                    <w:t>纳入主体投资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eastAsia"/>
                      <w:color w:val="auto"/>
                      <w:sz w:val="21"/>
                      <w:szCs w:val="21"/>
                      <w:lang w:eastAsia="zh-CN"/>
                    </w:rPr>
                  </w:pPr>
                </w:p>
              </w:tc>
              <w:tc>
                <w:tcPr>
                  <w:tcW w:w="4677" w:type="dxa"/>
                  <w:tcBorders>
                    <w:tl2br w:val="nil"/>
                    <w:tr2bl w:val="nil"/>
                  </w:tcBorders>
                  <w:vAlign w:val="center"/>
                </w:tcPr>
                <w:p>
                  <w:pPr>
                    <w:pStyle w:val="31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jc w:val="left"/>
                    <w:textAlignment w:val="auto"/>
                    <w:rPr>
                      <w:rFonts w:ascii="宋体" w:hAnsi="宋体" w:eastAsia="宋体" w:cs="宋体"/>
                      <w:color w:val="auto"/>
                      <w:sz w:val="21"/>
                      <w:szCs w:val="21"/>
                    </w:rPr>
                  </w:pPr>
                  <w:r>
                    <w:rPr>
                      <w:rFonts w:ascii="Times New Roman" w:eastAsia="宋体"/>
                      <w:color w:val="auto"/>
                      <w:sz w:val="21"/>
                      <w:szCs w:val="21"/>
                      <w:lang w:eastAsia="zh-CN"/>
                    </w:rPr>
                    <w:t>水土保持措施(含临时</w:t>
                  </w:r>
                  <w:r>
                    <w:rPr>
                      <w:rFonts w:hint="eastAsia" w:ascii="Times New Roman" w:eastAsia="宋体"/>
                      <w:color w:val="auto"/>
                      <w:sz w:val="21"/>
                      <w:szCs w:val="21"/>
                      <w:lang w:val="en-US" w:eastAsia="zh-CN"/>
                    </w:rPr>
                    <w:t>工程</w:t>
                  </w:r>
                  <w:r>
                    <w:rPr>
                      <w:rFonts w:ascii="Times New Roman" w:eastAsia="宋体"/>
                      <w:color w:val="auto"/>
                      <w:sz w:val="21"/>
                      <w:szCs w:val="21"/>
                      <w:lang w:eastAsia="zh-CN"/>
                    </w:rPr>
                    <w:t>措施)</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13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08" w:hRule="atLeast"/>
                <w:jc w:val="center"/>
              </w:trPr>
              <w:tc>
                <w:tcPr>
                  <w:tcW w:w="1348" w:type="dxa"/>
                  <w:vMerge w:val="restart"/>
                  <w:tcBorders>
                    <w:tl2br w:val="nil"/>
                    <w:tr2bl w:val="nil"/>
                  </w:tcBorders>
                  <w:vAlign w:val="top"/>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管理措施</w:t>
                  </w: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left"/>
                    <w:textAlignment w:val="auto"/>
                    <w:rPr>
                      <w:rFonts w:ascii="宋体" w:hAnsi="宋体" w:eastAsia="宋体" w:cs="宋体"/>
                      <w:color w:val="auto"/>
                      <w:sz w:val="21"/>
                      <w:szCs w:val="21"/>
                    </w:rPr>
                  </w:pPr>
                  <w:r>
                    <w:rPr>
                      <w:rFonts w:hint="eastAsia" w:ascii="宋体" w:hAnsi="宋体" w:eastAsia="宋体" w:cs="宋体"/>
                      <w:color w:val="auto"/>
                      <w:sz w:val="21"/>
                      <w:szCs w:val="21"/>
                      <w:lang w:eastAsia="zh-CN"/>
                    </w:rPr>
                    <w:t>施工期环境监测，检查和监督施工过程中发生的施工扬尘和施工噪声引起的环境问题</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1</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vMerge w:val="continue"/>
                  <w:tcBorders>
                    <w:tl2br w:val="nil"/>
                    <w:tr2bl w:val="nil"/>
                  </w:tcBorders>
                  <w:vAlign w:val="top"/>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both"/>
                    <w:textAlignment w:val="auto"/>
                    <w:rPr>
                      <w:rFonts w:hint="eastAsia" w:ascii="宋体" w:hAnsi="宋体" w:eastAsia="宋体" w:cs="宋体"/>
                      <w:color w:val="auto"/>
                      <w:kern w:val="0"/>
                      <w:sz w:val="21"/>
                      <w:szCs w:val="21"/>
                      <w:lang w:val="en-US" w:eastAsia="zh-CN" w:bidi="ar-SA"/>
                    </w:rPr>
                  </w:pP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left"/>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竣工环保验收调查</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288" w:hRule="atLeast"/>
                <w:jc w:val="center"/>
              </w:trPr>
              <w:tc>
                <w:tcPr>
                  <w:tcW w:w="1348" w:type="dxa"/>
                  <w:tcBorders>
                    <w:tl2br w:val="nil"/>
                    <w:tr2bl w:val="nil"/>
                  </w:tcBorders>
                  <w:vAlign w:val="top"/>
                </w:tcPr>
                <w:p>
                  <w:pPr>
                    <w:pStyle w:val="311"/>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left"/>
                    <w:textAlignment w:val="auto"/>
                    <w:rPr>
                      <w:rFonts w:hint="eastAsia" w:ascii="宋体" w:hAnsi="宋体" w:eastAsia="宋体" w:cs="宋体"/>
                      <w:color w:val="auto"/>
                      <w:kern w:val="0"/>
                      <w:sz w:val="21"/>
                      <w:szCs w:val="21"/>
                      <w:lang w:val="en-US" w:eastAsia="zh-CN" w:bidi="ar-SA"/>
                    </w:rPr>
                  </w:pPr>
                  <w:r>
                    <w:rPr>
                      <w:rFonts w:ascii="宋体" w:hAnsi="宋体" w:eastAsia="宋体" w:cs="宋体"/>
                      <w:color w:val="auto"/>
                      <w:sz w:val="21"/>
                      <w:szCs w:val="21"/>
                    </w:rPr>
                    <w:t>工程建设后评</w:t>
                  </w:r>
                  <w:r>
                    <w:rPr>
                      <w:rFonts w:hint="eastAsia" w:ascii="宋体" w:hAnsi="宋体" w:eastAsia="宋体" w:cs="宋体"/>
                      <w:color w:val="auto"/>
                      <w:sz w:val="21"/>
                      <w:szCs w:val="21"/>
                      <w:lang w:eastAsia="zh-CN"/>
                    </w:rPr>
                    <w:t>估</w:t>
                  </w:r>
                </w:p>
              </w:tc>
              <w:tc>
                <w:tcPr>
                  <w:tcW w:w="4677" w:type="dxa"/>
                  <w:tcBorders>
                    <w:tl2br w:val="nil"/>
                    <w:tr2bl w:val="nil"/>
                  </w:tcBorders>
                  <w:vAlign w:val="top"/>
                </w:tcPr>
                <w:p>
                  <w:pPr>
                    <w:pStyle w:val="311"/>
                    <w:keepNext w:val="0"/>
                    <w:keepLines w:val="0"/>
                    <w:pageBreakBefore w:val="0"/>
                    <w:widowControl w:val="0"/>
                    <w:kinsoku/>
                    <w:wordWrap/>
                    <w:overflowPunct/>
                    <w:topLinePunct w:val="0"/>
                    <w:autoSpaceDE/>
                    <w:autoSpaceDN/>
                    <w:bidi w:val="0"/>
                    <w:spacing w:line="240" w:lineRule="auto"/>
                    <w:ind w:left="0" w:leftChars="0" w:right="0" w:rightChars="0" w:firstLine="0"/>
                    <w:jc w:val="left"/>
                    <w:textAlignment w:val="auto"/>
                    <w:rPr>
                      <w:rFonts w:hint="eastAsia" w:ascii="宋体" w:hAnsi="宋体" w:eastAsia="宋体" w:cs="宋体"/>
                      <w:color w:val="auto"/>
                      <w:sz w:val="21"/>
                      <w:szCs w:val="21"/>
                      <w:lang w:eastAsia="zh-CN"/>
                    </w:rPr>
                  </w:pPr>
                  <w:r>
                    <w:rPr>
                      <w:rFonts w:ascii="宋体" w:hAnsi="宋体" w:eastAsia="宋体" w:cs="宋体"/>
                      <w:color w:val="auto"/>
                      <w:sz w:val="21"/>
                      <w:szCs w:val="21"/>
                    </w:rPr>
                    <w:t>在工程投入使用一段时间后，从生态保护角度对工程建设</w:t>
                  </w:r>
                  <w:r>
                    <w:rPr>
                      <w:rFonts w:hint="eastAsia" w:ascii="宋体" w:hAnsi="宋体" w:eastAsia="宋体" w:cs="宋体"/>
                      <w:color w:val="auto"/>
                      <w:sz w:val="21"/>
                      <w:szCs w:val="21"/>
                      <w:lang w:eastAsia="zh-CN"/>
                    </w:rPr>
                    <w:t>进行后评估</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4</w:t>
                  </w:r>
                </w:p>
              </w:tc>
              <w:tc>
                <w:tcPr>
                  <w:tcW w:w="1371"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33" w:hRule="atLeast"/>
                <w:jc w:val="center"/>
              </w:trPr>
              <w:tc>
                <w:tcPr>
                  <w:tcW w:w="602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color w:val="auto"/>
                      <w:sz w:val="21"/>
                      <w:szCs w:val="21"/>
                    </w:rPr>
                  </w:pPr>
                  <w:r>
                    <w:rPr>
                      <w:color w:val="auto"/>
                      <w:sz w:val="21"/>
                      <w:szCs w:val="21"/>
                    </w:rPr>
                    <w:t>合    计</w:t>
                  </w:r>
                </w:p>
              </w:tc>
              <w:tc>
                <w:tcPr>
                  <w:tcW w:w="1554" w:type="dxa"/>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jc w:val="center"/>
                    <w:textAlignment w:val="auto"/>
                    <w:rPr>
                      <w:rFonts w:hint="default" w:eastAsiaTheme="minorEastAsia"/>
                      <w:color w:val="auto"/>
                      <w:sz w:val="21"/>
                      <w:szCs w:val="21"/>
                      <w:lang w:val="en-US" w:eastAsia="zh-CN"/>
                    </w:rPr>
                  </w:pPr>
                  <w:r>
                    <w:rPr>
                      <w:rFonts w:hint="eastAsia"/>
                      <w:color w:val="auto"/>
                      <w:sz w:val="21"/>
                      <w:szCs w:val="21"/>
                      <w:lang w:val="en-US" w:eastAsia="zh-CN"/>
                    </w:rPr>
                    <w:t>15.5</w:t>
                  </w:r>
                </w:p>
              </w:tc>
              <w:tc>
                <w:tcPr>
                  <w:tcW w:w="1371" w:type="dxa"/>
                  <w:tcBorders>
                    <w:tl2br w:val="nil"/>
                    <w:tr2bl w:val="nil"/>
                  </w:tcBorders>
                </w:tcPr>
                <w:p>
                  <w:pPr>
                    <w:keepNext w:val="0"/>
                    <w:keepLines w:val="0"/>
                    <w:pageBreakBefore w:val="0"/>
                    <w:widowControl w:val="0"/>
                    <w:kinsoku/>
                    <w:wordWrap/>
                    <w:overflowPunct/>
                    <w:topLinePunct w:val="0"/>
                    <w:autoSpaceDE/>
                    <w:autoSpaceDN/>
                    <w:bidi w:val="0"/>
                    <w:spacing w:line="240" w:lineRule="auto"/>
                    <w:ind w:left="0" w:leftChars="0" w:right="0" w:rightChars="0" w:firstLine="0"/>
                    <w:textAlignment w:val="auto"/>
                    <w:rPr>
                      <w:color w:val="auto"/>
                      <w:sz w:val="21"/>
                      <w:szCs w:val="21"/>
                    </w:rPr>
                  </w:pPr>
                </w:p>
              </w:tc>
            </w:tr>
          </w:tbl>
          <w:p>
            <w:pPr>
              <w:spacing w:line="360" w:lineRule="auto"/>
              <w:rPr>
                <w:rFonts w:ascii="Times New Roman" w:hAnsi="Times New Roman" w:cs="Times New Roman"/>
                <w:b/>
                <w:color w:val="auto"/>
                <w:sz w:val="24"/>
              </w:rPr>
            </w:pPr>
            <w:r>
              <w:rPr>
                <w:rFonts w:hint="eastAsia" w:ascii="t" w:hAnsi="t"/>
                <w:b/>
                <w:bCs w:val="0"/>
                <w:snapToGrid w:val="0"/>
                <w:color w:val="auto"/>
                <w:sz w:val="24"/>
                <w:lang w:val="en-US" w:eastAsia="zh-CN"/>
              </w:rPr>
              <w:t>六、</w:t>
            </w:r>
            <w:r>
              <w:rPr>
                <w:rFonts w:hint="eastAsia" w:ascii="Times New Roman" w:hAnsi="Times New Roman" w:cs="Times New Roman"/>
                <w:b/>
                <w:color w:val="auto"/>
                <w:sz w:val="24"/>
              </w:rPr>
              <w:t>环保措施“三同时”验收</w:t>
            </w:r>
          </w:p>
          <w:p>
            <w:pPr>
              <w:autoSpaceDE w:val="0"/>
              <w:autoSpaceDN w:val="0"/>
              <w:adjustRightInd w:val="0"/>
              <w:spacing w:line="360" w:lineRule="auto"/>
              <w:ind w:firstLine="480" w:firstLineChars="200"/>
              <w:rPr>
                <w:rFonts w:ascii="宋体" w:eastAsia="宋体" w:cs="宋体"/>
                <w:color w:val="auto"/>
                <w:kern w:val="0"/>
                <w:sz w:val="24"/>
              </w:rPr>
            </w:pPr>
            <w:r>
              <w:rPr>
                <w:rFonts w:hint="eastAsia" w:ascii="宋体" w:eastAsia="宋体" w:cs="宋体"/>
                <w:color w:val="auto"/>
                <w:kern w:val="0"/>
                <w:sz w:val="24"/>
              </w:rPr>
              <w:t>拟建项目所有环保设施均应与主体工程同时设计、同时施工、同时投产。根据《建设项目环境保护管理条例》，在本工程具体验收内容见下表。</w:t>
            </w:r>
          </w:p>
          <w:p>
            <w:pPr>
              <w:jc w:val="center"/>
              <w:rPr>
                <w:rFonts w:hint="eastAsia"/>
                <w:b/>
                <w:bCs/>
                <w:color w:val="auto"/>
                <w:szCs w:val="21"/>
                <w:lang w:val="en-US" w:eastAsia="zh-CN"/>
              </w:rPr>
            </w:pPr>
            <w:r>
              <w:rPr>
                <w:rFonts w:hint="eastAsia"/>
                <w:b/>
                <w:bCs/>
                <w:color w:val="auto"/>
                <w:szCs w:val="21"/>
                <w:lang w:val="en-US" w:eastAsia="zh-CN"/>
              </w:rPr>
              <w:t>表7-4 环保措施“三同时”验收一览表</w:t>
            </w:r>
          </w:p>
          <w:tbl>
            <w:tblPr>
              <w:tblStyle w:val="51"/>
              <w:tblW w:w="9108"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634"/>
              <w:gridCol w:w="1250"/>
              <w:gridCol w:w="3402"/>
              <w:gridCol w:w="382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10" w:hRule="exact"/>
                <w:jc w:val="center"/>
              </w:trPr>
              <w:tc>
                <w:tcPr>
                  <w:tcW w:w="634"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宋体" w:hAnsi="宋体" w:eastAsia="宋体" w:cs="宋体"/>
                      <w:b/>
                      <w:bCs/>
                      <w:color w:val="auto"/>
                      <w:sz w:val="21"/>
                      <w:szCs w:val="21"/>
                      <w:lang w:eastAsia="zh-CN"/>
                    </w:rPr>
                    <w:t>序号</w:t>
                  </w:r>
                </w:p>
              </w:tc>
              <w:tc>
                <w:tcPr>
                  <w:tcW w:w="1250"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宋体" w:hAnsi="宋体" w:eastAsia="宋体" w:cs="宋体"/>
                      <w:b/>
                      <w:bCs/>
                      <w:color w:val="auto"/>
                      <w:sz w:val="21"/>
                      <w:szCs w:val="21"/>
                      <w:lang w:eastAsia="zh-CN"/>
                    </w:rPr>
                    <w:t>污染物类别</w:t>
                  </w:r>
                </w:p>
              </w:tc>
              <w:tc>
                <w:tcPr>
                  <w:tcW w:w="3402"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宋体" w:hAnsi="宋体" w:eastAsia="宋体" w:cs="宋体"/>
                      <w:b/>
                      <w:bCs/>
                      <w:color w:val="auto"/>
                      <w:sz w:val="21"/>
                      <w:szCs w:val="21"/>
                      <w:lang w:eastAsia="zh-CN"/>
                    </w:rPr>
                    <w:t>验收内容</w:t>
                  </w:r>
                </w:p>
              </w:tc>
              <w:tc>
                <w:tcPr>
                  <w:tcW w:w="3822"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宋体" w:hAnsi="宋体" w:eastAsia="宋体" w:cs="宋体"/>
                      <w:b/>
                      <w:bCs/>
                      <w:color w:val="auto"/>
                      <w:sz w:val="21"/>
                      <w:szCs w:val="21"/>
                      <w:lang w:eastAsia="zh-CN"/>
                    </w:rPr>
                    <w:t>验收要求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28" w:hRule="exact"/>
                <w:jc w:val="center"/>
              </w:trPr>
              <w:tc>
                <w:tcPr>
                  <w:tcW w:w="634"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宋体"/>
                      <w:color w:val="auto"/>
                      <w:sz w:val="21"/>
                      <w:lang w:eastAsia="zh-CN"/>
                    </w:rPr>
                    <w:t>1</w:t>
                  </w:r>
                </w:p>
              </w:tc>
              <w:tc>
                <w:tcPr>
                  <w:tcW w:w="1250"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宋体" w:hAnsi="宋体" w:eastAsia="宋体" w:cs="宋体"/>
                      <w:color w:val="auto"/>
                      <w:sz w:val="21"/>
                      <w:szCs w:val="21"/>
                      <w:lang w:eastAsia="zh-CN"/>
                    </w:rPr>
                    <w:t>施工废气</w:t>
                  </w: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color w:val="auto"/>
                      <w:szCs w:val="21"/>
                    </w:rPr>
                    <w:t>设置围挡</w:t>
                  </w:r>
                  <w:r>
                    <w:rPr>
                      <w:rFonts w:hint="eastAsia" w:ascii="Times New Roman" w:hAnsi="Times New Roman" w:eastAsia="宋体" w:cs="Times New Roman"/>
                      <w:color w:val="auto"/>
                      <w:szCs w:val="21"/>
                    </w:rPr>
                    <w:t>及洒水作业，</w:t>
                  </w:r>
                  <w:r>
                    <w:rPr>
                      <w:rFonts w:hint="eastAsia"/>
                      <w:color w:val="auto"/>
                      <w:szCs w:val="21"/>
                    </w:rPr>
                    <w:t>主体施工时用密目安全网围护</w:t>
                  </w:r>
                </w:p>
              </w:tc>
              <w:tc>
                <w:tcPr>
                  <w:tcW w:w="382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ascii="Times New Roman" w:eastAsia="宋体"/>
                      <w:color w:val="auto"/>
                      <w:szCs w:val="21"/>
                    </w:rPr>
                    <w:t>减少扬尘量</w:t>
                  </w:r>
                  <w:r>
                    <w:rPr>
                      <w:rFonts w:hint="eastAsia" w:ascii="Times New Roman" w:eastAsia="宋体"/>
                      <w:color w:val="auto"/>
                      <w:szCs w:val="21"/>
                    </w:rPr>
                    <w:t>，</w:t>
                  </w:r>
                  <w:r>
                    <w:rPr>
                      <w:rFonts w:hint="eastAsia" w:ascii="Times New Roman" w:eastAsia="宋体"/>
                      <w:color w:val="auto"/>
                      <w:szCs w:val="21"/>
                      <w:lang w:val="en-GB"/>
                    </w:rPr>
                    <w:t>环境敏感点大气环境质量符合《环境空气质量标准》（</w:t>
                  </w:r>
                  <w:r>
                    <w:rPr>
                      <w:rFonts w:ascii="Times New Roman" w:eastAsia="宋体"/>
                      <w:color w:val="auto"/>
                      <w:szCs w:val="21"/>
                      <w:lang w:val="en-GB"/>
                    </w:rPr>
                    <w:t>GB3095-</w:t>
                  </w:r>
                  <w:r>
                    <w:rPr>
                      <w:rFonts w:ascii="Times New Roman" w:eastAsia="宋体"/>
                      <w:color w:val="auto"/>
                      <w:szCs w:val="21"/>
                    </w:rPr>
                    <w:t>2012</w:t>
                  </w:r>
                  <w:r>
                    <w:rPr>
                      <w:rFonts w:hint="eastAsia" w:ascii="Times New Roman" w:eastAsia="宋体"/>
                      <w:color w:val="auto"/>
                      <w:szCs w:val="21"/>
                      <w:lang w:val="en-GB"/>
                    </w:rPr>
                    <w:t>）中二级标准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14" w:hRule="exact"/>
                <w:jc w:val="center"/>
              </w:trPr>
              <w:tc>
                <w:tcPr>
                  <w:tcW w:w="634" w:type="dxa"/>
                  <w:vMerge w:val="restart"/>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rPr>
                  </w:pPr>
                  <w:r>
                    <w:rPr>
                      <w:rFonts w:ascii="宋体"/>
                      <w:color w:val="auto"/>
                      <w:sz w:val="21"/>
                    </w:rPr>
                    <w:t>2</w:t>
                  </w:r>
                </w:p>
              </w:tc>
              <w:tc>
                <w:tcPr>
                  <w:tcW w:w="1250" w:type="dxa"/>
                  <w:vMerge w:val="restart"/>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rPr>
                  </w:pPr>
                  <w:r>
                    <w:rPr>
                      <w:rFonts w:ascii="宋体" w:hAnsi="宋体" w:eastAsia="宋体" w:cs="宋体"/>
                      <w:color w:val="auto"/>
                      <w:sz w:val="21"/>
                      <w:szCs w:val="21"/>
                    </w:rPr>
                    <w:t>施工废水</w:t>
                  </w: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生活污水利用当地居民已建的污水处理设施</w:t>
                  </w:r>
                </w:p>
              </w:tc>
              <w:tc>
                <w:tcPr>
                  <w:tcW w:w="3822" w:type="dxa"/>
                  <w:tcBorders>
                    <w:tl2br w:val="nil"/>
                    <w:tr2bl w:val="nil"/>
                  </w:tcBorders>
                  <w:vAlign w:val="center"/>
                </w:tcPr>
                <w:p>
                  <w:pPr>
                    <w:keepNext w:val="0"/>
                    <w:keepLines w:val="0"/>
                    <w:pageBreakBefore w:val="0"/>
                    <w:widowControl w:val="0"/>
                    <w:wordWrap/>
                    <w:topLinePunct w:val="0"/>
                    <w:autoSpaceDE w:val="0"/>
                    <w:autoSpaceDN w:val="0"/>
                    <w:bidi w:val="0"/>
                    <w:adjustRightInd w:val="0"/>
                    <w:snapToGrid w:val="0"/>
                    <w:jc w:val="center"/>
                    <w:textAlignment w:val="auto"/>
                    <w:rPr>
                      <w:rFonts w:ascii="宋体" w:eastAsia="宋体" w:cs="宋体"/>
                      <w:color w:val="auto"/>
                      <w:kern w:val="0"/>
                      <w:szCs w:val="21"/>
                    </w:rPr>
                  </w:pPr>
                  <w:r>
                    <w:rPr>
                      <w:rFonts w:hint="eastAsia" w:ascii="宋体" w:eastAsia="宋体" w:cs="宋体"/>
                      <w:color w:val="auto"/>
                      <w:kern w:val="0"/>
                      <w:szCs w:val="21"/>
                    </w:rPr>
                    <w:t>废水不直接外排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8" w:hRule="exact"/>
                <w:jc w:val="center"/>
              </w:trPr>
              <w:tc>
                <w:tcPr>
                  <w:tcW w:w="634"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c>
                <w:tcPr>
                  <w:tcW w:w="1250"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ascii="Times New Roman" w:eastAsia="宋体"/>
                      <w:color w:val="auto"/>
                      <w:szCs w:val="21"/>
                    </w:rPr>
                    <w:t>沉淀池、导排系统等施工废水处理设施（视具体施工场地设置来布置）</w:t>
                  </w:r>
                </w:p>
              </w:tc>
              <w:tc>
                <w:tcPr>
                  <w:tcW w:w="382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eastAsia="宋体"/>
                      <w:color w:val="auto"/>
                      <w:szCs w:val="21"/>
                    </w:rPr>
                    <w:t>废水循环</w:t>
                  </w:r>
                  <w:r>
                    <w:rPr>
                      <w:rFonts w:ascii="Times New Roman" w:eastAsia="宋体"/>
                      <w:color w:val="auto"/>
                      <w:szCs w:val="21"/>
                      <w:lang w:eastAsia="en-US"/>
                    </w:rPr>
                    <w:t>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8" w:hRule="exact"/>
                <w:jc w:val="center"/>
              </w:trPr>
              <w:tc>
                <w:tcPr>
                  <w:tcW w:w="634" w:type="dxa"/>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r>
                    <w:rPr>
                      <w:rFonts w:hint="eastAsia"/>
                      <w:color w:val="auto"/>
                    </w:rPr>
                    <w:t>3</w:t>
                  </w:r>
                </w:p>
              </w:tc>
              <w:tc>
                <w:tcPr>
                  <w:tcW w:w="1250"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声环境</w:t>
                  </w: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color w:val="auto"/>
                      <w:szCs w:val="21"/>
                    </w:rPr>
                    <w:t>设备隔声、减震</w:t>
                  </w:r>
                </w:p>
              </w:tc>
              <w:tc>
                <w:tcPr>
                  <w:tcW w:w="3822" w:type="dxa"/>
                  <w:tcBorders>
                    <w:tl2br w:val="nil"/>
                    <w:tr2bl w:val="nil"/>
                  </w:tcBorders>
                  <w:vAlign w:val="center"/>
                </w:tcPr>
                <w:p>
                  <w:pPr>
                    <w:keepNext w:val="0"/>
                    <w:keepLines w:val="0"/>
                    <w:pageBreakBefore w:val="0"/>
                    <w:widowControl w:val="0"/>
                    <w:wordWrap/>
                    <w:topLinePunct w:val="0"/>
                    <w:autoSpaceDE w:val="0"/>
                    <w:autoSpaceDN w:val="0"/>
                    <w:bidi w:val="0"/>
                    <w:adjustRightInd w:val="0"/>
                    <w:snapToGrid w:val="0"/>
                    <w:jc w:val="center"/>
                    <w:textAlignment w:val="auto"/>
                    <w:rPr>
                      <w:rFonts w:ascii="宋体" w:eastAsia="宋体" w:cs="宋体"/>
                      <w:color w:val="auto"/>
                      <w:kern w:val="0"/>
                      <w:szCs w:val="21"/>
                    </w:rPr>
                  </w:pPr>
                  <w:r>
                    <w:rPr>
                      <w:rFonts w:hint="eastAsia" w:ascii="Times New Roman" w:eastAsia="宋体"/>
                      <w:color w:val="auto"/>
                      <w:szCs w:val="21"/>
                    </w:rPr>
                    <w:t>敏感点声环境质量符合《声环境质量标准》（</w:t>
                  </w:r>
                  <w:r>
                    <w:rPr>
                      <w:rFonts w:ascii="Times New Roman" w:eastAsia="宋体"/>
                      <w:color w:val="auto"/>
                      <w:szCs w:val="21"/>
                    </w:rPr>
                    <w:t>GB3096-2008</w:t>
                  </w:r>
                  <w:r>
                    <w:rPr>
                      <w:rFonts w:hint="eastAsia" w:ascii="Times New Roman" w:eastAsia="宋体"/>
                      <w:color w:val="auto"/>
                      <w:szCs w:val="21"/>
                    </w:rPr>
                    <w:t>）</w:t>
                  </w:r>
                  <w:r>
                    <w:rPr>
                      <w:rFonts w:ascii="Times New Roman" w:eastAsia="宋体"/>
                      <w:color w:val="auto"/>
                      <w:szCs w:val="21"/>
                    </w:rPr>
                    <w:t>2</w:t>
                  </w:r>
                  <w:r>
                    <w:rPr>
                      <w:rFonts w:hint="eastAsia" w:ascii="Times New Roman" w:eastAsia="宋体"/>
                      <w:color w:val="auto"/>
                      <w:szCs w:val="21"/>
                    </w:rPr>
                    <w:t>类标准要求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39" w:hRule="exact"/>
                <w:jc w:val="center"/>
              </w:trPr>
              <w:tc>
                <w:tcPr>
                  <w:tcW w:w="634" w:type="dxa"/>
                  <w:vMerge w:val="restart"/>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hint="eastAsia" w:ascii="宋体"/>
                      <w:color w:val="auto"/>
                      <w:sz w:val="21"/>
                      <w:lang w:eastAsia="zh-CN"/>
                    </w:rPr>
                    <w:t>4</w:t>
                  </w:r>
                </w:p>
              </w:tc>
              <w:tc>
                <w:tcPr>
                  <w:tcW w:w="1250" w:type="dxa"/>
                  <w:vMerge w:val="restart"/>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rPr>
                  </w:pPr>
                  <w:r>
                    <w:rPr>
                      <w:rFonts w:ascii="宋体" w:hAnsi="宋体" w:eastAsia="宋体" w:cs="宋体"/>
                      <w:color w:val="auto"/>
                      <w:sz w:val="21"/>
                      <w:szCs w:val="21"/>
                    </w:rPr>
                    <w:t>施工固废</w:t>
                  </w: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多余土方</w:t>
                  </w:r>
                  <w:r>
                    <w:rPr>
                      <w:rFonts w:hint="eastAsia" w:ascii="Times New Roman" w:hAnsi="Times New Roman" w:eastAsia="宋体" w:cs="Times New Roman"/>
                      <w:color w:val="auto"/>
                      <w:szCs w:val="21"/>
                      <w:lang w:val="en-US" w:eastAsia="zh-CN"/>
                    </w:rPr>
                    <w:t>运送至距本项目5km的松潘县白羊乡建筑垃圾堆场</w:t>
                  </w:r>
                </w:p>
              </w:tc>
              <w:tc>
                <w:tcPr>
                  <w:tcW w:w="3822" w:type="dxa"/>
                  <w:vMerge w:val="restart"/>
                  <w:tcBorders>
                    <w:tl2br w:val="nil"/>
                    <w:tr2bl w:val="nil"/>
                  </w:tcBorders>
                  <w:vAlign w:val="center"/>
                </w:tcPr>
                <w:p>
                  <w:pPr>
                    <w:keepNext w:val="0"/>
                    <w:keepLines w:val="0"/>
                    <w:pageBreakBefore w:val="0"/>
                    <w:widowControl w:val="0"/>
                    <w:wordWrap/>
                    <w:topLinePunct w:val="0"/>
                    <w:autoSpaceDE w:val="0"/>
                    <w:autoSpaceDN w:val="0"/>
                    <w:bidi w:val="0"/>
                    <w:adjustRightInd w:val="0"/>
                    <w:snapToGrid w:val="0"/>
                    <w:jc w:val="center"/>
                    <w:textAlignment w:val="auto"/>
                    <w:rPr>
                      <w:rFonts w:ascii="宋体" w:eastAsia="宋体" w:cs="宋体"/>
                      <w:color w:val="auto"/>
                      <w:kern w:val="0"/>
                      <w:szCs w:val="21"/>
                    </w:rPr>
                  </w:pPr>
                  <w:r>
                    <w:rPr>
                      <w:rFonts w:hint="eastAsia" w:ascii="宋体" w:eastAsia="宋体" w:cs="宋体"/>
                      <w:color w:val="auto"/>
                      <w:kern w:val="0"/>
                      <w:szCs w:val="21"/>
                    </w:rPr>
                    <w:t>均得到合理处置，不外排</w:t>
                  </w:r>
                </w:p>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rPr>
                  </w:pPr>
                  <w:r>
                    <w:rPr>
                      <w:rFonts w:hint="eastAsia" w:ascii="宋体" w:eastAsia="宋体" w:cs="宋体"/>
                      <w:color w:val="auto"/>
                      <w:sz w:val="21"/>
                      <w:szCs w:val="21"/>
                    </w:rPr>
                    <w:t>不产生二次污染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850" w:hRule="exact"/>
                <w:jc w:val="center"/>
              </w:trPr>
              <w:tc>
                <w:tcPr>
                  <w:tcW w:w="634"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c>
                <w:tcPr>
                  <w:tcW w:w="1250"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生活垃圾交由环卫部门统一处理</w:t>
                  </w:r>
                </w:p>
              </w:tc>
              <w:tc>
                <w:tcPr>
                  <w:tcW w:w="3822"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05" w:hRule="exact"/>
                <w:jc w:val="center"/>
              </w:trPr>
              <w:tc>
                <w:tcPr>
                  <w:tcW w:w="634" w:type="dxa"/>
                  <w:vMerge w:val="restart"/>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hint="eastAsia" w:ascii="宋体"/>
                      <w:color w:val="auto"/>
                      <w:sz w:val="21"/>
                      <w:lang w:eastAsia="zh-CN"/>
                    </w:rPr>
                    <w:t>5</w:t>
                  </w:r>
                </w:p>
              </w:tc>
              <w:tc>
                <w:tcPr>
                  <w:tcW w:w="1250" w:type="dxa"/>
                  <w:vMerge w:val="restart"/>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eastAsia="宋体"/>
                      <w:color w:val="auto"/>
                      <w:szCs w:val="21"/>
                    </w:rPr>
                  </w:pPr>
                  <w:r>
                    <w:rPr>
                      <w:rFonts w:hint="eastAsia" w:ascii="Times New Roman" w:eastAsia="宋体"/>
                      <w:color w:val="auto"/>
                      <w:szCs w:val="21"/>
                    </w:rPr>
                    <w:t>生态</w:t>
                  </w:r>
                </w:p>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eastAsia="宋体"/>
                      <w:color w:val="auto"/>
                      <w:szCs w:val="21"/>
                    </w:rPr>
                    <w:t>环境</w:t>
                  </w:r>
                </w:p>
              </w:tc>
              <w:tc>
                <w:tcPr>
                  <w:tcW w:w="3402" w:type="dxa"/>
                  <w:tcBorders>
                    <w:tl2br w:val="nil"/>
                    <w:tr2bl w:val="nil"/>
                  </w:tcBorders>
                  <w:vAlign w:val="center"/>
                </w:tcPr>
                <w:p>
                  <w:pPr>
                    <w:pStyle w:val="22"/>
                    <w:keepNext w:val="0"/>
                    <w:keepLines w:val="0"/>
                    <w:pageBreakBefore w:val="0"/>
                    <w:widowControl w:val="0"/>
                    <w:wordWrap/>
                    <w:topLinePunct w:val="0"/>
                    <w:bidi w:val="0"/>
                    <w:adjustRightInd w:val="0"/>
                    <w:snapToGrid w:val="0"/>
                    <w:ind w:left="0" w:leftChars="0"/>
                    <w:jc w:val="center"/>
                    <w:textAlignment w:val="auto"/>
                    <w:rPr>
                      <w:rFonts w:ascii="Times New Roman" w:eastAsia="宋体"/>
                      <w:color w:val="auto"/>
                      <w:szCs w:val="21"/>
                      <w:lang w:eastAsia="en-US"/>
                    </w:rPr>
                  </w:pPr>
                  <w:r>
                    <w:rPr>
                      <w:rFonts w:ascii="Times New Roman" w:eastAsia="宋体"/>
                      <w:color w:val="auto"/>
                      <w:szCs w:val="21"/>
                      <w:lang w:eastAsia="en-US"/>
                    </w:rPr>
                    <w:t>生态宣教标牌等设施</w:t>
                  </w:r>
                </w:p>
              </w:tc>
              <w:tc>
                <w:tcPr>
                  <w:tcW w:w="3822" w:type="dxa"/>
                  <w:vMerge w:val="restart"/>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Times New Roman" w:eastAsia="宋体"/>
                      <w:color w:val="auto"/>
                      <w:sz w:val="21"/>
                      <w:szCs w:val="21"/>
                      <w:lang w:eastAsia="zh-CN"/>
                    </w:rPr>
                    <w:t>保护植被及动植物</w:t>
                  </w:r>
                  <w:r>
                    <w:rPr>
                      <w:rFonts w:hint="eastAsia" w:ascii="Times New Roman" w:eastAsia="宋体"/>
                      <w:color w:val="auto"/>
                      <w:sz w:val="21"/>
                      <w:szCs w:val="21"/>
                      <w:lang w:eastAsia="zh-CN"/>
                    </w:rPr>
                    <w:t>，</w:t>
                  </w:r>
                  <w:r>
                    <w:rPr>
                      <w:rFonts w:ascii="Times New Roman" w:eastAsia="宋体"/>
                      <w:color w:val="auto"/>
                      <w:sz w:val="21"/>
                      <w:szCs w:val="21"/>
                      <w:lang w:eastAsia="zh-CN"/>
                    </w:rPr>
                    <w:t>滞尘减噪、绿化、美观及临时工程生态恢复</w:t>
                  </w:r>
                  <w:r>
                    <w:rPr>
                      <w:rFonts w:hint="eastAsia" w:ascii="Times New Roman" w:eastAsia="宋体"/>
                      <w:color w:val="auto"/>
                      <w:sz w:val="21"/>
                      <w:szCs w:val="21"/>
                      <w:lang w:eastAsia="zh-CN"/>
                    </w:rPr>
                    <w:t>，</w:t>
                  </w:r>
                  <w:r>
                    <w:rPr>
                      <w:rFonts w:ascii="Times New Roman" w:eastAsia="宋体"/>
                      <w:color w:val="auto"/>
                      <w:sz w:val="21"/>
                      <w:szCs w:val="21"/>
                      <w:lang w:eastAsia="zh-CN"/>
                    </w:rPr>
                    <w:t>防止水土流失</w:t>
                  </w:r>
                  <w:r>
                    <w:rPr>
                      <w:rFonts w:hint="eastAsia" w:ascii="Times New Roman" w:eastAsia="宋体"/>
                      <w:color w:val="auto"/>
                      <w:sz w:val="21"/>
                      <w:szCs w:val="21"/>
                      <w:lang w:eastAsia="zh-CN"/>
                    </w:rPr>
                    <w:t>，减少施工对生态环境的影响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05" w:hRule="exact"/>
                <w:jc w:val="center"/>
              </w:trPr>
              <w:tc>
                <w:tcPr>
                  <w:tcW w:w="634" w:type="dxa"/>
                  <w:vMerge w:val="continue"/>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color w:val="auto"/>
                      <w:sz w:val="21"/>
                      <w:lang w:eastAsia="zh-CN"/>
                    </w:rPr>
                  </w:pPr>
                </w:p>
              </w:tc>
              <w:tc>
                <w:tcPr>
                  <w:tcW w:w="1250" w:type="dxa"/>
                  <w:vMerge w:val="continue"/>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p>
              </w:tc>
              <w:tc>
                <w:tcPr>
                  <w:tcW w:w="3402"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Times New Roman" w:eastAsia="宋体"/>
                      <w:color w:val="auto"/>
                      <w:sz w:val="21"/>
                      <w:szCs w:val="21"/>
                      <w:lang w:eastAsia="zh-CN"/>
                    </w:rPr>
                    <w:t>工程绿化、景观设施及生态恢复措施</w:t>
                  </w:r>
                </w:p>
              </w:tc>
              <w:tc>
                <w:tcPr>
                  <w:tcW w:w="3822" w:type="dxa"/>
                  <w:vMerge w:val="continue"/>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pacing w:val="-8"/>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81" w:hRule="exact"/>
                <w:jc w:val="center"/>
              </w:trPr>
              <w:tc>
                <w:tcPr>
                  <w:tcW w:w="634"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c>
                <w:tcPr>
                  <w:tcW w:w="1250"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c>
                <w:tcPr>
                  <w:tcW w:w="3402" w:type="dxa"/>
                  <w:tcBorders>
                    <w:tl2br w:val="nil"/>
                    <w:tr2bl w:val="nil"/>
                  </w:tcBorders>
                  <w:vAlign w:val="center"/>
                </w:tcPr>
                <w:p>
                  <w:pPr>
                    <w:pStyle w:val="311"/>
                    <w:keepNext w:val="0"/>
                    <w:keepLines w:val="0"/>
                    <w:pageBreakBefore w:val="0"/>
                    <w:widowControl w:val="0"/>
                    <w:wordWrap/>
                    <w:topLinePunct w:val="0"/>
                    <w:bidi w:val="0"/>
                    <w:adjustRightInd w:val="0"/>
                    <w:snapToGrid w:val="0"/>
                    <w:jc w:val="center"/>
                    <w:textAlignment w:val="auto"/>
                    <w:rPr>
                      <w:rFonts w:ascii="宋体" w:hAnsi="宋体" w:eastAsia="宋体" w:cs="宋体"/>
                      <w:color w:val="auto"/>
                      <w:sz w:val="21"/>
                      <w:szCs w:val="21"/>
                      <w:lang w:eastAsia="zh-CN"/>
                    </w:rPr>
                  </w:pPr>
                  <w:r>
                    <w:rPr>
                      <w:rFonts w:ascii="Times New Roman" w:eastAsia="宋体"/>
                      <w:color w:val="auto"/>
                      <w:sz w:val="21"/>
                      <w:szCs w:val="21"/>
                      <w:lang w:eastAsia="zh-CN"/>
                    </w:rPr>
                    <w:t>水土保持措施(含临时措施)</w:t>
                  </w:r>
                </w:p>
              </w:tc>
              <w:tc>
                <w:tcPr>
                  <w:tcW w:w="3822"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08" w:hRule="exact"/>
                <w:jc w:val="center"/>
              </w:trPr>
              <w:tc>
                <w:tcPr>
                  <w:tcW w:w="634" w:type="dxa"/>
                  <w:vMerge w:val="restart"/>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r>
                    <w:rPr>
                      <w:rFonts w:hint="eastAsia"/>
                      <w:color w:val="auto"/>
                    </w:rPr>
                    <w:t>6</w:t>
                  </w:r>
                </w:p>
              </w:tc>
              <w:tc>
                <w:tcPr>
                  <w:tcW w:w="1250"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施工期环境管理</w:t>
                  </w: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eastAsia="宋体"/>
                      <w:color w:val="auto"/>
                      <w:szCs w:val="21"/>
                    </w:rPr>
                    <w:t>编制环境监理报告，有环境监理报告</w:t>
                  </w:r>
                </w:p>
              </w:tc>
              <w:tc>
                <w:tcPr>
                  <w:tcW w:w="3822" w:type="dxa"/>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r>
                    <w:rPr>
                      <w:color w:val="auto"/>
                    </w:rPr>
                    <w:t>环境监理报告</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08" w:hRule="exact"/>
                <w:jc w:val="center"/>
              </w:trPr>
              <w:tc>
                <w:tcPr>
                  <w:tcW w:w="634" w:type="dxa"/>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p>
              </w:tc>
              <w:tc>
                <w:tcPr>
                  <w:tcW w:w="1250"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运营期环境管理</w:t>
                  </w:r>
                </w:p>
              </w:tc>
              <w:tc>
                <w:tcPr>
                  <w:tcW w:w="3402" w:type="dxa"/>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ascii="Times New Roman" w:eastAsia="宋体"/>
                      <w:color w:val="auto"/>
                      <w:szCs w:val="21"/>
                    </w:rPr>
                  </w:pPr>
                  <w:r>
                    <w:rPr>
                      <w:rFonts w:hint="eastAsia" w:ascii="Times New Roman" w:hAnsi="Times New Roman" w:eastAsia="宋体" w:cs="Times New Roman"/>
                      <w:color w:val="auto"/>
                      <w:szCs w:val="21"/>
                    </w:rPr>
                    <w:t>通过环境保护验收工作，有验收报告</w:t>
                  </w:r>
                </w:p>
              </w:tc>
              <w:tc>
                <w:tcPr>
                  <w:tcW w:w="3822" w:type="dxa"/>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color w:val="auto"/>
                    </w:rPr>
                  </w:pPr>
                  <w:r>
                    <w:rPr>
                      <w:color w:val="auto"/>
                    </w:rPr>
                    <w:t>环境保护验收报告</w:t>
                  </w:r>
                </w:p>
              </w:tc>
            </w:tr>
          </w:tbl>
          <w:p>
            <w:pPr>
              <w:spacing w:line="360" w:lineRule="auto"/>
              <w:ind w:firstLine="480" w:firstLineChars="200"/>
              <w:rPr>
                <w:rFonts w:hint="default" w:ascii="t" w:hAnsi="t"/>
                <w:b w:val="0"/>
                <w:bCs/>
                <w:snapToGrid w:val="0"/>
                <w:color w:val="auto"/>
                <w:sz w:val="24"/>
                <w:lang w:val="en-US" w:eastAsia="zh-CN"/>
              </w:rPr>
            </w:pPr>
          </w:p>
          <w:p>
            <w:pPr>
              <w:pStyle w:val="29"/>
              <w:rPr>
                <w:rFonts w:hint="eastAsia"/>
                <w:color w:val="auto"/>
                <w:lang w:eastAsia="zh-CN"/>
              </w:rPr>
            </w:pPr>
          </w:p>
          <w:p>
            <w:pPr>
              <w:pStyle w:val="21"/>
              <w:adjustRightInd w:val="0"/>
              <w:snapToGrid w:val="0"/>
              <w:spacing w:after="0" w:line="360" w:lineRule="auto"/>
              <w:jc w:val="center"/>
              <w:rPr>
                <w:rFonts w:ascii="Times New Roman" w:hAnsi="Times New Roman" w:cs="Times New Roman"/>
                <w:color w:val="auto"/>
                <w:sz w:val="24"/>
              </w:rPr>
            </w:pPr>
          </w:p>
          <w:p>
            <w:pPr>
              <w:pStyle w:val="21"/>
              <w:adjustRightInd w:val="0"/>
              <w:snapToGrid w:val="0"/>
              <w:spacing w:after="0" w:line="360" w:lineRule="auto"/>
              <w:jc w:val="center"/>
              <w:rPr>
                <w:rFonts w:ascii="Times New Roman" w:hAnsi="Times New Roman" w:cs="Times New Roman"/>
                <w:color w:val="auto"/>
                <w:sz w:val="24"/>
              </w:rPr>
            </w:pPr>
          </w:p>
        </w:tc>
      </w:tr>
    </w:tbl>
    <w:p>
      <w:pPr>
        <w:tabs>
          <w:tab w:val="left" w:pos="5760"/>
        </w:tabs>
        <w:adjustRightInd w:val="0"/>
        <w:snapToGrid w:val="0"/>
        <w:spacing w:before="156" w:beforeLines="50" w:after="156" w:afterLines="50"/>
        <w:outlineLvl w:val="0"/>
        <w:rPr>
          <w:rFonts w:ascii="Times New Roman" w:hAnsi="Times New Roman" w:cs="Times New Roman"/>
          <w:b/>
          <w:color w:val="auto"/>
          <w:sz w:val="30"/>
          <w:szCs w:val="3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outlineLvl w:val="0"/>
        <w:rPr>
          <w:rFonts w:ascii="Times New Roman" w:hAnsi="Times New Roman" w:cs="Times New Roman"/>
          <w:b/>
          <w:color w:val="auto"/>
          <w:sz w:val="30"/>
          <w:szCs w:val="30"/>
        </w:rPr>
      </w:pPr>
      <w:r>
        <w:rPr>
          <w:rFonts w:hint="eastAsia" w:ascii="Times New Roman" w:hAnsi="Times New Roman" w:cs="Times New Roman"/>
          <w:b/>
          <w:color w:val="auto"/>
          <w:sz w:val="30"/>
          <w:szCs w:val="30"/>
        </w:rPr>
        <w:t>建设项目拟采取的防治措施及预期治理                  （</w:t>
      </w:r>
      <w:r>
        <w:rPr>
          <w:rFonts w:hint="eastAsia" w:ascii="Times New Roman" w:hAnsi="Times New Roman" w:cs="Times New Roman"/>
          <w:b/>
          <w:snapToGrid w:val="0"/>
          <w:color w:val="auto"/>
          <w:kern w:val="0"/>
          <w:sz w:val="30"/>
          <w:szCs w:val="30"/>
        </w:rPr>
        <w:t>表八）</w:t>
      </w:r>
    </w:p>
    <w:tbl>
      <w:tblPr>
        <w:tblStyle w:val="51"/>
        <w:tblW w:w="8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12"/>
        <w:gridCol w:w="585"/>
        <w:gridCol w:w="1055"/>
        <w:gridCol w:w="1417"/>
        <w:gridCol w:w="2977"/>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12" w:type="dxa"/>
            <w:tcBorders>
              <w:tl2br w:val="single" w:color="auto" w:sz="4" w:space="0"/>
            </w:tcBorders>
            <w:vAlign w:val="center"/>
          </w:tcPr>
          <w:p>
            <w:pPr>
              <w:jc w:val="center"/>
              <w:rPr>
                <w:rFonts w:ascii="t" w:hAnsi="t"/>
                <w:b/>
                <w:color w:val="auto"/>
                <w:sz w:val="21"/>
                <w:szCs w:val="21"/>
              </w:rPr>
            </w:pPr>
            <w:r>
              <w:rPr>
                <w:rFonts w:ascii="t" w:hAnsi="t"/>
                <w:b/>
                <w:color w:val="auto"/>
                <w:sz w:val="21"/>
                <w:szCs w:val="21"/>
              </w:rPr>
              <w:t>内容</w:t>
            </w:r>
          </w:p>
          <w:p>
            <w:pPr>
              <w:rPr>
                <w:rFonts w:ascii="t" w:hAnsi="t"/>
                <w:b/>
                <w:color w:val="auto"/>
                <w:sz w:val="21"/>
                <w:szCs w:val="21"/>
              </w:rPr>
            </w:pPr>
            <w:r>
              <w:rPr>
                <w:rFonts w:ascii="t" w:hAnsi="t"/>
                <w:b/>
                <w:color w:val="auto"/>
                <w:sz w:val="21"/>
                <w:szCs w:val="21"/>
              </w:rPr>
              <w:t>类型</w:t>
            </w:r>
          </w:p>
        </w:tc>
        <w:tc>
          <w:tcPr>
            <w:tcW w:w="1640" w:type="dxa"/>
            <w:gridSpan w:val="2"/>
            <w:vAlign w:val="center"/>
          </w:tcPr>
          <w:p>
            <w:pPr>
              <w:jc w:val="center"/>
              <w:rPr>
                <w:rFonts w:ascii="t" w:hAnsi="t"/>
                <w:b/>
                <w:color w:val="auto"/>
                <w:sz w:val="21"/>
                <w:szCs w:val="21"/>
              </w:rPr>
            </w:pPr>
            <w:r>
              <w:rPr>
                <w:rFonts w:ascii="t" w:hAnsi="t"/>
                <w:b/>
                <w:color w:val="auto"/>
                <w:sz w:val="21"/>
                <w:szCs w:val="21"/>
              </w:rPr>
              <w:t>排放源</w:t>
            </w:r>
          </w:p>
          <w:p>
            <w:pPr>
              <w:jc w:val="center"/>
              <w:rPr>
                <w:rFonts w:ascii="t" w:hAnsi="t"/>
                <w:b/>
                <w:color w:val="auto"/>
                <w:sz w:val="21"/>
                <w:szCs w:val="21"/>
              </w:rPr>
            </w:pPr>
            <w:r>
              <w:rPr>
                <w:rFonts w:ascii="t" w:hAnsi="t"/>
                <w:b/>
                <w:color w:val="auto"/>
                <w:sz w:val="21"/>
                <w:szCs w:val="21"/>
              </w:rPr>
              <w:t>(编号)</w:t>
            </w:r>
          </w:p>
        </w:tc>
        <w:tc>
          <w:tcPr>
            <w:tcW w:w="1417" w:type="dxa"/>
            <w:vAlign w:val="center"/>
          </w:tcPr>
          <w:p>
            <w:pPr>
              <w:jc w:val="center"/>
              <w:rPr>
                <w:rFonts w:ascii="t" w:hAnsi="t"/>
                <w:b/>
                <w:color w:val="auto"/>
                <w:sz w:val="21"/>
                <w:szCs w:val="21"/>
              </w:rPr>
            </w:pPr>
            <w:r>
              <w:rPr>
                <w:rFonts w:ascii="t" w:hAnsi="t"/>
                <w:b/>
                <w:color w:val="auto"/>
                <w:sz w:val="21"/>
                <w:szCs w:val="21"/>
              </w:rPr>
              <w:t>污染物</w:t>
            </w:r>
          </w:p>
          <w:p>
            <w:pPr>
              <w:jc w:val="center"/>
              <w:rPr>
                <w:rFonts w:ascii="t" w:hAnsi="t"/>
                <w:b/>
                <w:color w:val="auto"/>
                <w:sz w:val="21"/>
                <w:szCs w:val="21"/>
              </w:rPr>
            </w:pPr>
            <w:r>
              <w:rPr>
                <w:rFonts w:ascii="t" w:hAnsi="t"/>
                <w:b/>
                <w:color w:val="auto"/>
                <w:sz w:val="21"/>
                <w:szCs w:val="21"/>
              </w:rPr>
              <w:t>名称</w:t>
            </w:r>
          </w:p>
        </w:tc>
        <w:tc>
          <w:tcPr>
            <w:tcW w:w="2977" w:type="dxa"/>
            <w:vAlign w:val="center"/>
          </w:tcPr>
          <w:p>
            <w:pPr>
              <w:jc w:val="center"/>
              <w:rPr>
                <w:rFonts w:ascii="t" w:hAnsi="t"/>
                <w:b/>
                <w:color w:val="auto"/>
                <w:sz w:val="21"/>
                <w:szCs w:val="21"/>
              </w:rPr>
            </w:pPr>
            <w:r>
              <w:rPr>
                <w:rFonts w:hint="eastAsia" w:ascii="t" w:hAnsi="t"/>
                <w:b/>
                <w:color w:val="auto"/>
                <w:sz w:val="21"/>
                <w:szCs w:val="21"/>
              </w:rPr>
              <w:t>防治</w:t>
            </w:r>
            <w:r>
              <w:rPr>
                <w:rFonts w:ascii="t" w:hAnsi="t"/>
                <w:b/>
                <w:color w:val="auto"/>
                <w:sz w:val="21"/>
                <w:szCs w:val="21"/>
              </w:rPr>
              <w:t>措施</w:t>
            </w:r>
          </w:p>
        </w:tc>
        <w:tc>
          <w:tcPr>
            <w:tcW w:w="1840" w:type="dxa"/>
            <w:vAlign w:val="center"/>
          </w:tcPr>
          <w:p>
            <w:pPr>
              <w:jc w:val="center"/>
              <w:rPr>
                <w:rFonts w:ascii="t" w:hAnsi="t"/>
                <w:b/>
                <w:color w:val="auto"/>
                <w:sz w:val="21"/>
                <w:szCs w:val="21"/>
              </w:rPr>
            </w:pPr>
            <w:r>
              <w:rPr>
                <w:rFonts w:ascii="t" w:hAnsi="t"/>
                <w:b/>
                <w:color w:val="auto"/>
                <w:sz w:val="21"/>
                <w:szCs w:val="21"/>
              </w:rPr>
              <w:t>预期治理效果</w:t>
            </w:r>
            <w:r>
              <w:rPr>
                <w:rFonts w:hint="eastAsia" w:ascii="t" w:hAnsi="t"/>
                <w:b/>
                <w:color w:val="auto"/>
                <w:sz w:val="21"/>
                <w:szCs w:val="21"/>
              </w:rPr>
              <w:t>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9" w:hRule="atLeast"/>
          <w:jc w:val="center"/>
        </w:trPr>
        <w:tc>
          <w:tcPr>
            <w:tcW w:w="912" w:type="dxa"/>
            <w:vMerge w:val="restart"/>
            <w:vAlign w:val="center"/>
          </w:tcPr>
          <w:p>
            <w:pPr>
              <w:jc w:val="center"/>
              <w:rPr>
                <w:rFonts w:ascii="t" w:hAnsi="t"/>
                <w:b/>
                <w:color w:val="auto"/>
                <w:sz w:val="21"/>
                <w:szCs w:val="21"/>
              </w:rPr>
            </w:pPr>
            <w:r>
              <w:rPr>
                <w:rFonts w:ascii="t" w:hAnsi="t"/>
                <w:b/>
                <w:color w:val="auto"/>
                <w:sz w:val="21"/>
                <w:szCs w:val="21"/>
              </w:rPr>
              <w:t>大气</w:t>
            </w:r>
          </w:p>
          <w:p>
            <w:pPr>
              <w:jc w:val="center"/>
              <w:rPr>
                <w:rFonts w:ascii="t" w:hAnsi="t"/>
                <w:b/>
                <w:color w:val="auto"/>
                <w:sz w:val="21"/>
                <w:szCs w:val="21"/>
              </w:rPr>
            </w:pPr>
            <w:r>
              <w:rPr>
                <w:rFonts w:ascii="t" w:hAnsi="t"/>
                <w:b/>
                <w:color w:val="auto"/>
                <w:sz w:val="21"/>
                <w:szCs w:val="21"/>
              </w:rPr>
              <w:t>污染物</w:t>
            </w:r>
          </w:p>
        </w:tc>
        <w:tc>
          <w:tcPr>
            <w:tcW w:w="585" w:type="dxa"/>
            <w:vMerge w:val="restart"/>
            <w:vAlign w:val="center"/>
          </w:tcPr>
          <w:p>
            <w:pPr>
              <w:pStyle w:val="311"/>
              <w:jc w:val="center"/>
              <w:rPr>
                <w:rFonts w:ascii="t" w:hAnsi="t"/>
                <w:color w:val="auto"/>
                <w:sz w:val="21"/>
                <w:szCs w:val="21"/>
              </w:rPr>
            </w:pPr>
            <w:r>
              <w:rPr>
                <w:rFonts w:ascii="t" w:hAnsi="t"/>
                <w:color w:val="auto"/>
                <w:sz w:val="21"/>
                <w:szCs w:val="21"/>
              </w:rPr>
              <w:t>施工期</w:t>
            </w:r>
          </w:p>
        </w:tc>
        <w:tc>
          <w:tcPr>
            <w:tcW w:w="1055" w:type="dxa"/>
            <w:vAlign w:val="center"/>
          </w:tcPr>
          <w:p>
            <w:pPr>
              <w:snapToGrid w:val="0"/>
              <w:jc w:val="center"/>
              <w:rPr>
                <w:color w:val="auto"/>
                <w:sz w:val="21"/>
                <w:szCs w:val="21"/>
              </w:rPr>
            </w:pPr>
            <w:r>
              <w:rPr>
                <w:color w:val="auto"/>
                <w:sz w:val="21"/>
                <w:szCs w:val="21"/>
              </w:rPr>
              <w:t>燃油机械</w:t>
            </w:r>
          </w:p>
          <w:p>
            <w:pPr>
              <w:snapToGrid w:val="0"/>
              <w:jc w:val="center"/>
              <w:rPr>
                <w:color w:val="auto"/>
                <w:sz w:val="21"/>
                <w:szCs w:val="21"/>
              </w:rPr>
            </w:pPr>
            <w:r>
              <w:rPr>
                <w:color w:val="auto"/>
                <w:sz w:val="21"/>
                <w:szCs w:val="21"/>
              </w:rPr>
              <w:t>机动车</w:t>
            </w:r>
          </w:p>
        </w:tc>
        <w:tc>
          <w:tcPr>
            <w:tcW w:w="1417" w:type="dxa"/>
            <w:vAlign w:val="center"/>
          </w:tcPr>
          <w:p>
            <w:pPr>
              <w:snapToGrid w:val="0"/>
              <w:jc w:val="center"/>
              <w:rPr>
                <w:color w:val="auto"/>
                <w:sz w:val="21"/>
                <w:szCs w:val="21"/>
                <w:vertAlign w:val="subscript"/>
              </w:rPr>
            </w:pPr>
            <w:r>
              <w:rPr>
                <w:color w:val="auto"/>
                <w:sz w:val="21"/>
                <w:szCs w:val="21"/>
              </w:rPr>
              <w:t>NO</w:t>
            </w:r>
            <w:r>
              <w:rPr>
                <w:color w:val="auto"/>
                <w:sz w:val="21"/>
                <w:szCs w:val="21"/>
                <w:vertAlign w:val="subscript"/>
              </w:rPr>
              <w:t>2</w:t>
            </w:r>
            <w:r>
              <w:rPr>
                <w:rFonts w:hint="eastAsia"/>
                <w:color w:val="auto"/>
                <w:sz w:val="21"/>
                <w:szCs w:val="21"/>
              </w:rPr>
              <w:t>、</w:t>
            </w:r>
            <w:r>
              <w:rPr>
                <w:color w:val="auto"/>
                <w:sz w:val="21"/>
                <w:szCs w:val="21"/>
              </w:rPr>
              <w:t>SO</w:t>
            </w:r>
            <w:r>
              <w:rPr>
                <w:color w:val="auto"/>
                <w:sz w:val="21"/>
                <w:szCs w:val="21"/>
                <w:vertAlign w:val="subscript"/>
              </w:rPr>
              <w:t>2</w:t>
            </w:r>
            <w:r>
              <w:rPr>
                <w:rFonts w:hint="eastAsia"/>
                <w:color w:val="auto"/>
                <w:sz w:val="21"/>
                <w:szCs w:val="21"/>
              </w:rPr>
              <w:t>、</w:t>
            </w:r>
            <w:r>
              <w:rPr>
                <w:color w:val="auto"/>
                <w:sz w:val="21"/>
                <w:szCs w:val="21"/>
              </w:rPr>
              <w:t>CO</w:t>
            </w:r>
            <w:r>
              <w:rPr>
                <w:rFonts w:hint="eastAsia"/>
                <w:color w:val="auto"/>
                <w:sz w:val="21"/>
                <w:szCs w:val="21"/>
              </w:rPr>
              <w:t>、</w:t>
            </w:r>
            <w:r>
              <w:rPr>
                <w:color w:val="auto"/>
                <w:sz w:val="21"/>
                <w:szCs w:val="21"/>
              </w:rPr>
              <w:t>THC</w:t>
            </w:r>
          </w:p>
        </w:tc>
        <w:tc>
          <w:tcPr>
            <w:tcW w:w="2977" w:type="dxa"/>
            <w:vAlign w:val="center"/>
          </w:tcPr>
          <w:p>
            <w:pPr>
              <w:snapToGrid w:val="0"/>
              <w:jc w:val="center"/>
              <w:rPr>
                <w:color w:val="auto"/>
                <w:sz w:val="21"/>
                <w:szCs w:val="21"/>
              </w:rPr>
            </w:pPr>
            <w:r>
              <w:rPr>
                <w:color w:val="auto"/>
                <w:sz w:val="21"/>
                <w:szCs w:val="21"/>
              </w:rPr>
              <w:t>自然稀释</w:t>
            </w:r>
          </w:p>
        </w:tc>
        <w:tc>
          <w:tcPr>
            <w:tcW w:w="1840" w:type="dxa"/>
            <w:vAlign w:val="center"/>
          </w:tcPr>
          <w:p>
            <w:pPr>
              <w:snapToGrid w:val="0"/>
              <w:jc w:val="center"/>
              <w:rPr>
                <w:color w:val="auto"/>
                <w:sz w:val="21"/>
                <w:szCs w:val="21"/>
              </w:rPr>
            </w:pPr>
            <w:r>
              <w:rPr>
                <w:color w:val="auto"/>
                <w:sz w:val="21"/>
                <w:szCs w:val="21"/>
              </w:rPr>
              <w:t>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40" w:hRule="atLeast"/>
          <w:jc w:val="center"/>
        </w:trPr>
        <w:tc>
          <w:tcPr>
            <w:tcW w:w="912" w:type="dxa"/>
            <w:vMerge w:val="continue"/>
            <w:vAlign w:val="center"/>
          </w:tcPr>
          <w:p>
            <w:pPr>
              <w:jc w:val="center"/>
              <w:rPr>
                <w:rFonts w:ascii="t" w:hAnsi="t"/>
                <w:b/>
                <w:color w:val="auto"/>
                <w:sz w:val="21"/>
                <w:szCs w:val="21"/>
              </w:rPr>
            </w:pPr>
          </w:p>
        </w:tc>
        <w:tc>
          <w:tcPr>
            <w:tcW w:w="585" w:type="dxa"/>
            <w:vMerge w:val="continue"/>
            <w:vAlign w:val="center"/>
          </w:tcPr>
          <w:p>
            <w:pPr>
              <w:pStyle w:val="311"/>
              <w:jc w:val="center"/>
              <w:rPr>
                <w:rFonts w:ascii="宋体" w:hAnsi="宋体" w:eastAsia="宋体" w:cs="宋体"/>
                <w:color w:val="auto"/>
                <w:sz w:val="21"/>
                <w:szCs w:val="21"/>
              </w:rPr>
            </w:pPr>
          </w:p>
        </w:tc>
        <w:tc>
          <w:tcPr>
            <w:tcW w:w="1055" w:type="dxa"/>
            <w:vAlign w:val="center"/>
          </w:tcPr>
          <w:p>
            <w:pPr>
              <w:snapToGrid w:val="0"/>
              <w:jc w:val="center"/>
              <w:rPr>
                <w:color w:val="auto"/>
                <w:sz w:val="21"/>
                <w:szCs w:val="21"/>
              </w:rPr>
            </w:pPr>
            <w:r>
              <w:rPr>
                <w:color w:val="auto"/>
                <w:sz w:val="21"/>
                <w:szCs w:val="21"/>
              </w:rPr>
              <w:t>扬尘</w:t>
            </w:r>
          </w:p>
        </w:tc>
        <w:tc>
          <w:tcPr>
            <w:tcW w:w="1417" w:type="dxa"/>
            <w:vAlign w:val="center"/>
          </w:tcPr>
          <w:p>
            <w:pPr>
              <w:snapToGrid w:val="0"/>
              <w:jc w:val="center"/>
              <w:rPr>
                <w:color w:val="auto"/>
                <w:sz w:val="21"/>
                <w:szCs w:val="21"/>
              </w:rPr>
            </w:pPr>
            <w:r>
              <w:rPr>
                <w:color w:val="auto"/>
                <w:sz w:val="21"/>
                <w:szCs w:val="21"/>
              </w:rPr>
              <w:t>TSP</w:t>
            </w:r>
          </w:p>
        </w:tc>
        <w:tc>
          <w:tcPr>
            <w:tcW w:w="29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sz w:val="21"/>
                <w:szCs w:val="21"/>
              </w:rPr>
            </w:pPr>
            <w:r>
              <w:rPr>
                <w:sz w:val="21"/>
                <w:szCs w:val="21"/>
              </w:rPr>
              <w:t>1</w:t>
            </w:r>
            <w:r>
              <w:rPr>
                <w:rFonts w:hint="eastAsia"/>
                <w:sz w:val="21"/>
                <w:szCs w:val="21"/>
                <w:lang w:eastAsia="zh-CN"/>
              </w:rPr>
              <w:t>.</w:t>
            </w:r>
            <w:r>
              <w:rPr>
                <w:sz w:val="21"/>
                <w:szCs w:val="21"/>
              </w:rPr>
              <w:t>施工场地</w:t>
            </w:r>
            <w:r>
              <w:rPr>
                <w:rFonts w:hint="eastAsia"/>
                <w:sz w:val="21"/>
                <w:szCs w:val="21"/>
                <w:lang w:val="en-US" w:eastAsia="zh-CN"/>
              </w:rPr>
              <w:t>设置围挡，</w:t>
            </w:r>
            <w:r>
              <w:rPr>
                <w:sz w:val="21"/>
                <w:szCs w:val="21"/>
              </w:rPr>
              <w:t>洒水降低扬尘；</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z w:val="21"/>
                <w:szCs w:val="21"/>
                <w:lang w:val="en-US" w:eastAsia="zh-CN"/>
              </w:rPr>
            </w:pPr>
            <w:r>
              <w:rPr>
                <w:sz w:val="21"/>
                <w:szCs w:val="21"/>
              </w:rPr>
              <w:t>2</w:t>
            </w:r>
            <w:r>
              <w:rPr>
                <w:rFonts w:hint="eastAsia"/>
                <w:sz w:val="21"/>
                <w:szCs w:val="21"/>
                <w:lang w:eastAsia="zh-CN"/>
              </w:rPr>
              <w:t>.</w:t>
            </w:r>
            <w:r>
              <w:rPr>
                <w:sz w:val="21"/>
                <w:szCs w:val="21"/>
              </w:rPr>
              <w:t>施工车辆拦网覆盖</w:t>
            </w:r>
            <w:r>
              <w:rPr>
                <w:rFonts w:hint="eastAsia"/>
                <w:sz w:val="21"/>
                <w:szCs w:val="21"/>
                <w:lang w:eastAsia="zh-CN"/>
              </w:rPr>
              <w:t>、</w:t>
            </w:r>
            <w:r>
              <w:rPr>
                <w:rFonts w:hint="eastAsia"/>
                <w:sz w:val="21"/>
                <w:szCs w:val="21"/>
                <w:lang w:val="en-US" w:eastAsia="zh-CN"/>
              </w:rPr>
              <w:t>车辆冲洗</w:t>
            </w:r>
          </w:p>
          <w:p>
            <w:pPr>
              <w:snapToGrid w:val="0"/>
              <w:jc w:val="center"/>
              <w:rPr>
                <w:color w:val="auto"/>
                <w:sz w:val="21"/>
                <w:szCs w:val="21"/>
              </w:rPr>
            </w:pPr>
            <w:r>
              <w:rPr>
                <w:rFonts w:hint="eastAsia"/>
                <w:sz w:val="21"/>
                <w:szCs w:val="21"/>
                <w:lang w:val="en-US" w:eastAsia="zh-CN"/>
              </w:rPr>
              <w:t>3.</w:t>
            </w:r>
            <w:r>
              <w:rPr>
                <w:rFonts w:hint="eastAsia"/>
                <w:sz w:val="21"/>
                <w:szCs w:val="21"/>
              </w:rPr>
              <w:t>主体施工时用密目安全网围护</w:t>
            </w:r>
          </w:p>
        </w:tc>
        <w:tc>
          <w:tcPr>
            <w:tcW w:w="1840" w:type="dxa"/>
            <w:vAlign w:val="center"/>
          </w:tcPr>
          <w:p>
            <w:pPr>
              <w:snapToGrid w:val="0"/>
              <w:jc w:val="center"/>
              <w:rPr>
                <w:color w:val="auto"/>
                <w:sz w:val="21"/>
                <w:szCs w:val="21"/>
              </w:rPr>
            </w:pPr>
            <w:r>
              <w:rPr>
                <w:color w:val="auto"/>
                <w:sz w:val="21"/>
                <w:szCs w:val="21"/>
              </w:rPr>
              <w:t>尽可能减小扬尘对区域环境空气的影响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912" w:type="dxa"/>
            <w:vMerge w:val="restart"/>
          </w:tcPr>
          <w:p>
            <w:pPr>
              <w:pStyle w:val="311"/>
              <w:spacing w:before="45"/>
              <w:jc w:val="center"/>
              <w:rPr>
                <w:rFonts w:ascii="t" w:hAnsi="t"/>
                <w:b/>
                <w:color w:val="auto"/>
                <w:sz w:val="21"/>
                <w:szCs w:val="21"/>
              </w:rPr>
            </w:pPr>
            <w:r>
              <w:rPr>
                <w:rFonts w:ascii="宋体" w:hAnsi="宋体" w:eastAsia="宋体" w:cs="宋体"/>
                <w:b/>
                <w:color w:val="auto"/>
                <w:sz w:val="21"/>
                <w:szCs w:val="21"/>
              </w:rPr>
              <w:t>水污染物</w:t>
            </w:r>
          </w:p>
        </w:tc>
        <w:tc>
          <w:tcPr>
            <w:tcW w:w="585" w:type="dxa"/>
            <w:vMerge w:val="restart"/>
            <w:vAlign w:val="center"/>
          </w:tcPr>
          <w:p>
            <w:pPr>
              <w:pStyle w:val="311"/>
              <w:spacing w:before="107"/>
              <w:jc w:val="center"/>
              <w:rPr>
                <w:rFonts w:ascii="宋体" w:hAnsi="宋体" w:eastAsia="宋体" w:cs="宋体"/>
                <w:color w:val="auto"/>
                <w:sz w:val="21"/>
                <w:szCs w:val="21"/>
              </w:rPr>
            </w:pPr>
            <w:r>
              <w:rPr>
                <w:rFonts w:ascii="宋体" w:hAnsi="宋体" w:eastAsia="宋体" w:cs="宋体"/>
                <w:color w:val="auto"/>
                <w:sz w:val="21"/>
                <w:szCs w:val="21"/>
              </w:rPr>
              <w:t>施工期</w:t>
            </w:r>
          </w:p>
        </w:tc>
        <w:tc>
          <w:tcPr>
            <w:tcW w:w="1055" w:type="dxa"/>
            <w:vAlign w:val="center"/>
          </w:tcPr>
          <w:p>
            <w:pPr>
              <w:snapToGrid w:val="0"/>
              <w:jc w:val="center"/>
              <w:rPr>
                <w:color w:val="auto"/>
                <w:sz w:val="21"/>
                <w:szCs w:val="21"/>
              </w:rPr>
            </w:pPr>
            <w:r>
              <w:rPr>
                <w:color w:val="auto"/>
                <w:sz w:val="21"/>
                <w:szCs w:val="21"/>
              </w:rPr>
              <w:t>生产废水</w:t>
            </w:r>
          </w:p>
        </w:tc>
        <w:tc>
          <w:tcPr>
            <w:tcW w:w="1417" w:type="dxa"/>
            <w:vAlign w:val="center"/>
          </w:tcPr>
          <w:p>
            <w:pPr>
              <w:snapToGrid w:val="0"/>
              <w:jc w:val="center"/>
              <w:rPr>
                <w:color w:val="auto"/>
                <w:sz w:val="21"/>
                <w:szCs w:val="21"/>
              </w:rPr>
            </w:pPr>
            <w:r>
              <w:rPr>
                <w:color w:val="auto"/>
                <w:sz w:val="21"/>
                <w:szCs w:val="21"/>
              </w:rPr>
              <w:t>SS</w:t>
            </w:r>
          </w:p>
        </w:tc>
        <w:tc>
          <w:tcPr>
            <w:tcW w:w="2977" w:type="dxa"/>
            <w:vAlign w:val="center"/>
          </w:tcPr>
          <w:p>
            <w:pPr>
              <w:snapToGrid w:val="0"/>
              <w:jc w:val="center"/>
              <w:rPr>
                <w:color w:val="auto"/>
                <w:sz w:val="21"/>
                <w:szCs w:val="21"/>
              </w:rPr>
            </w:pPr>
            <w:r>
              <w:rPr>
                <w:color w:val="auto"/>
                <w:sz w:val="21"/>
                <w:szCs w:val="21"/>
              </w:rPr>
              <w:t>沉淀池收集后回用，不外排</w:t>
            </w:r>
          </w:p>
        </w:tc>
        <w:tc>
          <w:tcPr>
            <w:tcW w:w="1840" w:type="dxa"/>
            <w:vMerge w:val="restart"/>
            <w:vAlign w:val="center"/>
          </w:tcPr>
          <w:p>
            <w:pPr>
              <w:pStyle w:val="311"/>
              <w:spacing w:before="86"/>
              <w:jc w:val="center"/>
              <w:rPr>
                <w:rFonts w:ascii="宋体" w:hAnsi="宋体" w:eastAsia="宋体" w:cs="宋体"/>
                <w:color w:val="auto"/>
                <w:spacing w:val="-7"/>
                <w:sz w:val="21"/>
                <w:szCs w:val="21"/>
                <w:lang w:eastAsia="zh-CN"/>
              </w:rPr>
            </w:pPr>
            <w:r>
              <w:rPr>
                <w:color w:val="auto"/>
                <w:sz w:val="21"/>
                <w:szCs w:val="21"/>
              </w:rPr>
              <w:t>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912" w:type="dxa"/>
            <w:vMerge w:val="continue"/>
          </w:tcPr>
          <w:p>
            <w:pPr>
              <w:jc w:val="center"/>
              <w:rPr>
                <w:rFonts w:ascii="t" w:hAnsi="t"/>
                <w:b/>
                <w:color w:val="auto"/>
                <w:sz w:val="21"/>
                <w:szCs w:val="21"/>
              </w:rPr>
            </w:pPr>
          </w:p>
        </w:tc>
        <w:tc>
          <w:tcPr>
            <w:tcW w:w="585" w:type="dxa"/>
            <w:vMerge w:val="continue"/>
            <w:vAlign w:val="center"/>
          </w:tcPr>
          <w:p>
            <w:pPr>
              <w:pStyle w:val="311"/>
              <w:jc w:val="center"/>
              <w:rPr>
                <w:rFonts w:ascii="宋体" w:hAnsi="宋体" w:eastAsia="宋体" w:cs="宋体"/>
                <w:color w:val="auto"/>
                <w:sz w:val="21"/>
                <w:szCs w:val="21"/>
              </w:rPr>
            </w:pPr>
          </w:p>
        </w:tc>
        <w:tc>
          <w:tcPr>
            <w:tcW w:w="1055" w:type="dxa"/>
            <w:vAlign w:val="center"/>
          </w:tcPr>
          <w:p>
            <w:pPr>
              <w:snapToGrid w:val="0"/>
              <w:jc w:val="center"/>
              <w:rPr>
                <w:color w:val="auto"/>
                <w:sz w:val="21"/>
                <w:szCs w:val="21"/>
              </w:rPr>
            </w:pPr>
            <w:r>
              <w:rPr>
                <w:color w:val="auto"/>
                <w:sz w:val="21"/>
                <w:szCs w:val="21"/>
              </w:rPr>
              <w:t>生活废水</w:t>
            </w:r>
          </w:p>
        </w:tc>
        <w:tc>
          <w:tcPr>
            <w:tcW w:w="1417" w:type="dxa"/>
            <w:vAlign w:val="center"/>
          </w:tcPr>
          <w:p>
            <w:pPr>
              <w:snapToGrid w:val="0"/>
              <w:jc w:val="center"/>
              <w:rPr>
                <w:color w:val="auto"/>
                <w:sz w:val="21"/>
                <w:szCs w:val="21"/>
              </w:rPr>
            </w:pPr>
            <w:r>
              <w:rPr>
                <w:color w:val="auto"/>
                <w:sz w:val="21"/>
                <w:szCs w:val="21"/>
              </w:rPr>
              <w:t>COD</w:t>
            </w:r>
            <w:r>
              <w:rPr>
                <w:rFonts w:hint="eastAsia"/>
                <w:color w:val="auto"/>
                <w:sz w:val="21"/>
                <w:szCs w:val="21"/>
              </w:rPr>
              <w:t>、</w:t>
            </w:r>
            <w:r>
              <w:rPr>
                <w:color w:val="auto"/>
                <w:sz w:val="21"/>
                <w:szCs w:val="21"/>
              </w:rPr>
              <w:t>NH</w:t>
            </w:r>
            <w:r>
              <w:rPr>
                <w:color w:val="auto"/>
                <w:sz w:val="21"/>
                <w:szCs w:val="21"/>
                <w:vertAlign w:val="subscript"/>
              </w:rPr>
              <w:t>3</w:t>
            </w:r>
            <w:r>
              <w:rPr>
                <w:color w:val="auto"/>
                <w:sz w:val="21"/>
                <w:szCs w:val="21"/>
              </w:rPr>
              <w:t>-N</w:t>
            </w:r>
          </w:p>
        </w:tc>
        <w:tc>
          <w:tcPr>
            <w:tcW w:w="2977" w:type="dxa"/>
            <w:vAlign w:val="center"/>
          </w:tcPr>
          <w:p>
            <w:pPr>
              <w:snapToGrid w:val="0"/>
              <w:jc w:val="center"/>
              <w:rPr>
                <w:color w:val="auto"/>
                <w:sz w:val="21"/>
                <w:szCs w:val="21"/>
              </w:rPr>
            </w:pPr>
            <w:r>
              <w:rPr>
                <w:color w:val="auto"/>
                <w:sz w:val="21"/>
                <w:szCs w:val="21"/>
              </w:rPr>
              <w:t>租用民房</w:t>
            </w:r>
            <w:r>
              <w:rPr>
                <w:rFonts w:hint="eastAsia"/>
                <w:color w:val="auto"/>
                <w:sz w:val="21"/>
                <w:szCs w:val="21"/>
              </w:rPr>
              <w:t>，利用</w:t>
            </w:r>
            <w:r>
              <w:rPr>
                <w:color w:val="auto"/>
                <w:sz w:val="21"/>
                <w:szCs w:val="21"/>
              </w:rPr>
              <w:t>现有设施</w:t>
            </w:r>
          </w:p>
        </w:tc>
        <w:tc>
          <w:tcPr>
            <w:tcW w:w="1840" w:type="dxa"/>
            <w:vMerge w:val="continue"/>
            <w:vAlign w:val="center"/>
          </w:tcPr>
          <w:p>
            <w:pPr>
              <w:pStyle w:val="311"/>
              <w:jc w:val="center"/>
              <w:rPr>
                <w:rFonts w:ascii="宋体" w:hAnsi="宋体" w:eastAsia="宋体" w:cs="宋体"/>
                <w:color w:val="auto"/>
                <w:spacing w:val="-7"/>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1" w:hRule="atLeast"/>
          <w:jc w:val="center"/>
        </w:trPr>
        <w:tc>
          <w:tcPr>
            <w:tcW w:w="912" w:type="dxa"/>
            <w:vMerge w:val="restart"/>
            <w:vAlign w:val="center"/>
          </w:tcPr>
          <w:p>
            <w:pPr>
              <w:jc w:val="center"/>
              <w:rPr>
                <w:rFonts w:ascii="t" w:hAnsi="t"/>
                <w:b/>
                <w:color w:val="auto"/>
                <w:sz w:val="21"/>
                <w:szCs w:val="21"/>
              </w:rPr>
            </w:pPr>
            <w:r>
              <w:rPr>
                <w:rFonts w:ascii="t" w:hAnsi="t"/>
                <w:b/>
                <w:color w:val="auto"/>
                <w:sz w:val="21"/>
                <w:szCs w:val="21"/>
              </w:rPr>
              <w:t>固体</w:t>
            </w:r>
          </w:p>
          <w:p>
            <w:pPr>
              <w:jc w:val="center"/>
              <w:rPr>
                <w:rFonts w:ascii="t" w:hAnsi="t"/>
                <w:b/>
                <w:color w:val="auto"/>
                <w:sz w:val="21"/>
                <w:szCs w:val="21"/>
              </w:rPr>
            </w:pPr>
            <w:r>
              <w:rPr>
                <w:rFonts w:ascii="t" w:hAnsi="t"/>
                <w:b/>
                <w:color w:val="auto"/>
                <w:sz w:val="21"/>
                <w:szCs w:val="21"/>
              </w:rPr>
              <w:t>废物</w:t>
            </w:r>
          </w:p>
        </w:tc>
        <w:tc>
          <w:tcPr>
            <w:tcW w:w="585" w:type="dxa"/>
            <w:vMerge w:val="restart"/>
            <w:vAlign w:val="center"/>
          </w:tcPr>
          <w:p>
            <w:pPr>
              <w:pStyle w:val="311"/>
              <w:jc w:val="center"/>
              <w:rPr>
                <w:rFonts w:ascii="t" w:hAnsi="t"/>
                <w:color w:val="auto"/>
                <w:sz w:val="21"/>
                <w:szCs w:val="21"/>
              </w:rPr>
            </w:pPr>
            <w:r>
              <w:rPr>
                <w:rFonts w:ascii="t" w:hAnsi="t"/>
                <w:color w:val="auto"/>
                <w:sz w:val="21"/>
                <w:szCs w:val="21"/>
              </w:rPr>
              <w:t>施工期</w:t>
            </w:r>
          </w:p>
        </w:tc>
        <w:tc>
          <w:tcPr>
            <w:tcW w:w="1055" w:type="dxa"/>
            <w:vAlign w:val="center"/>
          </w:tcPr>
          <w:p>
            <w:pPr>
              <w:snapToGrid w:val="0"/>
              <w:jc w:val="center"/>
              <w:rPr>
                <w:color w:val="auto"/>
                <w:sz w:val="21"/>
                <w:szCs w:val="21"/>
              </w:rPr>
            </w:pPr>
            <w:r>
              <w:rPr>
                <w:color w:val="auto"/>
                <w:sz w:val="21"/>
                <w:szCs w:val="21"/>
              </w:rPr>
              <w:t>生活垃圾</w:t>
            </w:r>
          </w:p>
        </w:tc>
        <w:tc>
          <w:tcPr>
            <w:tcW w:w="1417" w:type="dxa"/>
            <w:vAlign w:val="center"/>
          </w:tcPr>
          <w:p>
            <w:pPr>
              <w:snapToGrid w:val="0"/>
              <w:jc w:val="center"/>
              <w:rPr>
                <w:color w:val="auto"/>
                <w:sz w:val="21"/>
                <w:szCs w:val="21"/>
              </w:rPr>
            </w:pPr>
            <w:r>
              <w:rPr>
                <w:color w:val="auto"/>
                <w:sz w:val="21"/>
                <w:szCs w:val="21"/>
              </w:rPr>
              <w:t>生活垃圾</w:t>
            </w:r>
          </w:p>
        </w:tc>
        <w:tc>
          <w:tcPr>
            <w:tcW w:w="2977" w:type="dxa"/>
            <w:vAlign w:val="center"/>
          </w:tcPr>
          <w:p>
            <w:pPr>
              <w:snapToGrid w:val="0"/>
              <w:jc w:val="center"/>
              <w:rPr>
                <w:color w:val="auto"/>
                <w:sz w:val="21"/>
                <w:szCs w:val="21"/>
              </w:rPr>
            </w:pPr>
            <w:r>
              <w:rPr>
                <w:color w:val="auto"/>
                <w:sz w:val="21"/>
                <w:szCs w:val="21"/>
              </w:rPr>
              <w:t>收集后运至城镇垃圾填埋场</w:t>
            </w:r>
          </w:p>
        </w:tc>
        <w:tc>
          <w:tcPr>
            <w:tcW w:w="1840" w:type="dxa"/>
            <w:vAlign w:val="center"/>
          </w:tcPr>
          <w:p>
            <w:pPr>
              <w:snapToGrid w:val="0"/>
              <w:jc w:val="center"/>
              <w:rPr>
                <w:color w:val="auto"/>
                <w:sz w:val="21"/>
                <w:szCs w:val="21"/>
              </w:rPr>
            </w:pPr>
            <w:r>
              <w:rPr>
                <w:color w:val="auto"/>
                <w:sz w:val="21"/>
                <w:szCs w:val="21"/>
              </w:rPr>
              <w:t>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912" w:type="dxa"/>
            <w:vMerge w:val="continue"/>
            <w:vAlign w:val="center"/>
          </w:tcPr>
          <w:p>
            <w:pPr>
              <w:jc w:val="center"/>
              <w:rPr>
                <w:rFonts w:ascii="t" w:hAnsi="t"/>
                <w:b/>
                <w:color w:val="auto"/>
                <w:sz w:val="21"/>
                <w:szCs w:val="21"/>
              </w:rPr>
            </w:pPr>
          </w:p>
        </w:tc>
        <w:tc>
          <w:tcPr>
            <w:tcW w:w="585" w:type="dxa"/>
            <w:vMerge w:val="continue"/>
            <w:vAlign w:val="center"/>
          </w:tcPr>
          <w:p>
            <w:pPr>
              <w:jc w:val="center"/>
              <w:rPr>
                <w:rFonts w:ascii="t" w:hAnsi="t"/>
                <w:color w:val="auto"/>
                <w:sz w:val="21"/>
                <w:szCs w:val="21"/>
              </w:rPr>
            </w:pPr>
          </w:p>
        </w:tc>
        <w:tc>
          <w:tcPr>
            <w:tcW w:w="1055" w:type="dxa"/>
            <w:vAlign w:val="center"/>
          </w:tcPr>
          <w:p>
            <w:pPr>
              <w:jc w:val="center"/>
              <w:rPr>
                <w:rFonts w:ascii="t" w:hAnsi="t"/>
                <w:color w:val="auto"/>
                <w:sz w:val="21"/>
                <w:szCs w:val="21"/>
              </w:rPr>
            </w:pPr>
            <w:r>
              <w:rPr>
                <w:rFonts w:hint="eastAsia"/>
                <w:bCs/>
                <w:color w:val="auto"/>
                <w:sz w:val="21"/>
                <w:szCs w:val="21"/>
              </w:rPr>
              <w:t>土方开挖</w:t>
            </w:r>
          </w:p>
        </w:tc>
        <w:tc>
          <w:tcPr>
            <w:tcW w:w="1417" w:type="dxa"/>
            <w:vAlign w:val="center"/>
          </w:tcPr>
          <w:p>
            <w:pPr>
              <w:jc w:val="center"/>
              <w:rPr>
                <w:rFonts w:ascii="t" w:hAnsi="t"/>
                <w:color w:val="auto"/>
                <w:sz w:val="21"/>
                <w:szCs w:val="21"/>
              </w:rPr>
            </w:pPr>
            <w:r>
              <w:rPr>
                <w:rFonts w:hint="eastAsia"/>
                <w:bCs/>
                <w:color w:val="auto"/>
                <w:sz w:val="21"/>
                <w:szCs w:val="21"/>
              </w:rPr>
              <w:t>废弃土方</w:t>
            </w:r>
            <w:r>
              <w:rPr>
                <w:rFonts w:hint="eastAsia"/>
                <w:bCs/>
                <w:color w:val="auto"/>
                <w:sz w:val="21"/>
                <w:szCs w:val="21"/>
                <w:lang w:val="en-US" w:eastAsia="zh-CN"/>
              </w:rPr>
              <w:t>及清淤</w:t>
            </w:r>
          </w:p>
        </w:tc>
        <w:tc>
          <w:tcPr>
            <w:tcW w:w="2977" w:type="dxa"/>
            <w:vAlign w:val="center"/>
          </w:tcPr>
          <w:p>
            <w:pPr>
              <w:pStyle w:val="311"/>
              <w:spacing w:before="153"/>
              <w:jc w:val="center"/>
              <w:rPr>
                <w:rFonts w:hint="default" w:ascii="t" w:hAnsi="t" w:eastAsiaTheme="minorEastAsia"/>
                <w:color w:val="auto"/>
                <w:sz w:val="21"/>
                <w:szCs w:val="21"/>
                <w:lang w:val="en-US" w:eastAsia="zh-CN"/>
              </w:rPr>
            </w:pPr>
            <w:r>
              <w:rPr>
                <w:rFonts w:hint="eastAsia"/>
                <w:bCs/>
                <w:color w:val="auto"/>
                <w:sz w:val="21"/>
                <w:szCs w:val="21"/>
              </w:rPr>
              <w:t>全部</w:t>
            </w:r>
            <w:r>
              <w:rPr>
                <w:rFonts w:hint="eastAsia"/>
                <w:bCs/>
                <w:color w:val="auto"/>
                <w:sz w:val="21"/>
                <w:szCs w:val="21"/>
                <w:lang w:val="en-US" w:eastAsia="zh-CN"/>
              </w:rPr>
              <w:t>运送至松潘县白羊乡建筑垃圾堆场堆放</w:t>
            </w:r>
          </w:p>
        </w:tc>
        <w:tc>
          <w:tcPr>
            <w:tcW w:w="1840" w:type="dxa"/>
            <w:vAlign w:val="center"/>
          </w:tcPr>
          <w:p>
            <w:pPr>
              <w:snapToGrid w:val="0"/>
              <w:jc w:val="center"/>
              <w:rPr>
                <w:rFonts w:ascii="t" w:hAnsi="t"/>
                <w:color w:val="auto"/>
                <w:sz w:val="21"/>
                <w:szCs w:val="21"/>
              </w:rPr>
            </w:pPr>
            <w:r>
              <w:rPr>
                <w:color w:val="auto"/>
                <w:sz w:val="21"/>
                <w:szCs w:val="21"/>
              </w:rPr>
              <w:t>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912" w:type="dxa"/>
            <w:vMerge w:val="continue"/>
            <w:vAlign w:val="center"/>
          </w:tcPr>
          <w:p>
            <w:pPr>
              <w:jc w:val="center"/>
              <w:rPr>
                <w:rFonts w:ascii="t" w:hAnsi="t"/>
                <w:b/>
                <w:color w:val="auto"/>
                <w:sz w:val="21"/>
                <w:szCs w:val="21"/>
              </w:rPr>
            </w:pPr>
          </w:p>
        </w:tc>
        <w:tc>
          <w:tcPr>
            <w:tcW w:w="585" w:type="dxa"/>
            <w:vMerge w:val="continue"/>
            <w:vAlign w:val="center"/>
          </w:tcPr>
          <w:p>
            <w:pPr>
              <w:jc w:val="center"/>
              <w:rPr>
                <w:rFonts w:ascii="t" w:hAnsi="t"/>
                <w:color w:val="auto"/>
                <w:sz w:val="21"/>
                <w:szCs w:val="21"/>
              </w:rPr>
            </w:pPr>
          </w:p>
        </w:tc>
        <w:tc>
          <w:tcPr>
            <w:tcW w:w="1055" w:type="dxa"/>
            <w:vAlign w:val="center"/>
          </w:tcPr>
          <w:p>
            <w:pPr>
              <w:jc w:val="center"/>
              <w:rPr>
                <w:rFonts w:hint="default" w:ascii="t" w:hAnsi="t" w:eastAsiaTheme="minorEastAsia"/>
                <w:color w:val="auto"/>
                <w:sz w:val="21"/>
                <w:szCs w:val="21"/>
                <w:lang w:val="en-US" w:eastAsia="zh-CN"/>
              </w:rPr>
            </w:pPr>
            <w:r>
              <w:rPr>
                <w:rFonts w:hint="eastAsia" w:ascii="t" w:hAnsi="t"/>
                <w:color w:val="auto"/>
                <w:sz w:val="21"/>
                <w:szCs w:val="21"/>
                <w:lang w:val="en-US" w:eastAsia="zh-CN"/>
              </w:rPr>
              <w:t>施工过程</w:t>
            </w:r>
          </w:p>
        </w:tc>
        <w:tc>
          <w:tcPr>
            <w:tcW w:w="1417" w:type="dxa"/>
            <w:vAlign w:val="center"/>
          </w:tcPr>
          <w:p>
            <w:pPr>
              <w:jc w:val="center"/>
              <w:rPr>
                <w:rFonts w:hint="default" w:ascii="t" w:hAnsi="t" w:eastAsiaTheme="minorEastAsia"/>
                <w:color w:val="auto"/>
                <w:sz w:val="21"/>
                <w:szCs w:val="21"/>
                <w:lang w:val="en-US" w:eastAsia="zh-CN"/>
              </w:rPr>
            </w:pPr>
            <w:r>
              <w:rPr>
                <w:rFonts w:hint="eastAsia" w:ascii="t" w:hAnsi="t"/>
                <w:color w:val="auto"/>
                <w:sz w:val="21"/>
                <w:szCs w:val="21"/>
                <w:lang w:val="en-US" w:eastAsia="zh-CN"/>
              </w:rPr>
              <w:t>工程废料</w:t>
            </w:r>
          </w:p>
        </w:tc>
        <w:tc>
          <w:tcPr>
            <w:tcW w:w="2977" w:type="dxa"/>
            <w:vAlign w:val="center"/>
          </w:tcPr>
          <w:p>
            <w:pPr>
              <w:pStyle w:val="311"/>
              <w:spacing w:before="45"/>
              <w:jc w:val="center"/>
              <w:rPr>
                <w:rFonts w:ascii="t" w:hAnsi="t"/>
                <w:color w:val="auto"/>
                <w:sz w:val="21"/>
                <w:szCs w:val="21"/>
              </w:rPr>
            </w:pPr>
            <w:r>
              <w:rPr>
                <w:rFonts w:hint="eastAsia"/>
                <w:bCs/>
                <w:color w:val="auto"/>
                <w:sz w:val="21"/>
                <w:szCs w:val="21"/>
              </w:rPr>
              <w:t>全部</w:t>
            </w:r>
            <w:r>
              <w:rPr>
                <w:rFonts w:hint="eastAsia"/>
                <w:bCs/>
                <w:color w:val="auto"/>
                <w:sz w:val="21"/>
                <w:szCs w:val="21"/>
                <w:lang w:val="en-US" w:eastAsia="zh-CN"/>
              </w:rPr>
              <w:t>运送至松潘县白羊乡建筑垃圾堆场堆放</w:t>
            </w:r>
          </w:p>
        </w:tc>
        <w:tc>
          <w:tcPr>
            <w:tcW w:w="1840" w:type="dxa"/>
            <w:vAlign w:val="center"/>
          </w:tcPr>
          <w:p>
            <w:pPr>
              <w:jc w:val="center"/>
              <w:rPr>
                <w:rFonts w:ascii="t" w:hAnsi="t"/>
                <w:color w:val="auto"/>
                <w:sz w:val="21"/>
                <w:szCs w:val="21"/>
              </w:rPr>
            </w:pPr>
            <w:r>
              <w:rPr>
                <w:color w:val="auto"/>
                <w:sz w:val="21"/>
                <w:szCs w:val="21"/>
              </w:rPr>
              <w:t>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912" w:type="dxa"/>
            <w:vMerge w:val="continue"/>
            <w:vAlign w:val="center"/>
          </w:tcPr>
          <w:p>
            <w:pPr>
              <w:jc w:val="center"/>
              <w:rPr>
                <w:rFonts w:ascii="t" w:hAnsi="t"/>
                <w:b/>
                <w:color w:val="auto"/>
                <w:sz w:val="21"/>
                <w:szCs w:val="21"/>
              </w:rPr>
            </w:pPr>
          </w:p>
        </w:tc>
        <w:tc>
          <w:tcPr>
            <w:tcW w:w="1640" w:type="dxa"/>
            <w:gridSpan w:val="2"/>
            <w:vAlign w:val="center"/>
          </w:tcPr>
          <w:p>
            <w:pPr>
              <w:jc w:val="center"/>
              <w:rPr>
                <w:rFonts w:hint="eastAsia" w:ascii="t" w:hAnsi="t"/>
                <w:color w:val="auto"/>
                <w:sz w:val="21"/>
                <w:szCs w:val="21"/>
                <w:lang w:val="en-US" w:eastAsia="zh-CN"/>
              </w:rPr>
            </w:pPr>
            <w:r>
              <w:rPr>
                <w:rFonts w:hint="eastAsia" w:ascii="t" w:hAnsi="t"/>
                <w:color w:val="auto"/>
                <w:sz w:val="21"/>
                <w:szCs w:val="21"/>
                <w:lang w:val="en-US" w:eastAsia="zh-CN"/>
              </w:rPr>
              <w:t>运营期</w:t>
            </w:r>
          </w:p>
        </w:tc>
        <w:tc>
          <w:tcPr>
            <w:tcW w:w="1417" w:type="dxa"/>
            <w:vAlign w:val="center"/>
          </w:tcPr>
          <w:p>
            <w:pPr>
              <w:adjustRightInd w:val="0"/>
              <w:snapToGrid w:val="0"/>
              <w:spacing w:line="240" w:lineRule="atLeast"/>
              <w:jc w:val="center"/>
              <w:rPr>
                <w:rFonts w:hint="default" w:asciiTheme="minorHAnsi" w:hAnsiTheme="minorHAnsi" w:eastAsiaTheme="minorEastAsia" w:cstheme="minorBidi"/>
                <w:bCs/>
                <w:color w:val="auto"/>
                <w:kern w:val="2"/>
                <w:sz w:val="21"/>
                <w:szCs w:val="21"/>
                <w:lang w:val="en-US" w:eastAsia="zh-CN" w:bidi="ar-SA"/>
              </w:rPr>
            </w:pPr>
            <w:r>
              <w:rPr>
                <w:rFonts w:hint="eastAsia"/>
                <w:bCs/>
                <w:color w:val="auto"/>
                <w:sz w:val="21"/>
                <w:szCs w:val="21"/>
                <w:lang w:eastAsia="zh-CN"/>
              </w:rPr>
              <w:t>清淤</w:t>
            </w:r>
            <w:r>
              <w:rPr>
                <w:rFonts w:hint="eastAsia"/>
                <w:bCs/>
                <w:color w:val="auto"/>
                <w:sz w:val="21"/>
                <w:szCs w:val="21"/>
                <w:lang w:val="en-US" w:eastAsia="zh-CN"/>
              </w:rPr>
              <w:t>淤泥</w:t>
            </w:r>
          </w:p>
        </w:tc>
        <w:tc>
          <w:tcPr>
            <w:tcW w:w="2977" w:type="dxa"/>
            <w:vAlign w:val="center"/>
          </w:tcPr>
          <w:p>
            <w:pPr>
              <w:adjustRightInd w:val="0"/>
              <w:snapToGrid w:val="0"/>
              <w:spacing w:line="240" w:lineRule="atLeast"/>
              <w:jc w:val="center"/>
              <w:rPr>
                <w:rFonts w:hint="eastAsia" w:asciiTheme="minorHAnsi" w:hAnsiTheme="minorHAnsi" w:eastAsiaTheme="minorEastAsia" w:cstheme="minorBidi"/>
                <w:bCs/>
                <w:color w:val="auto"/>
                <w:kern w:val="2"/>
                <w:sz w:val="21"/>
                <w:szCs w:val="21"/>
                <w:lang w:val="en-US" w:eastAsia="zh-CN" w:bidi="ar-SA"/>
              </w:rPr>
            </w:pPr>
            <w:r>
              <w:rPr>
                <w:rFonts w:hint="eastAsia" w:asciiTheme="minorHAnsi" w:hAnsiTheme="minorHAnsi" w:eastAsiaTheme="minorEastAsia" w:cstheme="minorBidi"/>
                <w:bCs/>
                <w:color w:val="auto"/>
                <w:kern w:val="2"/>
                <w:sz w:val="21"/>
                <w:szCs w:val="21"/>
                <w:lang w:val="en-US" w:eastAsia="zh-CN" w:bidi="ar-SA"/>
              </w:rPr>
              <w:t>淤泥清理至当地城建部门指定的地点堆存</w:t>
            </w:r>
          </w:p>
        </w:tc>
        <w:tc>
          <w:tcPr>
            <w:tcW w:w="1840" w:type="dxa"/>
            <w:vAlign w:val="center"/>
          </w:tcPr>
          <w:p>
            <w:pPr>
              <w:adjustRightInd w:val="0"/>
              <w:snapToGrid w:val="0"/>
              <w:spacing w:line="240" w:lineRule="atLeast"/>
              <w:jc w:val="center"/>
              <w:rPr>
                <w:rFonts w:asciiTheme="minorHAnsi" w:hAnsiTheme="minorHAnsi" w:eastAsiaTheme="minorEastAsia" w:cstheme="minorBidi"/>
                <w:bCs/>
                <w:color w:val="auto"/>
                <w:kern w:val="2"/>
                <w:sz w:val="21"/>
                <w:szCs w:val="21"/>
                <w:lang w:val="en-US" w:eastAsia="zh-CN" w:bidi="ar-SA"/>
              </w:rPr>
            </w:pPr>
            <w:r>
              <w:rPr>
                <w:color w:val="auto"/>
                <w:sz w:val="21"/>
                <w:szCs w:val="21"/>
              </w:rPr>
              <w:t>对环境影响小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6" w:hRule="atLeast"/>
          <w:jc w:val="center"/>
        </w:trPr>
        <w:tc>
          <w:tcPr>
            <w:tcW w:w="912" w:type="dxa"/>
            <w:vAlign w:val="center"/>
          </w:tcPr>
          <w:p>
            <w:pPr>
              <w:jc w:val="center"/>
              <w:rPr>
                <w:rFonts w:ascii="t" w:hAnsi="t"/>
                <w:b/>
                <w:color w:val="auto"/>
                <w:sz w:val="21"/>
                <w:szCs w:val="21"/>
              </w:rPr>
            </w:pPr>
            <w:r>
              <w:rPr>
                <w:rFonts w:ascii="t" w:hAnsi="t"/>
                <w:b/>
                <w:color w:val="auto"/>
                <w:sz w:val="21"/>
                <w:szCs w:val="21"/>
              </w:rPr>
              <w:t>噪声</w:t>
            </w:r>
          </w:p>
        </w:tc>
        <w:tc>
          <w:tcPr>
            <w:tcW w:w="7874" w:type="dxa"/>
            <w:gridSpan w:val="5"/>
            <w:vAlign w:val="center"/>
          </w:tcPr>
          <w:p>
            <w:pPr>
              <w:jc w:val="center"/>
              <w:rPr>
                <w:rFonts w:ascii="t" w:hAnsi="t"/>
                <w:color w:val="auto"/>
                <w:sz w:val="21"/>
                <w:szCs w:val="21"/>
              </w:rPr>
            </w:pPr>
            <w:r>
              <w:rPr>
                <w:color w:val="auto"/>
                <w:sz w:val="21"/>
                <w:szCs w:val="21"/>
              </w:rPr>
              <w:t>设备选型应选择低噪声设备，安装时采取减震、隔声等措施降低噪声污染。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36" w:hRule="atLeast"/>
          <w:jc w:val="center"/>
        </w:trPr>
        <w:tc>
          <w:tcPr>
            <w:tcW w:w="8786" w:type="dxa"/>
            <w:gridSpan w:val="6"/>
            <w:vAlign w:val="center"/>
          </w:tcPr>
          <w:p>
            <w:pPr>
              <w:snapToGrid w:val="0"/>
              <w:spacing w:before="156" w:beforeLines="50" w:line="360" w:lineRule="auto"/>
              <w:rPr>
                <w:rFonts w:ascii="t" w:hAnsi="t"/>
                <w:color w:val="auto"/>
                <w:sz w:val="21"/>
                <w:szCs w:val="21"/>
              </w:rPr>
            </w:pPr>
            <w:r>
              <w:rPr>
                <w:rFonts w:ascii="t" w:hAnsi="t"/>
                <w:b/>
                <w:color w:val="auto"/>
                <w:sz w:val="21"/>
                <w:szCs w:val="21"/>
              </w:rPr>
              <w:t>生态保护措施及预期效果</w:t>
            </w:r>
            <w:r>
              <w:rPr>
                <w:rFonts w:ascii="t" w:hAnsi="t"/>
                <w:color w:val="auto"/>
                <w:sz w:val="21"/>
                <w:szCs w:val="21"/>
              </w:rPr>
              <w:t>：</w:t>
            </w:r>
          </w:p>
          <w:p>
            <w:pPr>
              <w:spacing w:line="460" w:lineRule="exact"/>
              <w:ind w:firstLine="420" w:firstLineChars="200"/>
              <w:rPr>
                <w:color w:val="auto"/>
                <w:sz w:val="21"/>
                <w:szCs w:val="21"/>
              </w:rPr>
            </w:pPr>
            <w:r>
              <w:rPr>
                <w:rFonts w:hint="eastAsia"/>
                <w:b w:val="0"/>
                <w:bCs/>
                <w:color w:val="auto"/>
                <w:sz w:val="21"/>
                <w:szCs w:val="21"/>
              </w:rPr>
              <w:t>主要为临时占地对生态的影响，临时占地包括施工场地占地等，根据现场调查，临时占地类型主要为</w:t>
            </w:r>
            <w:r>
              <w:rPr>
                <w:rFonts w:hint="eastAsia"/>
                <w:b w:val="0"/>
                <w:bCs/>
                <w:color w:val="auto"/>
                <w:sz w:val="21"/>
                <w:szCs w:val="21"/>
                <w:lang w:val="en-US" w:eastAsia="zh-CN"/>
              </w:rPr>
              <w:t>沟谷地以及沟谷周边的荒草地</w:t>
            </w:r>
            <w:r>
              <w:rPr>
                <w:rFonts w:hint="eastAsia"/>
                <w:b w:val="0"/>
                <w:bCs/>
                <w:color w:val="auto"/>
                <w:sz w:val="21"/>
                <w:szCs w:val="21"/>
              </w:rPr>
              <w:t>，施工期结束后，对临时占地进行复耕或绿化，减少了施工期对生态的影响。</w:t>
            </w:r>
          </w:p>
          <w:p>
            <w:pPr>
              <w:spacing w:line="460" w:lineRule="exact"/>
              <w:ind w:firstLine="420" w:firstLineChars="200"/>
              <w:rPr>
                <w:color w:val="auto"/>
                <w:sz w:val="21"/>
                <w:szCs w:val="21"/>
              </w:rPr>
            </w:pPr>
          </w:p>
          <w:p>
            <w:pPr>
              <w:spacing w:line="460" w:lineRule="exact"/>
              <w:ind w:firstLine="420" w:firstLineChars="200"/>
              <w:rPr>
                <w:color w:val="auto"/>
                <w:sz w:val="21"/>
                <w:szCs w:val="21"/>
              </w:rPr>
            </w:pPr>
          </w:p>
          <w:p>
            <w:pPr>
              <w:spacing w:line="460" w:lineRule="exact"/>
              <w:ind w:firstLine="420" w:firstLineChars="200"/>
              <w:rPr>
                <w:rFonts w:ascii="t" w:hAnsi="t"/>
                <w:color w:val="auto"/>
                <w:sz w:val="21"/>
                <w:szCs w:val="21"/>
              </w:rPr>
            </w:pPr>
          </w:p>
          <w:p>
            <w:pPr>
              <w:spacing w:line="460" w:lineRule="exact"/>
              <w:ind w:firstLine="420" w:firstLineChars="200"/>
              <w:rPr>
                <w:rFonts w:ascii="t" w:hAnsi="t"/>
                <w:color w:val="auto"/>
                <w:sz w:val="21"/>
                <w:szCs w:val="21"/>
              </w:rPr>
            </w:pPr>
          </w:p>
          <w:p>
            <w:pPr>
              <w:spacing w:line="460" w:lineRule="exact"/>
              <w:ind w:firstLine="420" w:firstLineChars="200"/>
              <w:rPr>
                <w:rFonts w:ascii="t" w:hAnsi="t"/>
                <w:color w:val="auto"/>
                <w:sz w:val="21"/>
                <w:szCs w:val="21"/>
              </w:rPr>
            </w:pPr>
          </w:p>
          <w:p>
            <w:pPr>
              <w:spacing w:line="460" w:lineRule="exact"/>
              <w:rPr>
                <w:rFonts w:ascii="t" w:hAnsi="t"/>
                <w:color w:val="auto"/>
                <w:sz w:val="21"/>
                <w:szCs w:val="21"/>
              </w:rPr>
            </w:pPr>
          </w:p>
        </w:tc>
      </w:tr>
    </w:tbl>
    <w:p>
      <w:pPr>
        <w:rPr>
          <w:rFonts w:ascii="Times New Roman" w:hAnsi="Times New Roman" w:cs="Times New Roman"/>
          <w:color w:val="auto"/>
          <w:sz w:val="30"/>
          <w:szCs w:val="30"/>
        </w:rPr>
      </w:pPr>
    </w:p>
    <w:p>
      <w:pPr>
        <w:rPr>
          <w:rFonts w:ascii="Times New Roman" w:hAnsi="Times New Roman" w:cs="Times New Roman"/>
          <w:color w:val="auto"/>
          <w:sz w:val="30"/>
          <w:szCs w:val="30"/>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tabs>
          <w:tab w:val="left" w:pos="5760"/>
        </w:tabs>
        <w:adjustRightInd w:val="0"/>
        <w:snapToGrid w:val="0"/>
        <w:outlineLvl w:val="0"/>
        <w:rPr>
          <w:rFonts w:ascii="Times New Roman" w:hAnsi="Times New Roman" w:cs="Times New Roman"/>
          <w:b/>
          <w:color w:val="auto"/>
          <w:sz w:val="30"/>
          <w:szCs w:val="30"/>
        </w:rPr>
      </w:pPr>
      <w:r>
        <w:rPr>
          <w:rFonts w:hint="eastAsia" w:ascii="Times New Roman" w:hAnsi="Times New Roman" w:cs="Times New Roman"/>
          <w:b/>
          <w:color w:val="auto"/>
          <w:sz w:val="30"/>
          <w:szCs w:val="30"/>
        </w:rPr>
        <w:t>结论及建议                                      （</w:t>
      </w:r>
      <w:r>
        <w:rPr>
          <w:rFonts w:hint="eastAsia" w:ascii="Times New Roman" w:hAnsi="Times New Roman" w:cs="Times New Roman"/>
          <w:b/>
          <w:snapToGrid w:val="0"/>
          <w:color w:val="auto"/>
          <w:kern w:val="0"/>
          <w:sz w:val="30"/>
          <w:szCs w:val="30"/>
        </w:rPr>
        <w:t>表九</w:t>
      </w:r>
      <w:r>
        <w:rPr>
          <w:rFonts w:hint="eastAsia" w:ascii="Times New Roman" w:hAnsi="Times New Roman" w:cs="Times New Roman"/>
          <w:b/>
          <w:color w:val="auto"/>
          <w:sz w:val="30"/>
          <w:szCs w:val="30"/>
        </w:rPr>
        <w:t>）</w:t>
      </w:r>
    </w:p>
    <w:tbl>
      <w:tblPr>
        <w:tblStyle w:val="5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4" w:hRule="atLeast"/>
          <w:jc w:val="center"/>
        </w:trPr>
        <w:tc>
          <w:tcPr>
            <w:tcW w:w="8522" w:type="dxa"/>
          </w:tcPr>
          <w:p>
            <w:pPr>
              <w:adjustRightInd w:val="0"/>
              <w:snapToGrid w:val="0"/>
              <w:spacing w:line="360" w:lineRule="auto"/>
              <w:rPr>
                <w:rFonts w:ascii="t" w:hAnsi="t"/>
                <w:b/>
                <w:color w:val="auto"/>
                <w:sz w:val="28"/>
                <w:szCs w:val="28"/>
              </w:rPr>
            </w:pPr>
            <w:r>
              <w:rPr>
                <w:rFonts w:ascii="t" w:hAnsi="t"/>
                <w:b/>
                <w:color w:val="auto"/>
                <w:sz w:val="28"/>
                <w:szCs w:val="28"/>
              </w:rPr>
              <w:t>一、结论</w:t>
            </w:r>
          </w:p>
          <w:p>
            <w:pPr>
              <w:keepNext/>
              <w:keepLines/>
              <w:spacing w:line="360" w:lineRule="auto"/>
              <w:jc w:val="left"/>
              <w:rPr>
                <w:rFonts w:ascii="Times New Roman" w:hAnsi="Times New Roman" w:cs="Times New Roman"/>
                <w:b/>
                <w:bCs/>
                <w:color w:val="auto"/>
                <w:sz w:val="24"/>
                <w:szCs w:val="32"/>
              </w:rPr>
            </w:pPr>
            <w:r>
              <w:rPr>
                <w:rFonts w:ascii="Times New Roman" w:hAnsi="Times New Roman" w:cs="Times New Roman"/>
                <w:b/>
                <w:bCs/>
                <w:color w:val="auto"/>
                <w:sz w:val="24"/>
                <w:szCs w:val="32"/>
              </w:rPr>
              <w:t>1</w:t>
            </w:r>
            <w:r>
              <w:rPr>
                <w:rFonts w:hint="eastAsia" w:ascii="Times New Roman" w:hAnsi="Times New Roman" w:cs="Times New Roman"/>
                <w:b/>
                <w:bCs/>
                <w:color w:val="auto"/>
                <w:sz w:val="24"/>
                <w:szCs w:val="32"/>
              </w:rPr>
              <w:t>、项目概况</w:t>
            </w:r>
          </w:p>
          <w:p>
            <w:pPr>
              <w:spacing w:line="360" w:lineRule="auto"/>
              <w:ind w:firstLine="480" w:firstLineChars="200"/>
              <w:jc w:val="left"/>
              <w:rPr>
                <w:rFonts w:ascii="Times New Roman" w:hAnsi="Times New Roman" w:cs="Times New Roman"/>
                <w:snapToGrid w:val="0"/>
                <w:color w:val="auto"/>
                <w:kern w:val="0"/>
                <w:sz w:val="24"/>
              </w:rPr>
            </w:pPr>
            <w:r>
              <w:rPr>
                <w:rFonts w:hint="eastAsia" w:ascii="Times New Roman" w:hAnsi="Times New Roman" w:cs="Times New Roman"/>
                <w:color w:val="auto"/>
                <w:sz w:val="24"/>
                <w:lang w:eastAsia="zh-CN"/>
              </w:rPr>
              <w:t>松潘县白羊乡茶园坪村璜环沟泥石流治理工程</w:t>
            </w:r>
            <w:r>
              <w:rPr>
                <w:rFonts w:hint="eastAsia" w:ascii="Times New Roman" w:hAnsi="Times New Roman" w:cs="Times New Roman"/>
                <w:color w:val="auto"/>
                <w:sz w:val="24"/>
              </w:rPr>
              <w:t>，对位于松潘县</w:t>
            </w:r>
            <w:r>
              <w:rPr>
                <w:rFonts w:hint="eastAsia" w:ascii="Times New Roman" w:hAnsi="Times New Roman" w:cs="Times New Roman"/>
                <w:color w:val="auto"/>
                <w:sz w:val="24"/>
                <w:lang w:eastAsia="zh-CN"/>
              </w:rPr>
              <w:t>白羊乡茶园坪村璜环沟</w:t>
            </w:r>
            <w:r>
              <w:rPr>
                <w:rFonts w:hint="eastAsia" w:ascii="Times New Roman" w:hAnsi="Times New Roman" w:cs="Times New Roman"/>
                <w:color w:val="auto"/>
                <w:sz w:val="24"/>
                <w:lang w:val="en-US" w:eastAsia="zh-CN"/>
              </w:rPr>
              <w:t>的坝体、护坦、护脚、堤防等</w:t>
            </w:r>
            <w:r>
              <w:rPr>
                <w:rFonts w:hint="eastAsia" w:ascii="Times New Roman" w:hAnsi="Times New Roman" w:cs="Times New Roman"/>
                <w:color w:val="auto"/>
                <w:sz w:val="24"/>
              </w:rPr>
              <w:t>进行治理。</w:t>
            </w:r>
          </w:p>
          <w:p>
            <w:pPr>
              <w:spacing w:line="360" w:lineRule="auto"/>
              <w:ind w:firstLine="480" w:firstLineChars="200"/>
              <w:jc w:val="left"/>
              <w:rPr>
                <w:rFonts w:hint="default" w:ascii="Times New Roman" w:hAnsi="Times New Roman" w:cs="Times New Roman" w:eastAsiaTheme="minorEastAsia"/>
                <w:snapToGrid w:val="0"/>
                <w:color w:val="auto"/>
                <w:kern w:val="0"/>
                <w:sz w:val="24"/>
                <w:lang w:val="en-US" w:eastAsia="zh-CN"/>
              </w:rPr>
            </w:pPr>
            <w:r>
              <w:rPr>
                <w:rFonts w:hint="eastAsia" w:ascii="Times New Roman" w:hAnsi="Times New Roman" w:cs="Times New Roman"/>
                <w:snapToGrid w:val="0"/>
                <w:color w:val="auto"/>
                <w:kern w:val="0"/>
                <w:sz w:val="24"/>
              </w:rPr>
              <w:t>本次</w:t>
            </w:r>
            <w:r>
              <w:rPr>
                <w:rFonts w:hint="eastAsia" w:ascii="Times New Roman" w:hAnsi="Times New Roman" w:cs="Times New Roman"/>
                <w:color w:val="auto"/>
                <w:sz w:val="24"/>
                <w:lang w:eastAsia="zh-CN"/>
              </w:rPr>
              <w:t>松潘县白羊乡茶园坪村璜环沟泥石流治理工程</w:t>
            </w:r>
            <w:r>
              <w:rPr>
                <w:rFonts w:hint="eastAsia" w:ascii="Times New Roman" w:hAnsi="Times New Roman" w:cs="Times New Roman"/>
                <w:snapToGrid w:val="0"/>
                <w:color w:val="auto"/>
                <w:kern w:val="0"/>
                <w:sz w:val="24"/>
              </w:rPr>
              <w:t>，</w:t>
            </w:r>
            <w:r>
              <w:rPr>
                <w:rFonts w:hint="eastAsia" w:ascii="Times New Roman" w:hAnsi="Times New Roman" w:cs="Times New Roman"/>
                <w:snapToGrid w:val="0"/>
                <w:color w:val="auto"/>
                <w:kern w:val="0"/>
                <w:sz w:val="24"/>
                <w:lang w:eastAsia="zh-CN"/>
              </w:rPr>
              <w:t>项目新建</w:t>
            </w:r>
            <w:r>
              <w:rPr>
                <w:rFonts w:hint="eastAsia" w:ascii="Times New Roman" w:hAnsi="Times New Roman" w:cs="Times New Roman"/>
                <w:snapToGrid w:val="0"/>
                <w:color w:val="auto"/>
                <w:kern w:val="0"/>
                <w:sz w:val="24"/>
                <w:lang w:val="en-US" w:eastAsia="zh-CN"/>
              </w:rPr>
              <w:t>1座拦挡坝及防护堤27米。项目总</w:t>
            </w:r>
            <w:r>
              <w:rPr>
                <w:rFonts w:ascii="Times New Roman" w:hAnsi="Times New Roman" w:cs="Times New Roman"/>
                <w:color w:val="auto"/>
                <w:sz w:val="24"/>
              </w:rPr>
              <w:t>投资</w:t>
            </w:r>
            <w:r>
              <w:rPr>
                <w:rFonts w:hint="eastAsia" w:ascii="Times New Roman" w:hAnsi="Times New Roman" w:cs="Times New Roman"/>
                <w:color w:val="auto"/>
                <w:sz w:val="24"/>
                <w:lang w:val="en-US" w:eastAsia="zh-CN"/>
              </w:rPr>
              <w:t>95.82</w:t>
            </w:r>
            <w:r>
              <w:rPr>
                <w:rFonts w:hint="eastAsia" w:ascii="Times New Roman" w:hAnsi="Times New Roman" w:cs="Times New Roman"/>
                <w:color w:val="auto"/>
                <w:sz w:val="24"/>
              </w:rPr>
              <w:t>万元，</w:t>
            </w:r>
            <w:r>
              <w:rPr>
                <w:rFonts w:hint="eastAsia" w:ascii="Times New Roman" w:hAnsi="Times New Roman" w:cs="Times New Roman"/>
                <w:color w:val="auto"/>
                <w:sz w:val="24"/>
                <w:lang w:val="en-US" w:eastAsia="zh-CN"/>
              </w:rPr>
              <w:t>其中环保投资15.5万元。</w:t>
            </w:r>
          </w:p>
          <w:p>
            <w:pPr>
              <w:widowControl/>
              <w:spacing w:line="360" w:lineRule="auto"/>
              <w:rPr>
                <w:rFonts w:ascii="Times New Roman" w:hAnsi="Times New Roman" w:cs="Times New Roman"/>
                <w:b/>
                <w:color w:val="auto"/>
                <w:sz w:val="24"/>
              </w:rPr>
            </w:pPr>
            <w:r>
              <w:rPr>
                <w:rFonts w:ascii="Times New Roman" w:hAnsi="Times New Roman" w:cs="Times New Roman"/>
                <w:b/>
                <w:color w:val="auto"/>
                <w:sz w:val="24"/>
              </w:rPr>
              <w:t>2</w:t>
            </w:r>
            <w:r>
              <w:rPr>
                <w:rFonts w:hint="eastAsia" w:ascii="Times New Roman" w:hAnsi="Times New Roman" w:cs="Times New Roman"/>
                <w:b/>
                <w:color w:val="auto"/>
                <w:sz w:val="24"/>
              </w:rPr>
              <w:t>、项目产业政策符合性分析</w:t>
            </w:r>
          </w:p>
          <w:p>
            <w:pPr>
              <w:pStyle w:val="309"/>
              <w:numPr>
                <w:ilvl w:val="0"/>
                <w:numId w:val="0"/>
              </w:numPr>
              <w:ind w:firstLine="480" w:firstLineChars="200"/>
              <w:rPr>
                <w:color w:val="auto"/>
              </w:rPr>
            </w:pPr>
            <w:r>
              <w:rPr>
                <w:rFonts w:hint="eastAsia"/>
                <w:color w:val="auto"/>
                <w:sz w:val="24"/>
              </w:rPr>
              <w:t>（1）根据《国民经济行业分类》（GB/T 4754—2017)，拟建项目属于“</w:t>
            </w:r>
            <w:r>
              <w:rPr>
                <w:rFonts w:hint="eastAsia"/>
                <w:color w:val="auto"/>
                <w:sz w:val="24"/>
                <w:lang w:val="en-US" w:eastAsia="zh-CN"/>
              </w:rPr>
              <w:t>水利、环境和公共设施管理业水利管理业</w:t>
            </w:r>
            <w:r>
              <w:rPr>
                <w:rFonts w:hint="eastAsia"/>
                <w:color w:val="auto"/>
                <w:sz w:val="24"/>
              </w:rPr>
              <w:t>——</w:t>
            </w:r>
            <w:r>
              <w:rPr>
                <w:rFonts w:hint="eastAsia"/>
                <w:color w:val="auto"/>
                <w:sz w:val="24"/>
                <w:lang w:val="en-US" w:eastAsia="zh-CN"/>
              </w:rPr>
              <w:t>防洪除涝设施管理</w:t>
            </w:r>
            <w:r>
              <w:rPr>
                <w:rFonts w:hint="eastAsia"/>
                <w:color w:val="auto"/>
                <w:sz w:val="24"/>
              </w:rPr>
              <w:t xml:space="preserve">”，行业代码为 </w:t>
            </w:r>
            <w:r>
              <w:rPr>
                <w:rFonts w:hint="eastAsia"/>
                <w:color w:val="auto"/>
                <w:sz w:val="24"/>
                <w:lang w:val="en-US" w:eastAsia="zh-CN"/>
              </w:rPr>
              <w:t>N7910</w:t>
            </w:r>
            <w:r>
              <w:rPr>
                <w:rFonts w:hint="eastAsia"/>
                <w:color w:val="auto"/>
                <w:sz w:val="24"/>
              </w:rPr>
              <w:t>。</w:t>
            </w:r>
            <w:r>
              <w:rPr>
                <w:rFonts w:hint="eastAsia"/>
                <w:color w:val="auto"/>
              </w:rPr>
              <w:t xml:space="preserve"> </w:t>
            </w:r>
          </w:p>
          <w:p>
            <w:pPr>
              <w:pStyle w:val="309"/>
              <w:numPr>
                <w:ilvl w:val="0"/>
                <w:numId w:val="0"/>
              </w:numPr>
              <w:ind w:firstLine="480" w:firstLineChars="200"/>
              <w:rPr>
                <w:color w:val="auto"/>
              </w:rPr>
            </w:pPr>
            <w:r>
              <w:rPr>
                <w:rFonts w:hint="eastAsia"/>
                <w:color w:val="auto"/>
                <w:sz w:val="24"/>
              </w:rPr>
              <w:t>（2）</w:t>
            </w:r>
            <w:r>
              <w:rPr>
                <w:rFonts w:hint="eastAsia"/>
                <w:color w:val="auto"/>
              </w:rPr>
              <w:t>根据《产业结构调整指导目录（201</w:t>
            </w:r>
            <w:r>
              <w:rPr>
                <w:rFonts w:hint="eastAsia"/>
                <w:color w:val="auto"/>
                <w:lang w:val="en-US" w:eastAsia="zh-CN"/>
              </w:rPr>
              <w:t>9</w:t>
            </w:r>
            <w:r>
              <w:rPr>
                <w:rFonts w:hint="eastAsia"/>
                <w:color w:val="auto"/>
              </w:rPr>
              <w:t xml:space="preserve"> 年本）》的要求，本项目建设属于</w:t>
            </w:r>
            <w:r>
              <w:rPr>
                <w:rFonts w:hint="eastAsia"/>
                <w:color w:val="auto"/>
                <w:lang w:eastAsia="zh-CN"/>
              </w:rPr>
              <w:t>“鼓励类”</w:t>
            </w:r>
            <w:r>
              <w:rPr>
                <w:rFonts w:hint="eastAsia"/>
                <w:color w:val="auto"/>
              </w:rPr>
              <w:t>第</w:t>
            </w:r>
            <w:r>
              <w:rPr>
                <w:rFonts w:hint="eastAsia"/>
                <w:color w:val="auto"/>
                <w:lang w:eastAsia="zh-CN"/>
              </w:rPr>
              <w:t>二条水利</w:t>
            </w:r>
            <w:r>
              <w:rPr>
                <w:rFonts w:hint="eastAsia"/>
                <w:color w:val="auto"/>
                <w:lang w:val="en-US" w:eastAsia="zh-CN"/>
              </w:rPr>
              <w:t>18款“山洪地质灾害防治工程（山洪地质灾害防治区监测预报预警体系建设及山洪沟、泥石流沟和滑坡治理等）”的内容，本项目属于鼓励发展的产业，项目的实施符合产业政策的要求。项目建设符合国家现行的产业政策。</w:t>
            </w:r>
          </w:p>
          <w:p>
            <w:pPr>
              <w:spacing w:line="360" w:lineRule="auto"/>
              <w:ind w:firstLine="480" w:firstLineChars="200"/>
              <w:rPr>
                <w:rFonts w:hint="default" w:ascii="Times New Roman" w:hAnsi="Times New Roman" w:eastAsia="宋体" w:cs="Times New Roman"/>
                <w:color w:val="auto"/>
                <w:sz w:val="24"/>
                <w:szCs w:val="21"/>
                <w:lang w:val="en-US" w:eastAsia="zh-CN"/>
              </w:rPr>
            </w:pP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3</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松潘县自然资源</w:t>
            </w:r>
            <w:r>
              <w:rPr>
                <w:rFonts w:hint="eastAsia" w:ascii="Times New Roman" w:hAnsi="Times New Roman" w:eastAsia="宋体" w:cs="Times New Roman"/>
                <w:color w:val="auto"/>
                <w:sz w:val="24"/>
                <w:szCs w:val="21"/>
                <w:lang w:eastAsia="zh-CN"/>
              </w:rPr>
              <w:t>局出具了</w:t>
            </w:r>
            <w:r>
              <w:rPr>
                <w:rFonts w:hint="eastAsia" w:ascii="Times New Roman" w:hAnsi="Times New Roman" w:eastAsia="宋体" w:cs="Times New Roman"/>
                <w:color w:val="auto"/>
                <w:sz w:val="24"/>
                <w:szCs w:val="21"/>
                <w:lang w:val="en-US" w:eastAsia="zh-CN"/>
              </w:rPr>
              <w:t>关于松潘县白羊乡茶园坪村璜环沟泥石流治理工程项目建设用地审查意见的函（松自然资源函[2020]28号）（</w:t>
            </w:r>
            <w:r>
              <w:rPr>
                <w:rFonts w:hint="eastAsia" w:ascii="Times New Roman" w:hAnsi="Times New Roman" w:eastAsia="宋体" w:cs="Times New Roman"/>
                <w:color w:val="auto"/>
                <w:sz w:val="24"/>
                <w:szCs w:val="21"/>
                <w:lang w:eastAsia="zh-CN"/>
              </w:rPr>
              <w:t>详见附件</w:t>
            </w:r>
            <w:r>
              <w:rPr>
                <w:rFonts w:hint="eastAsia" w:ascii="Times New Roman" w:hAnsi="Times New Roman" w:eastAsia="宋体" w:cs="Times New Roman"/>
                <w:color w:val="auto"/>
                <w:sz w:val="24"/>
                <w:szCs w:val="21"/>
                <w:lang w:val="en-US" w:eastAsia="zh-CN"/>
              </w:rPr>
              <w:t>2）</w:t>
            </w:r>
            <w:r>
              <w:rPr>
                <w:rFonts w:hint="eastAsia" w:ascii="Times New Roman" w:hAnsi="Times New Roman" w:eastAsia="宋体" w:cs="Times New Roman"/>
                <w:color w:val="auto"/>
                <w:sz w:val="24"/>
                <w:szCs w:val="21"/>
                <w:lang w:eastAsia="zh-CN"/>
              </w:rPr>
              <w:t>，</w:t>
            </w:r>
            <w:r>
              <w:rPr>
                <w:rFonts w:hint="eastAsia" w:ascii="Times New Roman" w:hAnsi="Times New Roman" w:eastAsia="宋体" w:cs="Times New Roman"/>
                <w:color w:val="auto"/>
                <w:sz w:val="24"/>
                <w:szCs w:val="21"/>
                <w:lang w:val="en-US" w:eastAsia="zh-CN"/>
              </w:rPr>
              <w:t>明确本项目为生态修复项目，项目性质符合国家产业政策和供地政策，不涉及占用基本农田，不涉及农用地专用，不改变土地用途。</w:t>
            </w:r>
          </w:p>
          <w:p>
            <w:pPr>
              <w:spacing w:line="360" w:lineRule="auto"/>
              <w:ind w:firstLine="480" w:firstLineChars="200"/>
              <w:rPr>
                <w:color w:val="auto"/>
                <w:sz w:val="24"/>
              </w:rPr>
            </w:pPr>
            <w:r>
              <w:rPr>
                <w:rFonts w:hint="eastAsia"/>
                <w:color w:val="auto"/>
                <w:sz w:val="24"/>
              </w:rPr>
              <w:t>根据以上分析，拟建项目属于鼓励发展的产业，同时拟建项目建设符合有关法律法规要求及当地环保部门的要求，故拟建项目的建设是符合国家和地方产业政策要求的。</w:t>
            </w:r>
          </w:p>
          <w:p>
            <w:pPr>
              <w:widowControl/>
              <w:spacing w:line="360" w:lineRule="auto"/>
              <w:rPr>
                <w:rFonts w:ascii="Times New Roman" w:hAnsi="Times New Roman" w:cs="Times New Roman"/>
                <w:b/>
                <w:color w:val="auto"/>
                <w:sz w:val="24"/>
              </w:rPr>
            </w:pPr>
            <w:r>
              <w:rPr>
                <w:rFonts w:ascii="Times New Roman" w:hAnsi="Times New Roman" w:cs="Times New Roman"/>
                <w:b/>
                <w:color w:val="auto"/>
                <w:sz w:val="24"/>
              </w:rPr>
              <w:t>3</w:t>
            </w:r>
            <w:r>
              <w:rPr>
                <w:rFonts w:hint="eastAsia" w:ascii="Times New Roman" w:hAnsi="Times New Roman" w:cs="Times New Roman"/>
                <w:b/>
                <w:color w:val="auto"/>
                <w:sz w:val="24"/>
              </w:rPr>
              <w:t>、规划符合性</w:t>
            </w:r>
          </w:p>
          <w:p>
            <w:pPr>
              <w:keepNext/>
              <w:spacing w:line="360" w:lineRule="auto"/>
              <w:ind w:firstLine="482" w:firstLineChars="200"/>
              <w:rPr>
                <w:rFonts w:hint="eastAsia" w:ascii="Times New Roman" w:hAnsi="Times New Roman" w:cs="Times New Roman"/>
                <w:b/>
                <w:bCs w:val="0"/>
                <w:color w:val="auto"/>
                <w:sz w:val="24"/>
              </w:rPr>
            </w:pPr>
            <w:r>
              <w:rPr>
                <w:rFonts w:hint="eastAsia" w:ascii="Times New Roman" w:hAnsi="Times New Roman" w:eastAsia="宋体" w:cs="Times New Roman"/>
                <w:b/>
                <w:bCs/>
                <w:color w:val="auto"/>
                <w:sz w:val="24"/>
                <w:szCs w:val="21"/>
              </w:rPr>
              <w:t>（1）</w:t>
            </w:r>
            <w:r>
              <w:rPr>
                <w:rFonts w:hint="eastAsia" w:ascii="Times New Roman" w:hAnsi="Times New Roman" w:cs="Times New Roman"/>
                <w:b/>
                <w:bCs w:val="0"/>
                <w:color w:val="auto"/>
                <w:sz w:val="24"/>
              </w:rPr>
              <w:t>与松潘县人民政府办公室关于印发《松潘县2019年度地质灾害防御预案》的通知的符合性分析</w:t>
            </w:r>
          </w:p>
          <w:p>
            <w:pPr>
              <w:keepNext/>
              <w:spacing w:line="360" w:lineRule="auto"/>
              <w:ind w:firstLine="480" w:firstLineChars="200"/>
              <w:rPr>
                <w:rFonts w:hint="eastAsia" w:ascii="Times New Roman" w:hAnsi="Times New Roman" w:cs="Times New Roman"/>
                <w:b w:val="0"/>
                <w:bCs/>
                <w:color w:val="auto"/>
                <w:sz w:val="24"/>
              </w:rPr>
            </w:pPr>
            <w:r>
              <w:rPr>
                <w:rFonts w:hint="eastAsia" w:ascii="Times New Roman" w:hAnsi="Times New Roman" w:cs="Times New Roman"/>
                <w:b w:val="0"/>
                <w:bCs/>
                <w:color w:val="auto"/>
                <w:sz w:val="24"/>
              </w:rPr>
              <w:t>2019年5月，松潘县人民政府下发了关于印发《松潘县2019年度地质灾害防御预案》的通知（文号为：松府办发[2019]28号），该预案主要阵地松潘县境内的地质灾害现状、灾害因素、发展趋势以及防灾重点及措施等进行了分析。预案分析松潘县地质灾害高易发区为小河乡、施家堡乡、白羊乡以及十里乡—小姓乡、镇坪乡境内，灾害点类型为滑坡、泥石流、崩塌等。本项目位于白羊乡茶园坪村，地处河流为</w:t>
            </w:r>
            <w:r>
              <w:rPr>
                <w:rFonts w:hint="eastAsia" w:ascii="Times New Roman" w:hAnsi="Times New Roman" w:cs="Times New Roman"/>
                <w:b w:val="0"/>
                <w:bCs/>
                <w:color w:val="auto"/>
                <w:sz w:val="24"/>
                <w:lang w:eastAsia="zh-CN"/>
              </w:rPr>
              <w:t>白草河</w:t>
            </w:r>
            <w:r>
              <w:rPr>
                <w:rFonts w:hint="eastAsia" w:ascii="Times New Roman" w:hAnsi="Times New Roman" w:cs="Times New Roman"/>
                <w:b w:val="0"/>
                <w:bCs/>
                <w:color w:val="auto"/>
                <w:sz w:val="24"/>
              </w:rPr>
              <w:t>。属于地质灾害高易发区，符合松潘县人民政府办公室关于印发《松潘县2019年度地质灾害防御预案》的通知的要求。</w:t>
            </w:r>
          </w:p>
          <w:p>
            <w:pPr>
              <w:keepNext/>
              <w:spacing w:line="360" w:lineRule="auto"/>
              <w:rPr>
                <w:rFonts w:ascii="t" w:hAnsi="t"/>
                <w:b/>
                <w:bCs/>
                <w:snapToGrid w:val="0"/>
                <w:color w:val="auto"/>
                <w:sz w:val="24"/>
              </w:rPr>
            </w:pPr>
            <w:r>
              <w:rPr>
                <w:rFonts w:ascii="Times New Roman" w:hAnsi="Times New Roman" w:cs="Times New Roman"/>
                <w:b/>
                <w:color w:val="auto"/>
                <w:sz w:val="24"/>
              </w:rPr>
              <w:t>4</w:t>
            </w:r>
            <w:r>
              <w:rPr>
                <w:rFonts w:hint="eastAsia" w:ascii="Times New Roman" w:hAnsi="Times New Roman" w:cs="Times New Roman"/>
                <w:b/>
                <w:color w:val="auto"/>
                <w:sz w:val="24"/>
              </w:rPr>
              <w:t>、</w:t>
            </w:r>
            <w:r>
              <w:rPr>
                <w:rFonts w:ascii="t" w:hAnsi="t"/>
                <w:b/>
                <w:bCs/>
                <w:snapToGrid w:val="0"/>
                <w:color w:val="auto"/>
                <w:sz w:val="24"/>
              </w:rPr>
              <w:t>环境质量现状评价结论</w:t>
            </w:r>
          </w:p>
          <w:p>
            <w:pPr>
              <w:numPr>
                <w:ilvl w:val="0"/>
                <w:numId w:val="5"/>
              </w:numPr>
              <w:adjustRightInd w:val="0"/>
              <w:spacing w:line="360" w:lineRule="auto"/>
              <w:rPr>
                <w:rFonts w:ascii="宋体" w:hAnsi="宋体"/>
                <w:b/>
                <w:color w:val="auto"/>
                <w:sz w:val="24"/>
              </w:rPr>
            </w:pPr>
            <w:r>
              <w:rPr>
                <w:rFonts w:ascii="宋体" w:hAnsi="宋体"/>
                <w:b/>
                <w:color w:val="auto"/>
                <w:sz w:val="24"/>
              </w:rPr>
              <w:t>环境空气</w:t>
            </w:r>
          </w:p>
          <w:p>
            <w:pPr>
              <w:spacing w:line="360" w:lineRule="auto"/>
              <w:ind w:firstLine="480" w:firstLineChars="200"/>
              <w:rPr>
                <w:rFonts w:ascii="t" w:hAnsi="t"/>
                <w:color w:val="auto"/>
                <w:sz w:val="24"/>
              </w:rPr>
            </w:pPr>
            <w:r>
              <w:rPr>
                <w:rFonts w:hint="eastAsia" w:ascii="t" w:hAnsi="t"/>
                <w:color w:val="auto"/>
                <w:sz w:val="24"/>
              </w:rPr>
              <w:t>项目所在地属于空气达标区域，项目所在地区域环境空气质量良好。</w:t>
            </w:r>
          </w:p>
          <w:p>
            <w:pPr>
              <w:numPr>
                <w:ilvl w:val="0"/>
                <w:numId w:val="5"/>
              </w:numPr>
              <w:adjustRightInd w:val="0"/>
              <w:spacing w:line="360" w:lineRule="auto"/>
              <w:rPr>
                <w:rFonts w:ascii="宋体" w:hAnsi="宋体"/>
                <w:b/>
                <w:color w:val="auto"/>
                <w:sz w:val="24"/>
              </w:rPr>
            </w:pPr>
            <w:r>
              <w:rPr>
                <w:rFonts w:ascii="宋体" w:hAnsi="宋体"/>
                <w:b/>
                <w:color w:val="auto"/>
                <w:sz w:val="24"/>
              </w:rPr>
              <w:t>地表水</w:t>
            </w:r>
          </w:p>
          <w:p>
            <w:pPr>
              <w:spacing w:line="360" w:lineRule="auto"/>
              <w:ind w:firstLine="480" w:firstLineChars="200"/>
              <w:rPr>
                <w:rFonts w:ascii="t" w:hAnsi="t"/>
                <w:color w:val="auto"/>
                <w:sz w:val="24"/>
              </w:rPr>
            </w:pPr>
            <w:r>
              <w:rPr>
                <w:rFonts w:hint="eastAsia" w:ascii="t" w:hAnsi="t"/>
                <w:color w:val="auto"/>
                <w:sz w:val="24"/>
              </w:rPr>
              <w:t>项目所在地的地表水环境能够满足</w:t>
            </w:r>
            <w:r>
              <w:rPr>
                <w:rFonts w:ascii="t" w:hAnsi="t"/>
                <w:color w:val="auto"/>
                <w:sz w:val="24"/>
              </w:rPr>
              <w:t>《地表水环境质量标准》（GB3838-2002）中</w:t>
            </w:r>
            <w:r>
              <w:rPr>
                <w:rFonts w:hint="eastAsia" w:ascii="华文宋体" w:hAnsi="华文宋体" w:eastAsia="华文宋体" w:cs="华文宋体"/>
                <w:color w:val="auto"/>
                <w:sz w:val="24"/>
              </w:rPr>
              <w:t>Ⅲ</w:t>
            </w:r>
            <w:r>
              <w:rPr>
                <w:rFonts w:ascii="t" w:hAnsi="t"/>
                <w:color w:val="auto"/>
                <w:sz w:val="24"/>
              </w:rPr>
              <w:t>类水域标准</w:t>
            </w:r>
            <w:r>
              <w:rPr>
                <w:rFonts w:hint="eastAsia" w:ascii="t" w:hAnsi="t"/>
                <w:color w:val="auto"/>
                <w:sz w:val="24"/>
              </w:rPr>
              <w:t>，地表水环境质量较好。</w:t>
            </w:r>
          </w:p>
          <w:p>
            <w:pPr>
              <w:numPr>
                <w:ilvl w:val="0"/>
                <w:numId w:val="5"/>
              </w:numPr>
              <w:adjustRightInd w:val="0"/>
              <w:spacing w:line="360" w:lineRule="auto"/>
              <w:ind w:left="0" w:firstLine="482" w:firstLineChars="200"/>
              <w:rPr>
                <w:rFonts w:ascii="宋体" w:hAnsi="宋体"/>
                <w:b/>
                <w:color w:val="auto"/>
                <w:sz w:val="24"/>
              </w:rPr>
            </w:pPr>
            <w:r>
              <w:rPr>
                <w:rFonts w:ascii="宋体" w:hAnsi="宋体"/>
                <w:b/>
                <w:color w:val="auto"/>
                <w:sz w:val="24"/>
              </w:rPr>
              <w:t>声环境</w:t>
            </w:r>
          </w:p>
          <w:p>
            <w:pPr>
              <w:spacing w:line="360" w:lineRule="auto"/>
              <w:ind w:firstLine="480" w:firstLineChars="200"/>
              <w:rPr>
                <w:bCs/>
                <w:color w:val="auto"/>
                <w:sz w:val="24"/>
              </w:rPr>
            </w:pPr>
            <w:r>
              <w:rPr>
                <w:rFonts w:hint="eastAsia"/>
                <w:bCs/>
                <w:color w:val="auto"/>
                <w:sz w:val="24"/>
              </w:rPr>
              <w:t>项目区域声环境质量良好，满足</w:t>
            </w:r>
            <w:r>
              <w:rPr>
                <w:rFonts w:hint="eastAsia" w:ascii="Times New Roman" w:cs="Times New Roman"/>
                <w:color w:val="auto"/>
                <w:spacing w:val="-8"/>
                <w:sz w:val="24"/>
                <w:szCs w:val="20"/>
              </w:rPr>
              <w:t>《声环境质量标准》</w:t>
            </w:r>
            <w:r>
              <w:rPr>
                <w:rFonts w:ascii="Times New Roman" w:hAnsi="Times New Roman" w:cs="Times New Roman"/>
                <w:color w:val="auto"/>
                <w:spacing w:val="-8"/>
                <w:sz w:val="24"/>
                <w:szCs w:val="20"/>
              </w:rPr>
              <w:t>(GB3096-2008)2</w:t>
            </w:r>
            <w:r>
              <w:rPr>
                <w:rFonts w:hint="eastAsia" w:ascii="Times New Roman" w:hAnsi="Times New Roman" w:cs="Times New Roman"/>
                <w:color w:val="auto"/>
                <w:spacing w:val="-8"/>
                <w:sz w:val="24"/>
                <w:szCs w:val="20"/>
              </w:rPr>
              <w:t>类标准限值。</w:t>
            </w:r>
          </w:p>
          <w:p>
            <w:pPr>
              <w:spacing w:line="360" w:lineRule="auto"/>
              <w:ind w:firstLine="482" w:firstLineChars="200"/>
              <w:rPr>
                <w:rFonts w:ascii="t" w:hAnsi="t"/>
                <w:b/>
                <w:color w:val="auto"/>
                <w:sz w:val="24"/>
              </w:rPr>
            </w:pPr>
            <w:r>
              <w:rPr>
                <w:rFonts w:ascii="t" w:hAnsi="t"/>
                <w:b/>
                <w:color w:val="auto"/>
                <w:sz w:val="24"/>
              </w:rPr>
              <w:t>5、</w:t>
            </w:r>
            <w:r>
              <w:rPr>
                <w:rFonts w:hint="eastAsia" w:ascii="t" w:hAnsi="t"/>
                <w:b/>
                <w:color w:val="auto"/>
                <w:sz w:val="24"/>
              </w:rPr>
              <w:t>本项目</w:t>
            </w:r>
            <w:r>
              <w:rPr>
                <w:rFonts w:hint="eastAsia" w:ascii="t" w:hAnsi="t"/>
                <w:b/>
                <w:color w:val="auto"/>
                <w:sz w:val="24"/>
                <w:lang w:val="en-US" w:eastAsia="zh-CN"/>
              </w:rPr>
              <w:t>施工期</w:t>
            </w:r>
            <w:r>
              <w:rPr>
                <w:rFonts w:hint="eastAsia" w:ascii="t" w:hAnsi="t"/>
                <w:b/>
                <w:color w:val="auto"/>
                <w:sz w:val="24"/>
              </w:rPr>
              <w:t>污染物排放及环境影响分析</w:t>
            </w:r>
          </w:p>
          <w:p>
            <w:pPr>
              <w:spacing w:line="360" w:lineRule="auto"/>
              <w:ind w:firstLine="480" w:firstLineChars="200"/>
              <w:rPr>
                <w:color w:val="auto"/>
                <w:sz w:val="24"/>
              </w:rPr>
            </w:pPr>
            <w:r>
              <w:rPr>
                <w:rFonts w:hint="eastAsia"/>
                <w:bCs/>
                <w:color w:val="auto"/>
                <w:sz w:val="24"/>
                <w:lang w:eastAsia="zh-CN"/>
              </w:rPr>
              <w:t>（</w:t>
            </w:r>
            <w:r>
              <w:rPr>
                <w:rFonts w:hint="eastAsia"/>
                <w:bCs/>
                <w:color w:val="auto"/>
                <w:sz w:val="24"/>
                <w:lang w:val="en-US" w:eastAsia="zh-CN"/>
              </w:rPr>
              <w:t>1</w:t>
            </w:r>
            <w:r>
              <w:rPr>
                <w:rFonts w:hint="eastAsia"/>
                <w:bCs/>
                <w:color w:val="auto"/>
                <w:sz w:val="24"/>
                <w:lang w:eastAsia="zh-CN"/>
              </w:rPr>
              <w:t>）</w:t>
            </w:r>
            <w:r>
              <w:rPr>
                <w:color w:val="auto"/>
                <w:sz w:val="24"/>
              </w:rPr>
              <w:t>大气环境影响</w:t>
            </w:r>
          </w:p>
          <w:p>
            <w:pPr>
              <w:spacing w:line="360" w:lineRule="auto"/>
              <w:ind w:firstLine="480" w:firstLineChars="200"/>
              <w:rPr>
                <w:rFonts w:hint="eastAsia"/>
                <w:color w:val="auto"/>
                <w:sz w:val="24"/>
              </w:rPr>
            </w:pPr>
            <w:r>
              <w:rPr>
                <w:rFonts w:hint="eastAsia"/>
                <w:color w:val="auto"/>
                <w:sz w:val="24"/>
              </w:rPr>
              <w:t>施工期大气污染物包括扬尘、施工机械废气。通过在作业现场采取相应的防护措施，如施工现场周边设置防尘围档、施工车辆运输采用封闭运输、施工场地 进出口对进出车辆进行冲洗、施工现场洒水降尘、及时清运渣土、加强施工机械 的保养维护、多选择使用电动工具、严格控制内燃机械使用等措施可以有效减轻 项目施工对大气环境的影响。</w:t>
            </w:r>
          </w:p>
          <w:p>
            <w:pPr>
              <w:spacing w:line="360" w:lineRule="auto"/>
              <w:ind w:firstLine="480" w:firstLineChars="200"/>
              <w:rPr>
                <w:bCs/>
                <w:color w:val="auto"/>
                <w:sz w:val="24"/>
              </w:rPr>
            </w:pPr>
            <w:r>
              <w:rPr>
                <w:rFonts w:hint="eastAsia"/>
                <w:bCs/>
                <w:color w:val="auto"/>
                <w:sz w:val="24"/>
                <w:lang w:val="en-US" w:eastAsia="zh-CN"/>
              </w:rPr>
              <w:t>（2）地表</w:t>
            </w:r>
            <w:r>
              <w:rPr>
                <w:bCs/>
                <w:color w:val="auto"/>
                <w:sz w:val="24"/>
              </w:rPr>
              <w:t>水环境影响</w:t>
            </w:r>
          </w:p>
          <w:p>
            <w:pPr>
              <w:spacing w:line="360" w:lineRule="auto"/>
              <w:ind w:firstLine="480" w:firstLineChars="200"/>
              <w:rPr>
                <w:bCs/>
                <w:color w:val="auto"/>
                <w:sz w:val="24"/>
              </w:rPr>
            </w:pPr>
            <w:r>
              <w:rPr>
                <w:rFonts w:hint="eastAsia"/>
                <w:bCs/>
                <w:color w:val="auto"/>
                <w:sz w:val="24"/>
              </w:rPr>
              <w:t>施工期废水主要为施工废水及施工人员生活污水，施工废水中主要污染物为 SS、COD、BOD</w:t>
            </w:r>
            <w:r>
              <w:rPr>
                <w:rFonts w:hint="eastAsia"/>
                <w:bCs/>
                <w:color w:val="auto"/>
                <w:sz w:val="24"/>
                <w:vertAlign w:val="subscript"/>
              </w:rPr>
              <w:t>5</w:t>
            </w:r>
            <w:r>
              <w:rPr>
                <w:rFonts w:hint="eastAsia"/>
                <w:bCs/>
                <w:color w:val="auto"/>
                <w:sz w:val="24"/>
              </w:rPr>
              <w:t>、NH</w:t>
            </w:r>
            <w:r>
              <w:rPr>
                <w:rFonts w:hint="eastAsia"/>
                <w:bCs/>
                <w:color w:val="auto"/>
                <w:sz w:val="24"/>
                <w:vertAlign w:val="subscript"/>
              </w:rPr>
              <w:t>3</w:t>
            </w:r>
            <w:r>
              <w:rPr>
                <w:rFonts w:hint="eastAsia"/>
                <w:bCs/>
                <w:color w:val="auto"/>
                <w:sz w:val="24"/>
              </w:rPr>
              <w:t>-N、石油类及泥沙，施工阶段生产性废水经沉淀处理后的上清液循环使用，不外排；施工人员生活污水利用</w:t>
            </w:r>
            <w:r>
              <w:rPr>
                <w:rFonts w:hint="eastAsia"/>
                <w:bCs/>
                <w:color w:val="auto"/>
                <w:sz w:val="24"/>
                <w:lang w:val="en-US" w:eastAsia="zh-CN"/>
              </w:rPr>
              <w:t>附近居民住户化粪池</w:t>
            </w:r>
            <w:r>
              <w:rPr>
                <w:rFonts w:hint="eastAsia"/>
                <w:bCs/>
                <w:color w:val="auto"/>
                <w:sz w:val="24"/>
              </w:rPr>
              <w:t>处理</w:t>
            </w:r>
            <w:r>
              <w:rPr>
                <w:rFonts w:hint="eastAsia"/>
                <w:bCs/>
                <w:color w:val="auto"/>
                <w:sz w:val="24"/>
                <w:lang w:val="en-US" w:eastAsia="zh-CN"/>
              </w:rPr>
              <w:t>后用于农灌</w:t>
            </w:r>
            <w:r>
              <w:rPr>
                <w:rFonts w:hint="eastAsia"/>
                <w:bCs/>
                <w:color w:val="auto"/>
                <w:sz w:val="24"/>
              </w:rPr>
              <w:t>，生活污水不外排。项目废水不会对地表水体产生不利影响。</w:t>
            </w:r>
          </w:p>
          <w:p>
            <w:pPr>
              <w:spacing w:line="360" w:lineRule="auto"/>
              <w:ind w:firstLine="480" w:firstLineChars="200"/>
              <w:rPr>
                <w:color w:val="auto"/>
                <w:sz w:val="24"/>
              </w:rPr>
            </w:pPr>
            <w:r>
              <w:rPr>
                <w:rFonts w:hint="eastAsia"/>
                <w:color w:val="auto"/>
                <w:sz w:val="24"/>
                <w:lang w:val="en-US" w:eastAsia="zh-CN"/>
              </w:rPr>
              <w:t>（3）</w:t>
            </w:r>
            <w:r>
              <w:rPr>
                <w:color w:val="auto"/>
                <w:sz w:val="24"/>
              </w:rPr>
              <w:t>声环境影响</w:t>
            </w:r>
          </w:p>
          <w:p>
            <w:pPr>
              <w:spacing w:line="360" w:lineRule="auto"/>
              <w:ind w:firstLine="480" w:firstLineChars="200"/>
              <w:rPr>
                <w:color w:val="auto"/>
                <w:sz w:val="24"/>
              </w:rPr>
            </w:pPr>
            <w:r>
              <w:rPr>
                <w:rFonts w:hint="eastAsia"/>
                <w:color w:val="auto"/>
                <w:sz w:val="24"/>
              </w:rPr>
              <w:t>施工期噪声源主要来自挖机、压路机等施工机械，具有阶段性、临时性和不 固定性的特征，通过加强施工期间的施工组织和施工管理，合理安排施工进度和 作业时间、环保施工、文明施工，并因地制宜地制定有效地临时降噪措施，将施 工期间的噪声影响降低至最小值。</w:t>
            </w:r>
          </w:p>
          <w:p>
            <w:pPr>
              <w:pStyle w:val="72"/>
              <w:numPr>
                <w:ilvl w:val="0"/>
                <w:numId w:val="0"/>
              </w:numPr>
              <w:spacing w:line="360" w:lineRule="auto"/>
              <w:ind w:left="482" w:leftChars="0"/>
              <w:rPr>
                <w:color w:val="auto"/>
                <w:sz w:val="24"/>
              </w:rPr>
            </w:pPr>
            <w:r>
              <w:rPr>
                <w:rFonts w:hint="eastAsia"/>
                <w:color w:val="auto"/>
                <w:sz w:val="24"/>
                <w:lang w:val="en-US" w:eastAsia="zh-CN"/>
              </w:rPr>
              <w:t>（4）</w:t>
            </w:r>
            <w:r>
              <w:rPr>
                <w:color w:val="auto"/>
                <w:sz w:val="24"/>
              </w:rPr>
              <w:t>固体废弃物影响</w:t>
            </w:r>
          </w:p>
          <w:p>
            <w:pPr>
              <w:pStyle w:val="318"/>
              <w:ind w:firstLine="480"/>
              <w:rPr>
                <w:rFonts w:hint="eastAsia" w:hAnsi="times  new roman"/>
                <w:color w:val="auto"/>
              </w:rPr>
            </w:pPr>
            <w:r>
              <w:rPr>
                <w:rFonts w:hint="eastAsia" w:hAnsi="times  new roman"/>
                <w:color w:val="auto"/>
              </w:rPr>
              <w:t>本项目固废主要包括施工期建筑垃圾、弃方、施工人员生活垃圾和泥石流堆积物清淤。</w:t>
            </w:r>
          </w:p>
          <w:p>
            <w:pPr>
              <w:pStyle w:val="318"/>
              <w:ind w:firstLine="480"/>
              <w:rPr>
                <w:rFonts w:hint="eastAsia" w:hAnsi="times  new roman"/>
                <w:color w:val="auto"/>
              </w:rPr>
            </w:pPr>
            <w:r>
              <w:rPr>
                <w:rFonts w:hAnsi="times  new roman"/>
                <w:color w:val="auto"/>
              </w:rPr>
              <w:t>本工程</w:t>
            </w:r>
            <w:r>
              <w:rPr>
                <w:color w:val="auto"/>
              </w:rPr>
              <w:t>将产生永久弃渣总计</w:t>
            </w:r>
            <w:r>
              <w:rPr>
                <w:rFonts w:hint="eastAsia"/>
                <w:color w:val="auto"/>
                <w:lang w:val="en-US" w:eastAsia="zh-CN"/>
              </w:rPr>
              <w:t>1030.66</w:t>
            </w:r>
            <w:r>
              <w:rPr>
                <w:color w:val="auto"/>
              </w:rPr>
              <w:t>m</w:t>
            </w:r>
            <w:r>
              <w:rPr>
                <w:color w:val="auto"/>
                <w:vertAlign w:val="superscript"/>
              </w:rPr>
              <w:t>3</w:t>
            </w:r>
            <w:r>
              <w:rPr>
                <w:color w:val="auto"/>
              </w:rPr>
              <w:t>，</w:t>
            </w:r>
            <w:r>
              <w:rPr>
                <w:rFonts w:hint="eastAsia" w:hAnsi="times  new roman"/>
                <w:color w:val="auto"/>
              </w:rPr>
              <w:t>建筑垃圾进行分类收集后能够回收利用的回收利用，不能回收的堆放于指定地点，由施工方统一清</w:t>
            </w:r>
            <w:r>
              <w:rPr>
                <w:rFonts w:hint="eastAsia" w:hAnsi="times  new roman"/>
                <w:color w:val="auto"/>
                <w:lang w:val="en-US" w:eastAsia="zh-CN"/>
              </w:rPr>
              <w:t>理</w:t>
            </w:r>
            <w:r>
              <w:rPr>
                <w:rFonts w:hint="eastAsia" w:hAnsi="times  new roman"/>
                <w:color w:val="auto"/>
              </w:rPr>
              <w:t>。施工人员生活垃圾量较小，集中收集后运至环卫部门指定生活垃圾处理场处置。项目产生的弃方与泥石流堆积物清淤量</w:t>
            </w:r>
            <w:r>
              <w:rPr>
                <w:rFonts w:hint="eastAsia" w:hAnsi="times  new roman"/>
                <w:color w:val="auto"/>
                <w:lang w:val="en-US" w:eastAsia="zh-CN"/>
              </w:rPr>
              <w:t>统一运送至松潘县白羊乡建筑垃圾堆场处理</w:t>
            </w:r>
            <w:r>
              <w:rPr>
                <w:rFonts w:hint="eastAsia" w:hAnsi="times  new roman"/>
                <w:color w:val="auto"/>
              </w:rPr>
              <w:t>。</w:t>
            </w:r>
          </w:p>
          <w:p>
            <w:pPr>
              <w:pStyle w:val="318"/>
              <w:ind w:firstLine="480"/>
              <w:rPr>
                <w:rFonts w:hAnsi="times  new roman"/>
                <w:color w:val="auto"/>
              </w:rPr>
            </w:pPr>
            <w:r>
              <w:rPr>
                <w:rFonts w:hint="eastAsia" w:hAnsi="times  new roman"/>
                <w:color w:val="auto"/>
              </w:rPr>
              <w:t>运营后，项目将停滞大量泥石流堆积物，可用于保护区内堤防修复。</w:t>
            </w:r>
          </w:p>
          <w:p>
            <w:pPr>
              <w:spacing w:line="360" w:lineRule="auto"/>
              <w:ind w:firstLine="480" w:firstLineChars="200"/>
              <w:rPr>
                <w:color w:val="auto"/>
                <w:sz w:val="24"/>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rFonts w:hint="eastAsia"/>
                <w:color w:val="auto"/>
                <w:sz w:val="24"/>
              </w:rPr>
              <w:t>生态环境影响</w:t>
            </w:r>
          </w:p>
          <w:p>
            <w:pPr>
              <w:spacing w:line="360" w:lineRule="auto"/>
              <w:ind w:firstLine="480" w:firstLineChars="200"/>
              <w:jc w:val="left"/>
              <w:rPr>
                <w:color w:val="auto"/>
                <w:sz w:val="24"/>
                <w:lang w:val="zh-CN"/>
              </w:rPr>
            </w:pPr>
            <w:r>
              <w:rPr>
                <w:rFonts w:hint="eastAsia"/>
                <w:color w:val="auto"/>
                <w:sz w:val="24"/>
                <w:lang w:val="en-US" w:eastAsia="zh-CN"/>
              </w:rPr>
              <w:t>工程施工占地对项目区域范围内的陆生植被产生破坏影响。</w:t>
            </w:r>
            <w:r>
              <w:rPr>
                <w:rFonts w:hint="eastAsia"/>
                <w:color w:val="auto"/>
                <w:sz w:val="24"/>
                <w:lang w:val="zh-CN"/>
              </w:rPr>
              <w:t>工程周边的植被主要为农作物</w:t>
            </w:r>
            <w:r>
              <w:rPr>
                <w:rFonts w:hint="eastAsia"/>
                <w:color w:val="auto"/>
                <w:sz w:val="24"/>
                <w:lang w:val="en-US" w:eastAsia="zh-CN"/>
              </w:rPr>
              <w:t>及草罐</w:t>
            </w:r>
            <w:r>
              <w:rPr>
                <w:rFonts w:hint="eastAsia"/>
                <w:color w:val="auto"/>
                <w:sz w:val="24"/>
                <w:lang w:val="zh-CN"/>
              </w:rPr>
              <w:t>，</w:t>
            </w:r>
            <w:r>
              <w:rPr>
                <w:color w:val="auto"/>
                <w:sz w:val="24"/>
              </w:rPr>
              <w:t>项目不涉及森林公园和自然保护区，建设区内无珍稀濒危植物种类，无国家重点保护野生植物种类以及无名木古树，且由于长期的人为活动，植被的原生性较差</w:t>
            </w:r>
            <w:r>
              <w:rPr>
                <w:rFonts w:hint="eastAsia"/>
                <w:color w:val="auto"/>
                <w:sz w:val="24"/>
              </w:rPr>
              <w:t>。</w:t>
            </w:r>
            <w:r>
              <w:rPr>
                <w:rFonts w:hint="eastAsia"/>
                <w:color w:val="auto"/>
                <w:sz w:val="24"/>
                <w:lang w:val="zh-CN"/>
              </w:rPr>
              <w:t>工程占地及实物等已进行相应的补偿，因此对周边植被影响较小。</w:t>
            </w:r>
          </w:p>
          <w:p>
            <w:pPr>
              <w:spacing w:line="360" w:lineRule="auto"/>
              <w:ind w:firstLine="480" w:firstLineChars="200"/>
              <w:rPr>
                <w:color w:val="auto"/>
                <w:sz w:val="24"/>
              </w:rPr>
            </w:pPr>
            <w:r>
              <w:rPr>
                <w:color w:val="auto"/>
                <w:sz w:val="24"/>
              </w:rPr>
              <w:t>本工程施工建设前，所占用土地以</w:t>
            </w:r>
            <w:r>
              <w:rPr>
                <w:rFonts w:hint="eastAsia"/>
                <w:color w:val="auto"/>
                <w:sz w:val="24"/>
                <w:lang w:val="en-US" w:eastAsia="zh-CN"/>
              </w:rPr>
              <w:t>沟谷</w:t>
            </w:r>
            <w:r>
              <w:rPr>
                <w:rFonts w:hint="eastAsia"/>
                <w:color w:val="auto"/>
                <w:sz w:val="24"/>
              </w:rPr>
              <w:t>荒草地</w:t>
            </w:r>
            <w:r>
              <w:rPr>
                <w:color w:val="auto"/>
                <w:sz w:val="24"/>
              </w:rPr>
              <w:t>为主，水土流失情况为微度侵蚀。新增的水土流失主要集中在工程建设期。施工期由于工程开挖、占压造成的原地貌水土保持功能降低甚至丧失，导致土壤侵蚀加剧而增加的水土流失量。</w:t>
            </w:r>
            <w:r>
              <w:rPr>
                <w:rFonts w:hint="eastAsia"/>
                <w:color w:val="auto"/>
                <w:sz w:val="24"/>
              </w:rPr>
              <w:t>本项目施工期已结束</w:t>
            </w:r>
            <w:r>
              <w:rPr>
                <w:color w:val="auto"/>
                <w:sz w:val="24"/>
              </w:rPr>
              <w:t>，临时占用土地功能恢复为原貌，该区域水土流失情况恢复为施工期以前。因此，本项目施工期水土流失是暂时的，水土流失对区域影响不大。</w:t>
            </w:r>
          </w:p>
          <w:p>
            <w:pPr>
              <w:spacing w:line="360" w:lineRule="auto"/>
              <w:ind w:firstLine="482" w:firstLineChars="200"/>
              <w:rPr>
                <w:rFonts w:hint="default" w:eastAsiaTheme="minorEastAsia"/>
                <w:b/>
                <w:bCs/>
                <w:color w:val="auto"/>
                <w:sz w:val="24"/>
                <w:lang w:val="en-US" w:eastAsia="zh-CN"/>
              </w:rPr>
            </w:pPr>
            <w:r>
              <w:rPr>
                <w:rFonts w:hint="eastAsia"/>
                <w:b/>
                <w:bCs/>
                <w:color w:val="auto"/>
                <w:sz w:val="24"/>
                <w:lang w:val="en-US" w:eastAsia="zh-CN"/>
              </w:rPr>
              <w:t>6、本项目运行期的环境影响分析</w:t>
            </w:r>
          </w:p>
          <w:p>
            <w:pPr>
              <w:pStyle w:val="29"/>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auto"/>
                <w:sz w:val="24"/>
                <w:lang w:val="en-US" w:eastAsia="zh-CN"/>
              </w:rPr>
            </w:pPr>
            <w:r>
              <w:rPr>
                <w:rFonts w:hint="eastAsia"/>
                <w:color w:val="auto"/>
                <w:sz w:val="24"/>
                <w:lang w:val="en-US" w:eastAsia="zh-CN"/>
              </w:rPr>
              <w:t>（1）生态环境影响</w:t>
            </w:r>
          </w:p>
          <w:p>
            <w:pPr>
              <w:pStyle w:val="30"/>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lang w:val="en-US" w:eastAsia="zh-CN"/>
              </w:rPr>
            </w:pPr>
            <w:r>
              <w:rPr>
                <w:rFonts w:hint="eastAsia"/>
                <w:color w:val="auto"/>
                <w:lang w:val="en-US" w:eastAsia="zh-CN"/>
              </w:rPr>
              <w:t>防洪工程建成后，由于将原有的自然沟壑改变为人工营造的混凝土防护堤和拦挡坝，不利于岸边项目区域内的生长。但影响是短暂的，一段时间以后植被又形成了新的群落。</w:t>
            </w:r>
          </w:p>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2</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景观环境影响</w:t>
            </w:r>
          </w:p>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项目建成后自然沟壑景观改变为人工营造的混凝土排导堤，对周围景观造成一定的影响。</w:t>
            </w:r>
          </w:p>
          <w:p>
            <w:pPr>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拦挡坝清淤工程</w:t>
            </w:r>
          </w:p>
          <w:p>
            <w:pPr>
              <w:pStyle w:val="5"/>
              <w:spacing w:before="0" w:after="0" w:line="360" w:lineRule="auto"/>
              <w:ind w:firstLine="480" w:firstLineChars="200"/>
              <w:rPr>
                <w:rFonts w:hint="eastAsia" w:ascii="Times New Roman" w:hAnsi="Times New Roman" w:cs="Times New Roman"/>
                <w:b w:val="0"/>
                <w:bCs w:val="0"/>
                <w:color w:val="auto"/>
                <w:sz w:val="24"/>
                <w:lang w:val="en-US" w:eastAsia="zh-CN"/>
              </w:rPr>
            </w:pPr>
            <w:r>
              <w:rPr>
                <w:rFonts w:hint="eastAsia" w:ascii="Times New Roman" w:hAnsi="Times New Roman" w:cs="Times New Roman"/>
                <w:b w:val="0"/>
                <w:bCs w:val="0"/>
                <w:color w:val="auto"/>
                <w:sz w:val="24"/>
                <w:lang w:val="en-US" w:eastAsia="zh-CN"/>
              </w:rPr>
              <w:t>本项目运营期在有泥石流洪水的情况下，拦挡坝会淤积一定的淤泥，淤泥需要及时清理以免影响后续防洪，淤积量与洪水爆发次序有关，环评要求建设单位一旦发生洪水有淤泥淤积的情形下，建设单位应及时组织清理，淤泥清理至当地城建部门指定的地点堆存。</w:t>
            </w:r>
          </w:p>
          <w:p>
            <w:pPr>
              <w:pStyle w:val="5"/>
              <w:spacing w:before="0" w:after="0" w:line="360" w:lineRule="auto"/>
              <w:ind w:firstLine="482" w:firstLineChars="200"/>
              <w:rPr>
                <w:color w:val="auto"/>
                <w:sz w:val="24"/>
                <w:szCs w:val="24"/>
                <w:lang w:val="de-DE"/>
              </w:rPr>
            </w:pPr>
            <w:r>
              <w:rPr>
                <w:rFonts w:hint="eastAsia" w:ascii="t" w:hAnsi="t"/>
                <w:b/>
                <w:snapToGrid w:val="0"/>
                <w:color w:val="auto"/>
                <w:sz w:val="24"/>
                <w:lang w:val="en-US" w:eastAsia="zh-CN"/>
              </w:rPr>
              <w:t>7</w:t>
            </w:r>
            <w:r>
              <w:rPr>
                <w:rFonts w:ascii="t" w:hAnsi="t"/>
                <w:b/>
                <w:snapToGrid w:val="0"/>
                <w:color w:val="auto"/>
                <w:sz w:val="24"/>
              </w:rPr>
              <w:t>、</w:t>
            </w:r>
            <w:r>
              <w:rPr>
                <w:rFonts w:hint="eastAsia"/>
                <w:color w:val="auto"/>
                <w:sz w:val="24"/>
                <w:szCs w:val="24"/>
              </w:rPr>
              <w:t>污染治理措施的合理性和有效性</w:t>
            </w:r>
          </w:p>
          <w:p>
            <w:pPr>
              <w:spacing w:line="360" w:lineRule="auto"/>
              <w:ind w:firstLine="480" w:firstLineChars="200"/>
              <w:rPr>
                <w:rFonts w:ascii="t" w:hAnsi="t"/>
                <w:color w:val="auto"/>
                <w:sz w:val="24"/>
              </w:rPr>
            </w:pPr>
            <w:r>
              <w:rPr>
                <w:color w:val="auto"/>
                <w:sz w:val="24"/>
              </w:rPr>
              <w:t>该项目</w:t>
            </w:r>
            <w:r>
              <w:rPr>
                <w:rFonts w:hint="eastAsia"/>
                <w:color w:val="auto"/>
                <w:sz w:val="24"/>
              </w:rPr>
              <w:t>施工期无环境遗留问题，营运期无污染物产生，工程建成后具有良好的环境正效益</w:t>
            </w:r>
            <w:r>
              <w:rPr>
                <w:color w:val="auto"/>
                <w:sz w:val="24"/>
              </w:rPr>
              <w:t>。</w:t>
            </w:r>
          </w:p>
          <w:p>
            <w:pPr>
              <w:adjustRightInd w:val="0"/>
              <w:snapToGrid w:val="0"/>
              <w:spacing w:line="360" w:lineRule="auto"/>
              <w:ind w:firstLine="480" w:firstLineChars="200"/>
              <w:rPr>
                <w:rFonts w:hint="default" w:ascii="t" w:hAnsi="t" w:eastAsiaTheme="minorEastAsia"/>
                <w:b/>
                <w:snapToGrid w:val="0"/>
                <w:color w:val="auto"/>
                <w:sz w:val="24"/>
                <w:lang w:val="en-US" w:eastAsia="zh-CN"/>
              </w:rPr>
            </w:pPr>
            <w:r>
              <w:rPr>
                <w:rFonts w:hint="eastAsia" w:ascii="t" w:hAnsi="t"/>
                <w:b w:val="0"/>
                <w:snapToGrid w:val="0"/>
                <w:color w:val="auto"/>
                <w:sz w:val="24"/>
                <w:lang w:val="en-US" w:eastAsia="zh-CN"/>
              </w:rPr>
              <w:t>8</w:t>
            </w:r>
            <w:r>
              <w:rPr>
                <w:rFonts w:ascii="t" w:hAnsi="t"/>
                <w:b w:val="0"/>
                <w:snapToGrid w:val="0"/>
                <w:color w:val="auto"/>
                <w:sz w:val="24"/>
              </w:rPr>
              <w:t>、</w:t>
            </w:r>
            <w:r>
              <w:rPr>
                <w:rFonts w:hint="eastAsia" w:ascii="t" w:hAnsi="t"/>
                <w:b/>
                <w:snapToGrid w:val="0"/>
                <w:color w:val="auto"/>
                <w:sz w:val="24"/>
                <w:lang w:val="en-US" w:eastAsia="zh-CN"/>
              </w:rPr>
              <w:t>总量控制指标</w:t>
            </w:r>
          </w:p>
          <w:p>
            <w:pPr>
              <w:spacing w:line="360" w:lineRule="auto"/>
              <w:ind w:firstLine="480" w:firstLineChars="200"/>
              <w:rPr>
                <w:rFonts w:ascii="t" w:hAnsi="t"/>
                <w:color w:val="auto"/>
                <w:sz w:val="24"/>
              </w:rPr>
            </w:pPr>
            <w:r>
              <w:rPr>
                <w:rFonts w:hint="eastAsia"/>
                <w:color w:val="auto"/>
                <w:sz w:val="24"/>
              </w:rPr>
              <w:t>本项目属非污染型地质灾害治理项目，运营期间无直接污染物排放，不设总 量控制指标。</w:t>
            </w:r>
          </w:p>
          <w:p>
            <w:pPr>
              <w:adjustRightInd w:val="0"/>
              <w:snapToGrid w:val="0"/>
              <w:spacing w:line="360" w:lineRule="auto"/>
              <w:ind w:firstLine="482" w:firstLineChars="200"/>
              <w:rPr>
                <w:rFonts w:ascii="t" w:hAnsi="t"/>
                <w:b/>
                <w:snapToGrid w:val="0"/>
                <w:color w:val="auto"/>
                <w:sz w:val="24"/>
              </w:rPr>
            </w:pPr>
            <w:r>
              <w:rPr>
                <w:rFonts w:hint="eastAsia" w:ascii="t" w:hAnsi="t"/>
                <w:b/>
                <w:snapToGrid w:val="0"/>
                <w:color w:val="auto"/>
                <w:sz w:val="24"/>
                <w:lang w:val="en-US" w:eastAsia="zh-CN"/>
              </w:rPr>
              <w:t>9</w:t>
            </w:r>
            <w:r>
              <w:rPr>
                <w:rFonts w:ascii="t" w:hAnsi="t"/>
                <w:b/>
                <w:snapToGrid w:val="0"/>
                <w:color w:val="auto"/>
                <w:sz w:val="24"/>
              </w:rPr>
              <w:t>、评价结论</w:t>
            </w:r>
          </w:p>
          <w:p>
            <w:pPr>
              <w:spacing w:line="360" w:lineRule="auto"/>
              <w:ind w:firstLine="482" w:firstLineChars="200"/>
              <w:rPr>
                <w:rFonts w:hint="eastAsia" w:ascii="Times New Roman" w:hAnsi="Times New Roman" w:cs="Times New Roman"/>
                <w:b/>
                <w:color w:val="auto"/>
                <w:sz w:val="24"/>
                <w:szCs w:val="24"/>
              </w:rPr>
            </w:pPr>
            <w:r>
              <w:rPr>
                <w:rFonts w:hint="eastAsia" w:ascii="Times New Roman" w:hAnsi="Times New Roman" w:cs="Times New Roman"/>
                <w:b/>
                <w:color w:val="auto"/>
                <w:sz w:val="24"/>
                <w:szCs w:val="24"/>
              </w:rPr>
              <w:t>本项目松潘县白羊乡茶园坪村璜环沟泥石流治理工程</w:t>
            </w:r>
            <w:r>
              <w:rPr>
                <w:rFonts w:hint="eastAsia" w:ascii="Times New Roman" w:hAnsi="Times New Roman" w:cs="Times New Roman"/>
                <w:b/>
                <w:color w:val="auto"/>
                <w:sz w:val="24"/>
                <w:szCs w:val="24"/>
                <w:lang w:eastAsia="zh-CN"/>
              </w:rPr>
              <w:t>，符合国家当前的产业政策，选址合理，符合区域规划，项目建设对改善当地的生活环境，加速当地经济发展，促进和谐社会的构造，加快城镇建设的步伐，是十分有益的。</w:t>
            </w:r>
            <w:r>
              <w:rPr>
                <w:rFonts w:hint="eastAsia" w:ascii="Times New Roman" w:hAnsi="Times New Roman" w:cs="Times New Roman"/>
                <w:b/>
                <w:bCs w:val="0"/>
                <w:color w:val="auto"/>
                <w:sz w:val="24"/>
                <w:lang w:val="en-US" w:eastAsia="zh-CN"/>
              </w:rPr>
              <w:t>工程建设</w:t>
            </w:r>
            <w:r>
              <w:rPr>
                <w:rFonts w:hint="eastAsia" w:ascii="Times New Roman" w:hAnsi="Times New Roman" w:cs="Times New Roman"/>
                <w:b/>
                <w:color w:val="auto"/>
                <w:sz w:val="24"/>
                <w:szCs w:val="24"/>
              </w:rPr>
              <w:t>在</w:t>
            </w:r>
            <w:r>
              <w:rPr>
                <w:rFonts w:hint="eastAsia" w:ascii="Times New Roman" w:hAnsi="Times New Roman" w:cs="Times New Roman"/>
                <w:b/>
                <w:color w:val="auto"/>
                <w:sz w:val="24"/>
                <w:szCs w:val="24"/>
                <w:lang w:val="en-US" w:eastAsia="zh-CN"/>
              </w:rPr>
              <w:t>认真</w:t>
            </w:r>
            <w:r>
              <w:rPr>
                <w:rFonts w:hint="eastAsia" w:ascii="Times New Roman" w:hAnsi="Times New Roman" w:cs="Times New Roman"/>
                <w:b/>
                <w:color w:val="auto"/>
                <w:sz w:val="24"/>
                <w:szCs w:val="24"/>
              </w:rPr>
              <w:t>落实环保措施及水土流失防治方案的基础上，工程建设的环境影响与生态破坏可以得到缓解和有效控制。在认真落实本报告表中提出的各项污染防治对策措施，严格执行“三同时”制度，保证环境保护措施的有效运行，确保污染物稳定达标排放、确保落实生态环境保护措施前提下，从环保角度而言，本项目的建设是可行的。</w:t>
            </w:r>
          </w:p>
          <w:p>
            <w:pPr>
              <w:spacing w:line="360" w:lineRule="auto"/>
              <w:rPr>
                <w:rFonts w:ascii="Times New Roman" w:hAnsi="Times New Roman" w:cs="Times New Roman"/>
                <w:b/>
                <w:color w:val="auto"/>
                <w:sz w:val="28"/>
                <w:szCs w:val="28"/>
              </w:rPr>
            </w:pPr>
            <w:r>
              <w:rPr>
                <w:rFonts w:ascii="Times New Roman" w:hAnsi="Times New Roman" w:cs="Times New Roman"/>
                <w:b/>
                <w:color w:val="auto"/>
                <w:sz w:val="28"/>
                <w:szCs w:val="28"/>
              </w:rPr>
              <w:t>二</w:t>
            </w:r>
            <w:r>
              <w:rPr>
                <w:rFonts w:hint="eastAsia" w:ascii="Times New Roman" w:hAnsi="Times New Roman" w:cs="Times New Roman"/>
                <w:b/>
                <w:color w:val="auto"/>
                <w:sz w:val="28"/>
                <w:szCs w:val="28"/>
              </w:rPr>
              <w:t>、</w:t>
            </w:r>
            <w:r>
              <w:rPr>
                <w:rFonts w:ascii="Times New Roman" w:hAnsi="Times New Roman" w:cs="Times New Roman"/>
                <w:b/>
                <w:color w:val="auto"/>
                <w:sz w:val="28"/>
                <w:szCs w:val="28"/>
              </w:rPr>
              <w:t>建议</w:t>
            </w:r>
          </w:p>
          <w:p>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eastAsia="zh-CN"/>
              </w:rPr>
              <w:t>、</w:t>
            </w:r>
            <w:r>
              <w:rPr>
                <w:rFonts w:hint="eastAsia" w:ascii="宋体" w:hAnsi="宋体"/>
                <w:color w:val="auto"/>
                <w:sz w:val="24"/>
              </w:rPr>
              <w:t>项目清淤将带来大量固体废弃物，须确保合理处置；</w:t>
            </w:r>
          </w:p>
          <w:p>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eastAsia="zh-CN"/>
              </w:rPr>
              <w:t>、</w:t>
            </w:r>
            <w:r>
              <w:rPr>
                <w:rFonts w:hint="eastAsia" w:ascii="宋体" w:hAnsi="宋体"/>
                <w:color w:val="auto"/>
                <w:sz w:val="24"/>
              </w:rPr>
              <w:t>建设单位必须强化环境管理机构，健全管理制度，健全并完善环保管理档案。</w:t>
            </w: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宋体" w:hAnsi="宋体"/>
                <w:color w:val="auto"/>
                <w:sz w:val="24"/>
              </w:rPr>
            </w:pPr>
          </w:p>
          <w:p>
            <w:pPr>
              <w:spacing w:line="360" w:lineRule="auto"/>
              <w:ind w:firstLine="480" w:firstLineChars="200"/>
              <w:rPr>
                <w:rFonts w:hint="eastAsia" w:ascii="Times New Roman" w:hAnsi="Times New Roman" w:cs="Times New Roman" w:eastAsiaTheme="minorEastAsia"/>
                <w:color w:val="auto"/>
                <w:sz w:val="24"/>
                <w:lang w:eastAsia="zh-CN"/>
              </w:rPr>
            </w:pPr>
          </w:p>
        </w:tc>
      </w:tr>
    </w:tbl>
    <w:p>
      <w:pPr>
        <w:widowControl/>
        <w:jc w:val="left"/>
        <w:rPr>
          <w:rFonts w:ascii="Times New Roman" w:hAnsi="Times New Roman" w:cs="Times New Roman"/>
          <w:color w:val="auto"/>
        </w:rPr>
      </w:pPr>
    </w:p>
    <w:tbl>
      <w:tblPr>
        <w:tblStyle w:val="5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6"/>
              <w:tabs>
                <w:tab w:val="center" w:pos="4411"/>
                <w:tab w:val="right" w:pos="8823"/>
              </w:tabs>
              <w:spacing w:line="360" w:lineRule="auto"/>
              <w:ind w:left="105" w:leftChars="50" w:right="105" w:rightChars="50" w:firstLine="482" w:firstLineChars="200"/>
              <w:jc w:val="center"/>
              <w:rPr>
                <w:rFonts w:ascii="Times New Roman" w:hAnsi="Times New Roman" w:cs="Times New Roman"/>
                <w:b/>
                <w:color w:val="auto"/>
                <w:sz w:val="24"/>
              </w:rPr>
            </w:pPr>
            <w:r>
              <w:rPr>
                <w:rFonts w:ascii="Times New Roman" w:hAnsi="宋体" w:cs="Times New Roman"/>
                <w:b/>
                <w:color w:val="auto"/>
                <w:sz w:val="24"/>
              </w:rPr>
              <w:t>注释</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宋体" w:cs="Times New Roman"/>
                <w:bCs/>
                <w:color w:val="auto"/>
                <w:sz w:val="24"/>
              </w:rPr>
              <w:t>一、本报告表附有以下附件、附图：</w:t>
            </w:r>
          </w:p>
          <w:p>
            <w:pPr>
              <w:pStyle w:val="26"/>
              <w:spacing w:line="360" w:lineRule="auto"/>
              <w:ind w:left="105" w:leftChars="50" w:right="105" w:rightChars="50" w:firstLine="480" w:firstLineChars="200"/>
              <w:rPr>
                <w:rFonts w:hint="eastAsia" w:ascii="Times New Roman" w:hAnsi="Times New Roman" w:eastAsia="宋体" w:cs="Times New Roman"/>
                <w:bCs/>
                <w:color w:val="auto"/>
                <w:sz w:val="24"/>
                <w:lang w:val="en-US" w:eastAsia="zh-CN"/>
              </w:rPr>
            </w:pPr>
            <w:r>
              <w:rPr>
                <w:rFonts w:ascii="Times New Roman" w:hAnsi="宋体" w:cs="Times New Roman"/>
                <w:bCs/>
                <w:color w:val="auto"/>
                <w:sz w:val="24"/>
              </w:rPr>
              <w:t>附件</w:t>
            </w:r>
            <w:r>
              <w:rPr>
                <w:rFonts w:ascii="Times New Roman" w:hAnsi="Times New Roman" w:cs="Times New Roman"/>
                <w:bCs/>
                <w:color w:val="auto"/>
                <w:sz w:val="24"/>
              </w:rPr>
              <w:t xml:space="preserve"> 1 </w:t>
            </w:r>
            <w:r>
              <w:rPr>
                <w:rFonts w:hint="eastAsia" w:ascii="Times New Roman" w:hAnsi="Times New Roman" w:cs="Times New Roman"/>
                <w:bCs/>
                <w:color w:val="auto"/>
                <w:sz w:val="24"/>
                <w:lang w:val="en-US" w:eastAsia="zh-CN"/>
              </w:rPr>
              <w:t>委托书</w:t>
            </w:r>
          </w:p>
          <w:p>
            <w:pPr>
              <w:pStyle w:val="26"/>
              <w:spacing w:line="360" w:lineRule="auto"/>
              <w:ind w:left="105" w:leftChars="50" w:right="105" w:rightChars="50" w:firstLine="480" w:firstLineChars="200"/>
              <w:rPr>
                <w:rFonts w:ascii="Times New Roman" w:hAnsi="宋体" w:cs="Times New Roman"/>
                <w:bCs/>
                <w:color w:val="auto"/>
                <w:sz w:val="24"/>
              </w:rPr>
            </w:pPr>
            <w:r>
              <w:rPr>
                <w:rFonts w:hint="eastAsia" w:ascii="Times New Roman" w:hAnsi="宋体" w:cs="Times New Roman"/>
                <w:bCs/>
                <w:color w:val="auto"/>
                <w:sz w:val="24"/>
                <w:lang w:val="en-US" w:eastAsia="zh-CN"/>
              </w:rPr>
              <w:t xml:space="preserve">附件 2 </w:t>
            </w:r>
            <w:r>
              <w:rPr>
                <w:rFonts w:hint="eastAsia" w:ascii="Times New Roman" w:hAnsi="宋体" w:cs="Times New Roman"/>
                <w:bCs/>
                <w:color w:val="auto"/>
                <w:sz w:val="24"/>
              </w:rPr>
              <w:t>立项批复</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hint="eastAsia" w:ascii="Times New Roman" w:hAnsi="宋体" w:cs="Times New Roman"/>
                <w:bCs/>
                <w:color w:val="auto"/>
                <w:sz w:val="24"/>
              </w:rPr>
              <w:t>附件</w:t>
            </w:r>
            <w:r>
              <w:rPr>
                <w:rFonts w:ascii="Times New Roman" w:hAnsi="宋体" w:cs="Times New Roman"/>
                <w:bCs/>
                <w:color w:val="auto"/>
                <w:sz w:val="24"/>
              </w:rPr>
              <w:t xml:space="preserve"> </w:t>
            </w:r>
            <w:r>
              <w:rPr>
                <w:rFonts w:hint="eastAsia" w:ascii="Times New Roman" w:hAnsi="宋体" w:cs="Times New Roman"/>
                <w:bCs/>
                <w:color w:val="auto"/>
                <w:sz w:val="24"/>
                <w:lang w:val="en-US" w:eastAsia="zh-CN"/>
              </w:rPr>
              <w:t>3</w:t>
            </w:r>
            <w:r>
              <w:rPr>
                <w:rFonts w:ascii="Times New Roman" w:hAnsi="宋体" w:cs="Times New Roman"/>
                <w:bCs/>
                <w:color w:val="auto"/>
                <w:sz w:val="24"/>
              </w:rPr>
              <w:t xml:space="preserve"> 用地预审</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宋体" w:cs="Times New Roman"/>
                <w:bCs/>
                <w:color w:val="auto"/>
                <w:sz w:val="24"/>
              </w:rPr>
              <w:t>附件</w:t>
            </w:r>
            <w:r>
              <w:rPr>
                <w:rFonts w:ascii="Times New Roman" w:hAnsi="Times New Roman" w:cs="Times New Roman"/>
                <w:bCs/>
                <w:color w:val="auto"/>
                <w:sz w:val="24"/>
              </w:rPr>
              <w:t xml:space="preserve"> </w:t>
            </w:r>
            <w:r>
              <w:rPr>
                <w:rFonts w:hint="eastAsia" w:ascii="Times New Roman" w:hAnsi="Times New Roman" w:cs="Times New Roman"/>
                <w:bCs/>
                <w:color w:val="auto"/>
                <w:sz w:val="24"/>
                <w:lang w:val="en-US" w:eastAsia="zh-CN"/>
              </w:rPr>
              <w:t>4</w:t>
            </w:r>
            <w:r>
              <w:rPr>
                <w:rFonts w:ascii="Times New Roman" w:hAnsi="Times New Roman" w:cs="Times New Roman"/>
                <w:bCs/>
                <w:color w:val="auto"/>
                <w:sz w:val="24"/>
              </w:rPr>
              <w:t xml:space="preserve"> </w:t>
            </w:r>
            <w:r>
              <w:rPr>
                <w:rFonts w:hint="eastAsia" w:ascii="Times New Roman" w:hAnsi="宋体" w:cs="Times New Roman"/>
                <w:bCs/>
                <w:color w:val="auto"/>
                <w:sz w:val="24"/>
              </w:rPr>
              <w:t>现状监测</w:t>
            </w:r>
          </w:p>
          <w:p>
            <w:pPr>
              <w:pStyle w:val="26"/>
              <w:spacing w:line="360" w:lineRule="auto"/>
              <w:ind w:left="105" w:leftChars="50" w:right="105" w:rightChars="50" w:firstLine="480" w:firstLineChars="200"/>
              <w:rPr>
                <w:rFonts w:hint="default" w:ascii="Times New Roman" w:hAnsi="宋体" w:eastAsia="宋体" w:cs="Times New Roman"/>
                <w:bCs/>
                <w:color w:val="auto"/>
                <w:sz w:val="24"/>
                <w:lang w:val="en-US" w:eastAsia="zh-CN"/>
              </w:rPr>
            </w:pPr>
            <w:r>
              <w:rPr>
                <w:rFonts w:hint="eastAsia" w:ascii="Times New Roman" w:hAnsi="宋体" w:cs="Times New Roman"/>
                <w:bCs/>
                <w:color w:val="auto"/>
                <w:sz w:val="24"/>
                <w:lang w:val="en-US" w:eastAsia="zh-CN"/>
              </w:rPr>
              <w:t>附件 5 专家意见</w:t>
            </w:r>
          </w:p>
          <w:p>
            <w:pPr>
              <w:pStyle w:val="26"/>
              <w:spacing w:line="360" w:lineRule="auto"/>
              <w:ind w:left="105" w:leftChars="50" w:right="105" w:rightChars="50" w:firstLine="480" w:firstLineChars="200"/>
              <w:rPr>
                <w:rFonts w:hint="default" w:ascii="Times New Roman" w:hAnsi="宋体" w:eastAsia="宋体" w:cs="Times New Roman"/>
                <w:bCs/>
                <w:color w:val="auto"/>
                <w:sz w:val="24"/>
                <w:lang w:val="en-US" w:eastAsia="zh-CN"/>
              </w:rPr>
            </w:pPr>
            <w:r>
              <w:rPr>
                <w:rFonts w:hint="eastAsia" w:ascii="Times New Roman" w:hAnsi="宋体" w:cs="Times New Roman"/>
                <w:bCs/>
                <w:color w:val="auto"/>
                <w:sz w:val="24"/>
                <w:lang w:val="en-US" w:eastAsia="zh-CN"/>
              </w:rPr>
              <w:t>附件 6 不涉及饮用水源保护区的证明</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宋体" w:cs="Times New Roman"/>
                <w:bCs/>
                <w:color w:val="auto"/>
                <w:sz w:val="24"/>
              </w:rPr>
              <w:t>附图</w:t>
            </w:r>
            <w:r>
              <w:rPr>
                <w:rFonts w:ascii="Times New Roman" w:hAnsi="Times New Roman" w:cs="Times New Roman"/>
                <w:bCs/>
                <w:color w:val="auto"/>
                <w:sz w:val="24"/>
              </w:rPr>
              <w:t xml:space="preserve"> 1 </w:t>
            </w:r>
            <w:r>
              <w:rPr>
                <w:rFonts w:ascii="Times New Roman" w:hAnsi="宋体" w:cs="Times New Roman"/>
                <w:bCs/>
                <w:color w:val="auto"/>
                <w:sz w:val="24"/>
              </w:rPr>
              <w:t>项目地理位置图</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宋体" w:cs="Times New Roman"/>
                <w:bCs/>
                <w:color w:val="auto"/>
                <w:sz w:val="24"/>
              </w:rPr>
              <w:t>附图</w:t>
            </w:r>
            <w:r>
              <w:rPr>
                <w:rFonts w:ascii="Times New Roman" w:hAnsi="Times New Roman" w:cs="Times New Roman"/>
                <w:bCs/>
                <w:color w:val="auto"/>
                <w:sz w:val="24"/>
              </w:rPr>
              <w:t xml:space="preserve"> 2 </w:t>
            </w:r>
            <w:r>
              <w:rPr>
                <w:rFonts w:hint="eastAsia" w:ascii="Times New Roman" w:hAnsi="宋体" w:cs="Times New Roman"/>
                <w:bCs/>
                <w:color w:val="auto"/>
                <w:sz w:val="24"/>
                <w:lang w:val="en-US" w:eastAsia="zh-CN"/>
              </w:rPr>
              <w:t>项目建设位置平面</w:t>
            </w:r>
            <w:r>
              <w:rPr>
                <w:rFonts w:ascii="Times New Roman" w:hAnsi="宋体" w:cs="Times New Roman"/>
                <w:bCs/>
                <w:color w:val="auto"/>
                <w:sz w:val="24"/>
              </w:rPr>
              <w:t>图</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宋体" w:cs="Times New Roman"/>
                <w:bCs/>
                <w:color w:val="auto"/>
                <w:sz w:val="24"/>
              </w:rPr>
              <w:t>附图</w:t>
            </w:r>
            <w:r>
              <w:rPr>
                <w:rFonts w:ascii="Times New Roman" w:hAnsi="Times New Roman" w:cs="Times New Roman"/>
                <w:bCs/>
                <w:color w:val="auto"/>
                <w:sz w:val="24"/>
              </w:rPr>
              <w:t xml:space="preserve"> 3 </w:t>
            </w:r>
            <w:r>
              <w:rPr>
                <w:rFonts w:hint="eastAsia" w:ascii="Times New Roman" w:hAnsi="Times New Roman" w:cs="Times New Roman"/>
                <w:bCs/>
                <w:color w:val="auto"/>
                <w:sz w:val="24"/>
                <w:lang w:val="en-US" w:eastAsia="zh-CN"/>
              </w:rPr>
              <w:t>本项目施工</w:t>
            </w:r>
            <w:r>
              <w:rPr>
                <w:rFonts w:hint="eastAsia" w:ascii="Times New Roman" w:hAnsi="Times New Roman" w:cs="Times New Roman"/>
                <w:bCs/>
                <w:color w:val="auto"/>
                <w:sz w:val="24"/>
              </w:rPr>
              <w:t>平面布置图</w:t>
            </w:r>
          </w:p>
          <w:p>
            <w:pPr>
              <w:pStyle w:val="26"/>
              <w:spacing w:line="360" w:lineRule="auto"/>
              <w:ind w:left="105" w:leftChars="50" w:right="105" w:rightChars="50" w:firstLine="480" w:firstLineChars="200"/>
              <w:rPr>
                <w:rFonts w:hint="eastAsia" w:ascii="Times New Roman" w:hAnsi="宋体" w:cs="Times New Roman"/>
                <w:bCs/>
                <w:color w:val="auto"/>
                <w:sz w:val="24"/>
              </w:rPr>
            </w:pPr>
            <w:r>
              <w:rPr>
                <w:rFonts w:hint="eastAsia" w:ascii="Times New Roman" w:hAnsi="宋体" w:cs="Times New Roman"/>
                <w:bCs/>
                <w:color w:val="auto"/>
                <w:sz w:val="24"/>
              </w:rPr>
              <w:t>附图</w:t>
            </w:r>
            <w:r>
              <w:rPr>
                <w:rFonts w:ascii="Times New Roman" w:hAnsi="宋体" w:cs="Times New Roman"/>
                <w:bCs/>
                <w:color w:val="auto"/>
                <w:sz w:val="24"/>
              </w:rPr>
              <w:t xml:space="preserve"> 4</w:t>
            </w:r>
            <w:r>
              <w:rPr>
                <w:rFonts w:hint="eastAsia" w:ascii="Times New Roman" w:hAnsi="宋体" w:cs="Times New Roman"/>
                <w:bCs/>
                <w:color w:val="auto"/>
                <w:sz w:val="24"/>
                <w:lang w:val="en-US" w:eastAsia="zh-CN"/>
              </w:rPr>
              <w:t xml:space="preserve"> </w:t>
            </w:r>
            <w:r>
              <w:rPr>
                <w:rFonts w:hint="eastAsia" w:ascii="Times New Roman" w:hAnsi="宋体" w:cs="Times New Roman"/>
                <w:bCs/>
                <w:color w:val="auto"/>
                <w:sz w:val="24"/>
              </w:rPr>
              <w:t>本项目生态红线图示意图</w:t>
            </w:r>
          </w:p>
          <w:p>
            <w:pPr>
              <w:pStyle w:val="26"/>
              <w:spacing w:line="360" w:lineRule="auto"/>
              <w:ind w:left="105" w:leftChars="50" w:right="105" w:rightChars="50" w:firstLine="480" w:firstLineChars="200"/>
              <w:rPr>
                <w:rFonts w:hint="default" w:ascii="Times New Roman" w:hAnsi="宋体" w:eastAsia="宋体" w:cs="Times New Roman"/>
                <w:bCs/>
                <w:color w:val="auto"/>
                <w:sz w:val="24"/>
                <w:lang w:val="en-US" w:eastAsia="zh-CN"/>
              </w:rPr>
            </w:pPr>
            <w:r>
              <w:rPr>
                <w:rFonts w:hint="eastAsia" w:ascii="Times New Roman" w:hAnsi="宋体" w:cs="Times New Roman"/>
                <w:bCs/>
                <w:color w:val="auto"/>
                <w:sz w:val="24"/>
                <w:lang w:val="en-US" w:eastAsia="zh-CN"/>
              </w:rPr>
              <w:t>附图 5 项目外环境关系图</w:t>
            </w:r>
          </w:p>
          <w:p>
            <w:pPr>
              <w:pStyle w:val="26"/>
              <w:spacing w:line="360" w:lineRule="auto"/>
              <w:ind w:left="105" w:leftChars="50" w:right="105" w:rightChars="50" w:firstLine="480" w:firstLineChars="200"/>
              <w:rPr>
                <w:rFonts w:hint="default" w:ascii="Times New Roman" w:hAnsi="宋体" w:eastAsia="宋体" w:cs="Times New Roman"/>
                <w:bCs/>
                <w:color w:val="auto"/>
                <w:sz w:val="24"/>
                <w:lang w:val="en-US" w:eastAsia="zh-CN"/>
              </w:rPr>
            </w:pPr>
            <w:r>
              <w:rPr>
                <w:rFonts w:hint="eastAsia" w:ascii="Times New Roman" w:hAnsi="宋体" w:cs="Times New Roman"/>
                <w:bCs/>
                <w:color w:val="auto"/>
                <w:sz w:val="24"/>
                <w:lang w:val="en-US" w:eastAsia="zh-CN"/>
              </w:rPr>
              <w:t>附图 6 与四川省白羊省级自然保护区规划图的位置关系图</w:t>
            </w:r>
          </w:p>
          <w:p>
            <w:pPr>
              <w:pStyle w:val="26"/>
              <w:spacing w:line="360" w:lineRule="auto"/>
              <w:ind w:left="105" w:leftChars="50" w:right="105" w:rightChars="50" w:firstLine="480" w:firstLineChars="200"/>
              <w:rPr>
                <w:rFonts w:hint="default" w:ascii="Times New Roman" w:hAnsi="宋体" w:eastAsia="宋体" w:cs="Times New Roman"/>
                <w:bCs/>
                <w:color w:val="auto"/>
                <w:sz w:val="24"/>
                <w:lang w:val="en-US" w:eastAsia="zh-CN"/>
              </w:rPr>
            </w:pPr>
            <w:r>
              <w:rPr>
                <w:rFonts w:hint="eastAsia" w:ascii="Times New Roman" w:hAnsi="宋体" w:cs="Times New Roman"/>
                <w:bCs/>
                <w:color w:val="auto"/>
                <w:sz w:val="24"/>
                <w:lang w:val="en-US" w:eastAsia="zh-CN"/>
              </w:rPr>
              <w:t>附图 7 本项目区域内土地利用现状图</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宋体" w:cs="Times New Roman"/>
                <w:bCs/>
                <w:color w:val="auto"/>
                <w:sz w:val="24"/>
              </w:rPr>
              <w:t>二、如果本报告表不能说明项目产生的污染及对环境造成的影响，应进行专项评价。根据建设项目的特点和当地环境特征，应选下列</w:t>
            </w:r>
            <w:r>
              <w:rPr>
                <w:rFonts w:ascii="Times New Roman" w:hAnsi="Times New Roman" w:cs="Times New Roman"/>
                <w:bCs/>
                <w:color w:val="auto"/>
                <w:sz w:val="24"/>
              </w:rPr>
              <w:t xml:space="preserve"> 1 </w:t>
            </w:r>
            <w:r>
              <w:rPr>
                <w:rFonts w:ascii="Times New Roman" w:hAnsi="宋体" w:cs="Times New Roman"/>
                <w:bCs/>
                <w:color w:val="auto"/>
                <w:sz w:val="24"/>
              </w:rPr>
              <w:t>－</w:t>
            </w:r>
            <w:r>
              <w:rPr>
                <w:rFonts w:ascii="Times New Roman" w:hAnsi="Times New Roman" w:cs="Times New Roman"/>
                <w:bCs/>
                <w:color w:val="auto"/>
                <w:sz w:val="24"/>
              </w:rPr>
              <w:t xml:space="preserve"> 2 </w:t>
            </w:r>
            <w:r>
              <w:rPr>
                <w:rFonts w:ascii="Times New Roman" w:hAnsi="宋体" w:cs="Times New Roman"/>
                <w:bCs/>
                <w:color w:val="auto"/>
                <w:sz w:val="24"/>
              </w:rPr>
              <w:t>项进行专项评价。</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Times New Roman" w:cs="Times New Roman"/>
                <w:bCs/>
                <w:color w:val="auto"/>
                <w:sz w:val="24"/>
              </w:rPr>
              <w:t xml:space="preserve">1 </w:t>
            </w:r>
            <w:r>
              <w:rPr>
                <w:rFonts w:ascii="Times New Roman" w:hAnsi="宋体" w:cs="Times New Roman"/>
                <w:bCs/>
                <w:color w:val="auto"/>
                <w:sz w:val="24"/>
              </w:rPr>
              <w:t>、大气环境影响专项评价</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Times New Roman" w:cs="Times New Roman"/>
                <w:bCs/>
                <w:color w:val="auto"/>
                <w:sz w:val="24"/>
              </w:rPr>
              <w:t xml:space="preserve">2 </w:t>
            </w:r>
            <w:r>
              <w:rPr>
                <w:rFonts w:ascii="Times New Roman" w:hAnsi="宋体" w:cs="Times New Roman"/>
                <w:bCs/>
                <w:color w:val="auto"/>
                <w:sz w:val="24"/>
              </w:rPr>
              <w:t>、水环境影响专项评价（包括地表水和地下水）</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Times New Roman" w:cs="Times New Roman"/>
                <w:bCs/>
                <w:color w:val="auto"/>
                <w:sz w:val="24"/>
              </w:rPr>
              <w:t xml:space="preserve">3 </w:t>
            </w:r>
            <w:r>
              <w:rPr>
                <w:rFonts w:ascii="Times New Roman" w:hAnsi="宋体" w:cs="Times New Roman"/>
                <w:bCs/>
                <w:color w:val="auto"/>
                <w:sz w:val="24"/>
              </w:rPr>
              <w:t>、生态影响专项评价</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Times New Roman" w:cs="Times New Roman"/>
                <w:bCs/>
                <w:color w:val="auto"/>
                <w:sz w:val="24"/>
              </w:rPr>
              <w:t xml:space="preserve">4 </w:t>
            </w:r>
            <w:r>
              <w:rPr>
                <w:rFonts w:ascii="Times New Roman" w:hAnsi="宋体" w:cs="Times New Roman"/>
                <w:bCs/>
                <w:color w:val="auto"/>
                <w:sz w:val="24"/>
              </w:rPr>
              <w:t>、声影响专项评价</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Times New Roman" w:cs="Times New Roman"/>
                <w:bCs/>
                <w:color w:val="auto"/>
                <w:sz w:val="24"/>
              </w:rPr>
              <w:t xml:space="preserve">5 </w:t>
            </w:r>
            <w:r>
              <w:rPr>
                <w:rFonts w:ascii="Times New Roman" w:hAnsi="宋体" w:cs="Times New Roman"/>
                <w:bCs/>
                <w:color w:val="auto"/>
                <w:sz w:val="24"/>
              </w:rPr>
              <w:t>、土壤影响专项评价</w:t>
            </w:r>
          </w:p>
          <w:p>
            <w:pPr>
              <w:pStyle w:val="26"/>
              <w:spacing w:line="360" w:lineRule="auto"/>
              <w:ind w:left="105" w:leftChars="50" w:right="105" w:rightChars="50" w:firstLine="480" w:firstLineChars="200"/>
              <w:rPr>
                <w:rFonts w:ascii="Times New Roman" w:hAnsi="Times New Roman" w:cs="Times New Roman"/>
                <w:bCs/>
                <w:color w:val="auto"/>
                <w:sz w:val="24"/>
              </w:rPr>
            </w:pPr>
            <w:r>
              <w:rPr>
                <w:rFonts w:ascii="Times New Roman" w:hAnsi="Times New Roman" w:cs="Times New Roman"/>
                <w:bCs/>
                <w:color w:val="auto"/>
                <w:sz w:val="24"/>
              </w:rPr>
              <w:t xml:space="preserve">6 </w:t>
            </w:r>
            <w:r>
              <w:rPr>
                <w:rFonts w:ascii="Times New Roman" w:hAnsi="宋体" w:cs="Times New Roman"/>
                <w:bCs/>
                <w:color w:val="auto"/>
                <w:sz w:val="24"/>
              </w:rPr>
              <w:t>、固体废弃物影响专项评价</w:t>
            </w:r>
          </w:p>
          <w:p>
            <w:pPr>
              <w:pStyle w:val="16"/>
              <w:spacing w:before="0" w:line="360" w:lineRule="auto"/>
              <w:ind w:left="105" w:leftChars="50" w:right="105" w:rightChars="50" w:firstLine="480" w:firstLineChars="200"/>
              <w:rPr>
                <w:rFonts w:ascii="Times New Roman" w:hAnsi="Times New Roman" w:cs="Times New Roman"/>
                <w:color w:val="auto"/>
              </w:rPr>
            </w:pPr>
            <w:r>
              <w:rPr>
                <w:rFonts w:ascii="Times New Roman" w:hAnsi="宋体" w:cs="Times New Roman"/>
                <w:bCs/>
                <w:color w:val="auto"/>
              </w:rPr>
              <w:t>以上专项评价未包括的可另列专项，专项评价按照《环境影响评价技术导则》中的要求进行。</w:t>
            </w:r>
          </w:p>
          <w:p>
            <w:pPr>
              <w:spacing w:line="360" w:lineRule="auto"/>
              <w:ind w:left="105" w:leftChars="50" w:right="105" w:rightChars="50" w:firstLine="480" w:firstLineChars="200"/>
              <w:rPr>
                <w:rFonts w:hint="eastAsia"/>
                <w:color w:val="auto"/>
                <w:sz w:val="24"/>
                <w:lang w:eastAsia="zh-CN"/>
              </w:rPr>
            </w:pPr>
          </w:p>
          <w:p>
            <w:pPr>
              <w:widowControl/>
              <w:jc w:val="left"/>
              <w:rPr>
                <w:rFonts w:ascii="Times New Roman" w:hAnsi="Times New Roman" w:cs="Times New Roman"/>
                <w:color w:val="auto"/>
              </w:rPr>
            </w:pPr>
          </w:p>
        </w:tc>
      </w:tr>
    </w:tbl>
    <w:p>
      <w:pPr>
        <w:widowControl/>
        <w:jc w:val="left"/>
        <w:rPr>
          <w:rFonts w:ascii="Times New Roman" w:hAnsi="Times New Roman" w:cs="Times New Roman"/>
          <w:color w:val="auto"/>
        </w:rPr>
      </w:pPr>
    </w:p>
    <w:sectPr>
      <w:footerReference r:id="rId4" w:type="default"/>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t">
    <w:altName w:val="Times New Roman"/>
    <w:panose1 w:val="00000000000000000000"/>
    <w:charset w:val="00"/>
    <w:family w:val="roman"/>
    <w:pitch w:val="default"/>
    <w:sig w:usb0="00000000" w:usb1="00000000" w:usb2="00000804" w:usb3="00000000" w:csb0="06270001" w:csb1="0062EF54"/>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CF3C52" w:usb2="00000016" w:usb3="00000000" w:csb0="0004001F" w:csb1="00000000"/>
  </w:font>
  <w:font w:name="times  new roman">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fldChar w:fldCharType="begin"/>
    </w:r>
    <w:r>
      <w:instrText xml:space="preserve"> PAGE   \* MERGEFORMAT </w:instrText>
    </w:r>
    <w:r>
      <w:fldChar w:fldCharType="separate"/>
    </w:r>
    <w:r>
      <w:rPr>
        <w:lang w:val="zh-CN"/>
      </w:rPr>
      <w:t>59</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8"/>
      </w:rPr>
    </w:pPr>
    <w:r>
      <w:fldChar w:fldCharType="begin"/>
    </w:r>
    <w:r>
      <w:rPr>
        <w:rStyle w:val="58"/>
      </w:rPr>
      <w:instrText xml:space="preserve">PAGE  </w:instrText>
    </w:r>
    <w:r>
      <w:fldChar w:fldCharType="separate"/>
    </w:r>
    <w:r>
      <w:rPr>
        <w:rStyle w:val="58"/>
      </w:rPr>
      <w:t>71</w:t>
    </w:r>
    <w:r>
      <w:fldChar w:fldCharType="end"/>
    </w:r>
  </w:p>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58"/>
      </w:rPr>
    </w:pPr>
    <w:r>
      <w:fldChar w:fldCharType="begin"/>
    </w:r>
    <w:r>
      <w:rPr>
        <w:rStyle w:val="58"/>
      </w:rPr>
      <w:instrText xml:space="preserve">PAGE  </w:instrText>
    </w:r>
    <w:r>
      <w:fldChar w:fldCharType="separate"/>
    </w:r>
    <w:r>
      <w:rPr>
        <w:rStyle w:val="58"/>
      </w:rPr>
      <w:t>73</w:t>
    </w:r>
    <w:r>
      <w:fldChar w:fldCharType="end"/>
    </w:r>
  </w:p>
  <w:p>
    <w:pPr>
      <w:pStyle w:val="3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45BDB"/>
    <w:multiLevelType w:val="singleLevel"/>
    <w:tmpl w:val="0BE45BDB"/>
    <w:lvl w:ilvl="0" w:tentative="0">
      <w:start w:val="6"/>
      <w:numFmt w:val="decimal"/>
      <w:suff w:val="nothing"/>
      <w:lvlText w:val="%1、"/>
      <w:lvlJc w:val="left"/>
    </w:lvl>
  </w:abstractNum>
  <w:abstractNum w:abstractNumId="1">
    <w:nsid w:val="3141492F"/>
    <w:multiLevelType w:val="multilevel"/>
    <w:tmpl w:val="3141492F"/>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A9902E5"/>
    <w:multiLevelType w:val="singleLevel"/>
    <w:tmpl w:val="5A9902E5"/>
    <w:lvl w:ilvl="0" w:tentative="0">
      <w:start w:val="1"/>
      <w:numFmt w:val="decimal"/>
      <w:suff w:val="nothing"/>
      <w:lvlText w:val="（%1）"/>
      <w:lvlJc w:val="left"/>
    </w:lvl>
  </w:abstractNum>
  <w:abstractNum w:abstractNumId="3">
    <w:nsid w:val="66A33C1E"/>
    <w:multiLevelType w:val="multilevel"/>
    <w:tmpl w:val="66A33C1E"/>
    <w:lvl w:ilvl="0" w:tentative="0">
      <w:start w:val="1"/>
      <w:numFmt w:val="decimal"/>
      <w:lvlText w:val="%1、"/>
      <w:lvlJc w:val="left"/>
      <w:pPr>
        <w:ind w:left="375" w:hanging="375"/>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D9C45D3"/>
    <w:multiLevelType w:val="multilevel"/>
    <w:tmpl w:val="6D9C45D3"/>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177"/>
    <w:rsid w:val="000028AB"/>
    <w:rsid w:val="000038B3"/>
    <w:rsid w:val="000042F0"/>
    <w:rsid w:val="00005359"/>
    <w:rsid w:val="00005716"/>
    <w:rsid w:val="0000687D"/>
    <w:rsid w:val="00010C13"/>
    <w:rsid w:val="0001117E"/>
    <w:rsid w:val="00012E71"/>
    <w:rsid w:val="00013D48"/>
    <w:rsid w:val="000143D8"/>
    <w:rsid w:val="00014622"/>
    <w:rsid w:val="00015A4A"/>
    <w:rsid w:val="00015A95"/>
    <w:rsid w:val="00015C0F"/>
    <w:rsid w:val="00016948"/>
    <w:rsid w:val="000201FC"/>
    <w:rsid w:val="00020C4B"/>
    <w:rsid w:val="00021627"/>
    <w:rsid w:val="00022EDC"/>
    <w:rsid w:val="00022EF8"/>
    <w:rsid w:val="00024F73"/>
    <w:rsid w:val="00024FE8"/>
    <w:rsid w:val="00026537"/>
    <w:rsid w:val="00027296"/>
    <w:rsid w:val="00031F19"/>
    <w:rsid w:val="0003383C"/>
    <w:rsid w:val="0003390B"/>
    <w:rsid w:val="0003392D"/>
    <w:rsid w:val="00034037"/>
    <w:rsid w:val="0003403F"/>
    <w:rsid w:val="000346AD"/>
    <w:rsid w:val="0003637D"/>
    <w:rsid w:val="00036444"/>
    <w:rsid w:val="000365B1"/>
    <w:rsid w:val="000374E6"/>
    <w:rsid w:val="000401FF"/>
    <w:rsid w:val="0004148C"/>
    <w:rsid w:val="0004148F"/>
    <w:rsid w:val="000436BA"/>
    <w:rsid w:val="00043A9F"/>
    <w:rsid w:val="00044F8F"/>
    <w:rsid w:val="000466E2"/>
    <w:rsid w:val="000471A1"/>
    <w:rsid w:val="000478E1"/>
    <w:rsid w:val="0005067A"/>
    <w:rsid w:val="00050E61"/>
    <w:rsid w:val="000511EE"/>
    <w:rsid w:val="0005168A"/>
    <w:rsid w:val="00051B0E"/>
    <w:rsid w:val="0005288D"/>
    <w:rsid w:val="00057B2B"/>
    <w:rsid w:val="000605E6"/>
    <w:rsid w:val="00063BA7"/>
    <w:rsid w:val="00064491"/>
    <w:rsid w:val="00067D6E"/>
    <w:rsid w:val="00070E51"/>
    <w:rsid w:val="00071DB9"/>
    <w:rsid w:val="000722D9"/>
    <w:rsid w:val="000725C9"/>
    <w:rsid w:val="00073D9C"/>
    <w:rsid w:val="00076BA5"/>
    <w:rsid w:val="00077F31"/>
    <w:rsid w:val="00077F78"/>
    <w:rsid w:val="0008289F"/>
    <w:rsid w:val="00083C51"/>
    <w:rsid w:val="00084EF8"/>
    <w:rsid w:val="000858F4"/>
    <w:rsid w:val="0008732C"/>
    <w:rsid w:val="000879AE"/>
    <w:rsid w:val="00087F54"/>
    <w:rsid w:val="00090C7B"/>
    <w:rsid w:val="00091260"/>
    <w:rsid w:val="00091A21"/>
    <w:rsid w:val="00091AE7"/>
    <w:rsid w:val="00093CA5"/>
    <w:rsid w:val="0009453C"/>
    <w:rsid w:val="000950C8"/>
    <w:rsid w:val="00095AED"/>
    <w:rsid w:val="000960FB"/>
    <w:rsid w:val="00096663"/>
    <w:rsid w:val="00097404"/>
    <w:rsid w:val="0009778C"/>
    <w:rsid w:val="000A3586"/>
    <w:rsid w:val="000A35D1"/>
    <w:rsid w:val="000A4462"/>
    <w:rsid w:val="000A5B7C"/>
    <w:rsid w:val="000A7247"/>
    <w:rsid w:val="000A72DE"/>
    <w:rsid w:val="000A7E48"/>
    <w:rsid w:val="000B0043"/>
    <w:rsid w:val="000B1976"/>
    <w:rsid w:val="000B307A"/>
    <w:rsid w:val="000B349C"/>
    <w:rsid w:val="000B3604"/>
    <w:rsid w:val="000B36F5"/>
    <w:rsid w:val="000B3902"/>
    <w:rsid w:val="000B448B"/>
    <w:rsid w:val="000B5D5E"/>
    <w:rsid w:val="000B61EF"/>
    <w:rsid w:val="000B76EA"/>
    <w:rsid w:val="000B7AD0"/>
    <w:rsid w:val="000B7F19"/>
    <w:rsid w:val="000C0798"/>
    <w:rsid w:val="000C2E71"/>
    <w:rsid w:val="000C30BD"/>
    <w:rsid w:val="000C3B0D"/>
    <w:rsid w:val="000C4AAA"/>
    <w:rsid w:val="000C66CF"/>
    <w:rsid w:val="000C6EC0"/>
    <w:rsid w:val="000D03A9"/>
    <w:rsid w:val="000D3A1A"/>
    <w:rsid w:val="000D634F"/>
    <w:rsid w:val="000E1960"/>
    <w:rsid w:val="000E1D9A"/>
    <w:rsid w:val="000E2923"/>
    <w:rsid w:val="000E2FFD"/>
    <w:rsid w:val="000E4F97"/>
    <w:rsid w:val="000E77A3"/>
    <w:rsid w:val="000F0F8B"/>
    <w:rsid w:val="000F2072"/>
    <w:rsid w:val="000F3066"/>
    <w:rsid w:val="000F3642"/>
    <w:rsid w:val="000F4369"/>
    <w:rsid w:val="000F4701"/>
    <w:rsid w:val="000F4B3A"/>
    <w:rsid w:val="000F54E9"/>
    <w:rsid w:val="000F5EC4"/>
    <w:rsid w:val="000F749B"/>
    <w:rsid w:val="00100777"/>
    <w:rsid w:val="001017E4"/>
    <w:rsid w:val="0010181C"/>
    <w:rsid w:val="0010192C"/>
    <w:rsid w:val="001021A3"/>
    <w:rsid w:val="001024F3"/>
    <w:rsid w:val="00103713"/>
    <w:rsid w:val="00104D02"/>
    <w:rsid w:val="001070F9"/>
    <w:rsid w:val="00107536"/>
    <w:rsid w:val="001107C8"/>
    <w:rsid w:val="001119FB"/>
    <w:rsid w:val="001125BE"/>
    <w:rsid w:val="00113F0E"/>
    <w:rsid w:val="001154E2"/>
    <w:rsid w:val="001161AB"/>
    <w:rsid w:val="00116A34"/>
    <w:rsid w:val="00116CDE"/>
    <w:rsid w:val="00117BB1"/>
    <w:rsid w:val="00120914"/>
    <w:rsid w:val="00123594"/>
    <w:rsid w:val="00124A35"/>
    <w:rsid w:val="0012579D"/>
    <w:rsid w:val="00125FB0"/>
    <w:rsid w:val="0012665D"/>
    <w:rsid w:val="0013117D"/>
    <w:rsid w:val="001316FC"/>
    <w:rsid w:val="00131844"/>
    <w:rsid w:val="00131D48"/>
    <w:rsid w:val="001324C9"/>
    <w:rsid w:val="001325C1"/>
    <w:rsid w:val="00132C54"/>
    <w:rsid w:val="0013455B"/>
    <w:rsid w:val="001363B1"/>
    <w:rsid w:val="00137A93"/>
    <w:rsid w:val="00137D39"/>
    <w:rsid w:val="00140358"/>
    <w:rsid w:val="00140794"/>
    <w:rsid w:val="001407AE"/>
    <w:rsid w:val="001408D7"/>
    <w:rsid w:val="00145C0D"/>
    <w:rsid w:val="00145CD8"/>
    <w:rsid w:val="001473D5"/>
    <w:rsid w:val="0015421F"/>
    <w:rsid w:val="001551BE"/>
    <w:rsid w:val="001560F1"/>
    <w:rsid w:val="00156CB3"/>
    <w:rsid w:val="00160291"/>
    <w:rsid w:val="0016047E"/>
    <w:rsid w:val="00160CA6"/>
    <w:rsid w:val="001621FA"/>
    <w:rsid w:val="001629E4"/>
    <w:rsid w:val="001632E5"/>
    <w:rsid w:val="00163707"/>
    <w:rsid w:val="001639E1"/>
    <w:rsid w:val="00163EE6"/>
    <w:rsid w:val="001647DB"/>
    <w:rsid w:val="00166758"/>
    <w:rsid w:val="0017028C"/>
    <w:rsid w:val="00172A27"/>
    <w:rsid w:val="00173E0B"/>
    <w:rsid w:val="001762DC"/>
    <w:rsid w:val="00176788"/>
    <w:rsid w:val="00176882"/>
    <w:rsid w:val="00177533"/>
    <w:rsid w:val="00181E78"/>
    <w:rsid w:val="00182B44"/>
    <w:rsid w:val="00182F23"/>
    <w:rsid w:val="00183149"/>
    <w:rsid w:val="00183890"/>
    <w:rsid w:val="001838A8"/>
    <w:rsid w:val="00183CF9"/>
    <w:rsid w:val="001859C6"/>
    <w:rsid w:val="00185D27"/>
    <w:rsid w:val="00186591"/>
    <w:rsid w:val="00187AF3"/>
    <w:rsid w:val="00190DB0"/>
    <w:rsid w:val="001913FA"/>
    <w:rsid w:val="0019295D"/>
    <w:rsid w:val="00193073"/>
    <w:rsid w:val="00193AA3"/>
    <w:rsid w:val="0019456C"/>
    <w:rsid w:val="001947C4"/>
    <w:rsid w:val="00195591"/>
    <w:rsid w:val="00196595"/>
    <w:rsid w:val="001969EB"/>
    <w:rsid w:val="001A09F3"/>
    <w:rsid w:val="001A0E9C"/>
    <w:rsid w:val="001A337F"/>
    <w:rsid w:val="001A3EE4"/>
    <w:rsid w:val="001A565B"/>
    <w:rsid w:val="001A5ADC"/>
    <w:rsid w:val="001A5D51"/>
    <w:rsid w:val="001A6185"/>
    <w:rsid w:val="001A64F8"/>
    <w:rsid w:val="001A7466"/>
    <w:rsid w:val="001B008F"/>
    <w:rsid w:val="001B16FA"/>
    <w:rsid w:val="001B1F11"/>
    <w:rsid w:val="001B4D7D"/>
    <w:rsid w:val="001B5833"/>
    <w:rsid w:val="001C063B"/>
    <w:rsid w:val="001C1E2A"/>
    <w:rsid w:val="001C40BC"/>
    <w:rsid w:val="001C487E"/>
    <w:rsid w:val="001C6CED"/>
    <w:rsid w:val="001C7AAD"/>
    <w:rsid w:val="001D0288"/>
    <w:rsid w:val="001D25CB"/>
    <w:rsid w:val="001D5CC8"/>
    <w:rsid w:val="001E0475"/>
    <w:rsid w:val="001E16D1"/>
    <w:rsid w:val="001E2928"/>
    <w:rsid w:val="001E3623"/>
    <w:rsid w:val="001E39FD"/>
    <w:rsid w:val="001E6D3D"/>
    <w:rsid w:val="001E6E80"/>
    <w:rsid w:val="001E7317"/>
    <w:rsid w:val="001E750E"/>
    <w:rsid w:val="001E7B08"/>
    <w:rsid w:val="001F044C"/>
    <w:rsid w:val="001F2281"/>
    <w:rsid w:val="001F47C6"/>
    <w:rsid w:val="001F59E6"/>
    <w:rsid w:val="001F714B"/>
    <w:rsid w:val="002001D9"/>
    <w:rsid w:val="00201F72"/>
    <w:rsid w:val="00205A1D"/>
    <w:rsid w:val="00207054"/>
    <w:rsid w:val="0020790D"/>
    <w:rsid w:val="00207D4E"/>
    <w:rsid w:val="0021605B"/>
    <w:rsid w:val="002162F1"/>
    <w:rsid w:val="00220C72"/>
    <w:rsid w:val="00221219"/>
    <w:rsid w:val="00222156"/>
    <w:rsid w:val="00226701"/>
    <w:rsid w:val="00226E37"/>
    <w:rsid w:val="002272C6"/>
    <w:rsid w:val="002305FD"/>
    <w:rsid w:val="00231519"/>
    <w:rsid w:val="00231ACC"/>
    <w:rsid w:val="00232E25"/>
    <w:rsid w:val="00233D0C"/>
    <w:rsid w:val="0023400B"/>
    <w:rsid w:val="00234AF0"/>
    <w:rsid w:val="00236D01"/>
    <w:rsid w:val="00237415"/>
    <w:rsid w:val="00237A47"/>
    <w:rsid w:val="002402CD"/>
    <w:rsid w:val="00244924"/>
    <w:rsid w:val="00244B26"/>
    <w:rsid w:val="00244C08"/>
    <w:rsid w:val="00245A8E"/>
    <w:rsid w:val="00245D87"/>
    <w:rsid w:val="002472E1"/>
    <w:rsid w:val="00247FB8"/>
    <w:rsid w:val="00252818"/>
    <w:rsid w:val="0025314D"/>
    <w:rsid w:val="0025462B"/>
    <w:rsid w:val="00254E83"/>
    <w:rsid w:val="00255932"/>
    <w:rsid w:val="00255D93"/>
    <w:rsid w:val="00256836"/>
    <w:rsid w:val="00256BF5"/>
    <w:rsid w:val="00260480"/>
    <w:rsid w:val="0026113E"/>
    <w:rsid w:val="002640D9"/>
    <w:rsid w:val="002676E1"/>
    <w:rsid w:val="00270EEF"/>
    <w:rsid w:val="00272A2F"/>
    <w:rsid w:val="00272CAC"/>
    <w:rsid w:val="002738C2"/>
    <w:rsid w:val="0027399E"/>
    <w:rsid w:val="0027490C"/>
    <w:rsid w:val="00275189"/>
    <w:rsid w:val="00275AC9"/>
    <w:rsid w:val="00276789"/>
    <w:rsid w:val="00276C0C"/>
    <w:rsid w:val="00276E47"/>
    <w:rsid w:val="00281B1A"/>
    <w:rsid w:val="0028295D"/>
    <w:rsid w:val="00284EF3"/>
    <w:rsid w:val="00285D26"/>
    <w:rsid w:val="002864A1"/>
    <w:rsid w:val="00286F48"/>
    <w:rsid w:val="00287491"/>
    <w:rsid w:val="00291C08"/>
    <w:rsid w:val="002929DB"/>
    <w:rsid w:val="0029461A"/>
    <w:rsid w:val="00295811"/>
    <w:rsid w:val="002967FE"/>
    <w:rsid w:val="00296AE7"/>
    <w:rsid w:val="00296BB1"/>
    <w:rsid w:val="002A06CF"/>
    <w:rsid w:val="002A0B5C"/>
    <w:rsid w:val="002A0CA5"/>
    <w:rsid w:val="002A11B1"/>
    <w:rsid w:val="002A1988"/>
    <w:rsid w:val="002A20D1"/>
    <w:rsid w:val="002A246D"/>
    <w:rsid w:val="002A3D18"/>
    <w:rsid w:val="002A4002"/>
    <w:rsid w:val="002A63DF"/>
    <w:rsid w:val="002A701F"/>
    <w:rsid w:val="002B2CEE"/>
    <w:rsid w:val="002B302C"/>
    <w:rsid w:val="002B39F3"/>
    <w:rsid w:val="002B3B77"/>
    <w:rsid w:val="002B435D"/>
    <w:rsid w:val="002B4D92"/>
    <w:rsid w:val="002B4EE6"/>
    <w:rsid w:val="002B5E4C"/>
    <w:rsid w:val="002B647A"/>
    <w:rsid w:val="002B678C"/>
    <w:rsid w:val="002B72D5"/>
    <w:rsid w:val="002C0406"/>
    <w:rsid w:val="002C0498"/>
    <w:rsid w:val="002C0B24"/>
    <w:rsid w:val="002C0B43"/>
    <w:rsid w:val="002C0CD1"/>
    <w:rsid w:val="002C10FC"/>
    <w:rsid w:val="002C29E6"/>
    <w:rsid w:val="002C3328"/>
    <w:rsid w:val="002C3B01"/>
    <w:rsid w:val="002C531C"/>
    <w:rsid w:val="002C681B"/>
    <w:rsid w:val="002C6AD0"/>
    <w:rsid w:val="002C7688"/>
    <w:rsid w:val="002C7BD1"/>
    <w:rsid w:val="002D0195"/>
    <w:rsid w:val="002D028E"/>
    <w:rsid w:val="002D03A6"/>
    <w:rsid w:val="002D3800"/>
    <w:rsid w:val="002D527C"/>
    <w:rsid w:val="002D5781"/>
    <w:rsid w:val="002D68E3"/>
    <w:rsid w:val="002D6BB1"/>
    <w:rsid w:val="002D7369"/>
    <w:rsid w:val="002E047E"/>
    <w:rsid w:val="002E09A1"/>
    <w:rsid w:val="002E0BA5"/>
    <w:rsid w:val="002E23C8"/>
    <w:rsid w:val="002E349B"/>
    <w:rsid w:val="002E3824"/>
    <w:rsid w:val="002E3B02"/>
    <w:rsid w:val="002E41F1"/>
    <w:rsid w:val="002E4FA2"/>
    <w:rsid w:val="002E60B0"/>
    <w:rsid w:val="002E65CA"/>
    <w:rsid w:val="002E6AA3"/>
    <w:rsid w:val="002E723C"/>
    <w:rsid w:val="002E74A9"/>
    <w:rsid w:val="002E7941"/>
    <w:rsid w:val="002E7A06"/>
    <w:rsid w:val="002F02AD"/>
    <w:rsid w:val="002F1EE1"/>
    <w:rsid w:val="002F254E"/>
    <w:rsid w:val="002F6AAE"/>
    <w:rsid w:val="00301783"/>
    <w:rsid w:val="0030207F"/>
    <w:rsid w:val="003033C2"/>
    <w:rsid w:val="003042B4"/>
    <w:rsid w:val="00304613"/>
    <w:rsid w:val="003053B6"/>
    <w:rsid w:val="00307071"/>
    <w:rsid w:val="003110FF"/>
    <w:rsid w:val="00312251"/>
    <w:rsid w:val="00312F65"/>
    <w:rsid w:val="003138E8"/>
    <w:rsid w:val="00313A53"/>
    <w:rsid w:val="00314522"/>
    <w:rsid w:val="00315BE7"/>
    <w:rsid w:val="003168B5"/>
    <w:rsid w:val="003170D4"/>
    <w:rsid w:val="00317D57"/>
    <w:rsid w:val="00320B2C"/>
    <w:rsid w:val="0032149F"/>
    <w:rsid w:val="00323183"/>
    <w:rsid w:val="00323322"/>
    <w:rsid w:val="003242F7"/>
    <w:rsid w:val="00324C3F"/>
    <w:rsid w:val="003261ED"/>
    <w:rsid w:val="00326701"/>
    <w:rsid w:val="00327417"/>
    <w:rsid w:val="0032752E"/>
    <w:rsid w:val="00331D36"/>
    <w:rsid w:val="003334A5"/>
    <w:rsid w:val="00333F5E"/>
    <w:rsid w:val="00334D7C"/>
    <w:rsid w:val="003368B3"/>
    <w:rsid w:val="00340D76"/>
    <w:rsid w:val="00340F6B"/>
    <w:rsid w:val="00342BB8"/>
    <w:rsid w:val="00343AA2"/>
    <w:rsid w:val="00345A73"/>
    <w:rsid w:val="00347CC6"/>
    <w:rsid w:val="00347CD4"/>
    <w:rsid w:val="00350988"/>
    <w:rsid w:val="003513BB"/>
    <w:rsid w:val="00352EA3"/>
    <w:rsid w:val="00353A68"/>
    <w:rsid w:val="003546C7"/>
    <w:rsid w:val="00357499"/>
    <w:rsid w:val="00360B6C"/>
    <w:rsid w:val="00361188"/>
    <w:rsid w:val="00361D12"/>
    <w:rsid w:val="003641C0"/>
    <w:rsid w:val="00364769"/>
    <w:rsid w:val="00366750"/>
    <w:rsid w:val="00372F27"/>
    <w:rsid w:val="00373B1B"/>
    <w:rsid w:val="00374165"/>
    <w:rsid w:val="00375571"/>
    <w:rsid w:val="00375BF2"/>
    <w:rsid w:val="00377DD3"/>
    <w:rsid w:val="00381C10"/>
    <w:rsid w:val="00385123"/>
    <w:rsid w:val="003854B7"/>
    <w:rsid w:val="00390B65"/>
    <w:rsid w:val="00390C34"/>
    <w:rsid w:val="0039157F"/>
    <w:rsid w:val="00391783"/>
    <w:rsid w:val="0039521E"/>
    <w:rsid w:val="00395CE1"/>
    <w:rsid w:val="003965DE"/>
    <w:rsid w:val="00397A85"/>
    <w:rsid w:val="003A0018"/>
    <w:rsid w:val="003A2D65"/>
    <w:rsid w:val="003B1881"/>
    <w:rsid w:val="003B2556"/>
    <w:rsid w:val="003B3BFB"/>
    <w:rsid w:val="003B44F0"/>
    <w:rsid w:val="003B5645"/>
    <w:rsid w:val="003B5DF2"/>
    <w:rsid w:val="003B6B54"/>
    <w:rsid w:val="003C099B"/>
    <w:rsid w:val="003C0DF5"/>
    <w:rsid w:val="003C20DA"/>
    <w:rsid w:val="003C279D"/>
    <w:rsid w:val="003C2D53"/>
    <w:rsid w:val="003C3B7C"/>
    <w:rsid w:val="003C5CA6"/>
    <w:rsid w:val="003C6819"/>
    <w:rsid w:val="003D0037"/>
    <w:rsid w:val="003D10AD"/>
    <w:rsid w:val="003D20B5"/>
    <w:rsid w:val="003D36AF"/>
    <w:rsid w:val="003D3E14"/>
    <w:rsid w:val="003D53A6"/>
    <w:rsid w:val="003D7595"/>
    <w:rsid w:val="003E14A1"/>
    <w:rsid w:val="003E3067"/>
    <w:rsid w:val="003E3D5C"/>
    <w:rsid w:val="003E4A79"/>
    <w:rsid w:val="003E6686"/>
    <w:rsid w:val="003E67FD"/>
    <w:rsid w:val="003F04E6"/>
    <w:rsid w:val="003F1298"/>
    <w:rsid w:val="003F1B86"/>
    <w:rsid w:val="003F2BFF"/>
    <w:rsid w:val="003F3388"/>
    <w:rsid w:val="003F5B8E"/>
    <w:rsid w:val="003F5FA2"/>
    <w:rsid w:val="003F6C8C"/>
    <w:rsid w:val="004024BB"/>
    <w:rsid w:val="00402B15"/>
    <w:rsid w:val="004038FA"/>
    <w:rsid w:val="00403CD1"/>
    <w:rsid w:val="0040439D"/>
    <w:rsid w:val="00404738"/>
    <w:rsid w:val="004047F8"/>
    <w:rsid w:val="00405D78"/>
    <w:rsid w:val="00406093"/>
    <w:rsid w:val="00407634"/>
    <w:rsid w:val="00407C65"/>
    <w:rsid w:val="00410399"/>
    <w:rsid w:val="00411531"/>
    <w:rsid w:val="00412BCA"/>
    <w:rsid w:val="00413E18"/>
    <w:rsid w:val="00414A92"/>
    <w:rsid w:val="00415B9A"/>
    <w:rsid w:val="004164BC"/>
    <w:rsid w:val="00416AD6"/>
    <w:rsid w:val="00417D71"/>
    <w:rsid w:val="00421205"/>
    <w:rsid w:val="00421796"/>
    <w:rsid w:val="00421B09"/>
    <w:rsid w:val="00421D5F"/>
    <w:rsid w:val="00421EC3"/>
    <w:rsid w:val="0042300D"/>
    <w:rsid w:val="004230B8"/>
    <w:rsid w:val="00423D9E"/>
    <w:rsid w:val="004241E4"/>
    <w:rsid w:val="00426DBC"/>
    <w:rsid w:val="00426E3A"/>
    <w:rsid w:val="00427598"/>
    <w:rsid w:val="004276BC"/>
    <w:rsid w:val="00427DDD"/>
    <w:rsid w:val="00433403"/>
    <w:rsid w:val="00434A1C"/>
    <w:rsid w:val="00435E48"/>
    <w:rsid w:val="004412C3"/>
    <w:rsid w:val="00441C1B"/>
    <w:rsid w:val="0044337D"/>
    <w:rsid w:val="00444A16"/>
    <w:rsid w:val="00447F47"/>
    <w:rsid w:val="00450D1A"/>
    <w:rsid w:val="00450FDB"/>
    <w:rsid w:val="00451A0A"/>
    <w:rsid w:val="00452E65"/>
    <w:rsid w:val="00454581"/>
    <w:rsid w:val="00456E0B"/>
    <w:rsid w:val="00456F34"/>
    <w:rsid w:val="00457662"/>
    <w:rsid w:val="00457A9A"/>
    <w:rsid w:val="0046022A"/>
    <w:rsid w:val="004603D7"/>
    <w:rsid w:val="00460415"/>
    <w:rsid w:val="0046088D"/>
    <w:rsid w:val="0046119B"/>
    <w:rsid w:val="00462C8F"/>
    <w:rsid w:val="004643E2"/>
    <w:rsid w:val="00467261"/>
    <w:rsid w:val="004679E8"/>
    <w:rsid w:val="004706F0"/>
    <w:rsid w:val="00471AB1"/>
    <w:rsid w:val="00471E80"/>
    <w:rsid w:val="00473162"/>
    <w:rsid w:val="00475C08"/>
    <w:rsid w:val="00476006"/>
    <w:rsid w:val="004773C3"/>
    <w:rsid w:val="004778EE"/>
    <w:rsid w:val="00477AFB"/>
    <w:rsid w:val="00480237"/>
    <w:rsid w:val="00480772"/>
    <w:rsid w:val="00481520"/>
    <w:rsid w:val="00481FF8"/>
    <w:rsid w:val="0048316F"/>
    <w:rsid w:val="004848A7"/>
    <w:rsid w:val="0048603B"/>
    <w:rsid w:val="00486819"/>
    <w:rsid w:val="00490117"/>
    <w:rsid w:val="0049090C"/>
    <w:rsid w:val="00491042"/>
    <w:rsid w:val="00492BE8"/>
    <w:rsid w:val="00494FC9"/>
    <w:rsid w:val="00495EE5"/>
    <w:rsid w:val="00496D4C"/>
    <w:rsid w:val="004972BB"/>
    <w:rsid w:val="004A1ABF"/>
    <w:rsid w:val="004A1DFF"/>
    <w:rsid w:val="004A21C8"/>
    <w:rsid w:val="004A43B3"/>
    <w:rsid w:val="004A52E9"/>
    <w:rsid w:val="004A5565"/>
    <w:rsid w:val="004A5C77"/>
    <w:rsid w:val="004A62CC"/>
    <w:rsid w:val="004A7534"/>
    <w:rsid w:val="004A7F98"/>
    <w:rsid w:val="004B07ED"/>
    <w:rsid w:val="004B0951"/>
    <w:rsid w:val="004B43FF"/>
    <w:rsid w:val="004B48F7"/>
    <w:rsid w:val="004B4A80"/>
    <w:rsid w:val="004B5B97"/>
    <w:rsid w:val="004B6C9D"/>
    <w:rsid w:val="004B6ED6"/>
    <w:rsid w:val="004C3C62"/>
    <w:rsid w:val="004C490D"/>
    <w:rsid w:val="004C5F93"/>
    <w:rsid w:val="004D1BE7"/>
    <w:rsid w:val="004D2F07"/>
    <w:rsid w:val="004D3780"/>
    <w:rsid w:val="004D488B"/>
    <w:rsid w:val="004D5D5C"/>
    <w:rsid w:val="004D79D9"/>
    <w:rsid w:val="004E0131"/>
    <w:rsid w:val="004E09E2"/>
    <w:rsid w:val="004E16B4"/>
    <w:rsid w:val="004E16F2"/>
    <w:rsid w:val="004E1D20"/>
    <w:rsid w:val="004E2600"/>
    <w:rsid w:val="004E3127"/>
    <w:rsid w:val="004E3958"/>
    <w:rsid w:val="004E6886"/>
    <w:rsid w:val="004F0AA9"/>
    <w:rsid w:val="004F2079"/>
    <w:rsid w:val="004F24C1"/>
    <w:rsid w:val="004F4DD0"/>
    <w:rsid w:val="004F5109"/>
    <w:rsid w:val="004F5A60"/>
    <w:rsid w:val="00500FEB"/>
    <w:rsid w:val="00501906"/>
    <w:rsid w:val="0050233E"/>
    <w:rsid w:val="00505A61"/>
    <w:rsid w:val="0050779D"/>
    <w:rsid w:val="00507F4A"/>
    <w:rsid w:val="00507F6F"/>
    <w:rsid w:val="0051164A"/>
    <w:rsid w:val="005137C7"/>
    <w:rsid w:val="0051403C"/>
    <w:rsid w:val="00515114"/>
    <w:rsid w:val="005157D6"/>
    <w:rsid w:val="00515A47"/>
    <w:rsid w:val="00515E1B"/>
    <w:rsid w:val="00517F3C"/>
    <w:rsid w:val="0052030B"/>
    <w:rsid w:val="0052071E"/>
    <w:rsid w:val="0052204D"/>
    <w:rsid w:val="00522D24"/>
    <w:rsid w:val="00525B1A"/>
    <w:rsid w:val="00526A4C"/>
    <w:rsid w:val="005274C0"/>
    <w:rsid w:val="0052753C"/>
    <w:rsid w:val="005277F6"/>
    <w:rsid w:val="0053091C"/>
    <w:rsid w:val="0053100E"/>
    <w:rsid w:val="005313BB"/>
    <w:rsid w:val="005318F6"/>
    <w:rsid w:val="00532902"/>
    <w:rsid w:val="00532F63"/>
    <w:rsid w:val="00533E08"/>
    <w:rsid w:val="00534AA5"/>
    <w:rsid w:val="00535C83"/>
    <w:rsid w:val="0053676B"/>
    <w:rsid w:val="00536F48"/>
    <w:rsid w:val="00541706"/>
    <w:rsid w:val="00542CC3"/>
    <w:rsid w:val="0054605E"/>
    <w:rsid w:val="0055027E"/>
    <w:rsid w:val="0055136E"/>
    <w:rsid w:val="00552A78"/>
    <w:rsid w:val="005540A4"/>
    <w:rsid w:val="00554BD4"/>
    <w:rsid w:val="00554C59"/>
    <w:rsid w:val="00554DE5"/>
    <w:rsid w:val="00555043"/>
    <w:rsid w:val="005568E7"/>
    <w:rsid w:val="005624C7"/>
    <w:rsid w:val="00563165"/>
    <w:rsid w:val="00563B7A"/>
    <w:rsid w:val="00563E9C"/>
    <w:rsid w:val="0056495E"/>
    <w:rsid w:val="0056536E"/>
    <w:rsid w:val="005676A0"/>
    <w:rsid w:val="00570E8F"/>
    <w:rsid w:val="005736E6"/>
    <w:rsid w:val="00574388"/>
    <w:rsid w:val="00576EB6"/>
    <w:rsid w:val="00576FFD"/>
    <w:rsid w:val="005779F6"/>
    <w:rsid w:val="00580C6D"/>
    <w:rsid w:val="00583ABF"/>
    <w:rsid w:val="00583D22"/>
    <w:rsid w:val="005850EB"/>
    <w:rsid w:val="0059114D"/>
    <w:rsid w:val="005912D8"/>
    <w:rsid w:val="00592D7A"/>
    <w:rsid w:val="00592DD6"/>
    <w:rsid w:val="0059305A"/>
    <w:rsid w:val="00595502"/>
    <w:rsid w:val="00596017"/>
    <w:rsid w:val="0059609E"/>
    <w:rsid w:val="005963A1"/>
    <w:rsid w:val="005A1ACB"/>
    <w:rsid w:val="005A1FA4"/>
    <w:rsid w:val="005A2551"/>
    <w:rsid w:val="005A4989"/>
    <w:rsid w:val="005B05CE"/>
    <w:rsid w:val="005B091E"/>
    <w:rsid w:val="005B1DE9"/>
    <w:rsid w:val="005B2DF1"/>
    <w:rsid w:val="005B2E54"/>
    <w:rsid w:val="005B4F5C"/>
    <w:rsid w:val="005B6BB7"/>
    <w:rsid w:val="005C0661"/>
    <w:rsid w:val="005C2E2F"/>
    <w:rsid w:val="005C4446"/>
    <w:rsid w:val="005C59F2"/>
    <w:rsid w:val="005C7304"/>
    <w:rsid w:val="005D0F73"/>
    <w:rsid w:val="005D2123"/>
    <w:rsid w:val="005D45AC"/>
    <w:rsid w:val="005D47B9"/>
    <w:rsid w:val="005D50A0"/>
    <w:rsid w:val="005D64C4"/>
    <w:rsid w:val="005D79D4"/>
    <w:rsid w:val="005D7FA9"/>
    <w:rsid w:val="005E32D7"/>
    <w:rsid w:val="005E3DA0"/>
    <w:rsid w:val="005E465A"/>
    <w:rsid w:val="005E507F"/>
    <w:rsid w:val="005E58C8"/>
    <w:rsid w:val="005E7DB7"/>
    <w:rsid w:val="005F1EA5"/>
    <w:rsid w:val="005F1F86"/>
    <w:rsid w:val="005F2393"/>
    <w:rsid w:val="005F273E"/>
    <w:rsid w:val="005F329F"/>
    <w:rsid w:val="005F5583"/>
    <w:rsid w:val="005F56E4"/>
    <w:rsid w:val="005F5709"/>
    <w:rsid w:val="005F69DE"/>
    <w:rsid w:val="00601BDB"/>
    <w:rsid w:val="00601F9A"/>
    <w:rsid w:val="006021F4"/>
    <w:rsid w:val="00603106"/>
    <w:rsid w:val="006051AA"/>
    <w:rsid w:val="006058A9"/>
    <w:rsid w:val="00606F1A"/>
    <w:rsid w:val="006101F8"/>
    <w:rsid w:val="00610497"/>
    <w:rsid w:val="00610FE8"/>
    <w:rsid w:val="0061278B"/>
    <w:rsid w:val="00612DE9"/>
    <w:rsid w:val="00616D52"/>
    <w:rsid w:val="00620651"/>
    <w:rsid w:val="006220DF"/>
    <w:rsid w:val="00622306"/>
    <w:rsid w:val="00622638"/>
    <w:rsid w:val="00622F51"/>
    <w:rsid w:val="00623AF6"/>
    <w:rsid w:val="00623C37"/>
    <w:rsid w:val="006251D7"/>
    <w:rsid w:val="00626EAF"/>
    <w:rsid w:val="006272C0"/>
    <w:rsid w:val="0063152F"/>
    <w:rsid w:val="00632C91"/>
    <w:rsid w:val="00634B3B"/>
    <w:rsid w:val="0063637B"/>
    <w:rsid w:val="006369F0"/>
    <w:rsid w:val="006373A6"/>
    <w:rsid w:val="00637A45"/>
    <w:rsid w:val="0064009C"/>
    <w:rsid w:val="006415B1"/>
    <w:rsid w:val="00642F89"/>
    <w:rsid w:val="00644272"/>
    <w:rsid w:val="0064496B"/>
    <w:rsid w:val="0064588E"/>
    <w:rsid w:val="006468D9"/>
    <w:rsid w:val="00647293"/>
    <w:rsid w:val="006479AC"/>
    <w:rsid w:val="0065042D"/>
    <w:rsid w:val="006505C8"/>
    <w:rsid w:val="006505DD"/>
    <w:rsid w:val="00651855"/>
    <w:rsid w:val="00652B4C"/>
    <w:rsid w:val="00652CDD"/>
    <w:rsid w:val="00654C5D"/>
    <w:rsid w:val="006555DA"/>
    <w:rsid w:val="006571FF"/>
    <w:rsid w:val="00657839"/>
    <w:rsid w:val="0066340E"/>
    <w:rsid w:val="00663664"/>
    <w:rsid w:val="00664790"/>
    <w:rsid w:val="006647DA"/>
    <w:rsid w:val="006671CA"/>
    <w:rsid w:val="00667BDE"/>
    <w:rsid w:val="00667EC9"/>
    <w:rsid w:val="00671374"/>
    <w:rsid w:val="00671E20"/>
    <w:rsid w:val="0067343A"/>
    <w:rsid w:val="00675A6E"/>
    <w:rsid w:val="00680EC8"/>
    <w:rsid w:val="00682FDE"/>
    <w:rsid w:val="00683413"/>
    <w:rsid w:val="0068373D"/>
    <w:rsid w:val="006848F8"/>
    <w:rsid w:val="00690076"/>
    <w:rsid w:val="006909DC"/>
    <w:rsid w:val="00693FAD"/>
    <w:rsid w:val="006942B1"/>
    <w:rsid w:val="00694E8F"/>
    <w:rsid w:val="0069574C"/>
    <w:rsid w:val="006958E1"/>
    <w:rsid w:val="00695F25"/>
    <w:rsid w:val="00697C55"/>
    <w:rsid w:val="006A1F89"/>
    <w:rsid w:val="006A256E"/>
    <w:rsid w:val="006A4320"/>
    <w:rsid w:val="006A4CBB"/>
    <w:rsid w:val="006A513A"/>
    <w:rsid w:val="006A5287"/>
    <w:rsid w:val="006A5ED0"/>
    <w:rsid w:val="006A775C"/>
    <w:rsid w:val="006B1F2C"/>
    <w:rsid w:val="006B400E"/>
    <w:rsid w:val="006B4D6D"/>
    <w:rsid w:val="006B56B6"/>
    <w:rsid w:val="006B6938"/>
    <w:rsid w:val="006B7F8C"/>
    <w:rsid w:val="006C0163"/>
    <w:rsid w:val="006C10F3"/>
    <w:rsid w:val="006C1860"/>
    <w:rsid w:val="006C436F"/>
    <w:rsid w:val="006C4BDE"/>
    <w:rsid w:val="006C637F"/>
    <w:rsid w:val="006C64FB"/>
    <w:rsid w:val="006C7EAA"/>
    <w:rsid w:val="006D315E"/>
    <w:rsid w:val="006D5889"/>
    <w:rsid w:val="006D5E4C"/>
    <w:rsid w:val="006D5E5A"/>
    <w:rsid w:val="006D6692"/>
    <w:rsid w:val="006D6D7E"/>
    <w:rsid w:val="006E07C9"/>
    <w:rsid w:val="006E1782"/>
    <w:rsid w:val="006E1B23"/>
    <w:rsid w:val="006E244E"/>
    <w:rsid w:val="006E33DD"/>
    <w:rsid w:val="006E3DC8"/>
    <w:rsid w:val="006E6C46"/>
    <w:rsid w:val="006E7AF7"/>
    <w:rsid w:val="006F225C"/>
    <w:rsid w:val="006F2D8C"/>
    <w:rsid w:val="006F3099"/>
    <w:rsid w:val="006F4BE4"/>
    <w:rsid w:val="006F4FE3"/>
    <w:rsid w:val="006F61D7"/>
    <w:rsid w:val="006F671E"/>
    <w:rsid w:val="00700B4E"/>
    <w:rsid w:val="007012FF"/>
    <w:rsid w:val="00701A95"/>
    <w:rsid w:val="0070249E"/>
    <w:rsid w:val="00702A42"/>
    <w:rsid w:val="0070487E"/>
    <w:rsid w:val="00704E68"/>
    <w:rsid w:val="00705D2C"/>
    <w:rsid w:val="007077A0"/>
    <w:rsid w:val="0071474D"/>
    <w:rsid w:val="007155F9"/>
    <w:rsid w:val="00717B10"/>
    <w:rsid w:val="00720579"/>
    <w:rsid w:val="0072177E"/>
    <w:rsid w:val="00721B9A"/>
    <w:rsid w:val="00723EFF"/>
    <w:rsid w:val="0072528D"/>
    <w:rsid w:val="007255BE"/>
    <w:rsid w:val="007262A2"/>
    <w:rsid w:val="007270A5"/>
    <w:rsid w:val="00727DCC"/>
    <w:rsid w:val="0073236D"/>
    <w:rsid w:val="007330EB"/>
    <w:rsid w:val="00733B84"/>
    <w:rsid w:val="0073441A"/>
    <w:rsid w:val="0073454A"/>
    <w:rsid w:val="00734929"/>
    <w:rsid w:val="0074039E"/>
    <w:rsid w:val="00742C43"/>
    <w:rsid w:val="007439D3"/>
    <w:rsid w:val="00743E19"/>
    <w:rsid w:val="007443A1"/>
    <w:rsid w:val="00745A54"/>
    <w:rsid w:val="007466A9"/>
    <w:rsid w:val="00746743"/>
    <w:rsid w:val="00752AF2"/>
    <w:rsid w:val="007531A2"/>
    <w:rsid w:val="00755422"/>
    <w:rsid w:val="007568CF"/>
    <w:rsid w:val="00757FCF"/>
    <w:rsid w:val="007606C2"/>
    <w:rsid w:val="0076129B"/>
    <w:rsid w:val="007617C7"/>
    <w:rsid w:val="00762A44"/>
    <w:rsid w:val="0076396E"/>
    <w:rsid w:val="00763CC4"/>
    <w:rsid w:val="00764275"/>
    <w:rsid w:val="00766154"/>
    <w:rsid w:val="00766702"/>
    <w:rsid w:val="00767617"/>
    <w:rsid w:val="00767A85"/>
    <w:rsid w:val="007712D2"/>
    <w:rsid w:val="007726D9"/>
    <w:rsid w:val="00774632"/>
    <w:rsid w:val="00774C2B"/>
    <w:rsid w:val="00775998"/>
    <w:rsid w:val="007768FC"/>
    <w:rsid w:val="007771B6"/>
    <w:rsid w:val="00777F9E"/>
    <w:rsid w:val="00777FD2"/>
    <w:rsid w:val="007827B0"/>
    <w:rsid w:val="00782EAC"/>
    <w:rsid w:val="0078364E"/>
    <w:rsid w:val="00784443"/>
    <w:rsid w:val="00784DC0"/>
    <w:rsid w:val="00791C6A"/>
    <w:rsid w:val="00791E68"/>
    <w:rsid w:val="00793201"/>
    <w:rsid w:val="00794608"/>
    <w:rsid w:val="007A10EF"/>
    <w:rsid w:val="007A131E"/>
    <w:rsid w:val="007A19D1"/>
    <w:rsid w:val="007A1ED6"/>
    <w:rsid w:val="007A3B0B"/>
    <w:rsid w:val="007A3F02"/>
    <w:rsid w:val="007A4793"/>
    <w:rsid w:val="007A4FE6"/>
    <w:rsid w:val="007B09A6"/>
    <w:rsid w:val="007B1A30"/>
    <w:rsid w:val="007B203C"/>
    <w:rsid w:val="007B3598"/>
    <w:rsid w:val="007B42F5"/>
    <w:rsid w:val="007B5431"/>
    <w:rsid w:val="007B6919"/>
    <w:rsid w:val="007B7176"/>
    <w:rsid w:val="007B74A1"/>
    <w:rsid w:val="007C2593"/>
    <w:rsid w:val="007C262F"/>
    <w:rsid w:val="007C6D85"/>
    <w:rsid w:val="007C6FEA"/>
    <w:rsid w:val="007C7908"/>
    <w:rsid w:val="007C791F"/>
    <w:rsid w:val="007D0282"/>
    <w:rsid w:val="007D176B"/>
    <w:rsid w:val="007D300B"/>
    <w:rsid w:val="007D3C7F"/>
    <w:rsid w:val="007D3C84"/>
    <w:rsid w:val="007D4376"/>
    <w:rsid w:val="007D5267"/>
    <w:rsid w:val="007D52D7"/>
    <w:rsid w:val="007D53F4"/>
    <w:rsid w:val="007D5432"/>
    <w:rsid w:val="007D5DBE"/>
    <w:rsid w:val="007D7CED"/>
    <w:rsid w:val="007E0358"/>
    <w:rsid w:val="007E2426"/>
    <w:rsid w:val="007E250D"/>
    <w:rsid w:val="007E267D"/>
    <w:rsid w:val="007E5005"/>
    <w:rsid w:val="007F0609"/>
    <w:rsid w:val="007F0B5A"/>
    <w:rsid w:val="007F0E0E"/>
    <w:rsid w:val="007F17D0"/>
    <w:rsid w:val="007F2A0E"/>
    <w:rsid w:val="007F3E9E"/>
    <w:rsid w:val="007F4F94"/>
    <w:rsid w:val="007F56F8"/>
    <w:rsid w:val="007F63E0"/>
    <w:rsid w:val="007F7E73"/>
    <w:rsid w:val="008035BC"/>
    <w:rsid w:val="00803EF4"/>
    <w:rsid w:val="00804049"/>
    <w:rsid w:val="00805340"/>
    <w:rsid w:val="00806F0A"/>
    <w:rsid w:val="00806FE1"/>
    <w:rsid w:val="008073A5"/>
    <w:rsid w:val="00811085"/>
    <w:rsid w:val="00811A73"/>
    <w:rsid w:val="00811AC3"/>
    <w:rsid w:val="00812E3F"/>
    <w:rsid w:val="00813085"/>
    <w:rsid w:val="00813A5D"/>
    <w:rsid w:val="00813F3A"/>
    <w:rsid w:val="00816C95"/>
    <w:rsid w:val="00817D7E"/>
    <w:rsid w:val="008219B8"/>
    <w:rsid w:val="00822C42"/>
    <w:rsid w:val="00823E16"/>
    <w:rsid w:val="0082440B"/>
    <w:rsid w:val="00825704"/>
    <w:rsid w:val="00826D07"/>
    <w:rsid w:val="0083022A"/>
    <w:rsid w:val="00831037"/>
    <w:rsid w:val="00832C2C"/>
    <w:rsid w:val="00836C6E"/>
    <w:rsid w:val="00837802"/>
    <w:rsid w:val="00837CA8"/>
    <w:rsid w:val="00837D94"/>
    <w:rsid w:val="00840B5C"/>
    <w:rsid w:val="0084206E"/>
    <w:rsid w:val="00846B4A"/>
    <w:rsid w:val="00846D08"/>
    <w:rsid w:val="00846E98"/>
    <w:rsid w:val="00851162"/>
    <w:rsid w:val="00852622"/>
    <w:rsid w:val="008551B5"/>
    <w:rsid w:val="0085609E"/>
    <w:rsid w:val="00856FCB"/>
    <w:rsid w:val="00860339"/>
    <w:rsid w:val="00860BB3"/>
    <w:rsid w:val="00863870"/>
    <w:rsid w:val="008646F2"/>
    <w:rsid w:val="00864DA2"/>
    <w:rsid w:val="008660F7"/>
    <w:rsid w:val="00872ABD"/>
    <w:rsid w:val="008733CD"/>
    <w:rsid w:val="008740E5"/>
    <w:rsid w:val="00876C82"/>
    <w:rsid w:val="00877C56"/>
    <w:rsid w:val="00881CBC"/>
    <w:rsid w:val="00882E86"/>
    <w:rsid w:val="008835B8"/>
    <w:rsid w:val="0088389D"/>
    <w:rsid w:val="00884436"/>
    <w:rsid w:val="00885183"/>
    <w:rsid w:val="00885BE8"/>
    <w:rsid w:val="0088634D"/>
    <w:rsid w:val="008871E0"/>
    <w:rsid w:val="0088733A"/>
    <w:rsid w:val="00887E77"/>
    <w:rsid w:val="008912D2"/>
    <w:rsid w:val="0089385E"/>
    <w:rsid w:val="008946C0"/>
    <w:rsid w:val="00896935"/>
    <w:rsid w:val="008A06C0"/>
    <w:rsid w:val="008A2AAE"/>
    <w:rsid w:val="008A417F"/>
    <w:rsid w:val="008A438B"/>
    <w:rsid w:val="008A55CB"/>
    <w:rsid w:val="008A56B1"/>
    <w:rsid w:val="008A6537"/>
    <w:rsid w:val="008A6BF0"/>
    <w:rsid w:val="008A6C9F"/>
    <w:rsid w:val="008A6D4F"/>
    <w:rsid w:val="008A7A8B"/>
    <w:rsid w:val="008B4660"/>
    <w:rsid w:val="008B6A8E"/>
    <w:rsid w:val="008B6BA5"/>
    <w:rsid w:val="008C045D"/>
    <w:rsid w:val="008C089A"/>
    <w:rsid w:val="008C16E9"/>
    <w:rsid w:val="008C1719"/>
    <w:rsid w:val="008C3F17"/>
    <w:rsid w:val="008C4E6C"/>
    <w:rsid w:val="008C54F2"/>
    <w:rsid w:val="008C6E33"/>
    <w:rsid w:val="008C70D7"/>
    <w:rsid w:val="008C7337"/>
    <w:rsid w:val="008D09C9"/>
    <w:rsid w:val="008D0D4D"/>
    <w:rsid w:val="008D2080"/>
    <w:rsid w:val="008D2647"/>
    <w:rsid w:val="008D2C1A"/>
    <w:rsid w:val="008D3A2A"/>
    <w:rsid w:val="008D46EB"/>
    <w:rsid w:val="008D4B1C"/>
    <w:rsid w:val="008D4D6D"/>
    <w:rsid w:val="008D7565"/>
    <w:rsid w:val="008E0288"/>
    <w:rsid w:val="008E0926"/>
    <w:rsid w:val="008E1328"/>
    <w:rsid w:val="008E3A86"/>
    <w:rsid w:val="008E5411"/>
    <w:rsid w:val="008E5695"/>
    <w:rsid w:val="008E6415"/>
    <w:rsid w:val="008E72CC"/>
    <w:rsid w:val="008F085F"/>
    <w:rsid w:val="008F0A0C"/>
    <w:rsid w:val="008F0B6E"/>
    <w:rsid w:val="008F0D14"/>
    <w:rsid w:val="008F4D8B"/>
    <w:rsid w:val="0090095D"/>
    <w:rsid w:val="00900D66"/>
    <w:rsid w:val="00901308"/>
    <w:rsid w:val="00901D0F"/>
    <w:rsid w:val="0090268E"/>
    <w:rsid w:val="009057FD"/>
    <w:rsid w:val="00906CC0"/>
    <w:rsid w:val="009078AA"/>
    <w:rsid w:val="009078D8"/>
    <w:rsid w:val="00910939"/>
    <w:rsid w:val="00910FD4"/>
    <w:rsid w:val="009110C0"/>
    <w:rsid w:val="00912046"/>
    <w:rsid w:val="009122DC"/>
    <w:rsid w:val="00912E67"/>
    <w:rsid w:val="00913024"/>
    <w:rsid w:val="009153A8"/>
    <w:rsid w:val="00915746"/>
    <w:rsid w:val="0092029B"/>
    <w:rsid w:val="00920593"/>
    <w:rsid w:val="00924B02"/>
    <w:rsid w:val="00926D2E"/>
    <w:rsid w:val="0093150F"/>
    <w:rsid w:val="0093160F"/>
    <w:rsid w:val="00932493"/>
    <w:rsid w:val="00933350"/>
    <w:rsid w:val="00933E94"/>
    <w:rsid w:val="009354C3"/>
    <w:rsid w:val="009356CD"/>
    <w:rsid w:val="009360EF"/>
    <w:rsid w:val="00936715"/>
    <w:rsid w:val="00936A4A"/>
    <w:rsid w:val="00936D7A"/>
    <w:rsid w:val="00937066"/>
    <w:rsid w:val="00943A2D"/>
    <w:rsid w:val="00944B6C"/>
    <w:rsid w:val="00945425"/>
    <w:rsid w:val="00945AC1"/>
    <w:rsid w:val="0094709B"/>
    <w:rsid w:val="00950F6F"/>
    <w:rsid w:val="00951007"/>
    <w:rsid w:val="00951589"/>
    <w:rsid w:val="00951FEE"/>
    <w:rsid w:val="00954AB5"/>
    <w:rsid w:val="00956B16"/>
    <w:rsid w:val="009571D4"/>
    <w:rsid w:val="00957F1A"/>
    <w:rsid w:val="009606E6"/>
    <w:rsid w:val="00960842"/>
    <w:rsid w:val="009615C0"/>
    <w:rsid w:val="009626CC"/>
    <w:rsid w:val="00964C32"/>
    <w:rsid w:val="00965C9D"/>
    <w:rsid w:val="00966A8A"/>
    <w:rsid w:val="00971BDE"/>
    <w:rsid w:val="009722C3"/>
    <w:rsid w:val="00972C43"/>
    <w:rsid w:val="009739F6"/>
    <w:rsid w:val="00974111"/>
    <w:rsid w:val="00976F30"/>
    <w:rsid w:val="00981138"/>
    <w:rsid w:val="00983989"/>
    <w:rsid w:val="009842C7"/>
    <w:rsid w:val="00984B3F"/>
    <w:rsid w:val="00985676"/>
    <w:rsid w:val="00985FD9"/>
    <w:rsid w:val="0098656D"/>
    <w:rsid w:val="00986DAE"/>
    <w:rsid w:val="0098757E"/>
    <w:rsid w:val="0098780C"/>
    <w:rsid w:val="009913EE"/>
    <w:rsid w:val="0099410A"/>
    <w:rsid w:val="0099415C"/>
    <w:rsid w:val="00994ABA"/>
    <w:rsid w:val="00994BD2"/>
    <w:rsid w:val="0099764C"/>
    <w:rsid w:val="009A0DD0"/>
    <w:rsid w:val="009A469B"/>
    <w:rsid w:val="009A4B32"/>
    <w:rsid w:val="009A62DC"/>
    <w:rsid w:val="009B2108"/>
    <w:rsid w:val="009B218F"/>
    <w:rsid w:val="009B331B"/>
    <w:rsid w:val="009B3D9B"/>
    <w:rsid w:val="009B569E"/>
    <w:rsid w:val="009B6061"/>
    <w:rsid w:val="009B7F5B"/>
    <w:rsid w:val="009C06CE"/>
    <w:rsid w:val="009C0AA6"/>
    <w:rsid w:val="009C0CBF"/>
    <w:rsid w:val="009C166A"/>
    <w:rsid w:val="009C4122"/>
    <w:rsid w:val="009C5101"/>
    <w:rsid w:val="009C54A4"/>
    <w:rsid w:val="009C694B"/>
    <w:rsid w:val="009C75C3"/>
    <w:rsid w:val="009D0C10"/>
    <w:rsid w:val="009D0DC8"/>
    <w:rsid w:val="009D0E5A"/>
    <w:rsid w:val="009D14B7"/>
    <w:rsid w:val="009D2145"/>
    <w:rsid w:val="009D244A"/>
    <w:rsid w:val="009D3224"/>
    <w:rsid w:val="009D597D"/>
    <w:rsid w:val="009D68D1"/>
    <w:rsid w:val="009D6936"/>
    <w:rsid w:val="009D74A7"/>
    <w:rsid w:val="009E02B7"/>
    <w:rsid w:val="009E063C"/>
    <w:rsid w:val="009E0700"/>
    <w:rsid w:val="009E3917"/>
    <w:rsid w:val="009E421B"/>
    <w:rsid w:val="009E4436"/>
    <w:rsid w:val="009E49BB"/>
    <w:rsid w:val="009E534F"/>
    <w:rsid w:val="009E56A2"/>
    <w:rsid w:val="009E63B6"/>
    <w:rsid w:val="009E64A1"/>
    <w:rsid w:val="009E6BFE"/>
    <w:rsid w:val="009E783B"/>
    <w:rsid w:val="009E7BAE"/>
    <w:rsid w:val="009F0361"/>
    <w:rsid w:val="009F1214"/>
    <w:rsid w:val="009F1CF8"/>
    <w:rsid w:val="009F3AAD"/>
    <w:rsid w:val="009F4C92"/>
    <w:rsid w:val="009F52F6"/>
    <w:rsid w:val="009F5DFD"/>
    <w:rsid w:val="009F628B"/>
    <w:rsid w:val="009F7085"/>
    <w:rsid w:val="009F74E5"/>
    <w:rsid w:val="00A00343"/>
    <w:rsid w:val="00A00EFA"/>
    <w:rsid w:val="00A014EE"/>
    <w:rsid w:val="00A02A29"/>
    <w:rsid w:val="00A04A1E"/>
    <w:rsid w:val="00A04A27"/>
    <w:rsid w:val="00A112A0"/>
    <w:rsid w:val="00A1182A"/>
    <w:rsid w:val="00A1517C"/>
    <w:rsid w:val="00A16853"/>
    <w:rsid w:val="00A16952"/>
    <w:rsid w:val="00A1697B"/>
    <w:rsid w:val="00A17746"/>
    <w:rsid w:val="00A17A7F"/>
    <w:rsid w:val="00A20499"/>
    <w:rsid w:val="00A20AB1"/>
    <w:rsid w:val="00A20F0F"/>
    <w:rsid w:val="00A229BE"/>
    <w:rsid w:val="00A24371"/>
    <w:rsid w:val="00A252E0"/>
    <w:rsid w:val="00A30051"/>
    <w:rsid w:val="00A30B3C"/>
    <w:rsid w:val="00A30C52"/>
    <w:rsid w:val="00A30CEB"/>
    <w:rsid w:val="00A32B48"/>
    <w:rsid w:val="00A33A1A"/>
    <w:rsid w:val="00A348DF"/>
    <w:rsid w:val="00A36125"/>
    <w:rsid w:val="00A428F7"/>
    <w:rsid w:val="00A42A1E"/>
    <w:rsid w:val="00A43914"/>
    <w:rsid w:val="00A44970"/>
    <w:rsid w:val="00A47B07"/>
    <w:rsid w:val="00A47BFD"/>
    <w:rsid w:val="00A47D33"/>
    <w:rsid w:val="00A5001F"/>
    <w:rsid w:val="00A504F9"/>
    <w:rsid w:val="00A51BAE"/>
    <w:rsid w:val="00A53A01"/>
    <w:rsid w:val="00A53C2E"/>
    <w:rsid w:val="00A54929"/>
    <w:rsid w:val="00A54F3D"/>
    <w:rsid w:val="00A60E15"/>
    <w:rsid w:val="00A63AC6"/>
    <w:rsid w:val="00A65E12"/>
    <w:rsid w:val="00A66C79"/>
    <w:rsid w:val="00A71340"/>
    <w:rsid w:val="00A713FF"/>
    <w:rsid w:val="00A718A1"/>
    <w:rsid w:val="00A72275"/>
    <w:rsid w:val="00A723B2"/>
    <w:rsid w:val="00A74F7D"/>
    <w:rsid w:val="00A75933"/>
    <w:rsid w:val="00A776B4"/>
    <w:rsid w:val="00A80EB8"/>
    <w:rsid w:val="00A81C6A"/>
    <w:rsid w:val="00A82305"/>
    <w:rsid w:val="00A84D9F"/>
    <w:rsid w:val="00A85781"/>
    <w:rsid w:val="00A86FC7"/>
    <w:rsid w:val="00A9031F"/>
    <w:rsid w:val="00A90BE0"/>
    <w:rsid w:val="00A91B98"/>
    <w:rsid w:val="00A927E0"/>
    <w:rsid w:val="00A9482C"/>
    <w:rsid w:val="00A955E9"/>
    <w:rsid w:val="00A95DF2"/>
    <w:rsid w:val="00A96DA0"/>
    <w:rsid w:val="00A974F5"/>
    <w:rsid w:val="00AA1BB5"/>
    <w:rsid w:val="00AA2574"/>
    <w:rsid w:val="00AA2B57"/>
    <w:rsid w:val="00AA3006"/>
    <w:rsid w:val="00AA330F"/>
    <w:rsid w:val="00AA3485"/>
    <w:rsid w:val="00AA38FB"/>
    <w:rsid w:val="00AA3E3A"/>
    <w:rsid w:val="00AA432F"/>
    <w:rsid w:val="00AA7098"/>
    <w:rsid w:val="00AB21DC"/>
    <w:rsid w:val="00AB4974"/>
    <w:rsid w:val="00AB59A8"/>
    <w:rsid w:val="00AB6A40"/>
    <w:rsid w:val="00AB6EE9"/>
    <w:rsid w:val="00AB6FE4"/>
    <w:rsid w:val="00AB7443"/>
    <w:rsid w:val="00AC1DE4"/>
    <w:rsid w:val="00AC44E4"/>
    <w:rsid w:val="00AC44FE"/>
    <w:rsid w:val="00AC48E4"/>
    <w:rsid w:val="00AC58C8"/>
    <w:rsid w:val="00AC5A54"/>
    <w:rsid w:val="00AC65D5"/>
    <w:rsid w:val="00AD00D6"/>
    <w:rsid w:val="00AD0224"/>
    <w:rsid w:val="00AD4FB6"/>
    <w:rsid w:val="00AD6CC4"/>
    <w:rsid w:val="00AD721B"/>
    <w:rsid w:val="00AD73EB"/>
    <w:rsid w:val="00AE26BA"/>
    <w:rsid w:val="00AE29C5"/>
    <w:rsid w:val="00AE4275"/>
    <w:rsid w:val="00AE44F6"/>
    <w:rsid w:val="00AE4762"/>
    <w:rsid w:val="00AE6CA9"/>
    <w:rsid w:val="00AE7D51"/>
    <w:rsid w:val="00AF43F4"/>
    <w:rsid w:val="00AF57C2"/>
    <w:rsid w:val="00AF7CC3"/>
    <w:rsid w:val="00AF7ED9"/>
    <w:rsid w:val="00B00C33"/>
    <w:rsid w:val="00B01782"/>
    <w:rsid w:val="00B01A10"/>
    <w:rsid w:val="00B035E8"/>
    <w:rsid w:val="00B03BA7"/>
    <w:rsid w:val="00B0653C"/>
    <w:rsid w:val="00B06DC4"/>
    <w:rsid w:val="00B0765E"/>
    <w:rsid w:val="00B0770D"/>
    <w:rsid w:val="00B1247B"/>
    <w:rsid w:val="00B125A0"/>
    <w:rsid w:val="00B12949"/>
    <w:rsid w:val="00B14478"/>
    <w:rsid w:val="00B15BDA"/>
    <w:rsid w:val="00B16094"/>
    <w:rsid w:val="00B16D14"/>
    <w:rsid w:val="00B2515C"/>
    <w:rsid w:val="00B252B3"/>
    <w:rsid w:val="00B26F2F"/>
    <w:rsid w:val="00B277E5"/>
    <w:rsid w:val="00B27CDF"/>
    <w:rsid w:val="00B312D9"/>
    <w:rsid w:val="00B31F91"/>
    <w:rsid w:val="00B322E9"/>
    <w:rsid w:val="00B32BDA"/>
    <w:rsid w:val="00B359AE"/>
    <w:rsid w:val="00B35F9D"/>
    <w:rsid w:val="00B3610D"/>
    <w:rsid w:val="00B40933"/>
    <w:rsid w:val="00B41178"/>
    <w:rsid w:val="00B42D4B"/>
    <w:rsid w:val="00B43BAE"/>
    <w:rsid w:val="00B44EE1"/>
    <w:rsid w:val="00B4641B"/>
    <w:rsid w:val="00B470D0"/>
    <w:rsid w:val="00B471ED"/>
    <w:rsid w:val="00B477FD"/>
    <w:rsid w:val="00B50DFE"/>
    <w:rsid w:val="00B51057"/>
    <w:rsid w:val="00B5331C"/>
    <w:rsid w:val="00B53A0E"/>
    <w:rsid w:val="00B55249"/>
    <w:rsid w:val="00B57476"/>
    <w:rsid w:val="00B57F09"/>
    <w:rsid w:val="00B60797"/>
    <w:rsid w:val="00B60B71"/>
    <w:rsid w:val="00B616BC"/>
    <w:rsid w:val="00B62544"/>
    <w:rsid w:val="00B636FF"/>
    <w:rsid w:val="00B63CE9"/>
    <w:rsid w:val="00B641D1"/>
    <w:rsid w:val="00B6436B"/>
    <w:rsid w:val="00B64638"/>
    <w:rsid w:val="00B656FA"/>
    <w:rsid w:val="00B66211"/>
    <w:rsid w:val="00B71404"/>
    <w:rsid w:val="00B71A4C"/>
    <w:rsid w:val="00B72E74"/>
    <w:rsid w:val="00B754DE"/>
    <w:rsid w:val="00B80760"/>
    <w:rsid w:val="00B82366"/>
    <w:rsid w:val="00B86A1F"/>
    <w:rsid w:val="00B87DAE"/>
    <w:rsid w:val="00B91F90"/>
    <w:rsid w:val="00B921ED"/>
    <w:rsid w:val="00B93222"/>
    <w:rsid w:val="00B9534F"/>
    <w:rsid w:val="00B953DD"/>
    <w:rsid w:val="00B9576E"/>
    <w:rsid w:val="00B96381"/>
    <w:rsid w:val="00B96F3B"/>
    <w:rsid w:val="00BA0C69"/>
    <w:rsid w:val="00BA1865"/>
    <w:rsid w:val="00BA19C3"/>
    <w:rsid w:val="00BA23FA"/>
    <w:rsid w:val="00BA4027"/>
    <w:rsid w:val="00BA5407"/>
    <w:rsid w:val="00BA5A52"/>
    <w:rsid w:val="00BA7C01"/>
    <w:rsid w:val="00BB0B3B"/>
    <w:rsid w:val="00BB0E1B"/>
    <w:rsid w:val="00BB3235"/>
    <w:rsid w:val="00BB362A"/>
    <w:rsid w:val="00BB3FA3"/>
    <w:rsid w:val="00BB4176"/>
    <w:rsid w:val="00BB494B"/>
    <w:rsid w:val="00BB5152"/>
    <w:rsid w:val="00BB62B1"/>
    <w:rsid w:val="00BB638A"/>
    <w:rsid w:val="00BB69C4"/>
    <w:rsid w:val="00BC120E"/>
    <w:rsid w:val="00BC1801"/>
    <w:rsid w:val="00BC2B86"/>
    <w:rsid w:val="00BC3F2D"/>
    <w:rsid w:val="00BC4486"/>
    <w:rsid w:val="00BC58C5"/>
    <w:rsid w:val="00BC5BAF"/>
    <w:rsid w:val="00BC6293"/>
    <w:rsid w:val="00BD0BD3"/>
    <w:rsid w:val="00BD0F25"/>
    <w:rsid w:val="00BD38EC"/>
    <w:rsid w:val="00BD43A7"/>
    <w:rsid w:val="00BD605B"/>
    <w:rsid w:val="00BE073F"/>
    <w:rsid w:val="00BE0E14"/>
    <w:rsid w:val="00BE1913"/>
    <w:rsid w:val="00BE1DA6"/>
    <w:rsid w:val="00BE28E8"/>
    <w:rsid w:val="00BE2C76"/>
    <w:rsid w:val="00BE46C4"/>
    <w:rsid w:val="00BE4E97"/>
    <w:rsid w:val="00BE779D"/>
    <w:rsid w:val="00BF05F7"/>
    <w:rsid w:val="00BF08F6"/>
    <w:rsid w:val="00BF0B89"/>
    <w:rsid w:val="00BF0CCF"/>
    <w:rsid w:val="00BF16D4"/>
    <w:rsid w:val="00BF187B"/>
    <w:rsid w:val="00BF20BB"/>
    <w:rsid w:val="00BF32C9"/>
    <w:rsid w:val="00BF3DF4"/>
    <w:rsid w:val="00BF3E1E"/>
    <w:rsid w:val="00BF52E6"/>
    <w:rsid w:val="00BF5871"/>
    <w:rsid w:val="00BF652C"/>
    <w:rsid w:val="00BF734A"/>
    <w:rsid w:val="00C0025D"/>
    <w:rsid w:val="00C003E9"/>
    <w:rsid w:val="00C007EE"/>
    <w:rsid w:val="00C033FA"/>
    <w:rsid w:val="00C03B98"/>
    <w:rsid w:val="00C041B9"/>
    <w:rsid w:val="00C05A09"/>
    <w:rsid w:val="00C077DB"/>
    <w:rsid w:val="00C07E1B"/>
    <w:rsid w:val="00C11030"/>
    <w:rsid w:val="00C113FD"/>
    <w:rsid w:val="00C1222A"/>
    <w:rsid w:val="00C130B0"/>
    <w:rsid w:val="00C1425B"/>
    <w:rsid w:val="00C148B9"/>
    <w:rsid w:val="00C177FD"/>
    <w:rsid w:val="00C17AAE"/>
    <w:rsid w:val="00C2036E"/>
    <w:rsid w:val="00C22D2F"/>
    <w:rsid w:val="00C24583"/>
    <w:rsid w:val="00C2583C"/>
    <w:rsid w:val="00C25FF1"/>
    <w:rsid w:val="00C27FC6"/>
    <w:rsid w:val="00C30A18"/>
    <w:rsid w:val="00C3268E"/>
    <w:rsid w:val="00C34AAE"/>
    <w:rsid w:val="00C34B8C"/>
    <w:rsid w:val="00C356F1"/>
    <w:rsid w:val="00C360AD"/>
    <w:rsid w:val="00C36442"/>
    <w:rsid w:val="00C37251"/>
    <w:rsid w:val="00C3787E"/>
    <w:rsid w:val="00C40353"/>
    <w:rsid w:val="00C41EA6"/>
    <w:rsid w:val="00C42DF0"/>
    <w:rsid w:val="00C436F4"/>
    <w:rsid w:val="00C43B70"/>
    <w:rsid w:val="00C43F8F"/>
    <w:rsid w:val="00C449CD"/>
    <w:rsid w:val="00C5222C"/>
    <w:rsid w:val="00C52854"/>
    <w:rsid w:val="00C54C9C"/>
    <w:rsid w:val="00C555B3"/>
    <w:rsid w:val="00C56A75"/>
    <w:rsid w:val="00C60045"/>
    <w:rsid w:val="00C6020C"/>
    <w:rsid w:val="00C610F4"/>
    <w:rsid w:val="00C6119E"/>
    <w:rsid w:val="00C612FC"/>
    <w:rsid w:val="00C61612"/>
    <w:rsid w:val="00C62210"/>
    <w:rsid w:val="00C62B1A"/>
    <w:rsid w:val="00C62E8F"/>
    <w:rsid w:val="00C63999"/>
    <w:rsid w:val="00C63A00"/>
    <w:rsid w:val="00C64193"/>
    <w:rsid w:val="00C67583"/>
    <w:rsid w:val="00C67E1E"/>
    <w:rsid w:val="00C72D2D"/>
    <w:rsid w:val="00C73386"/>
    <w:rsid w:val="00C747E2"/>
    <w:rsid w:val="00C77C14"/>
    <w:rsid w:val="00C80C1A"/>
    <w:rsid w:val="00C812B5"/>
    <w:rsid w:val="00C81865"/>
    <w:rsid w:val="00C81AE9"/>
    <w:rsid w:val="00C81F71"/>
    <w:rsid w:val="00C8264F"/>
    <w:rsid w:val="00C83BA0"/>
    <w:rsid w:val="00C84746"/>
    <w:rsid w:val="00C85191"/>
    <w:rsid w:val="00C86580"/>
    <w:rsid w:val="00C8742B"/>
    <w:rsid w:val="00C91B4C"/>
    <w:rsid w:val="00C91C35"/>
    <w:rsid w:val="00C91CE8"/>
    <w:rsid w:val="00C91CEE"/>
    <w:rsid w:val="00C94608"/>
    <w:rsid w:val="00C94ED9"/>
    <w:rsid w:val="00C962AF"/>
    <w:rsid w:val="00C96AFB"/>
    <w:rsid w:val="00C96DA5"/>
    <w:rsid w:val="00C96DE1"/>
    <w:rsid w:val="00C97358"/>
    <w:rsid w:val="00CA2356"/>
    <w:rsid w:val="00CA433A"/>
    <w:rsid w:val="00CA4684"/>
    <w:rsid w:val="00CA4D3C"/>
    <w:rsid w:val="00CA6D16"/>
    <w:rsid w:val="00CB1410"/>
    <w:rsid w:val="00CB15B9"/>
    <w:rsid w:val="00CB1DCC"/>
    <w:rsid w:val="00CB2AE2"/>
    <w:rsid w:val="00CB2E5C"/>
    <w:rsid w:val="00CB30C6"/>
    <w:rsid w:val="00CC0F07"/>
    <w:rsid w:val="00CC13A1"/>
    <w:rsid w:val="00CC3A73"/>
    <w:rsid w:val="00CC47F0"/>
    <w:rsid w:val="00CC6A70"/>
    <w:rsid w:val="00CC6E92"/>
    <w:rsid w:val="00CC7117"/>
    <w:rsid w:val="00CD25FA"/>
    <w:rsid w:val="00CD44F1"/>
    <w:rsid w:val="00CD575C"/>
    <w:rsid w:val="00CD601C"/>
    <w:rsid w:val="00CD754B"/>
    <w:rsid w:val="00CD7709"/>
    <w:rsid w:val="00CE0C92"/>
    <w:rsid w:val="00CE403E"/>
    <w:rsid w:val="00CE4331"/>
    <w:rsid w:val="00CE4595"/>
    <w:rsid w:val="00CE7907"/>
    <w:rsid w:val="00CF0346"/>
    <w:rsid w:val="00CF06DF"/>
    <w:rsid w:val="00CF14E5"/>
    <w:rsid w:val="00CF1BD5"/>
    <w:rsid w:val="00CF3477"/>
    <w:rsid w:val="00CF57DC"/>
    <w:rsid w:val="00CF588E"/>
    <w:rsid w:val="00CF6608"/>
    <w:rsid w:val="00CF6807"/>
    <w:rsid w:val="00D0057F"/>
    <w:rsid w:val="00D03CE1"/>
    <w:rsid w:val="00D03E71"/>
    <w:rsid w:val="00D04123"/>
    <w:rsid w:val="00D04703"/>
    <w:rsid w:val="00D04869"/>
    <w:rsid w:val="00D121DE"/>
    <w:rsid w:val="00D121F8"/>
    <w:rsid w:val="00D1283A"/>
    <w:rsid w:val="00D12C5E"/>
    <w:rsid w:val="00D13951"/>
    <w:rsid w:val="00D13975"/>
    <w:rsid w:val="00D15F98"/>
    <w:rsid w:val="00D16392"/>
    <w:rsid w:val="00D165DA"/>
    <w:rsid w:val="00D17742"/>
    <w:rsid w:val="00D17B5A"/>
    <w:rsid w:val="00D20725"/>
    <w:rsid w:val="00D218A2"/>
    <w:rsid w:val="00D23028"/>
    <w:rsid w:val="00D23E08"/>
    <w:rsid w:val="00D268A7"/>
    <w:rsid w:val="00D26B63"/>
    <w:rsid w:val="00D320F7"/>
    <w:rsid w:val="00D32748"/>
    <w:rsid w:val="00D3373E"/>
    <w:rsid w:val="00D34B5B"/>
    <w:rsid w:val="00D35057"/>
    <w:rsid w:val="00D356BE"/>
    <w:rsid w:val="00D402D8"/>
    <w:rsid w:val="00D40823"/>
    <w:rsid w:val="00D40FA4"/>
    <w:rsid w:val="00D420E3"/>
    <w:rsid w:val="00D42BE9"/>
    <w:rsid w:val="00D4438D"/>
    <w:rsid w:val="00D44C98"/>
    <w:rsid w:val="00D50AF3"/>
    <w:rsid w:val="00D51136"/>
    <w:rsid w:val="00D53452"/>
    <w:rsid w:val="00D5461F"/>
    <w:rsid w:val="00D5500B"/>
    <w:rsid w:val="00D5559D"/>
    <w:rsid w:val="00D56211"/>
    <w:rsid w:val="00D56F72"/>
    <w:rsid w:val="00D57361"/>
    <w:rsid w:val="00D6218C"/>
    <w:rsid w:val="00D6248F"/>
    <w:rsid w:val="00D64F33"/>
    <w:rsid w:val="00D65221"/>
    <w:rsid w:val="00D67CAA"/>
    <w:rsid w:val="00D706CD"/>
    <w:rsid w:val="00D7181E"/>
    <w:rsid w:val="00D71E0A"/>
    <w:rsid w:val="00D725BB"/>
    <w:rsid w:val="00D72DFA"/>
    <w:rsid w:val="00D735AF"/>
    <w:rsid w:val="00D74E49"/>
    <w:rsid w:val="00D756CC"/>
    <w:rsid w:val="00D773C9"/>
    <w:rsid w:val="00D77905"/>
    <w:rsid w:val="00D77A40"/>
    <w:rsid w:val="00D80789"/>
    <w:rsid w:val="00D81DBA"/>
    <w:rsid w:val="00D822DF"/>
    <w:rsid w:val="00D824FD"/>
    <w:rsid w:val="00D8466B"/>
    <w:rsid w:val="00D852D2"/>
    <w:rsid w:val="00D85957"/>
    <w:rsid w:val="00D859AF"/>
    <w:rsid w:val="00D87601"/>
    <w:rsid w:val="00D91810"/>
    <w:rsid w:val="00D918B7"/>
    <w:rsid w:val="00D9211D"/>
    <w:rsid w:val="00D927E4"/>
    <w:rsid w:val="00D935F6"/>
    <w:rsid w:val="00D93CDF"/>
    <w:rsid w:val="00D94C34"/>
    <w:rsid w:val="00D955EC"/>
    <w:rsid w:val="00DA015A"/>
    <w:rsid w:val="00DA0564"/>
    <w:rsid w:val="00DA3EA3"/>
    <w:rsid w:val="00DA3F98"/>
    <w:rsid w:val="00DA5123"/>
    <w:rsid w:val="00DA5C41"/>
    <w:rsid w:val="00DA698F"/>
    <w:rsid w:val="00DB1245"/>
    <w:rsid w:val="00DB366F"/>
    <w:rsid w:val="00DB3CA1"/>
    <w:rsid w:val="00DB49FD"/>
    <w:rsid w:val="00DB61F2"/>
    <w:rsid w:val="00DB7491"/>
    <w:rsid w:val="00DB7DEC"/>
    <w:rsid w:val="00DC10AD"/>
    <w:rsid w:val="00DC25DC"/>
    <w:rsid w:val="00DC2E81"/>
    <w:rsid w:val="00DC3A7F"/>
    <w:rsid w:val="00DC478E"/>
    <w:rsid w:val="00DC626C"/>
    <w:rsid w:val="00DC62A5"/>
    <w:rsid w:val="00DC7E7E"/>
    <w:rsid w:val="00DD00E1"/>
    <w:rsid w:val="00DD1229"/>
    <w:rsid w:val="00DD496F"/>
    <w:rsid w:val="00DD5E14"/>
    <w:rsid w:val="00DE2831"/>
    <w:rsid w:val="00DE35ED"/>
    <w:rsid w:val="00DE372D"/>
    <w:rsid w:val="00DE3A41"/>
    <w:rsid w:val="00DE3C17"/>
    <w:rsid w:val="00DE4370"/>
    <w:rsid w:val="00DE4930"/>
    <w:rsid w:val="00DE5E2F"/>
    <w:rsid w:val="00DE6C86"/>
    <w:rsid w:val="00DF004F"/>
    <w:rsid w:val="00DF25B7"/>
    <w:rsid w:val="00DF44A7"/>
    <w:rsid w:val="00DF4CBF"/>
    <w:rsid w:val="00DF65EC"/>
    <w:rsid w:val="00E00BD1"/>
    <w:rsid w:val="00E02C70"/>
    <w:rsid w:val="00E03040"/>
    <w:rsid w:val="00E04D15"/>
    <w:rsid w:val="00E0502C"/>
    <w:rsid w:val="00E06134"/>
    <w:rsid w:val="00E062F6"/>
    <w:rsid w:val="00E06E7E"/>
    <w:rsid w:val="00E1047D"/>
    <w:rsid w:val="00E11269"/>
    <w:rsid w:val="00E1333E"/>
    <w:rsid w:val="00E137E0"/>
    <w:rsid w:val="00E14C6D"/>
    <w:rsid w:val="00E156CB"/>
    <w:rsid w:val="00E15CE3"/>
    <w:rsid w:val="00E1608E"/>
    <w:rsid w:val="00E172A0"/>
    <w:rsid w:val="00E17744"/>
    <w:rsid w:val="00E17A94"/>
    <w:rsid w:val="00E17D42"/>
    <w:rsid w:val="00E208D4"/>
    <w:rsid w:val="00E20DBB"/>
    <w:rsid w:val="00E2346E"/>
    <w:rsid w:val="00E235EF"/>
    <w:rsid w:val="00E23A26"/>
    <w:rsid w:val="00E23FFE"/>
    <w:rsid w:val="00E244A9"/>
    <w:rsid w:val="00E2656C"/>
    <w:rsid w:val="00E32E0E"/>
    <w:rsid w:val="00E3310B"/>
    <w:rsid w:val="00E3556F"/>
    <w:rsid w:val="00E36CDA"/>
    <w:rsid w:val="00E377AD"/>
    <w:rsid w:val="00E403FC"/>
    <w:rsid w:val="00E408A5"/>
    <w:rsid w:val="00E4165A"/>
    <w:rsid w:val="00E427B3"/>
    <w:rsid w:val="00E4718A"/>
    <w:rsid w:val="00E47628"/>
    <w:rsid w:val="00E47933"/>
    <w:rsid w:val="00E504A0"/>
    <w:rsid w:val="00E50D20"/>
    <w:rsid w:val="00E50FF4"/>
    <w:rsid w:val="00E536D5"/>
    <w:rsid w:val="00E538F3"/>
    <w:rsid w:val="00E53C2C"/>
    <w:rsid w:val="00E55D32"/>
    <w:rsid w:val="00E62016"/>
    <w:rsid w:val="00E62426"/>
    <w:rsid w:val="00E63CBF"/>
    <w:rsid w:val="00E6565B"/>
    <w:rsid w:val="00E6638E"/>
    <w:rsid w:val="00E66E3D"/>
    <w:rsid w:val="00E70229"/>
    <w:rsid w:val="00E706F9"/>
    <w:rsid w:val="00E70AC4"/>
    <w:rsid w:val="00E714EC"/>
    <w:rsid w:val="00E74B9F"/>
    <w:rsid w:val="00E75681"/>
    <w:rsid w:val="00E76113"/>
    <w:rsid w:val="00E767AE"/>
    <w:rsid w:val="00E769FE"/>
    <w:rsid w:val="00E772ED"/>
    <w:rsid w:val="00E80E86"/>
    <w:rsid w:val="00E811DE"/>
    <w:rsid w:val="00E82EE4"/>
    <w:rsid w:val="00E8338B"/>
    <w:rsid w:val="00E86E83"/>
    <w:rsid w:val="00E87ACF"/>
    <w:rsid w:val="00E87CEB"/>
    <w:rsid w:val="00E87EA6"/>
    <w:rsid w:val="00E916A1"/>
    <w:rsid w:val="00E91981"/>
    <w:rsid w:val="00E92AD3"/>
    <w:rsid w:val="00E9462B"/>
    <w:rsid w:val="00E95AA6"/>
    <w:rsid w:val="00E961F4"/>
    <w:rsid w:val="00E96443"/>
    <w:rsid w:val="00E968FF"/>
    <w:rsid w:val="00E96A5F"/>
    <w:rsid w:val="00E96E11"/>
    <w:rsid w:val="00EA0C22"/>
    <w:rsid w:val="00EA2936"/>
    <w:rsid w:val="00EA2A3D"/>
    <w:rsid w:val="00EA2C7F"/>
    <w:rsid w:val="00EA2D52"/>
    <w:rsid w:val="00EA311A"/>
    <w:rsid w:val="00EA358B"/>
    <w:rsid w:val="00EA3653"/>
    <w:rsid w:val="00EA43A5"/>
    <w:rsid w:val="00EA5021"/>
    <w:rsid w:val="00EA5174"/>
    <w:rsid w:val="00EA5962"/>
    <w:rsid w:val="00EB0667"/>
    <w:rsid w:val="00EB0AA7"/>
    <w:rsid w:val="00EB1AAA"/>
    <w:rsid w:val="00EB1EAC"/>
    <w:rsid w:val="00EB32BC"/>
    <w:rsid w:val="00EB7F02"/>
    <w:rsid w:val="00EC0730"/>
    <w:rsid w:val="00EC0E86"/>
    <w:rsid w:val="00EC39A8"/>
    <w:rsid w:val="00EC4E24"/>
    <w:rsid w:val="00EC76F2"/>
    <w:rsid w:val="00ED071E"/>
    <w:rsid w:val="00ED420B"/>
    <w:rsid w:val="00ED4CA0"/>
    <w:rsid w:val="00ED62B8"/>
    <w:rsid w:val="00EE3583"/>
    <w:rsid w:val="00EE4F7A"/>
    <w:rsid w:val="00EE7923"/>
    <w:rsid w:val="00EF168A"/>
    <w:rsid w:val="00EF17EB"/>
    <w:rsid w:val="00EF24FE"/>
    <w:rsid w:val="00EF27BA"/>
    <w:rsid w:val="00EF28D5"/>
    <w:rsid w:val="00EF3D85"/>
    <w:rsid w:val="00EF4598"/>
    <w:rsid w:val="00EF4665"/>
    <w:rsid w:val="00EF6859"/>
    <w:rsid w:val="00EF6FA1"/>
    <w:rsid w:val="00EF6FA4"/>
    <w:rsid w:val="00EF75B2"/>
    <w:rsid w:val="00EF78D0"/>
    <w:rsid w:val="00EF7D39"/>
    <w:rsid w:val="00F00231"/>
    <w:rsid w:val="00F0100F"/>
    <w:rsid w:val="00F0128C"/>
    <w:rsid w:val="00F01960"/>
    <w:rsid w:val="00F02DF4"/>
    <w:rsid w:val="00F034F5"/>
    <w:rsid w:val="00F0423A"/>
    <w:rsid w:val="00F04CE3"/>
    <w:rsid w:val="00F05413"/>
    <w:rsid w:val="00F05E05"/>
    <w:rsid w:val="00F06CFA"/>
    <w:rsid w:val="00F07245"/>
    <w:rsid w:val="00F07310"/>
    <w:rsid w:val="00F07939"/>
    <w:rsid w:val="00F10CC0"/>
    <w:rsid w:val="00F123F5"/>
    <w:rsid w:val="00F12F17"/>
    <w:rsid w:val="00F17C38"/>
    <w:rsid w:val="00F20646"/>
    <w:rsid w:val="00F2199C"/>
    <w:rsid w:val="00F22550"/>
    <w:rsid w:val="00F23BC5"/>
    <w:rsid w:val="00F23C74"/>
    <w:rsid w:val="00F24A92"/>
    <w:rsid w:val="00F24ABC"/>
    <w:rsid w:val="00F2588A"/>
    <w:rsid w:val="00F25A00"/>
    <w:rsid w:val="00F2607E"/>
    <w:rsid w:val="00F2631D"/>
    <w:rsid w:val="00F26B59"/>
    <w:rsid w:val="00F320A9"/>
    <w:rsid w:val="00F3251B"/>
    <w:rsid w:val="00F339A7"/>
    <w:rsid w:val="00F354E5"/>
    <w:rsid w:val="00F35CF7"/>
    <w:rsid w:val="00F37CCD"/>
    <w:rsid w:val="00F40EF9"/>
    <w:rsid w:val="00F41095"/>
    <w:rsid w:val="00F42944"/>
    <w:rsid w:val="00F4550D"/>
    <w:rsid w:val="00F5089F"/>
    <w:rsid w:val="00F52254"/>
    <w:rsid w:val="00F52744"/>
    <w:rsid w:val="00F53B12"/>
    <w:rsid w:val="00F53FC0"/>
    <w:rsid w:val="00F54362"/>
    <w:rsid w:val="00F5448D"/>
    <w:rsid w:val="00F567AA"/>
    <w:rsid w:val="00F601E1"/>
    <w:rsid w:val="00F61519"/>
    <w:rsid w:val="00F6403C"/>
    <w:rsid w:val="00F64181"/>
    <w:rsid w:val="00F64FC7"/>
    <w:rsid w:val="00F65437"/>
    <w:rsid w:val="00F65512"/>
    <w:rsid w:val="00F66701"/>
    <w:rsid w:val="00F67F83"/>
    <w:rsid w:val="00F708A7"/>
    <w:rsid w:val="00F7186C"/>
    <w:rsid w:val="00F71957"/>
    <w:rsid w:val="00F727D5"/>
    <w:rsid w:val="00F74083"/>
    <w:rsid w:val="00F7491F"/>
    <w:rsid w:val="00F75733"/>
    <w:rsid w:val="00F76DB2"/>
    <w:rsid w:val="00F800BC"/>
    <w:rsid w:val="00F813D7"/>
    <w:rsid w:val="00F82052"/>
    <w:rsid w:val="00F83B97"/>
    <w:rsid w:val="00F83BDE"/>
    <w:rsid w:val="00F855FF"/>
    <w:rsid w:val="00F85FCF"/>
    <w:rsid w:val="00F91541"/>
    <w:rsid w:val="00F91B2F"/>
    <w:rsid w:val="00F941AE"/>
    <w:rsid w:val="00F947AC"/>
    <w:rsid w:val="00F94C84"/>
    <w:rsid w:val="00F959C0"/>
    <w:rsid w:val="00F95BEC"/>
    <w:rsid w:val="00FA07F7"/>
    <w:rsid w:val="00FA20E9"/>
    <w:rsid w:val="00FA24CA"/>
    <w:rsid w:val="00FA4E37"/>
    <w:rsid w:val="00FA67D9"/>
    <w:rsid w:val="00FA6DE7"/>
    <w:rsid w:val="00FA6FE6"/>
    <w:rsid w:val="00FB11C2"/>
    <w:rsid w:val="00FB254D"/>
    <w:rsid w:val="00FB4165"/>
    <w:rsid w:val="00FB6E5B"/>
    <w:rsid w:val="00FB7099"/>
    <w:rsid w:val="00FB7A6A"/>
    <w:rsid w:val="00FC01DB"/>
    <w:rsid w:val="00FC1423"/>
    <w:rsid w:val="00FC34FC"/>
    <w:rsid w:val="00FC400F"/>
    <w:rsid w:val="00FC5413"/>
    <w:rsid w:val="00FC6658"/>
    <w:rsid w:val="00FD5248"/>
    <w:rsid w:val="00FD599A"/>
    <w:rsid w:val="00FD6210"/>
    <w:rsid w:val="00FE0573"/>
    <w:rsid w:val="00FE0685"/>
    <w:rsid w:val="00FE2159"/>
    <w:rsid w:val="00FE2D3B"/>
    <w:rsid w:val="00FE667D"/>
    <w:rsid w:val="00FE7503"/>
    <w:rsid w:val="00FE7CFA"/>
    <w:rsid w:val="00FF04E2"/>
    <w:rsid w:val="00FF0EB2"/>
    <w:rsid w:val="00FF2668"/>
    <w:rsid w:val="00FF2E6D"/>
    <w:rsid w:val="00FF32A0"/>
    <w:rsid w:val="00FF5CAA"/>
    <w:rsid w:val="00FF6529"/>
    <w:rsid w:val="00FF6701"/>
    <w:rsid w:val="01343053"/>
    <w:rsid w:val="014A057D"/>
    <w:rsid w:val="03A76C40"/>
    <w:rsid w:val="03B4369C"/>
    <w:rsid w:val="0405206C"/>
    <w:rsid w:val="05060E9E"/>
    <w:rsid w:val="05E5740C"/>
    <w:rsid w:val="068A7C8E"/>
    <w:rsid w:val="06B02D91"/>
    <w:rsid w:val="08435E2C"/>
    <w:rsid w:val="0AF14EDC"/>
    <w:rsid w:val="0B673D67"/>
    <w:rsid w:val="0DF65378"/>
    <w:rsid w:val="0EE302AF"/>
    <w:rsid w:val="10025F13"/>
    <w:rsid w:val="115E2C36"/>
    <w:rsid w:val="11611D1D"/>
    <w:rsid w:val="11BF2BBE"/>
    <w:rsid w:val="13E463F4"/>
    <w:rsid w:val="1442252B"/>
    <w:rsid w:val="14446B25"/>
    <w:rsid w:val="146277AD"/>
    <w:rsid w:val="15D562EF"/>
    <w:rsid w:val="17036BA9"/>
    <w:rsid w:val="173F0976"/>
    <w:rsid w:val="1740149A"/>
    <w:rsid w:val="198F06BE"/>
    <w:rsid w:val="1A441855"/>
    <w:rsid w:val="1AE341F1"/>
    <w:rsid w:val="1B105259"/>
    <w:rsid w:val="1BD4775E"/>
    <w:rsid w:val="1C356BC7"/>
    <w:rsid w:val="1CA67F75"/>
    <w:rsid w:val="1D6755D5"/>
    <w:rsid w:val="20370E52"/>
    <w:rsid w:val="21A70049"/>
    <w:rsid w:val="21D64C49"/>
    <w:rsid w:val="22635066"/>
    <w:rsid w:val="2333300C"/>
    <w:rsid w:val="246E7920"/>
    <w:rsid w:val="2569798E"/>
    <w:rsid w:val="258B1BDF"/>
    <w:rsid w:val="260E29A8"/>
    <w:rsid w:val="26EE0DC2"/>
    <w:rsid w:val="273F4BA7"/>
    <w:rsid w:val="2924333B"/>
    <w:rsid w:val="29FE7F10"/>
    <w:rsid w:val="2B9222B7"/>
    <w:rsid w:val="2C502AD4"/>
    <w:rsid w:val="2CE0416C"/>
    <w:rsid w:val="2E2E26CF"/>
    <w:rsid w:val="2E8201E2"/>
    <w:rsid w:val="3027307C"/>
    <w:rsid w:val="319934A8"/>
    <w:rsid w:val="31DE2890"/>
    <w:rsid w:val="34C00702"/>
    <w:rsid w:val="34F636CA"/>
    <w:rsid w:val="3502530E"/>
    <w:rsid w:val="355E46A5"/>
    <w:rsid w:val="35D52250"/>
    <w:rsid w:val="375F52F1"/>
    <w:rsid w:val="37D42B71"/>
    <w:rsid w:val="3A1046FF"/>
    <w:rsid w:val="3A581880"/>
    <w:rsid w:val="3AEA4FDD"/>
    <w:rsid w:val="3B2F4AEA"/>
    <w:rsid w:val="3B51691F"/>
    <w:rsid w:val="3C323E06"/>
    <w:rsid w:val="3CC46BC0"/>
    <w:rsid w:val="3D9E2139"/>
    <w:rsid w:val="3DE80547"/>
    <w:rsid w:val="3F4C78E5"/>
    <w:rsid w:val="4018729C"/>
    <w:rsid w:val="401A5C73"/>
    <w:rsid w:val="42A04DFB"/>
    <w:rsid w:val="42C6490F"/>
    <w:rsid w:val="43EF0EFA"/>
    <w:rsid w:val="44D97A65"/>
    <w:rsid w:val="46DD6D99"/>
    <w:rsid w:val="48513B86"/>
    <w:rsid w:val="49FC332F"/>
    <w:rsid w:val="4B575319"/>
    <w:rsid w:val="4BF974BD"/>
    <w:rsid w:val="4E397F6D"/>
    <w:rsid w:val="4EAA08B5"/>
    <w:rsid w:val="4ED84D4C"/>
    <w:rsid w:val="4F33768C"/>
    <w:rsid w:val="4FC4379F"/>
    <w:rsid w:val="4FEB1502"/>
    <w:rsid w:val="53AB2432"/>
    <w:rsid w:val="53B277FB"/>
    <w:rsid w:val="53F73F9E"/>
    <w:rsid w:val="53FB7A34"/>
    <w:rsid w:val="551F424D"/>
    <w:rsid w:val="57EB4075"/>
    <w:rsid w:val="58175D58"/>
    <w:rsid w:val="58684F59"/>
    <w:rsid w:val="58CC1893"/>
    <w:rsid w:val="59756580"/>
    <w:rsid w:val="597B4289"/>
    <w:rsid w:val="5A4C0CBA"/>
    <w:rsid w:val="5C367840"/>
    <w:rsid w:val="5C3E3127"/>
    <w:rsid w:val="5CD918A0"/>
    <w:rsid w:val="5D10570F"/>
    <w:rsid w:val="5E16006D"/>
    <w:rsid w:val="5E3720D1"/>
    <w:rsid w:val="60247804"/>
    <w:rsid w:val="60302543"/>
    <w:rsid w:val="612930BF"/>
    <w:rsid w:val="617D5E17"/>
    <w:rsid w:val="6218758E"/>
    <w:rsid w:val="625C18F3"/>
    <w:rsid w:val="633D027C"/>
    <w:rsid w:val="63A8507B"/>
    <w:rsid w:val="651D14B7"/>
    <w:rsid w:val="65267BE4"/>
    <w:rsid w:val="65D4223D"/>
    <w:rsid w:val="668726A9"/>
    <w:rsid w:val="67261B49"/>
    <w:rsid w:val="68061047"/>
    <w:rsid w:val="68625E4A"/>
    <w:rsid w:val="68A34CFD"/>
    <w:rsid w:val="69074995"/>
    <w:rsid w:val="692A3B36"/>
    <w:rsid w:val="69B349F1"/>
    <w:rsid w:val="6A4E18ED"/>
    <w:rsid w:val="6A5147D9"/>
    <w:rsid w:val="6B3200CA"/>
    <w:rsid w:val="6C0E507B"/>
    <w:rsid w:val="6C3C057C"/>
    <w:rsid w:val="6CB3729E"/>
    <w:rsid w:val="6CDA4F0C"/>
    <w:rsid w:val="6D2C089F"/>
    <w:rsid w:val="6E441791"/>
    <w:rsid w:val="7177296C"/>
    <w:rsid w:val="71AC7890"/>
    <w:rsid w:val="73613E57"/>
    <w:rsid w:val="7421456E"/>
    <w:rsid w:val="761F5CDA"/>
    <w:rsid w:val="76891742"/>
    <w:rsid w:val="76C319B6"/>
    <w:rsid w:val="77A544E2"/>
    <w:rsid w:val="795C0FB2"/>
    <w:rsid w:val="7CB35BB5"/>
    <w:rsid w:val="7E675CD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qFormat="1" w:unhideWhenUsed="0"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iPriority="0" w:semiHidden="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qFormat="1" w:unhideWhenUsed="0" w:uiPriority="0" w:semiHidden="0" w:name="Table Theme"/>
    <w:lsdException w:qFormat="1"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82"/>
    <w:qFormat/>
    <w:uiPriority w:val="0"/>
    <w:pPr>
      <w:keepNext/>
      <w:keepLines/>
      <w:spacing w:before="100" w:after="100" w:line="360" w:lineRule="auto"/>
      <w:jc w:val="left"/>
      <w:outlineLvl w:val="0"/>
    </w:pPr>
    <w:rPr>
      <w:rFonts w:ascii="Cambria" w:hAnsi="Cambria" w:eastAsia="宋体" w:cs="Times New Roman"/>
      <w:b/>
      <w:bCs/>
      <w:kern w:val="44"/>
      <w:sz w:val="32"/>
      <w:szCs w:val="32"/>
    </w:rPr>
  </w:style>
  <w:style w:type="paragraph" w:styleId="4">
    <w:name w:val="heading 2"/>
    <w:basedOn w:val="1"/>
    <w:next w:val="1"/>
    <w:link w:val="63"/>
    <w:qFormat/>
    <w:uiPriority w:val="0"/>
    <w:pPr>
      <w:keepNext/>
      <w:keepLines/>
      <w:spacing w:before="260" w:after="260" w:line="416" w:lineRule="auto"/>
      <w:outlineLvl w:val="1"/>
    </w:pPr>
    <w:rPr>
      <w:rFonts w:ascii="Arial" w:hAnsi="Arial" w:eastAsia="黑体" w:cs="Times New Roman"/>
      <w:b/>
      <w:bCs/>
      <w:sz w:val="32"/>
      <w:szCs w:val="32"/>
    </w:rPr>
  </w:style>
  <w:style w:type="paragraph" w:styleId="5">
    <w:name w:val="heading 3"/>
    <w:basedOn w:val="1"/>
    <w:next w:val="1"/>
    <w:link w:val="74"/>
    <w:unhideWhenUsed/>
    <w:qFormat/>
    <w:uiPriority w:val="0"/>
    <w:pPr>
      <w:keepNext/>
      <w:keepLines/>
      <w:spacing w:before="260" w:after="260" w:line="416" w:lineRule="auto"/>
      <w:outlineLvl w:val="2"/>
    </w:pPr>
    <w:rPr>
      <w:b/>
      <w:bCs/>
      <w:sz w:val="32"/>
      <w:szCs w:val="32"/>
    </w:rPr>
  </w:style>
  <w:style w:type="paragraph" w:styleId="2">
    <w:name w:val="heading 4"/>
    <w:basedOn w:val="1"/>
    <w:next w:val="1"/>
    <w:link w:val="1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29"/>
    <w:qFormat/>
    <w:uiPriority w:val="0"/>
    <w:pPr>
      <w:keepNext/>
      <w:keepLines/>
      <w:tabs>
        <w:tab w:val="left" w:pos="964"/>
        <w:tab w:val="left" w:pos="1008"/>
      </w:tabs>
      <w:spacing w:before="280" w:after="290" w:line="376" w:lineRule="auto"/>
      <w:ind w:left="964" w:hanging="397"/>
      <w:outlineLvl w:val="4"/>
    </w:pPr>
    <w:rPr>
      <w:rFonts w:ascii="Times New Roman" w:hAnsi="Times New Roman" w:eastAsia="宋体" w:cs="Times New Roman"/>
      <w:b/>
      <w:bCs/>
      <w:sz w:val="28"/>
      <w:szCs w:val="28"/>
    </w:rPr>
  </w:style>
  <w:style w:type="paragraph" w:styleId="7">
    <w:name w:val="heading 6"/>
    <w:basedOn w:val="1"/>
    <w:next w:val="1"/>
    <w:link w:val="130"/>
    <w:qFormat/>
    <w:uiPriority w:val="0"/>
    <w:pPr>
      <w:keepNext/>
      <w:keepLines/>
      <w:tabs>
        <w:tab w:val="left" w:pos="964"/>
        <w:tab w:val="left" w:pos="1152"/>
      </w:tabs>
      <w:spacing w:before="240" w:after="64" w:line="320" w:lineRule="auto"/>
      <w:ind w:left="964" w:hanging="397"/>
      <w:outlineLvl w:val="5"/>
    </w:pPr>
    <w:rPr>
      <w:rFonts w:ascii="Arial" w:hAnsi="Arial" w:eastAsia="黑体" w:cs="Times New Roman"/>
      <w:b/>
      <w:bCs/>
      <w:sz w:val="24"/>
      <w:szCs w:val="20"/>
    </w:rPr>
  </w:style>
  <w:style w:type="paragraph" w:styleId="8">
    <w:name w:val="heading 7"/>
    <w:basedOn w:val="1"/>
    <w:next w:val="1"/>
    <w:link w:val="131"/>
    <w:qFormat/>
    <w:uiPriority w:val="0"/>
    <w:pPr>
      <w:keepNext/>
      <w:keepLines/>
      <w:tabs>
        <w:tab w:val="left" w:pos="964"/>
        <w:tab w:val="left" w:pos="1296"/>
      </w:tabs>
      <w:spacing w:before="240" w:after="64" w:line="320" w:lineRule="auto"/>
      <w:ind w:left="964" w:hanging="397"/>
      <w:outlineLvl w:val="6"/>
    </w:pPr>
    <w:rPr>
      <w:rFonts w:ascii="Times New Roman" w:hAnsi="Times New Roman" w:eastAsia="宋体" w:cs="Times New Roman"/>
      <w:b/>
      <w:bCs/>
      <w:sz w:val="24"/>
      <w:szCs w:val="20"/>
    </w:rPr>
  </w:style>
  <w:style w:type="paragraph" w:styleId="9">
    <w:name w:val="heading 8"/>
    <w:basedOn w:val="1"/>
    <w:next w:val="1"/>
    <w:link w:val="132"/>
    <w:qFormat/>
    <w:uiPriority w:val="0"/>
    <w:pPr>
      <w:keepNext/>
      <w:keepLines/>
      <w:tabs>
        <w:tab w:val="left" w:pos="964"/>
        <w:tab w:val="left" w:pos="1440"/>
      </w:tabs>
      <w:spacing w:before="240" w:after="64" w:line="320" w:lineRule="auto"/>
      <w:ind w:left="964" w:hanging="397"/>
      <w:outlineLvl w:val="7"/>
    </w:pPr>
    <w:rPr>
      <w:rFonts w:ascii="Arial" w:hAnsi="Arial" w:eastAsia="黑体" w:cs="Times New Roman"/>
      <w:sz w:val="24"/>
      <w:szCs w:val="20"/>
    </w:rPr>
  </w:style>
  <w:style w:type="paragraph" w:styleId="10">
    <w:name w:val="heading 9"/>
    <w:basedOn w:val="1"/>
    <w:next w:val="1"/>
    <w:link w:val="133"/>
    <w:qFormat/>
    <w:uiPriority w:val="0"/>
    <w:pPr>
      <w:keepNext/>
      <w:keepLines/>
      <w:tabs>
        <w:tab w:val="left" w:pos="964"/>
        <w:tab w:val="left" w:pos="1584"/>
      </w:tabs>
      <w:spacing w:before="240" w:after="64" w:line="320" w:lineRule="auto"/>
      <w:ind w:left="964" w:hanging="397"/>
      <w:outlineLvl w:val="8"/>
    </w:pPr>
    <w:rPr>
      <w:rFonts w:ascii="Arial" w:hAnsi="Arial" w:eastAsia="黑体" w:cs="Times New Roman"/>
      <w:szCs w:val="21"/>
    </w:rPr>
  </w:style>
  <w:style w:type="character" w:default="1" w:styleId="56">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260"/>
      <w:jc w:val="left"/>
    </w:pPr>
    <w:rPr>
      <w:rFonts w:ascii="Times New Roman" w:hAnsi="Times New Roman" w:eastAsia="宋体" w:cs="Times New Roman"/>
      <w:szCs w:val="21"/>
    </w:rPr>
  </w:style>
  <w:style w:type="paragraph" w:styleId="12">
    <w:name w:val="Note Heading"/>
    <w:basedOn w:val="1"/>
    <w:next w:val="1"/>
    <w:link w:val="134"/>
    <w:qFormat/>
    <w:uiPriority w:val="0"/>
    <w:pPr>
      <w:jc w:val="center"/>
    </w:pPr>
    <w:rPr>
      <w:rFonts w:ascii="Times New Roman" w:hAnsi="Times New Roman" w:eastAsia="宋体" w:cs="Times New Roman"/>
      <w:szCs w:val="20"/>
    </w:rPr>
  </w:style>
  <w:style w:type="paragraph" w:styleId="13">
    <w:name w:val="Normal Indent"/>
    <w:basedOn w:val="1"/>
    <w:link w:val="176"/>
    <w:qFormat/>
    <w:uiPriority w:val="0"/>
    <w:pPr>
      <w:widowControl/>
      <w:ind w:firstLine="420"/>
      <w:jc w:val="left"/>
    </w:pPr>
    <w:rPr>
      <w:rFonts w:ascii="Arial" w:hAnsi="Arial" w:eastAsia="仿宋_GB2312"/>
      <w:sz w:val="24"/>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link w:val="70"/>
    <w:qFormat/>
    <w:uiPriority w:val="99"/>
    <w:rPr>
      <w:rFonts w:ascii="宋体" w:eastAsia="宋体"/>
      <w:sz w:val="18"/>
      <w:szCs w:val="18"/>
    </w:rPr>
  </w:style>
  <w:style w:type="paragraph" w:styleId="16">
    <w:name w:val="toa heading"/>
    <w:basedOn w:val="1"/>
    <w:next w:val="1"/>
    <w:unhideWhenUsed/>
    <w:qFormat/>
    <w:uiPriority w:val="0"/>
    <w:pPr>
      <w:spacing w:before="120"/>
    </w:pPr>
    <w:rPr>
      <w:rFonts w:eastAsia="宋体" w:asciiTheme="majorHAnsi" w:hAnsiTheme="majorHAnsi" w:cstheme="majorBidi"/>
      <w:sz w:val="24"/>
    </w:rPr>
  </w:style>
  <w:style w:type="paragraph" w:styleId="17">
    <w:name w:val="annotation text"/>
    <w:basedOn w:val="1"/>
    <w:link w:val="88"/>
    <w:qFormat/>
    <w:uiPriority w:val="0"/>
    <w:pPr>
      <w:jc w:val="left"/>
    </w:pPr>
  </w:style>
  <w:style w:type="paragraph" w:styleId="18">
    <w:name w:val="index 6"/>
    <w:basedOn w:val="1"/>
    <w:next w:val="1"/>
    <w:semiHidden/>
    <w:qFormat/>
    <w:uiPriority w:val="0"/>
    <w:pPr>
      <w:ind w:left="1000" w:leftChars="1000"/>
    </w:pPr>
    <w:rPr>
      <w:rFonts w:ascii="Times New Roman" w:hAnsi="Times New Roman" w:eastAsia="宋体" w:cs="Times New Roman"/>
    </w:rPr>
  </w:style>
  <w:style w:type="paragraph" w:styleId="19">
    <w:name w:val="Salutation"/>
    <w:basedOn w:val="1"/>
    <w:next w:val="1"/>
    <w:link w:val="239"/>
    <w:qFormat/>
    <w:uiPriority w:val="0"/>
    <w:rPr>
      <w:rFonts w:ascii="Times New Roman" w:hAnsi="Times New Roman" w:eastAsia="宋体" w:cs="Times New Roman"/>
      <w:szCs w:val="20"/>
    </w:rPr>
  </w:style>
  <w:style w:type="paragraph" w:styleId="20">
    <w:name w:val="Body Text 3"/>
    <w:basedOn w:val="1"/>
    <w:link w:val="135"/>
    <w:qFormat/>
    <w:uiPriority w:val="0"/>
    <w:pPr>
      <w:spacing w:after="120"/>
    </w:pPr>
    <w:rPr>
      <w:rFonts w:ascii="Times New Roman" w:hAnsi="Times New Roman" w:eastAsia="宋体" w:cs="Times New Roman"/>
      <w:sz w:val="16"/>
      <w:szCs w:val="16"/>
    </w:rPr>
  </w:style>
  <w:style w:type="paragraph" w:styleId="21">
    <w:name w:val="Body Text"/>
    <w:basedOn w:val="1"/>
    <w:next w:val="1"/>
    <w:link w:val="107"/>
    <w:unhideWhenUsed/>
    <w:qFormat/>
    <w:uiPriority w:val="99"/>
    <w:pPr>
      <w:spacing w:after="120"/>
    </w:pPr>
  </w:style>
  <w:style w:type="paragraph" w:styleId="22">
    <w:name w:val="Body Text Indent"/>
    <w:basedOn w:val="1"/>
    <w:link w:val="171"/>
    <w:qFormat/>
    <w:uiPriority w:val="0"/>
    <w:pPr>
      <w:ind w:left="420" w:leftChars="200"/>
    </w:pPr>
  </w:style>
  <w:style w:type="paragraph" w:styleId="23">
    <w:name w:val="Block Text"/>
    <w:basedOn w:val="1"/>
    <w:qFormat/>
    <w:uiPriority w:val="0"/>
    <w:pPr>
      <w:spacing w:line="360" w:lineRule="auto"/>
      <w:ind w:left="-8" w:leftChars="-4" w:right="-17" w:rightChars="-8" w:firstLine="480" w:firstLineChars="200"/>
    </w:pPr>
    <w:rPr>
      <w:rFonts w:ascii="Times New Roman" w:hAnsi="Times New Roman" w:eastAsia="宋体" w:cs="Times New Roman"/>
      <w:sz w:val="24"/>
    </w:rPr>
  </w:style>
  <w:style w:type="paragraph" w:styleId="24">
    <w:name w:val="toc 5"/>
    <w:basedOn w:val="1"/>
    <w:next w:val="1"/>
    <w:qFormat/>
    <w:uiPriority w:val="0"/>
    <w:pPr>
      <w:ind w:left="840"/>
      <w:jc w:val="left"/>
    </w:pPr>
    <w:rPr>
      <w:rFonts w:ascii="Times New Roman" w:hAnsi="Times New Roman" w:eastAsia="宋体" w:cs="Times New Roman"/>
      <w:szCs w:val="21"/>
    </w:rPr>
  </w:style>
  <w:style w:type="paragraph" w:styleId="25">
    <w:name w:val="toc 3"/>
    <w:basedOn w:val="1"/>
    <w:next w:val="1"/>
    <w:qFormat/>
    <w:uiPriority w:val="0"/>
    <w:pPr>
      <w:ind w:left="420"/>
      <w:jc w:val="left"/>
    </w:pPr>
    <w:rPr>
      <w:rFonts w:ascii="Times New Roman" w:hAnsi="Times New Roman" w:eastAsia="宋体" w:cs="Times New Roman"/>
      <w:i/>
      <w:iCs/>
    </w:rPr>
  </w:style>
  <w:style w:type="paragraph" w:styleId="26">
    <w:name w:val="Plain Text"/>
    <w:basedOn w:val="1"/>
    <w:link w:val="75"/>
    <w:qFormat/>
    <w:uiPriority w:val="0"/>
    <w:rPr>
      <w:rFonts w:ascii="宋体" w:hAnsi="Courier New" w:eastAsia="宋体"/>
    </w:rPr>
  </w:style>
  <w:style w:type="paragraph" w:styleId="27">
    <w:name w:val="toc 8"/>
    <w:basedOn w:val="1"/>
    <w:next w:val="1"/>
    <w:qFormat/>
    <w:uiPriority w:val="0"/>
    <w:pPr>
      <w:ind w:left="1470"/>
      <w:jc w:val="left"/>
    </w:pPr>
    <w:rPr>
      <w:rFonts w:ascii="Times New Roman" w:hAnsi="Times New Roman" w:eastAsia="宋体" w:cs="Times New Roman"/>
      <w:szCs w:val="21"/>
    </w:rPr>
  </w:style>
  <w:style w:type="paragraph" w:styleId="28">
    <w:name w:val="Date"/>
    <w:basedOn w:val="1"/>
    <w:next w:val="1"/>
    <w:link w:val="136"/>
    <w:qFormat/>
    <w:uiPriority w:val="0"/>
    <w:rPr>
      <w:rFonts w:ascii="宋体" w:hAnsi="宋体" w:eastAsia="宋体" w:cs="Times New Roman"/>
      <w:sz w:val="28"/>
      <w:szCs w:val="20"/>
    </w:rPr>
  </w:style>
  <w:style w:type="paragraph" w:styleId="29">
    <w:name w:val="Body Text Indent 2"/>
    <w:basedOn w:val="1"/>
    <w:next w:val="30"/>
    <w:link w:val="128"/>
    <w:qFormat/>
    <w:uiPriority w:val="0"/>
    <w:pPr>
      <w:spacing w:after="120" w:line="480" w:lineRule="auto"/>
      <w:ind w:left="420" w:leftChars="200"/>
    </w:pPr>
  </w:style>
  <w:style w:type="paragraph" w:customStyle="1" w:styleId="30">
    <w:name w:val="简单回函地址"/>
    <w:basedOn w:val="1"/>
    <w:next w:val="31"/>
    <w:qFormat/>
    <w:uiPriority w:val="0"/>
    <w:pPr>
      <w:widowControl/>
      <w:jc w:val="left"/>
    </w:pPr>
    <w:rPr>
      <w:rFonts w:ascii="Calibri" w:hAnsi="Calibri" w:eastAsia="宋体" w:cs="Times New Roman"/>
      <w:kern w:val="0"/>
      <w:sz w:val="24"/>
      <w:lang w:eastAsia="en-US" w:bidi="en-US"/>
    </w:rPr>
  </w:style>
  <w:style w:type="paragraph" w:customStyle="1" w:styleId="31">
    <w:name w:val="正文2"/>
    <w:basedOn w:val="1"/>
    <w:qFormat/>
    <w:uiPriority w:val="0"/>
    <w:pPr>
      <w:spacing w:line="360" w:lineRule="auto"/>
      <w:ind w:firstLine="200" w:firstLineChars="200"/>
      <w:jc w:val="left"/>
    </w:pPr>
    <w:rPr>
      <w:rFonts w:ascii="Times New Roman" w:hAnsi="Times New Roman" w:eastAsia="宋体" w:cs="Times New Roman"/>
      <w:kern w:val="0"/>
      <w:sz w:val="28"/>
      <w:szCs w:val="20"/>
    </w:rPr>
  </w:style>
  <w:style w:type="paragraph" w:styleId="32">
    <w:name w:val="Balloon Text"/>
    <w:basedOn w:val="1"/>
    <w:link w:val="69"/>
    <w:qFormat/>
    <w:uiPriority w:val="99"/>
    <w:rPr>
      <w:sz w:val="18"/>
      <w:szCs w:val="18"/>
    </w:rPr>
  </w:style>
  <w:style w:type="paragraph" w:styleId="33">
    <w:name w:val="footer"/>
    <w:basedOn w:val="1"/>
    <w:link w:val="84"/>
    <w:qFormat/>
    <w:uiPriority w:val="99"/>
    <w:pPr>
      <w:tabs>
        <w:tab w:val="center" w:pos="4153"/>
        <w:tab w:val="right" w:pos="8306"/>
      </w:tabs>
      <w:snapToGrid w:val="0"/>
      <w:jc w:val="left"/>
    </w:pPr>
    <w:rPr>
      <w:sz w:val="18"/>
      <w:szCs w:val="18"/>
    </w:rPr>
  </w:style>
  <w:style w:type="paragraph" w:styleId="34">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qFormat/>
    <w:uiPriority w:val="39"/>
    <w:rPr>
      <w:rFonts w:ascii="Times New Roman" w:hAnsi="Times New Roman" w:eastAsia="宋体" w:cs="Times New Roman"/>
      <w:sz w:val="28"/>
      <w:szCs w:val="20"/>
    </w:rPr>
  </w:style>
  <w:style w:type="paragraph" w:styleId="36">
    <w:name w:val="toc 4"/>
    <w:basedOn w:val="1"/>
    <w:next w:val="1"/>
    <w:qFormat/>
    <w:uiPriority w:val="0"/>
    <w:pPr>
      <w:ind w:left="630"/>
      <w:jc w:val="left"/>
    </w:pPr>
    <w:rPr>
      <w:rFonts w:ascii="Times New Roman" w:hAnsi="Times New Roman" w:eastAsia="宋体" w:cs="Times New Roman"/>
      <w:szCs w:val="21"/>
    </w:rPr>
  </w:style>
  <w:style w:type="paragraph" w:styleId="37">
    <w:name w:val="Subtitle"/>
    <w:basedOn w:val="1"/>
    <w:next w:val="1"/>
    <w:link w:val="189"/>
    <w:qFormat/>
    <w:uiPriority w:val="11"/>
    <w:pPr>
      <w:spacing w:before="240" w:after="60" w:line="312" w:lineRule="atLeast"/>
      <w:ind w:firstLine="200" w:firstLineChars="200"/>
      <w:jc w:val="center"/>
      <w:outlineLvl w:val="1"/>
    </w:pPr>
    <w:rPr>
      <w:rFonts w:ascii="Cambria" w:hAnsi="Cambria" w:eastAsia="宋体" w:cs="Times New Roman"/>
      <w:b/>
      <w:bCs/>
      <w:kern w:val="28"/>
      <w:sz w:val="32"/>
      <w:szCs w:val="32"/>
    </w:rPr>
  </w:style>
  <w:style w:type="paragraph" w:styleId="38">
    <w:name w:val="List"/>
    <w:next w:val="1"/>
    <w:link w:val="178"/>
    <w:qFormat/>
    <w:uiPriority w:val="0"/>
    <w:pPr>
      <w:jc w:val="center"/>
    </w:pPr>
    <w:rPr>
      <w:rFonts w:ascii="Times New Roman" w:hAnsi="Times New Roman" w:eastAsia="宋体" w:cs="Times New Roman"/>
      <w:szCs w:val="24"/>
      <w:lang w:val="en-US" w:eastAsia="zh-CN" w:bidi="ar-SA"/>
    </w:rPr>
  </w:style>
  <w:style w:type="paragraph" w:styleId="39">
    <w:name w:val="toc 6"/>
    <w:basedOn w:val="1"/>
    <w:next w:val="1"/>
    <w:qFormat/>
    <w:uiPriority w:val="0"/>
    <w:pPr>
      <w:ind w:left="1050"/>
      <w:jc w:val="left"/>
    </w:pPr>
    <w:rPr>
      <w:rFonts w:ascii="Times New Roman" w:hAnsi="Times New Roman" w:eastAsia="宋体" w:cs="Times New Roman"/>
      <w:szCs w:val="21"/>
    </w:rPr>
  </w:style>
  <w:style w:type="paragraph" w:styleId="40">
    <w:name w:val="Body Text Indent 3"/>
    <w:basedOn w:val="1"/>
    <w:link w:val="115"/>
    <w:qFormat/>
    <w:uiPriority w:val="0"/>
    <w:pPr>
      <w:spacing w:after="120"/>
      <w:ind w:left="420" w:leftChars="200"/>
    </w:pPr>
    <w:rPr>
      <w:rFonts w:ascii="Times New Roman" w:hAnsi="Times New Roman" w:eastAsia="宋体" w:cs="Times New Roman"/>
      <w:sz w:val="16"/>
      <w:szCs w:val="16"/>
    </w:rPr>
  </w:style>
  <w:style w:type="paragraph" w:styleId="41">
    <w:name w:val="table of figures"/>
    <w:basedOn w:val="1"/>
    <w:next w:val="1"/>
    <w:qFormat/>
    <w:uiPriority w:val="0"/>
    <w:pPr>
      <w:spacing w:beforeLines="100" w:afterLines="50"/>
      <w:jc w:val="center"/>
    </w:pPr>
    <w:rPr>
      <w:rFonts w:ascii="黑体" w:hAnsi="宋体" w:eastAsia="黑体" w:cs="Times New Roman"/>
      <w:smallCaps/>
      <w:color w:val="000000"/>
      <w:sz w:val="28"/>
    </w:rPr>
  </w:style>
  <w:style w:type="paragraph" w:styleId="42">
    <w:name w:val="toc 2"/>
    <w:basedOn w:val="1"/>
    <w:next w:val="1"/>
    <w:qFormat/>
    <w:uiPriority w:val="39"/>
    <w:pPr>
      <w:adjustRightInd w:val="0"/>
      <w:snapToGrid w:val="0"/>
      <w:spacing w:line="360" w:lineRule="auto"/>
      <w:ind w:firstLine="240" w:firstLineChars="100"/>
      <w:jc w:val="left"/>
    </w:pPr>
    <w:rPr>
      <w:rFonts w:ascii="Times New Roman" w:hAnsi="Times New Roman" w:eastAsia="宋体" w:cs="Times New Roman"/>
      <w:smallCaps/>
    </w:rPr>
  </w:style>
  <w:style w:type="paragraph" w:styleId="43">
    <w:name w:val="toc 9"/>
    <w:basedOn w:val="1"/>
    <w:next w:val="1"/>
    <w:qFormat/>
    <w:uiPriority w:val="0"/>
    <w:pPr>
      <w:ind w:left="1680"/>
      <w:jc w:val="left"/>
    </w:pPr>
    <w:rPr>
      <w:rFonts w:ascii="Times New Roman" w:hAnsi="Times New Roman" w:eastAsia="宋体" w:cs="Times New Roman"/>
      <w:szCs w:val="21"/>
    </w:rPr>
  </w:style>
  <w:style w:type="paragraph" w:styleId="44">
    <w:name w:val="Body Text 2"/>
    <w:basedOn w:val="1"/>
    <w:link w:val="104"/>
    <w:qFormat/>
    <w:uiPriority w:val="0"/>
    <w:pPr>
      <w:spacing w:after="120" w:line="480" w:lineRule="auto"/>
    </w:pPr>
  </w:style>
  <w:style w:type="paragraph" w:styleId="45">
    <w:name w:val="HTML Preformatted"/>
    <w:basedOn w:val="1"/>
    <w:link w:val="19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46">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47">
    <w:name w:val="Title"/>
    <w:next w:val="1"/>
    <w:link w:val="83"/>
    <w:qFormat/>
    <w:uiPriority w:val="0"/>
    <w:pPr>
      <w:spacing w:before="240" w:after="60"/>
      <w:jc w:val="center"/>
      <w:outlineLvl w:val="0"/>
    </w:pPr>
    <w:rPr>
      <w:rFonts w:eastAsia="宋体" w:asciiTheme="majorHAnsi" w:hAnsiTheme="majorHAnsi" w:cstheme="majorBidi"/>
      <w:b/>
      <w:bCs/>
      <w:sz w:val="32"/>
      <w:szCs w:val="32"/>
      <w:lang w:val="en-US" w:eastAsia="zh-CN" w:bidi="ar-SA"/>
    </w:rPr>
  </w:style>
  <w:style w:type="paragraph" w:styleId="48">
    <w:name w:val="annotation subject"/>
    <w:basedOn w:val="17"/>
    <w:next w:val="17"/>
    <w:link w:val="89"/>
    <w:qFormat/>
    <w:uiPriority w:val="0"/>
    <w:rPr>
      <w:b/>
      <w:bCs/>
    </w:rPr>
  </w:style>
  <w:style w:type="paragraph" w:styleId="49">
    <w:name w:val="Body Text First Indent"/>
    <w:basedOn w:val="21"/>
    <w:link w:val="118"/>
    <w:qFormat/>
    <w:uiPriority w:val="99"/>
    <w:pPr>
      <w:ind w:firstLine="420" w:firstLineChars="100"/>
    </w:pPr>
  </w:style>
  <w:style w:type="paragraph" w:styleId="50">
    <w:name w:val="Body Text First Indent 2"/>
    <w:basedOn w:val="22"/>
    <w:link w:val="234"/>
    <w:qFormat/>
    <w:uiPriority w:val="0"/>
    <w:pPr>
      <w:spacing w:after="120"/>
      <w:ind w:firstLine="420" w:firstLineChars="200"/>
    </w:pPr>
    <w:rPr>
      <w:rFonts w:eastAsia="宋体"/>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3">
    <w:name w:val="Table Theme"/>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4">
    <w:name w:val="Table Elegant"/>
    <w:basedOn w:val="51"/>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5">
    <w:name w:val="Table Grid 5"/>
    <w:basedOn w:val="51"/>
    <w:qFormat/>
    <w:uiPriority w:val="0"/>
    <w:pPr>
      <w:widowControl w:val="0"/>
      <w:jc w:val="both"/>
    </w:pPr>
    <w:rPr>
      <w:rFonts w:ascii="Times New Roman" w:hAnsi="Times New Roman"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7">
    <w:name w:val="Strong"/>
    <w:basedOn w:val="56"/>
    <w:qFormat/>
    <w:uiPriority w:val="0"/>
    <w:rPr>
      <w:b/>
      <w:bCs/>
    </w:rPr>
  </w:style>
  <w:style w:type="character" w:styleId="58">
    <w:name w:val="page number"/>
    <w:basedOn w:val="56"/>
    <w:qFormat/>
    <w:uiPriority w:val="0"/>
  </w:style>
  <w:style w:type="character" w:styleId="59">
    <w:name w:val="FollowedHyperlink"/>
    <w:basedOn w:val="56"/>
    <w:qFormat/>
    <w:uiPriority w:val="0"/>
    <w:rPr>
      <w:color w:val="800080"/>
      <w:u w:val="single"/>
    </w:rPr>
  </w:style>
  <w:style w:type="character" w:styleId="60">
    <w:name w:val="Hyperlink"/>
    <w:basedOn w:val="56"/>
    <w:qFormat/>
    <w:uiPriority w:val="99"/>
    <w:rPr>
      <w:color w:val="136EC2"/>
      <w:u w:val="single"/>
    </w:rPr>
  </w:style>
  <w:style w:type="character" w:styleId="61">
    <w:name w:val="annotation reference"/>
    <w:basedOn w:val="56"/>
    <w:qFormat/>
    <w:uiPriority w:val="0"/>
    <w:rPr>
      <w:sz w:val="21"/>
      <w:szCs w:val="21"/>
    </w:rPr>
  </w:style>
  <w:style w:type="paragraph" w:customStyle="1" w:styleId="62">
    <w:name w:val="Default"/>
    <w:qFormat/>
    <w:uiPriority w:val="0"/>
    <w:pPr>
      <w:widowControl w:val="0"/>
      <w:autoSpaceDE w:val="0"/>
      <w:autoSpaceDN w:val="0"/>
    </w:pPr>
    <w:rPr>
      <w:rFonts w:ascii="宋体" w:hAnsi="宋体" w:eastAsia="宋体" w:cs="Times New Roman"/>
      <w:color w:val="000000"/>
      <w:sz w:val="24"/>
      <w:lang w:val="en-US" w:eastAsia="zh-CN" w:bidi="ar-SA"/>
    </w:rPr>
  </w:style>
  <w:style w:type="character" w:customStyle="1" w:styleId="63">
    <w:name w:val="标题 2 Char1"/>
    <w:link w:val="4"/>
    <w:qFormat/>
    <w:uiPriority w:val="0"/>
    <w:rPr>
      <w:rFonts w:ascii="Arial" w:hAnsi="Arial" w:eastAsia="黑体" w:cs="Times New Roman"/>
      <w:b/>
      <w:bCs/>
      <w:kern w:val="2"/>
      <w:sz w:val="32"/>
      <w:szCs w:val="32"/>
    </w:rPr>
  </w:style>
  <w:style w:type="paragraph" w:customStyle="1" w:styleId="64">
    <w:name w:val="表格文字2"/>
    <w:basedOn w:val="1"/>
    <w:qFormat/>
    <w:uiPriority w:val="0"/>
    <w:pPr>
      <w:adjustRightInd w:val="0"/>
      <w:jc w:val="center"/>
      <w:textAlignment w:val="baseline"/>
    </w:pPr>
    <w:rPr>
      <w:rFonts w:ascii="宋体"/>
      <w:kern w:val="0"/>
      <w:sz w:val="24"/>
      <w:szCs w:val="20"/>
    </w:rPr>
  </w:style>
  <w:style w:type="paragraph" w:customStyle="1" w:styleId="65">
    <w:name w:val="样式 样式 标题ljm + 首行缩进:  2 字符 + 首行缩进:  2 字符1"/>
    <w:basedOn w:val="1"/>
    <w:qFormat/>
    <w:uiPriority w:val="0"/>
    <w:pPr>
      <w:spacing w:line="360" w:lineRule="auto"/>
      <w:ind w:firstLine="482" w:firstLineChars="200"/>
      <w:outlineLvl w:val="0"/>
    </w:pPr>
    <w:rPr>
      <w:rFonts w:ascii="宋体" w:cs="宋体"/>
      <w:b/>
      <w:bCs/>
      <w:szCs w:val="20"/>
    </w:rPr>
  </w:style>
  <w:style w:type="paragraph" w:customStyle="1" w:styleId="66">
    <w:name w:val="图表文字"/>
    <w:basedOn w:val="1"/>
    <w:qFormat/>
    <w:uiPriority w:val="0"/>
    <w:pPr>
      <w:spacing w:line="360" w:lineRule="auto"/>
    </w:pPr>
    <w:rPr>
      <w:rFonts w:hAnsi="宋体"/>
      <w:spacing w:val="-6"/>
      <w:sz w:val="24"/>
    </w:rPr>
  </w:style>
  <w:style w:type="paragraph" w:customStyle="1" w:styleId="67">
    <w:name w:val="表内文字3"/>
    <w:basedOn w:val="1"/>
    <w:qFormat/>
    <w:uiPriority w:val="0"/>
    <w:pPr>
      <w:spacing w:line="0" w:lineRule="atLeast"/>
      <w:jc w:val="center"/>
    </w:pPr>
    <w:rPr>
      <w:rFonts w:ascii="宋体" w:cs="宋体"/>
      <w:kern w:val="0"/>
      <w:szCs w:val="20"/>
    </w:rPr>
  </w:style>
  <w:style w:type="character" w:customStyle="1" w:styleId="68">
    <w:name w:val="页眉 Char"/>
    <w:basedOn w:val="56"/>
    <w:link w:val="34"/>
    <w:qFormat/>
    <w:uiPriority w:val="0"/>
    <w:rPr>
      <w:kern w:val="2"/>
      <w:sz w:val="18"/>
      <w:szCs w:val="18"/>
    </w:rPr>
  </w:style>
  <w:style w:type="character" w:customStyle="1" w:styleId="69">
    <w:name w:val="批注框文本 Char"/>
    <w:basedOn w:val="56"/>
    <w:link w:val="32"/>
    <w:qFormat/>
    <w:uiPriority w:val="99"/>
    <w:rPr>
      <w:kern w:val="2"/>
      <w:sz w:val="18"/>
      <w:szCs w:val="18"/>
    </w:rPr>
  </w:style>
  <w:style w:type="character" w:customStyle="1" w:styleId="70">
    <w:name w:val="文档结构图 Char"/>
    <w:basedOn w:val="56"/>
    <w:link w:val="15"/>
    <w:qFormat/>
    <w:uiPriority w:val="99"/>
    <w:rPr>
      <w:rFonts w:ascii="宋体" w:eastAsia="宋体"/>
      <w:kern w:val="2"/>
      <w:sz w:val="18"/>
      <w:szCs w:val="18"/>
    </w:rPr>
  </w:style>
  <w:style w:type="paragraph" w:customStyle="1" w:styleId="71">
    <w:name w:val="Char4 Char Char Char Char Char Char1"/>
    <w:basedOn w:val="1"/>
    <w:qFormat/>
    <w:uiPriority w:val="0"/>
    <w:pPr>
      <w:adjustRightInd w:val="0"/>
      <w:spacing w:line="360" w:lineRule="auto"/>
      <w:ind w:firstLine="200" w:firstLineChars="200"/>
    </w:pPr>
    <w:rPr>
      <w:rFonts w:ascii="Times New Roman" w:hAnsi="Times New Roman" w:eastAsia="宋体" w:cs="Times New Roman"/>
      <w:szCs w:val="20"/>
    </w:rPr>
  </w:style>
  <w:style w:type="paragraph" w:styleId="72">
    <w:name w:val="List Paragraph"/>
    <w:basedOn w:val="1"/>
    <w:unhideWhenUsed/>
    <w:qFormat/>
    <w:uiPriority w:val="34"/>
    <w:pPr>
      <w:ind w:firstLine="420" w:firstLineChars="200"/>
    </w:pPr>
  </w:style>
  <w:style w:type="paragraph" w:customStyle="1" w:styleId="73">
    <w:name w:val="标题3"/>
    <w:basedOn w:val="5"/>
    <w:qFormat/>
    <w:uiPriority w:val="0"/>
    <w:pPr>
      <w:spacing w:before="0" w:after="0" w:line="360" w:lineRule="auto"/>
      <w:jc w:val="left"/>
      <w:outlineLvl w:val="9"/>
    </w:pPr>
    <w:rPr>
      <w:rFonts w:ascii="Times New Roman" w:hAnsi="Times New Roman" w:eastAsia="宋体" w:cs="Times New Roman"/>
      <w:sz w:val="24"/>
      <w:szCs w:val="24"/>
    </w:rPr>
  </w:style>
  <w:style w:type="character" w:customStyle="1" w:styleId="74">
    <w:name w:val="标题 3 Char"/>
    <w:basedOn w:val="56"/>
    <w:link w:val="5"/>
    <w:qFormat/>
    <w:uiPriority w:val="0"/>
    <w:rPr>
      <w:b/>
      <w:bCs/>
      <w:kern w:val="2"/>
      <w:sz w:val="32"/>
      <w:szCs w:val="32"/>
    </w:rPr>
  </w:style>
  <w:style w:type="character" w:customStyle="1" w:styleId="75">
    <w:name w:val="纯文本 Char"/>
    <w:link w:val="26"/>
    <w:qFormat/>
    <w:uiPriority w:val="0"/>
    <w:rPr>
      <w:rFonts w:ascii="宋体" w:hAnsi="Courier New" w:eastAsia="宋体"/>
      <w:kern w:val="2"/>
      <w:sz w:val="21"/>
      <w:szCs w:val="24"/>
    </w:rPr>
  </w:style>
  <w:style w:type="character" w:customStyle="1" w:styleId="76">
    <w:name w:val="报告书正文 Char Char"/>
    <w:link w:val="77"/>
    <w:qFormat/>
    <w:uiPriority w:val="0"/>
    <w:rPr>
      <w:rFonts w:eastAsia="宋体"/>
      <w:kern w:val="2"/>
      <w:sz w:val="24"/>
      <w:szCs w:val="24"/>
    </w:rPr>
  </w:style>
  <w:style w:type="paragraph" w:customStyle="1" w:styleId="77">
    <w:name w:val="报告书正文"/>
    <w:basedOn w:val="1"/>
    <w:link w:val="76"/>
    <w:qFormat/>
    <w:uiPriority w:val="0"/>
    <w:pPr>
      <w:spacing w:line="360" w:lineRule="auto"/>
      <w:textAlignment w:val="baseline"/>
    </w:pPr>
    <w:rPr>
      <w:rFonts w:eastAsia="宋体"/>
      <w:sz w:val="24"/>
    </w:rPr>
  </w:style>
  <w:style w:type="paragraph" w:customStyle="1" w:styleId="78">
    <w:name w:val="表名、图名"/>
    <w:basedOn w:val="1"/>
    <w:next w:val="1"/>
    <w:qFormat/>
    <w:uiPriority w:val="0"/>
    <w:pPr>
      <w:spacing w:line="360" w:lineRule="auto"/>
      <w:jc w:val="center"/>
    </w:pPr>
    <w:rPr>
      <w:rFonts w:ascii="Times New Roman" w:hAnsi="Times New Roman" w:eastAsia="黑体" w:cs="Times New Roman"/>
      <w:sz w:val="24"/>
      <w:szCs w:val="20"/>
    </w:rPr>
  </w:style>
  <w:style w:type="paragraph" w:customStyle="1" w:styleId="79">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jc w:val="left"/>
    </w:pPr>
    <w:rPr>
      <w:rFonts w:ascii="Times New Roman" w:hAnsi="宋体" w:eastAsia="宋体" w:cs="Times New Roman"/>
      <w:kern w:val="0"/>
      <w:sz w:val="24"/>
      <w:szCs w:val="21"/>
      <w:lang w:val="zh-CN"/>
    </w:rPr>
  </w:style>
  <w:style w:type="character" w:customStyle="1" w:styleId="80">
    <w:name w:val="表格标题 Char Char"/>
    <w:link w:val="81"/>
    <w:qFormat/>
    <w:uiPriority w:val="0"/>
    <w:rPr>
      <w:rFonts w:ascii="宋体" w:eastAsia="宋体"/>
      <w:b/>
      <w:kern w:val="2"/>
      <w:sz w:val="21"/>
    </w:rPr>
  </w:style>
  <w:style w:type="paragraph" w:customStyle="1" w:styleId="81">
    <w:name w:val="表格标题"/>
    <w:basedOn w:val="1"/>
    <w:link w:val="80"/>
    <w:qFormat/>
    <w:uiPriority w:val="0"/>
    <w:pPr>
      <w:adjustRightInd w:val="0"/>
      <w:spacing w:line="300" w:lineRule="auto"/>
      <w:jc w:val="center"/>
      <w:textAlignment w:val="baseline"/>
    </w:pPr>
    <w:rPr>
      <w:rFonts w:ascii="宋体" w:eastAsia="宋体"/>
      <w:b/>
      <w:szCs w:val="20"/>
    </w:rPr>
  </w:style>
  <w:style w:type="character" w:customStyle="1" w:styleId="82">
    <w:name w:val="标题 1 Char"/>
    <w:basedOn w:val="56"/>
    <w:link w:val="3"/>
    <w:qFormat/>
    <w:uiPriority w:val="0"/>
    <w:rPr>
      <w:rFonts w:ascii="Cambria" w:hAnsi="Cambria" w:eastAsia="宋体" w:cs="Times New Roman"/>
      <w:b/>
      <w:bCs/>
      <w:kern w:val="44"/>
      <w:sz w:val="32"/>
      <w:szCs w:val="32"/>
    </w:rPr>
  </w:style>
  <w:style w:type="character" w:customStyle="1" w:styleId="83">
    <w:name w:val="标题 Char"/>
    <w:basedOn w:val="56"/>
    <w:link w:val="47"/>
    <w:qFormat/>
    <w:uiPriority w:val="0"/>
    <w:rPr>
      <w:rFonts w:eastAsia="宋体" w:asciiTheme="majorHAnsi" w:hAnsiTheme="majorHAnsi" w:cstheme="majorBidi"/>
      <w:b/>
      <w:bCs/>
      <w:kern w:val="2"/>
      <w:sz w:val="32"/>
      <w:szCs w:val="32"/>
    </w:rPr>
  </w:style>
  <w:style w:type="character" w:customStyle="1" w:styleId="84">
    <w:name w:val="页脚 Char"/>
    <w:link w:val="33"/>
    <w:qFormat/>
    <w:uiPriority w:val="99"/>
    <w:rPr>
      <w:kern w:val="2"/>
      <w:sz w:val="18"/>
      <w:szCs w:val="18"/>
    </w:rPr>
  </w:style>
  <w:style w:type="paragraph" w:customStyle="1" w:styleId="85">
    <w:name w:val="xl22"/>
    <w:basedOn w:val="1"/>
    <w:qFormat/>
    <w:uiPriority w:val="0"/>
    <w:pPr>
      <w:widowControl/>
      <w:spacing w:before="100" w:beforeAutospacing="1" w:after="100" w:afterAutospacing="1"/>
    </w:pPr>
    <w:rPr>
      <w:rFonts w:ascii="宋体" w:hAnsi="宋体" w:eastAsia="宋体" w:cs="Times New Roman"/>
      <w:kern w:val="0"/>
      <w:sz w:val="24"/>
      <w:szCs w:val="20"/>
    </w:rPr>
  </w:style>
  <w:style w:type="paragraph" w:customStyle="1" w:styleId="86">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character" w:styleId="87">
    <w:name w:val="Placeholder Text"/>
    <w:basedOn w:val="56"/>
    <w:unhideWhenUsed/>
    <w:qFormat/>
    <w:uiPriority w:val="0"/>
    <w:rPr>
      <w:color w:val="808080"/>
    </w:rPr>
  </w:style>
  <w:style w:type="character" w:customStyle="1" w:styleId="88">
    <w:name w:val="批注文字 Char"/>
    <w:basedOn w:val="56"/>
    <w:link w:val="17"/>
    <w:qFormat/>
    <w:uiPriority w:val="0"/>
    <w:rPr>
      <w:kern w:val="2"/>
      <w:sz w:val="21"/>
      <w:szCs w:val="24"/>
    </w:rPr>
  </w:style>
  <w:style w:type="character" w:customStyle="1" w:styleId="89">
    <w:name w:val="批注主题 Char"/>
    <w:basedOn w:val="88"/>
    <w:link w:val="48"/>
    <w:qFormat/>
    <w:uiPriority w:val="0"/>
    <w:rPr>
      <w:b/>
      <w:bCs/>
      <w:kern w:val="2"/>
      <w:sz w:val="21"/>
      <w:szCs w:val="24"/>
    </w:rPr>
  </w:style>
  <w:style w:type="paragraph" w:customStyle="1" w:styleId="90">
    <w:name w:val="样式2"/>
    <w:basedOn w:val="91"/>
    <w:qFormat/>
    <w:uiPriority w:val="0"/>
    <w:pPr>
      <w:jc w:val="both"/>
    </w:pPr>
    <w:rPr>
      <w:sz w:val="32"/>
      <w:u w:val="thick"/>
    </w:rPr>
  </w:style>
  <w:style w:type="paragraph" w:customStyle="1" w:styleId="91">
    <w:name w:val="样式1"/>
    <w:basedOn w:val="1"/>
    <w:qFormat/>
    <w:uiPriority w:val="0"/>
    <w:pPr>
      <w:spacing w:line="480" w:lineRule="auto"/>
      <w:jc w:val="center"/>
    </w:pPr>
    <w:rPr>
      <w:rFonts w:ascii="Times New Roman" w:hAnsi="Times New Roman" w:eastAsia="宋体" w:cs="Times New Roman"/>
      <w:b/>
      <w:sz w:val="36"/>
    </w:rPr>
  </w:style>
  <w:style w:type="paragraph" w:customStyle="1" w:styleId="92">
    <w:name w:val="Char4 Char Char Char Char Char Char11"/>
    <w:basedOn w:val="1"/>
    <w:qFormat/>
    <w:uiPriority w:val="0"/>
    <w:pPr>
      <w:adjustRightInd w:val="0"/>
      <w:spacing w:line="360" w:lineRule="auto"/>
      <w:ind w:firstLine="200" w:firstLineChars="200"/>
    </w:pPr>
    <w:rPr>
      <w:rFonts w:ascii="Times New Roman" w:hAnsi="Times New Roman" w:eastAsia="宋体" w:cs="Times New Roman"/>
      <w:szCs w:val="20"/>
    </w:rPr>
  </w:style>
  <w:style w:type="paragraph" w:customStyle="1" w:styleId="93">
    <w:name w:val="报告"/>
    <w:basedOn w:val="1"/>
    <w:link w:val="94"/>
    <w:qFormat/>
    <w:uiPriority w:val="0"/>
    <w:pPr>
      <w:adjustRightInd w:val="0"/>
      <w:spacing w:line="360" w:lineRule="auto"/>
      <w:ind w:firstLine="505"/>
      <w:textAlignment w:val="center"/>
    </w:pPr>
    <w:rPr>
      <w:rFonts w:ascii="TimesNewRoman" w:hAnsi="TimesNewRoman" w:eastAsia="宋体" w:cs="Times New Roman"/>
      <w:kern w:val="0"/>
      <w:sz w:val="24"/>
      <w:szCs w:val="20"/>
    </w:rPr>
  </w:style>
  <w:style w:type="character" w:customStyle="1" w:styleId="94">
    <w:name w:val="报告 Char"/>
    <w:link w:val="93"/>
    <w:qFormat/>
    <w:uiPriority w:val="0"/>
    <w:rPr>
      <w:rFonts w:ascii="TimesNewRoman" w:hAnsi="TimesNewRoman" w:eastAsia="宋体" w:cs="Times New Roman"/>
      <w:sz w:val="24"/>
    </w:rPr>
  </w:style>
  <w:style w:type="paragraph" w:customStyle="1" w:styleId="95">
    <w:name w:val="+正文"/>
    <w:basedOn w:val="1"/>
    <w:qFormat/>
    <w:uiPriority w:val="0"/>
    <w:pPr>
      <w:spacing w:line="360" w:lineRule="auto"/>
      <w:ind w:firstLine="200" w:firstLineChars="200"/>
    </w:pPr>
    <w:rPr>
      <w:rFonts w:ascii="Times New Roman" w:hAnsi="Times New Roman" w:eastAsia="宋体" w:cs="Times New Roman"/>
      <w:sz w:val="24"/>
      <w:szCs w:val="28"/>
    </w:rPr>
  </w:style>
  <w:style w:type="paragraph" w:customStyle="1" w:styleId="96">
    <w:name w:val="修订1"/>
    <w:hidden/>
    <w:semi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97">
    <w:name w:val="纯文本 Char2"/>
    <w:qFormat/>
    <w:uiPriority w:val="0"/>
    <w:rPr>
      <w:rFonts w:ascii="宋体" w:hAnsi="Courier New" w:eastAsia="宋体"/>
      <w:kern w:val="2"/>
      <w:sz w:val="21"/>
      <w:lang w:val="en-US" w:eastAsia="zh-CN" w:bidi="ar-SA"/>
    </w:rPr>
  </w:style>
  <w:style w:type="paragraph" w:customStyle="1" w:styleId="98">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Cs w:val="21"/>
    </w:rPr>
  </w:style>
  <w:style w:type="paragraph" w:customStyle="1" w:styleId="99">
    <w:name w:val="样式 首行缩进:  2 字符"/>
    <w:basedOn w:val="1"/>
    <w:qFormat/>
    <w:uiPriority w:val="0"/>
    <w:pPr>
      <w:spacing w:line="440" w:lineRule="exact"/>
      <w:ind w:firstLine="200" w:firstLineChars="200"/>
    </w:pPr>
    <w:rPr>
      <w:rFonts w:ascii="Times New Roman" w:hAnsi="Times New Roman" w:eastAsia="宋体" w:cs="宋体"/>
      <w:sz w:val="24"/>
      <w:szCs w:val="20"/>
    </w:rPr>
  </w:style>
  <w:style w:type="paragraph" w:customStyle="1" w:styleId="100">
    <w:name w:val="表"/>
    <w:basedOn w:val="1"/>
    <w:qFormat/>
    <w:uiPriority w:val="0"/>
    <w:rPr>
      <w:rFonts w:ascii="Times New Roman" w:hAnsi="Times New Roman" w:eastAsia="宋体" w:cs="Times New Roman"/>
      <w:sz w:val="24"/>
      <w:szCs w:val="20"/>
    </w:rPr>
  </w:style>
  <w:style w:type="paragraph" w:customStyle="1" w:styleId="101">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02">
    <w:name w:val="表格，五宋"/>
    <w:qFormat/>
    <w:uiPriority w:val="0"/>
    <w:pPr>
      <w:adjustRightInd w:val="0"/>
      <w:spacing w:line="360" w:lineRule="exact"/>
      <w:jc w:val="center"/>
    </w:pPr>
    <w:rPr>
      <w:rFonts w:ascii="Times New Roman" w:hAnsi="Times New Roman" w:eastAsia="宋体" w:cs="Times New Roman"/>
      <w:sz w:val="21"/>
      <w:lang w:val="en-US" w:eastAsia="zh-CN" w:bidi="ar-SA"/>
    </w:rPr>
  </w:style>
  <w:style w:type="paragraph" w:customStyle="1" w:styleId="103">
    <w:name w:val="_Style 21"/>
    <w:basedOn w:val="1"/>
    <w:qFormat/>
    <w:uiPriority w:val="0"/>
    <w:rPr>
      <w:rFonts w:ascii="Times New Roman" w:hAnsi="Times New Roman" w:eastAsia="宋体" w:cs="Times New Roman"/>
      <w:szCs w:val="20"/>
    </w:rPr>
  </w:style>
  <w:style w:type="character" w:customStyle="1" w:styleId="104">
    <w:name w:val="正文文本 2 Char"/>
    <w:basedOn w:val="56"/>
    <w:link w:val="44"/>
    <w:qFormat/>
    <w:uiPriority w:val="0"/>
    <w:rPr>
      <w:kern w:val="2"/>
      <w:sz w:val="21"/>
      <w:szCs w:val="24"/>
    </w:rPr>
  </w:style>
  <w:style w:type="paragraph" w:customStyle="1" w:styleId="105">
    <w:name w:val="样式44"/>
    <w:basedOn w:val="1"/>
    <w:qFormat/>
    <w:uiPriority w:val="0"/>
    <w:pPr>
      <w:spacing w:before="120" w:after="120" w:line="360" w:lineRule="auto"/>
      <w:ind w:firstLine="480" w:firstLineChars="200"/>
    </w:pPr>
    <w:rPr>
      <w:rFonts w:ascii="Times New Roman" w:hAnsi="Times New Roman" w:eastAsia="宋体" w:cs="Times New Roman"/>
      <w:color w:val="000000"/>
      <w:sz w:val="24"/>
      <w:szCs w:val="20"/>
    </w:rPr>
  </w:style>
  <w:style w:type="character" w:customStyle="1" w:styleId="106">
    <w:name w:val="正文文本 Char1"/>
    <w:basedOn w:val="56"/>
    <w:qFormat/>
    <w:locked/>
    <w:uiPriority w:val="99"/>
    <w:rPr>
      <w:kern w:val="2"/>
      <w:sz w:val="21"/>
      <w:szCs w:val="24"/>
    </w:rPr>
  </w:style>
  <w:style w:type="character" w:customStyle="1" w:styleId="107">
    <w:name w:val="正文文本 Char"/>
    <w:basedOn w:val="56"/>
    <w:link w:val="21"/>
    <w:qFormat/>
    <w:uiPriority w:val="99"/>
    <w:rPr>
      <w:kern w:val="2"/>
      <w:sz w:val="21"/>
      <w:szCs w:val="24"/>
    </w:rPr>
  </w:style>
  <w:style w:type="paragraph" w:customStyle="1" w:styleId="108">
    <w:name w:val="表格文字"/>
    <w:basedOn w:val="21"/>
    <w:next w:val="1"/>
    <w:link w:val="109"/>
    <w:qFormat/>
    <w:uiPriority w:val="0"/>
    <w:pPr>
      <w:tabs>
        <w:tab w:val="left" w:pos="3720"/>
      </w:tabs>
      <w:autoSpaceDE w:val="0"/>
      <w:autoSpaceDN w:val="0"/>
      <w:adjustRightInd w:val="0"/>
      <w:spacing w:after="0"/>
      <w:jc w:val="center"/>
      <w:textAlignment w:val="bottom"/>
    </w:pPr>
    <w:rPr>
      <w:rFonts w:ascii="Calibri" w:hAnsi="Calibri" w:eastAsia="宋体" w:cs="Times New Roman"/>
      <w:kern w:val="0"/>
      <w:szCs w:val="20"/>
    </w:rPr>
  </w:style>
  <w:style w:type="character" w:customStyle="1" w:styleId="109">
    <w:name w:val="表格文字 Char"/>
    <w:link w:val="108"/>
    <w:qFormat/>
    <w:uiPriority w:val="0"/>
    <w:rPr>
      <w:rFonts w:ascii="Calibri" w:hAnsi="Calibri" w:eastAsia="宋体" w:cs="Times New Roman"/>
      <w:sz w:val="21"/>
    </w:rPr>
  </w:style>
  <w:style w:type="paragraph" w:customStyle="1" w:styleId="110">
    <w:name w:val="方案正文样式"/>
    <w:basedOn w:val="1"/>
    <w:link w:val="111"/>
    <w:qFormat/>
    <w:uiPriority w:val="0"/>
    <w:pPr>
      <w:adjustRightInd w:val="0"/>
      <w:snapToGrid w:val="0"/>
      <w:spacing w:before="120" w:line="360" w:lineRule="auto"/>
      <w:ind w:firstLine="454"/>
      <w:textAlignment w:val="baseline"/>
    </w:pPr>
    <w:rPr>
      <w:rFonts w:ascii="Times New Roman" w:hAnsi="Times New Roman" w:eastAsia="宋体" w:cs="Times New Roman"/>
      <w:snapToGrid w:val="0"/>
      <w:kern w:val="0"/>
      <w:sz w:val="24"/>
    </w:rPr>
  </w:style>
  <w:style w:type="character" w:customStyle="1" w:styleId="111">
    <w:name w:val="方案正文样式 Char"/>
    <w:link w:val="110"/>
    <w:qFormat/>
    <w:uiPriority w:val="0"/>
    <w:rPr>
      <w:rFonts w:ascii="Times New Roman" w:hAnsi="Times New Roman" w:eastAsia="宋体" w:cs="Times New Roman"/>
      <w:snapToGrid w:val="0"/>
      <w:sz w:val="24"/>
      <w:szCs w:val="24"/>
    </w:rPr>
  </w:style>
  <w:style w:type="character" w:customStyle="1" w:styleId="112">
    <w:name w:val="标准 Char"/>
    <w:link w:val="113"/>
    <w:qFormat/>
    <w:uiPriority w:val="0"/>
    <w:rPr>
      <w:kern w:val="2"/>
      <w:sz w:val="24"/>
      <w:szCs w:val="28"/>
    </w:rPr>
  </w:style>
  <w:style w:type="paragraph" w:customStyle="1" w:styleId="113">
    <w:name w:val="标准"/>
    <w:link w:val="112"/>
    <w:qFormat/>
    <w:uiPriority w:val="0"/>
    <w:pPr>
      <w:widowControl w:val="0"/>
      <w:spacing w:line="500" w:lineRule="exact"/>
      <w:ind w:firstLine="200" w:firstLineChars="200"/>
      <w:jc w:val="both"/>
    </w:pPr>
    <w:rPr>
      <w:rFonts w:asciiTheme="minorHAnsi" w:hAnsiTheme="minorHAnsi" w:eastAsiaTheme="minorEastAsia" w:cstheme="minorBidi"/>
      <w:kern w:val="2"/>
      <w:sz w:val="24"/>
      <w:szCs w:val="28"/>
      <w:lang w:val="en-US" w:eastAsia="zh-CN" w:bidi="ar-SA"/>
    </w:rPr>
  </w:style>
  <w:style w:type="character" w:customStyle="1" w:styleId="114">
    <w:name w:val="标题 2 Char"/>
    <w:basedOn w:val="56"/>
    <w:qFormat/>
    <w:uiPriority w:val="0"/>
    <w:rPr>
      <w:rFonts w:asciiTheme="majorHAnsi" w:hAnsiTheme="majorHAnsi" w:eastAsiaTheme="majorEastAsia" w:cstheme="majorBidi"/>
      <w:b/>
      <w:bCs/>
      <w:kern w:val="2"/>
      <w:sz w:val="32"/>
      <w:szCs w:val="32"/>
    </w:rPr>
  </w:style>
  <w:style w:type="character" w:customStyle="1" w:styleId="115">
    <w:name w:val="正文文本缩进 3 Char"/>
    <w:basedOn w:val="56"/>
    <w:link w:val="40"/>
    <w:qFormat/>
    <w:uiPriority w:val="0"/>
    <w:rPr>
      <w:rFonts w:ascii="Times New Roman" w:hAnsi="Times New Roman" w:eastAsia="宋体" w:cs="Times New Roman"/>
      <w:kern w:val="2"/>
      <w:sz w:val="16"/>
      <w:szCs w:val="16"/>
    </w:rPr>
  </w:style>
  <w:style w:type="paragraph" w:customStyle="1" w:styleId="116">
    <w:name w:val="正文样式 Char"/>
    <w:basedOn w:val="1"/>
    <w:qFormat/>
    <w:uiPriority w:val="0"/>
    <w:pPr>
      <w:adjustRightInd w:val="0"/>
      <w:snapToGrid w:val="0"/>
      <w:spacing w:line="460" w:lineRule="exact"/>
      <w:ind w:firstLine="200" w:firstLineChars="200"/>
    </w:pPr>
    <w:rPr>
      <w:rFonts w:ascii="Times New Roman" w:hAnsi="Times New Roman" w:eastAsia="宋体" w:cs="Times New Roman"/>
      <w:color w:val="000000"/>
      <w:sz w:val="26"/>
      <w:szCs w:val="26"/>
    </w:rPr>
  </w:style>
  <w:style w:type="character" w:customStyle="1" w:styleId="117">
    <w:name w:val="正文首行缩进 Char"/>
    <w:basedOn w:val="56"/>
    <w:qFormat/>
    <w:uiPriority w:val="99"/>
    <w:rPr>
      <w:kern w:val="2"/>
      <w:sz w:val="21"/>
      <w:szCs w:val="24"/>
    </w:rPr>
  </w:style>
  <w:style w:type="character" w:customStyle="1" w:styleId="118">
    <w:name w:val="正文首行缩进 Char1"/>
    <w:basedOn w:val="106"/>
    <w:link w:val="49"/>
    <w:qFormat/>
    <w:uiPriority w:val="0"/>
    <w:rPr>
      <w:kern w:val="2"/>
      <w:sz w:val="21"/>
      <w:szCs w:val="24"/>
    </w:rPr>
  </w:style>
  <w:style w:type="character" w:customStyle="1" w:styleId="119">
    <w:name w:val="报告 Char Char"/>
    <w:qFormat/>
    <w:uiPriority w:val="0"/>
    <w:rPr>
      <w:rFonts w:eastAsia="宋体"/>
      <w:sz w:val="24"/>
      <w:lang w:val="en-US" w:eastAsia="zh-CN" w:bidi="ar-SA"/>
    </w:rPr>
  </w:style>
  <w:style w:type="character" w:customStyle="1" w:styleId="120">
    <w:name w:val="表格文字 Char Char"/>
    <w:qFormat/>
    <w:uiPriority w:val="0"/>
    <w:rPr>
      <w:rFonts w:eastAsia="宋体"/>
      <w:kern w:val="2"/>
      <w:sz w:val="18"/>
      <w:lang w:val="en-US" w:eastAsia="zh-CN" w:bidi="ar-SA"/>
    </w:rPr>
  </w:style>
  <w:style w:type="character" w:customStyle="1" w:styleId="121">
    <w:name w:val="标题 4 Char"/>
    <w:basedOn w:val="56"/>
    <w:link w:val="2"/>
    <w:qFormat/>
    <w:uiPriority w:val="9"/>
    <w:rPr>
      <w:rFonts w:asciiTheme="majorHAnsi" w:hAnsiTheme="majorHAnsi" w:eastAsiaTheme="majorEastAsia" w:cstheme="majorBidi"/>
      <w:b/>
      <w:bCs/>
      <w:kern w:val="2"/>
      <w:sz w:val="28"/>
      <w:szCs w:val="28"/>
    </w:rPr>
  </w:style>
  <w:style w:type="character" w:customStyle="1" w:styleId="122">
    <w:name w:val="表格 Char Char"/>
    <w:link w:val="123"/>
    <w:qFormat/>
    <w:uiPriority w:val="0"/>
    <w:rPr>
      <w:rFonts w:eastAsia="宋体"/>
      <w:snapToGrid w:val="0"/>
      <w:szCs w:val="24"/>
    </w:rPr>
  </w:style>
  <w:style w:type="paragraph" w:customStyle="1" w:styleId="123">
    <w:name w:val="表格"/>
    <w:basedOn w:val="1"/>
    <w:link w:val="122"/>
    <w:qFormat/>
    <w:uiPriority w:val="0"/>
    <w:pPr>
      <w:adjustRightInd w:val="0"/>
      <w:snapToGrid w:val="0"/>
      <w:jc w:val="center"/>
    </w:pPr>
    <w:rPr>
      <w:rFonts w:eastAsia="宋体"/>
      <w:snapToGrid w:val="0"/>
      <w:kern w:val="0"/>
      <w:sz w:val="20"/>
    </w:rPr>
  </w:style>
  <w:style w:type="character" w:customStyle="1" w:styleId="124">
    <w:name w:val="haydonli Char Char"/>
    <w:link w:val="125"/>
    <w:qFormat/>
    <w:uiPriority w:val="0"/>
    <w:rPr>
      <w:rFonts w:eastAsia="宋体"/>
      <w:kern w:val="2"/>
      <w:sz w:val="24"/>
      <w:szCs w:val="24"/>
    </w:rPr>
  </w:style>
  <w:style w:type="paragraph" w:customStyle="1" w:styleId="125">
    <w:name w:val="haydonli"/>
    <w:basedOn w:val="1"/>
    <w:link w:val="124"/>
    <w:qFormat/>
    <w:uiPriority w:val="0"/>
    <w:pPr>
      <w:snapToGrid w:val="0"/>
      <w:spacing w:line="360" w:lineRule="auto"/>
      <w:ind w:firstLine="200" w:firstLineChars="200"/>
    </w:pPr>
    <w:rPr>
      <w:rFonts w:eastAsia="宋体"/>
      <w:sz w:val="24"/>
    </w:rPr>
  </w:style>
  <w:style w:type="paragraph" w:customStyle="1" w:styleId="126">
    <w:name w:val="样式 小四 行距: 1.5 倍行距"/>
    <w:basedOn w:val="1"/>
    <w:qFormat/>
    <w:uiPriority w:val="0"/>
    <w:pPr>
      <w:spacing w:line="360" w:lineRule="auto"/>
      <w:ind w:firstLine="200" w:firstLineChars="200"/>
    </w:pPr>
    <w:rPr>
      <w:rFonts w:ascii="Times New Roman" w:hAnsi="Times New Roman" w:eastAsia="宋体" w:cs="宋体"/>
      <w:sz w:val="24"/>
      <w:szCs w:val="20"/>
    </w:rPr>
  </w:style>
  <w:style w:type="character" w:customStyle="1" w:styleId="127">
    <w:name w:val="标题 2 Char2"/>
    <w:qFormat/>
    <w:uiPriority w:val="0"/>
    <w:rPr>
      <w:rFonts w:ascii="Arial" w:hAnsi="Arial" w:eastAsia="黑体"/>
      <w:b/>
      <w:bCs/>
      <w:kern w:val="2"/>
      <w:sz w:val="32"/>
      <w:szCs w:val="32"/>
      <w:lang w:val="en-US" w:eastAsia="zh-CN" w:bidi="ar-SA"/>
    </w:rPr>
  </w:style>
  <w:style w:type="character" w:customStyle="1" w:styleId="128">
    <w:name w:val="正文文本缩进 2 Char"/>
    <w:basedOn w:val="56"/>
    <w:link w:val="29"/>
    <w:qFormat/>
    <w:uiPriority w:val="0"/>
    <w:rPr>
      <w:kern w:val="2"/>
      <w:sz w:val="21"/>
      <w:szCs w:val="24"/>
    </w:rPr>
  </w:style>
  <w:style w:type="character" w:customStyle="1" w:styleId="129">
    <w:name w:val="标题 5 Char"/>
    <w:basedOn w:val="56"/>
    <w:link w:val="6"/>
    <w:qFormat/>
    <w:uiPriority w:val="0"/>
    <w:rPr>
      <w:rFonts w:ascii="Times New Roman" w:hAnsi="Times New Roman" w:eastAsia="宋体" w:cs="Times New Roman"/>
      <w:b/>
      <w:bCs/>
      <w:kern w:val="2"/>
      <w:sz w:val="28"/>
      <w:szCs w:val="28"/>
    </w:rPr>
  </w:style>
  <w:style w:type="character" w:customStyle="1" w:styleId="130">
    <w:name w:val="标题 6 Char"/>
    <w:basedOn w:val="56"/>
    <w:link w:val="7"/>
    <w:qFormat/>
    <w:uiPriority w:val="0"/>
    <w:rPr>
      <w:rFonts w:ascii="Arial" w:hAnsi="Arial" w:eastAsia="黑体" w:cs="Times New Roman"/>
      <w:b/>
      <w:bCs/>
      <w:kern w:val="2"/>
      <w:sz w:val="24"/>
    </w:rPr>
  </w:style>
  <w:style w:type="character" w:customStyle="1" w:styleId="131">
    <w:name w:val="标题 7 Char"/>
    <w:basedOn w:val="56"/>
    <w:link w:val="8"/>
    <w:qFormat/>
    <w:uiPriority w:val="0"/>
    <w:rPr>
      <w:rFonts w:ascii="Times New Roman" w:hAnsi="Times New Roman" w:eastAsia="宋体" w:cs="Times New Roman"/>
      <w:b/>
      <w:bCs/>
      <w:kern w:val="2"/>
      <w:sz w:val="24"/>
    </w:rPr>
  </w:style>
  <w:style w:type="character" w:customStyle="1" w:styleId="132">
    <w:name w:val="标题 8 Char"/>
    <w:basedOn w:val="56"/>
    <w:link w:val="9"/>
    <w:qFormat/>
    <w:uiPriority w:val="0"/>
    <w:rPr>
      <w:rFonts w:ascii="Arial" w:hAnsi="Arial" w:eastAsia="黑体" w:cs="Times New Roman"/>
      <w:kern w:val="2"/>
      <w:sz w:val="24"/>
    </w:rPr>
  </w:style>
  <w:style w:type="character" w:customStyle="1" w:styleId="133">
    <w:name w:val="标题 9 Char"/>
    <w:basedOn w:val="56"/>
    <w:link w:val="10"/>
    <w:qFormat/>
    <w:uiPriority w:val="0"/>
    <w:rPr>
      <w:rFonts w:ascii="Arial" w:hAnsi="Arial" w:eastAsia="黑体" w:cs="Times New Roman"/>
      <w:kern w:val="2"/>
      <w:sz w:val="21"/>
      <w:szCs w:val="21"/>
    </w:rPr>
  </w:style>
  <w:style w:type="character" w:customStyle="1" w:styleId="134">
    <w:name w:val="注释标题 Char"/>
    <w:basedOn w:val="56"/>
    <w:link w:val="12"/>
    <w:qFormat/>
    <w:uiPriority w:val="0"/>
    <w:rPr>
      <w:rFonts w:ascii="Times New Roman" w:hAnsi="Times New Roman" w:eastAsia="宋体" w:cs="Times New Roman"/>
      <w:kern w:val="2"/>
      <w:sz w:val="21"/>
    </w:rPr>
  </w:style>
  <w:style w:type="character" w:customStyle="1" w:styleId="135">
    <w:name w:val="正文文本 3 Char"/>
    <w:basedOn w:val="56"/>
    <w:link w:val="20"/>
    <w:qFormat/>
    <w:uiPriority w:val="0"/>
    <w:rPr>
      <w:rFonts w:ascii="Times New Roman" w:hAnsi="Times New Roman" w:eastAsia="宋体" w:cs="Times New Roman"/>
      <w:kern w:val="2"/>
      <w:sz w:val="16"/>
      <w:szCs w:val="16"/>
    </w:rPr>
  </w:style>
  <w:style w:type="character" w:customStyle="1" w:styleId="136">
    <w:name w:val="日期 Char"/>
    <w:basedOn w:val="56"/>
    <w:link w:val="28"/>
    <w:qFormat/>
    <w:uiPriority w:val="0"/>
    <w:rPr>
      <w:rFonts w:ascii="宋体" w:hAnsi="宋体" w:eastAsia="宋体" w:cs="Times New Roman"/>
      <w:kern w:val="2"/>
      <w:sz w:val="28"/>
    </w:rPr>
  </w:style>
  <w:style w:type="character" w:customStyle="1" w:styleId="137">
    <w:name w:val="副标题 Char"/>
    <w:basedOn w:val="56"/>
    <w:qFormat/>
    <w:uiPriority w:val="11"/>
    <w:rPr>
      <w:rFonts w:eastAsia="宋体" w:asciiTheme="majorHAnsi" w:hAnsiTheme="majorHAnsi" w:cstheme="majorBidi"/>
      <w:b/>
      <w:bCs/>
      <w:kern w:val="28"/>
      <w:sz w:val="32"/>
      <w:szCs w:val="32"/>
    </w:rPr>
  </w:style>
  <w:style w:type="character" w:customStyle="1" w:styleId="138">
    <w:name w:val="HTML 预设格式 Char"/>
    <w:basedOn w:val="56"/>
    <w:qFormat/>
    <w:uiPriority w:val="99"/>
    <w:rPr>
      <w:rFonts w:ascii="Courier New" w:hAnsi="Courier New" w:cs="Courier New"/>
      <w:kern w:val="2"/>
    </w:rPr>
  </w:style>
  <w:style w:type="paragraph" w:customStyle="1" w:styleId="139">
    <w:name w:val="Char Ëhar Chaz 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4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41">
    <w:name w:val="无间隔1"/>
    <w:qFormat/>
    <w:uiPriority w:val="1"/>
    <w:pPr>
      <w:widowControl w:val="0"/>
      <w:jc w:val="center"/>
    </w:pPr>
    <w:rPr>
      <w:rFonts w:ascii="Times New Roman" w:hAnsi="Times New Roman" w:eastAsia="宋体" w:cs="Times New Roman"/>
      <w:kern w:val="2"/>
      <w:sz w:val="22"/>
      <w:szCs w:val="22"/>
      <w:lang w:val="en-US" w:eastAsia="zh-CN" w:bidi="ar-SA"/>
    </w:rPr>
  </w:style>
  <w:style w:type="paragraph" w:customStyle="1" w:styleId="142">
    <w:name w:val="德胜正文"/>
    <w:basedOn w:val="1"/>
    <w:qFormat/>
    <w:uiPriority w:val="0"/>
    <w:pPr>
      <w:adjustRightInd w:val="0"/>
      <w:snapToGrid w:val="0"/>
      <w:spacing w:line="360" w:lineRule="auto"/>
      <w:ind w:firstLine="200" w:firstLineChars="200"/>
    </w:pPr>
    <w:rPr>
      <w:rFonts w:ascii="Times New Roman" w:hAnsi="Times New Roman" w:eastAsia="宋体" w:cs="Times New Roman"/>
      <w:snapToGrid w:val="0"/>
      <w:color w:val="0000FF"/>
      <w:kern w:val="0"/>
      <w:sz w:val="24"/>
      <w:szCs w:val="20"/>
    </w:rPr>
  </w:style>
  <w:style w:type="paragraph" w:customStyle="1" w:styleId="143">
    <w:name w:val="德胜表头"/>
    <w:basedOn w:val="142"/>
    <w:qFormat/>
    <w:uiPriority w:val="0"/>
    <w:pPr>
      <w:spacing w:line="240" w:lineRule="auto"/>
      <w:ind w:firstLine="0" w:firstLineChars="0"/>
      <w:jc w:val="center"/>
    </w:pPr>
    <w:rPr>
      <w:b/>
    </w:rPr>
  </w:style>
  <w:style w:type="paragraph" w:customStyle="1" w:styleId="144">
    <w:name w:val="表格2"/>
    <w:basedOn w:val="1"/>
    <w:semiHidden/>
    <w:qFormat/>
    <w:uiPriority w:val="0"/>
    <w:pPr>
      <w:adjustRightInd w:val="0"/>
      <w:snapToGrid w:val="0"/>
      <w:jc w:val="center"/>
    </w:pPr>
    <w:rPr>
      <w:rFonts w:ascii="Times New Roman" w:hAnsi="Times New Roman" w:eastAsia="Times New Roman" w:cs="Times New Roman"/>
      <w:bCs/>
      <w:szCs w:val="21"/>
    </w:rPr>
  </w:style>
  <w:style w:type="paragraph" w:customStyle="1" w:styleId="145">
    <w:name w:val="默认段落字体 Para Char Char Char Char"/>
    <w:basedOn w:val="1"/>
    <w:qFormat/>
    <w:uiPriority w:val="0"/>
    <w:pPr>
      <w:spacing w:beforeLines="100" w:afterLines="50" w:line="600" w:lineRule="exact"/>
      <w:ind w:firstLine="200" w:firstLineChars="200"/>
    </w:pPr>
    <w:rPr>
      <w:rFonts w:ascii="Times New Roman" w:hAnsi="Times New Roman" w:eastAsia="黑体" w:cs="Times New Roman"/>
      <w:sz w:val="28"/>
      <w:szCs w:val="20"/>
    </w:rPr>
  </w:style>
  <w:style w:type="paragraph" w:customStyle="1" w:styleId="146">
    <w:name w:val="二级无标题条"/>
    <w:basedOn w:val="1"/>
    <w:qFormat/>
    <w:uiPriority w:val="0"/>
    <w:rPr>
      <w:rFonts w:ascii="Times New Roman" w:hAnsi="Times New Roman" w:eastAsia="宋体" w:cs="Times New Roman"/>
    </w:rPr>
  </w:style>
  <w:style w:type="paragraph" w:customStyle="1" w:styleId="147">
    <w:name w:val="表格1"/>
    <w:basedOn w:val="1"/>
    <w:semiHidden/>
    <w:qFormat/>
    <w:uiPriority w:val="0"/>
    <w:pPr>
      <w:adjustRightInd w:val="0"/>
      <w:snapToGrid w:val="0"/>
      <w:spacing w:line="360" w:lineRule="auto"/>
      <w:jc w:val="center"/>
    </w:pPr>
    <w:rPr>
      <w:rFonts w:ascii="黑体" w:hAnsi="宋体" w:eastAsia="黑体" w:cs="Times New Roman"/>
      <w:szCs w:val="21"/>
    </w:rPr>
  </w:style>
  <w:style w:type="paragraph" w:customStyle="1" w:styleId="148">
    <w:name w:val="Char Ëhar Chaz Char Char Char Char4"/>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49">
    <w:name w:val="正文新 Char"/>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150">
    <w:name w:val="表格3"/>
    <w:basedOn w:val="147"/>
    <w:semiHidden/>
    <w:qFormat/>
    <w:uiPriority w:val="0"/>
  </w:style>
  <w:style w:type="paragraph" w:customStyle="1" w:styleId="151">
    <w:name w:val="Char Ëhar Chaz Char Char Char Char3"/>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152">
    <w:name w:val="Char Char5"/>
    <w:qFormat/>
    <w:uiPriority w:val="0"/>
    <w:rPr>
      <w:rFonts w:ascii="宋体" w:hAnsi="Courier New" w:eastAsia="宋体"/>
      <w:kern w:val="2"/>
      <w:sz w:val="28"/>
      <w:lang w:val="en-US" w:eastAsia="zh-CN" w:bidi="ar-SA"/>
    </w:rPr>
  </w:style>
  <w:style w:type="character" w:customStyle="1" w:styleId="153">
    <w:name w:val="Char Char19"/>
    <w:basedOn w:val="56"/>
    <w:qFormat/>
    <w:uiPriority w:val="0"/>
    <w:rPr>
      <w:rFonts w:ascii="宋体" w:hAnsi="宋体" w:eastAsia="宋体" w:cs="Times New Roman"/>
      <w:b/>
      <w:bCs/>
      <w:sz w:val="24"/>
      <w:szCs w:val="32"/>
    </w:rPr>
  </w:style>
  <w:style w:type="character" w:customStyle="1" w:styleId="154">
    <w:name w:val="标题 Char1"/>
    <w:basedOn w:val="56"/>
    <w:qFormat/>
    <w:uiPriority w:val="0"/>
    <w:rPr>
      <w:rFonts w:asciiTheme="majorHAnsi" w:hAnsiTheme="majorHAnsi" w:cstheme="majorBidi"/>
      <w:b/>
      <w:bCs/>
      <w:kern w:val="2"/>
      <w:sz w:val="32"/>
      <w:szCs w:val="32"/>
    </w:rPr>
  </w:style>
  <w:style w:type="paragraph" w:customStyle="1" w:styleId="155">
    <w:name w:val="默认段落字体 Para Char Char Char Char Char Char Char Char Char1 Char Char Char Char Char Char Char"/>
    <w:basedOn w:val="15"/>
    <w:qFormat/>
    <w:uiPriority w:val="0"/>
    <w:pPr>
      <w:shd w:val="clear" w:color="auto" w:fill="000080"/>
    </w:pPr>
    <w:rPr>
      <w:rFonts w:ascii="Tahoma" w:hAnsi="Tahoma" w:cs="Tahoma"/>
      <w:sz w:val="24"/>
      <w:szCs w:val="24"/>
    </w:rPr>
  </w:style>
  <w:style w:type="paragraph" w:customStyle="1" w:styleId="156">
    <w:name w:val="Char"/>
    <w:basedOn w:val="1"/>
    <w:qFormat/>
    <w:uiPriority w:val="99"/>
    <w:pPr>
      <w:tabs>
        <w:tab w:val="left" w:pos="360"/>
      </w:tabs>
    </w:pPr>
    <w:rPr>
      <w:rFonts w:ascii="Times New Roman" w:hAnsi="Times New Roman" w:eastAsia="宋体" w:cs="Times New Roman"/>
      <w:sz w:val="24"/>
    </w:rPr>
  </w:style>
  <w:style w:type="paragraph" w:customStyle="1" w:styleId="157">
    <w:name w:val="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58">
    <w:name w:val="Char Char Char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59">
    <w:name w:val="默认段落字体 Para Char"/>
    <w:basedOn w:val="1"/>
    <w:qFormat/>
    <w:uiPriority w:val="0"/>
    <w:rPr>
      <w:rFonts w:ascii="Times New Roman" w:hAnsi="Times New Roman" w:eastAsia="宋体" w:cs="Times New Roman"/>
    </w:rPr>
  </w:style>
  <w:style w:type="paragraph" w:customStyle="1" w:styleId="160">
    <w:name w:val="wtext"/>
    <w:basedOn w:val="1"/>
    <w:qFormat/>
    <w:uiPriority w:val="0"/>
    <w:pPr>
      <w:widowControl/>
      <w:spacing w:before="100" w:beforeAutospacing="1" w:after="100" w:afterAutospacing="1"/>
      <w:jc w:val="left"/>
    </w:pPr>
    <w:rPr>
      <w:rFonts w:ascii="宋体" w:hAnsi="宋体" w:eastAsia="宋体" w:cs="宋体"/>
      <w:color w:val="000000"/>
      <w:kern w:val="0"/>
      <w:sz w:val="24"/>
    </w:rPr>
  </w:style>
  <w:style w:type="paragraph" w:customStyle="1" w:styleId="161">
    <w:name w:val="二级无"/>
    <w:basedOn w:val="1"/>
    <w:qFormat/>
    <w:uiPriority w:val="0"/>
    <w:pPr>
      <w:widowControl/>
      <w:ind w:left="741"/>
      <w:jc w:val="left"/>
      <w:outlineLvl w:val="3"/>
    </w:pPr>
    <w:rPr>
      <w:rFonts w:ascii="宋体" w:hAnsi="Times New Roman" w:eastAsia="宋体" w:cs="Times New Roman"/>
      <w:kern w:val="0"/>
      <w:szCs w:val="21"/>
    </w:rPr>
  </w:style>
  <w:style w:type="paragraph" w:customStyle="1" w:styleId="162">
    <w:name w:val="样式 标题 3标题 3X.X.X36标题 3标题3（黑体、四号、6磅） + 小四 段前: 0 磅 段后: 0 磅 ..."/>
    <w:basedOn w:val="5"/>
    <w:qFormat/>
    <w:uiPriority w:val="0"/>
    <w:pPr>
      <w:spacing w:before="0" w:after="0" w:line="360" w:lineRule="auto"/>
    </w:pPr>
    <w:rPr>
      <w:rFonts w:ascii="Times New Roman" w:hAnsi="Times New Roman" w:eastAsia="宋体" w:cs="宋体"/>
      <w:sz w:val="24"/>
      <w:szCs w:val="20"/>
    </w:rPr>
  </w:style>
  <w:style w:type="paragraph" w:customStyle="1" w:styleId="163">
    <w:name w:val="Char Char Char"/>
    <w:basedOn w:val="1"/>
    <w:qFormat/>
    <w:uiPriority w:val="0"/>
    <w:rPr>
      <w:rFonts w:ascii="Tahoma" w:hAnsi="Tahoma" w:eastAsia="宋体" w:cs="Tahoma"/>
      <w:sz w:val="24"/>
    </w:rPr>
  </w:style>
  <w:style w:type="paragraph" w:styleId="164">
    <w:name w:val="No Spacing"/>
    <w:qFormat/>
    <w:uiPriority w:val="0"/>
    <w:pPr>
      <w:widowControl w:val="0"/>
      <w:jc w:val="center"/>
    </w:pPr>
    <w:rPr>
      <w:rFonts w:ascii="Calibri" w:hAnsi="Calibri" w:eastAsia="宋体" w:cs="Times New Roman"/>
      <w:kern w:val="2"/>
      <w:sz w:val="22"/>
      <w:szCs w:val="22"/>
      <w:lang w:val="en-US" w:eastAsia="zh-CN" w:bidi="ar-SA"/>
    </w:rPr>
  </w:style>
  <w:style w:type="character" w:customStyle="1" w:styleId="165">
    <w:name w:val="老吴表段前后 Char"/>
    <w:link w:val="166"/>
    <w:qFormat/>
    <w:uiPriority w:val="0"/>
    <w:rPr>
      <w:sz w:val="24"/>
    </w:rPr>
  </w:style>
  <w:style w:type="paragraph" w:customStyle="1" w:styleId="166">
    <w:name w:val="老吴表段前后"/>
    <w:basedOn w:val="1"/>
    <w:link w:val="165"/>
    <w:qFormat/>
    <w:uiPriority w:val="0"/>
    <w:pPr>
      <w:spacing w:before="20" w:after="20" w:line="420" w:lineRule="auto"/>
      <w:ind w:firstLine="200" w:firstLineChars="200"/>
    </w:pPr>
    <w:rPr>
      <w:kern w:val="0"/>
      <w:sz w:val="24"/>
      <w:szCs w:val="20"/>
    </w:rPr>
  </w:style>
  <w:style w:type="character" w:customStyle="1" w:styleId="167">
    <w:name w:val="德胜表格内容 Char"/>
    <w:link w:val="168"/>
    <w:qFormat/>
    <w:uiPriority w:val="0"/>
    <w:rPr>
      <w:rFonts w:ascii="Calibri" w:hAnsi="Calibri" w:cs="宋体"/>
      <w:snapToGrid w:val="0"/>
      <w:color w:val="0000FF"/>
      <w:szCs w:val="21"/>
    </w:rPr>
  </w:style>
  <w:style w:type="paragraph" w:customStyle="1" w:styleId="168">
    <w:name w:val="德胜表格内容"/>
    <w:basedOn w:val="1"/>
    <w:link w:val="167"/>
    <w:qFormat/>
    <w:uiPriority w:val="0"/>
    <w:pPr>
      <w:widowControl/>
      <w:adjustRightInd w:val="0"/>
      <w:snapToGrid w:val="0"/>
      <w:jc w:val="center"/>
    </w:pPr>
    <w:rPr>
      <w:rFonts w:ascii="Calibri" w:hAnsi="Calibri" w:cs="宋体"/>
      <w:snapToGrid w:val="0"/>
      <w:color w:val="0000FF"/>
      <w:kern w:val="0"/>
      <w:sz w:val="20"/>
      <w:szCs w:val="21"/>
    </w:rPr>
  </w:style>
  <w:style w:type="character" w:customStyle="1" w:styleId="169">
    <w:name w:val="表题 Char"/>
    <w:link w:val="170"/>
    <w:qFormat/>
    <w:uiPriority w:val="0"/>
    <w:rPr>
      <w:rFonts w:ascii="Arial" w:hAnsi="Arial" w:eastAsia="黑体"/>
      <w:b/>
      <w:sz w:val="24"/>
    </w:rPr>
  </w:style>
  <w:style w:type="paragraph" w:customStyle="1" w:styleId="170">
    <w:name w:val="表题"/>
    <w:basedOn w:val="1"/>
    <w:link w:val="169"/>
    <w:qFormat/>
    <w:uiPriority w:val="0"/>
    <w:pPr>
      <w:ind w:firstLine="200" w:firstLineChars="200"/>
      <w:jc w:val="center"/>
    </w:pPr>
    <w:rPr>
      <w:rFonts w:ascii="Arial" w:hAnsi="Arial" w:eastAsia="黑体"/>
      <w:b/>
      <w:kern w:val="0"/>
      <w:sz w:val="24"/>
      <w:szCs w:val="20"/>
    </w:rPr>
  </w:style>
  <w:style w:type="character" w:customStyle="1" w:styleId="171">
    <w:name w:val="正文文本缩进 Char"/>
    <w:link w:val="22"/>
    <w:qFormat/>
    <w:uiPriority w:val="0"/>
    <w:rPr>
      <w:kern w:val="2"/>
      <w:sz w:val="21"/>
      <w:szCs w:val="24"/>
    </w:rPr>
  </w:style>
  <w:style w:type="character" w:customStyle="1" w:styleId="172">
    <w:name w:val="标题1"/>
    <w:basedOn w:val="56"/>
    <w:qFormat/>
    <w:uiPriority w:val="0"/>
  </w:style>
  <w:style w:type="character" w:customStyle="1" w:styleId="173">
    <w:name w:val="纯文本 Char1"/>
    <w:qFormat/>
    <w:uiPriority w:val="0"/>
    <w:rPr>
      <w:rFonts w:ascii="宋体" w:hAnsi="Courier New" w:eastAsia="宋体"/>
      <w:kern w:val="2"/>
      <w:sz w:val="21"/>
      <w:lang w:val="en-US" w:eastAsia="zh-CN" w:bidi="ar-SA"/>
    </w:rPr>
  </w:style>
  <w:style w:type="character" w:customStyle="1" w:styleId="174">
    <w:name w:val="样式3 Char"/>
    <w:link w:val="175"/>
    <w:qFormat/>
    <w:uiPriority w:val="0"/>
    <w:rPr>
      <w:snapToGrid w:val="0"/>
      <w:color w:val="800000"/>
      <w:sz w:val="24"/>
      <w:u w:color="99CC00"/>
    </w:rPr>
  </w:style>
  <w:style w:type="paragraph" w:customStyle="1" w:styleId="175">
    <w:name w:val="样式3"/>
    <w:basedOn w:val="1"/>
    <w:link w:val="174"/>
    <w:qFormat/>
    <w:uiPriority w:val="0"/>
    <w:pPr>
      <w:adjustRightInd w:val="0"/>
      <w:snapToGrid w:val="0"/>
      <w:spacing w:line="480" w:lineRule="exact"/>
      <w:ind w:firstLine="480" w:firstLineChars="200"/>
    </w:pPr>
    <w:rPr>
      <w:snapToGrid w:val="0"/>
      <w:color w:val="800000"/>
      <w:kern w:val="0"/>
      <w:sz w:val="24"/>
      <w:szCs w:val="20"/>
      <w:u w:color="99CC00"/>
    </w:rPr>
  </w:style>
  <w:style w:type="character" w:customStyle="1" w:styleId="176">
    <w:name w:val="正文缩进 Char"/>
    <w:link w:val="13"/>
    <w:qFormat/>
    <w:uiPriority w:val="0"/>
    <w:rPr>
      <w:rFonts w:ascii="Arial" w:hAnsi="Arial" w:eastAsia="仿宋_GB2312"/>
      <w:kern w:val="2"/>
      <w:sz w:val="24"/>
      <w:szCs w:val="24"/>
    </w:rPr>
  </w:style>
  <w:style w:type="character" w:customStyle="1" w:styleId="177">
    <w:name w:val="apple-converted-space"/>
    <w:basedOn w:val="56"/>
    <w:qFormat/>
    <w:uiPriority w:val="0"/>
  </w:style>
  <w:style w:type="character" w:customStyle="1" w:styleId="178">
    <w:name w:val="列表 Char"/>
    <w:link w:val="38"/>
    <w:qFormat/>
    <w:uiPriority w:val="0"/>
    <w:rPr>
      <w:rFonts w:ascii="Times New Roman" w:hAnsi="Times New Roman" w:eastAsia="宋体" w:cs="Times New Roman"/>
      <w:szCs w:val="24"/>
    </w:rPr>
  </w:style>
  <w:style w:type="character" w:customStyle="1" w:styleId="179">
    <w:name w:val="图表标题 Char"/>
    <w:link w:val="180"/>
    <w:qFormat/>
    <w:uiPriority w:val="0"/>
    <w:rPr>
      <w:b/>
      <w:szCs w:val="24"/>
    </w:rPr>
  </w:style>
  <w:style w:type="paragraph" w:customStyle="1" w:styleId="180">
    <w:name w:val="图表标题"/>
    <w:next w:val="1"/>
    <w:link w:val="179"/>
    <w:qFormat/>
    <w:uiPriority w:val="0"/>
    <w:pPr>
      <w:jc w:val="center"/>
    </w:pPr>
    <w:rPr>
      <w:rFonts w:asciiTheme="minorHAnsi" w:hAnsiTheme="minorHAnsi" w:eastAsiaTheme="minorEastAsia" w:cstheme="minorBidi"/>
      <w:b/>
      <w:szCs w:val="24"/>
      <w:lang w:val="en-US" w:eastAsia="zh-CN" w:bidi="ar-SA"/>
    </w:rPr>
  </w:style>
  <w:style w:type="character" w:customStyle="1" w:styleId="181">
    <w:name w:val="表头 Char"/>
    <w:link w:val="182"/>
    <w:qFormat/>
    <w:uiPriority w:val="0"/>
    <w:rPr>
      <w:bCs/>
      <w:sz w:val="24"/>
    </w:rPr>
  </w:style>
  <w:style w:type="paragraph" w:customStyle="1" w:styleId="182">
    <w:name w:val="表头"/>
    <w:basedOn w:val="1"/>
    <w:link w:val="181"/>
    <w:qFormat/>
    <w:uiPriority w:val="0"/>
    <w:pPr>
      <w:widowControl/>
      <w:tabs>
        <w:tab w:val="left" w:pos="5520"/>
      </w:tabs>
      <w:snapToGrid w:val="0"/>
      <w:jc w:val="center"/>
    </w:pPr>
    <w:rPr>
      <w:bCs/>
      <w:kern w:val="0"/>
      <w:sz w:val="24"/>
      <w:szCs w:val="20"/>
    </w:rPr>
  </w:style>
  <w:style w:type="character" w:customStyle="1" w:styleId="183">
    <w:name w:val="表格 Char"/>
    <w:qFormat/>
    <w:uiPriority w:val="0"/>
    <w:rPr>
      <w:rFonts w:eastAsia="宋体"/>
      <w:kern w:val="2"/>
      <w:sz w:val="21"/>
      <w:szCs w:val="21"/>
      <w:lang w:val="en-US" w:eastAsia="zh-CN" w:bidi="ar-SA"/>
    </w:rPr>
  </w:style>
  <w:style w:type="character" w:customStyle="1" w:styleId="184">
    <w:name w:val="表图 Char"/>
    <w:link w:val="185"/>
    <w:qFormat/>
    <w:uiPriority w:val="0"/>
    <w:rPr>
      <w:szCs w:val="24"/>
    </w:rPr>
  </w:style>
  <w:style w:type="paragraph" w:customStyle="1" w:styleId="185">
    <w:name w:val="表图"/>
    <w:basedOn w:val="1"/>
    <w:link w:val="184"/>
    <w:qFormat/>
    <w:uiPriority w:val="0"/>
    <w:pPr>
      <w:widowControl/>
      <w:adjustRightInd w:val="0"/>
      <w:snapToGrid w:val="0"/>
      <w:spacing w:line="320" w:lineRule="atLeast"/>
      <w:jc w:val="center"/>
    </w:pPr>
    <w:rPr>
      <w:kern w:val="0"/>
      <w:sz w:val="20"/>
    </w:rPr>
  </w:style>
  <w:style w:type="paragraph" w:customStyle="1" w:styleId="186">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paragraph" w:customStyle="1" w:styleId="187">
    <w:name w:val="p0"/>
    <w:basedOn w:val="1"/>
    <w:qFormat/>
    <w:uiPriority w:val="0"/>
    <w:pPr>
      <w:widowControl/>
      <w:spacing w:line="365" w:lineRule="atLeast"/>
      <w:ind w:left="1"/>
      <w:textAlignment w:val="bottom"/>
    </w:pPr>
    <w:rPr>
      <w:rFonts w:ascii="Times New Roman" w:hAnsi="Times New Roman" w:eastAsia="宋体" w:cs="Times New Roman"/>
      <w:kern w:val="0"/>
      <w:sz w:val="20"/>
      <w:szCs w:val="20"/>
    </w:rPr>
  </w:style>
  <w:style w:type="paragraph" w:customStyle="1" w:styleId="188">
    <w:name w:val="Char Char Char Char3"/>
    <w:basedOn w:val="1"/>
    <w:qFormat/>
    <w:uiPriority w:val="0"/>
    <w:rPr>
      <w:rFonts w:ascii="Times New Roman" w:hAnsi="Times New Roman" w:eastAsia="宋体" w:cs="Times New Roman"/>
    </w:rPr>
  </w:style>
  <w:style w:type="character" w:customStyle="1" w:styleId="189">
    <w:name w:val="副标题 Char1"/>
    <w:basedOn w:val="56"/>
    <w:link w:val="37"/>
    <w:qFormat/>
    <w:uiPriority w:val="11"/>
    <w:rPr>
      <w:rFonts w:ascii="Cambria" w:hAnsi="Cambria" w:eastAsia="宋体" w:cs="Times New Roman"/>
      <w:b/>
      <w:bCs/>
      <w:kern w:val="28"/>
      <w:sz w:val="32"/>
      <w:szCs w:val="32"/>
    </w:rPr>
  </w:style>
  <w:style w:type="character" w:customStyle="1" w:styleId="190">
    <w:name w:val="HTML 预设格式 Char1"/>
    <w:basedOn w:val="56"/>
    <w:link w:val="45"/>
    <w:qFormat/>
    <w:uiPriority w:val="99"/>
    <w:rPr>
      <w:rFonts w:ascii="宋体" w:hAnsi="宋体" w:eastAsia="宋体" w:cs="宋体"/>
      <w:sz w:val="24"/>
      <w:szCs w:val="24"/>
    </w:rPr>
  </w:style>
  <w:style w:type="paragraph" w:customStyle="1" w:styleId="191">
    <w:name w:val="表格内容"/>
    <w:basedOn w:val="1"/>
    <w:link w:val="213"/>
    <w:qFormat/>
    <w:uiPriority w:val="0"/>
    <w:pPr>
      <w:widowControl/>
      <w:overflowPunct w:val="0"/>
      <w:adjustRightInd w:val="0"/>
      <w:spacing w:before="40" w:after="60" w:line="200" w:lineRule="atLeast"/>
      <w:jc w:val="left"/>
      <w:textAlignment w:val="baseline"/>
    </w:pPr>
    <w:rPr>
      <w:rFonts w:ascii="Arial" w:hAnsi="Arial" w:eastAsia="仿宋_GB2312" w:cs="Times New Roman"/>
      <w:kern w:val="0"/>
      <w:sz w:val="24"/>
      <w:szCs w:val="20"/>
      <w:lang w:eastAsia="en-US" w:bidi="en-US"/>
    </w:rPr>
  </w:style>
  <w:style w:type="paragraph" w:customStyle="1" w:styleId="192">
    <w:name w:val="样式 正文文本缩进 + 行距: 1.5 倍行距"/>
    <w:basedOn w:val="22"/>
    <w:qFormat/>
    <w:uiPriority w:val="0"/>
    <w:pPr>
      <w:spacing w:line="360" w:lineRule="auto"/>
      <w:ind w:left="0" w:leftChars="0" w:firstLine="560" w:firstLineChars="200"/>
    </w:pPr>
    <w:rPr>
      <w:rFonts w:ascii="Times New Roman" w:hAnsi="Times New Roman" w:eastAsia="宋体" w:cs="宋体"/>
      <w:kern w:val="0"/>
      <w:sz w:val="28"/>
      <w:szCs w:val="20"/>
    </w:rPr>
  </w:style>
  <w:style w:type="paragraph" w:customStyle="1" w:styleId="193">
    <w:name w:val="Char Ëhar Chaz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94">
    <w:name w:val="样式4"/>
    <w:basedOn w:val="1"/>
    <w:next w:val="1"/>
    <w:qFormat/>
    <w:uiPriority w:val="0"/>
    <w:pPr>
      <w:spacing w:line="440" w:lineRule="exact"/>
    </w:pPr>
    <w:rPr>
      <w:rFonts w:ascii="Times New Roman" w:hAnsi="Times New Roman" w:eastAsia="宋体" w:cs="Times New Roman"/>
      <w:sz w:val="24"/>
      <w:szCs w:val="20"/>
    </w:rPr>
  </w:style>
  <w:style w:type="paragraph" w:customStyle="1" w:styleId="195">
    <w:name w:val="Char Char Char Char1"/>
    <w:basedOn w:val="1"/>
    <w:qFormat/>
    <w:uiPriority w:val="0"/>
    <w:rPr>
      <w:rFonts w:ascii="Times New Roman" w:hAnsi="Times New Roman" w:eastAsia="宋体" w:cs="Times New Roman"/>
    </w:rPr>
  </w:style>
  <w:style w:type="paragraph" w:customStyle="1" w:styleId="196">
    <w:name w:val="样2"/>
    <w:basedOn w:val="1"/>
    <w:next w:val="1"/>
    <w:qFormat/>
    <w:uiPriority w:val="0"/>
    <w:pPr>
      <w:adjustRightInd w:val="0"/>
      <w:jc w:val="center"/>
      <w:textAlignment w:val="baseline"/>
    </w:pPr>
    <w:rPr>
      <w:rFonts w:ascii="Times New Roman" w:hAnsi="Times New Roman" w:eastAsia="宋体" w:cs="Times New Roman"/>
      <w:kern w:val="0"/>
      <w:szCs w:val="20"/>
    </w:rPr>
  </w:style>
  <w:style w:type="paragraph" w:customStyle="1" w:styleId="197">
    <w:name w:val="无悬挂正文5号"/>
    <w:basedOn w:val="1"/>
    <w:qFormat/>
    <w:uiPriority w:val="0"/>
    <w:pPr>
      <w:adjustRightInd w:val="0"/>
      <w:jc w:val="center"/>
      <w:textAlignment w:val="baseline"/>
    </w:pPr>
    <w:rPr>
      <w:rFonts w:ascii="Times New Roman" w:hAnsi="Times New Roman" w:eastAsia="宋体" w:cs="Times New Roman"/>
    </w:rPr>
  </w:style>
  <w:style w:type="paragraph" w:customStyle="1" w:styleId="198">
    <w:name w:val="报告书"/>
    <w:basedOn w:val="1"/>
    <w:qFormat/>
    <w:uiPriority w:val="0"/>
    <w:pPr>
      <w:widowControl/>
      <w:autoSpaceDE w:val="0"/>
      <w:autoSpaceDN w:val="0"/>
      <w:adjustRightInd w:val="0"/>
      <w:spacing w:line="360" w:lineRule="auto"/>
      <w:ind w:firstLine="505"/>
      <w:jc w:val="left"/>
      <w:textAlignment w:val="bottom"/>
    </w:pPr>
    <w:rPr>
      <w:rFonts w:ascii="Calibri" w:hAnsi="Calibri" w:eastAsia="宋体" w:cs="Times New Roman"/>
      <w:kern w:val="0"/>
      <w:sz w:val="24"/>
      <w:szCs w:val="20"/>
      <w:lang w:eastAsia="en-US" w:bidi="en-US"/>
    </w:rPr>
  </w:style>
  <w:style w:type="paragraph" w:customStyle="1" w:styleId="199">
    <w:name w:val="1 Char Char Char Char Char Char Char Char Char Char"/>
    <w:basedOn w:val="1"/>
    <w:qFormat/>
    <w:uiPriority w:val="0"/>
    <w:rPr>
      <w:rFonts w:ascii="Courier New" w:hAnsi="Courier New" w:eastAsia="仿宋_GB2312" w:cs="Courier New"/>
      <w:szCs w:val="20"/>
    </w:rPr>
  </w:style>
  <w:style w:type="paragraph" w:customStyle="1" w:styleId="200">
    <w:name w:val="Char Char Char Char2"/>
    <w:basedOn w:val="1"/>
    <w:qFormat/>
    <w:uiPriority w:val="0"/>
    <w:rPr>
      <w:rFonts w:ascii="Times New Roman" w:hAnsi="Times New Roman" w:eastAsia="宋体" w:cs="Times New Roman"/>
    </w:rPr>
  </w:style>
  <w:style w:type="paragraph" w:customStyle="1" w:styleId="201">
    <w:name w:val="Char Char Char Char"/>
    <w:basedOn w:val="1"/>
    <w:qFormat/>
    <w:uiPriority w:val="0"/>
    <w:rPr>
      <w:rFonts w:ascii="Times New Roman" w:hAnsi="Times New Roman" w:eastAsia="宋体" w:cs="Times New Roman"/>
    </w:rPr>
  </w:style>
  <w:style w:type="paragraph" w:customStyle="1" w:styleId="202">
    <w:name w:val="zhang正文"/>
    <w:basedOn w:val="33"/>
    <w:qFormat/>
    <w:uiPriority w:val="0"/>
    <w:pPr>
      <w:tabs>
        <w:tab w:val="clear" w:pos="4153"/>
        <w:tab w:val="clear" w:pos="8306"/>
      </w:tabs>
      <w:autoSpaceDE w:val="0"/>
      <w:autoSpaceDN w:val="0"/>
      <w:adjustRightInd w:val="0"/>
      <w:spacing w:line="560" w:lineRule="exact"/>
      <w:ind w:firstLine="192" w:firstLineChars="192"/>
      <w:jc w:val="both"/>
      <w:textAlignment w:val="baseline"/>
    </w:pPr>
    <w:rPr>
      <w:rFonts w:ascii="Times New Roman" w:hAnsi="Times New Roman" w:eastAsia="宋体" w:cs="Times New Roman"/>
      <w:kern w:val="0"/>
      <w:sz w:val="28"/>
      <w:szCs w:val="20"/>
    </w:rPr>
  </w:style>
  <w:style w:type="paragraph" w:customStyle="1" w:styleId="203">
    <w:name w:val="表文字"/>
    <w:basedOn w:val="1"/>
    <w:qFormat/>
    <w:uiPriority w:val="0"/>
    <w:pPr>
      <w:widowControl/>
      <w:spacing w:line="240" w:lineRule="atLeast"/>
      <w:jc w:val="center"/>
    </w:pPr>
    <w:rPr>
      <w:rFonts w:ascii="宋体" w:hAnsi="宋体" w:eastAsia="宋体" w:cs="Times New Roman"/>
      <w:kern w:val="0"/>
      <w:sz w:val="24"/>
      <w:szCs w:val="28"/>
      <w:lang w:eastAsia="en-US" w:bidi="en-US"/>
    </w:rPr>
  </w:style>
  <w:style w:type="paragraph" w:customStyle="1" w:styleId="204">
    <w:name w:val="样式 小四 段前: 7.8 磅 段后: 7.8 磅 行距: 1.5 倍行距"/>
    <w:basedOn w:val="1"/>
    <w:qFormat/>
    <w:uiPriority w:val="0"/>
    <w:pPr>
      <w:adjustRightInd w:val="0"/>
      <w:snapToGrid w:val="0"/>
      <w:spacing w:line="360" w:lineRule="auto"/>
      <w:ind w:firstLine="480" w:firstLineChars="200"/>
    </w:pPr>
    <w:rPr>
      <w:rFonts w:ascii="Times New Roman" w:hAnsi="宋体" w:eastAsia="宋体" w:cs="Times New Roman"/>
      <w:snapToGrid w:val="0"/>
      <w:kern w:val="0"/>
      <w:sz w:val="24"/>
    </w:rPr>
  </w:style>
  <w:style w:type="paragraph" w:customStyle="1" w:styleId="205">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06">
    <w:name w:val="Char Ëhar Chaz Char Char Char Char2"/>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07">
    <w:name w:val="Char Char Char Char4"/>
    <w:basedOn w:val="1"/>
    <w:qFormat/>
    <w:uiPriority w:val="0"/>
    <w:rPr>
      <w:rFonts w:ascii="Times New Roman" w:hAnsi="Times New Roman" w:eastAsia="宋体" w:cs="Times New Roman"/>
    </w:rPr>
  </w:style>
  <w:style w:type="paragraph" w:customStyle="1" w:styleId="208">
    <w:name w:val="正文式样"/>
    <w:basedOn w:val="1"/>
    <w:link w:val="209"/>
    <w:qFormat/>
    <w:uiPriority w:val="0"/>
    <w:pPr>
      <w:tabs>
        <w:tab w:val="left" w:pos="980"/>
      </w:tabs>
      <w:spacing w:line="360" w:lineRule="auto"/>
      <w:ind w:firstLine="200" w:firstLineChars="200"/>
      <w:jc w:val="left"/>
    </w:pPr>
    <w:rPr>
      <w:rFonts w:ascii="Times New Roman" w:hAnsi="Times New Roman" w:eastAsia="宋体" w:cs="Times New Roman"/>
      <w:snapToGrid w:val="0"/>
      <w:sz w:val="24"/>
    </w:rPr>
  </w:style>
  <w:style w:type="character" w:customStyle="1" w:styleId="209">
    <w:name w:val="正文式样 Char"/>
    <w:link w:val="208"/>
    <w:qFormat/>
    <w:uiPriority w:val="0"/>
    <w:rPr>
      <w:rFonts w:ascii="Times New Roman" w:hAnsi="Times New Roman" w:eastAsia="宋体" w:cs="Times New Roman"/>
      <w:snapToGrid w:val="0"/>
      <w:kern w:val="2"/>
      <w:sz w:val="24"/>
      <w:szCs w:val="24"/>
    </w:rPr>
  </w:style>
  <w:style w:type="paragraph" w:customStyle="1" w:styleId="210">
    <w:name w:val="Char1"/>
    <w:basedOn w:val="1"/>
    <w:qFormat/>
    <w:uiPriority w:val="0"/>
    <w:rPr>
      <w:rFonts w:ascii="Times New Roman" w:hAnsi="Times New Roman" w:eastAsia="宋体" w:cs="Times New Roman"/>
      <w:sz w:val="24"/>
    </w:rPr>
  </w:style>
  <w:style w:type="character" w:customStyle="1" w:styleId="211">
    <w:name w:val="p141"/>
    <w:basedOn w:val="56"/>
    <w:qFormat/>
    <w:uiPriority w:val="0"/>
    <w:rPr>
      <w:color w:val="333333"/>
      <w:sz w:val="21"/>
      <w:szCs w:val="21"/>
    </w:rPr>
  </w:style>
  <w:style w:type="paragraph" w:customStyle="1" w:styleId="212">
    <w:name w:val="Char2"/>
    <w:basedOn w:val="1"/>
    <w:qFormat/>
    <w:uiPriority w:val="0"/>
    <w:rPr>
      <w:rFonts w:ascii="Times New Roman" w:hAnsi="Times New Roman" w:eastAsia="宋体" w:cs="Times New Roman"/>
      <w:sz w:val="24"/>
    </w:rPr>
  </w:style>
  <w:style w:type="character" w:customStyle="1" w:styleId="213">
    <w:name w:val="表格内容 Char"/>
    <w:basedOn w:val="56"/>
    <w:link w:val="191"/>
    <w:qFormat/>
    <w:uiPriority w:val="0"/>
    <w:rPr>
      <w:rFonts w:ascii="Arial" w:hAnsi="Arial" w:eastAsia="仿宋_GB2312" w:cs="Times New Roman"/>
      <w:sz w:val="24"/>
      <w:lang w:eastAsia="en-US" w:bidi="en-US"/>
    </w:rPr>
  </w:style>
  <w:style w:type="paragraph" w:customStyle="1" w:styleId="214">
    <w:name w:val="表格图名"/>
    <w:basedOn w:val="1"/>
    <w:link w:val="215"/>
    <w:qFormat/>
    <w:uiPriority w:val="0"/>
    <w:pPr>
      <w:jc w:val="center"/>
    </w:pPr>
    <w:rPr>
      <w:rFonts w:ascii="Times New Roman" w:hAnsi="Times New Roman" w:eastAsia="宋体" w:cs="Times New Roman"/>
      <w:b/>
      <w:sz w:val="24"/>
      <w:szCs w:val="22"/>
    </w:rPr>
  </w:style>
  <w:style w:type="character" w:customStyle="1" w:styleId="215">
    <w:name w:val="表格图名 Char"/>
    <w:basedOn w:val="56"/>
    <w:link w:val="214"/>
    <w:qFormat/>
    <w:uiPriority w:val="0"/>
    <w:rPr>
      <w:rFonts w:ascii="Times New Roman" w:hAnsi="Times New Roman" w:eastAsia="宋体" w:cs="Times New Roman"/>
      <w:b/>
      <w:kern w:val="2"/>
      <w:sz w:val="24"/>
      <w:szCs w:val="22"/>
    </w:rPr>
  </w:style>
  <w:style w:type="paragraph" w:customStyle="1" w:styleId="216">
    <w:name w:val="正文版式"/>
    <w:basedOn w:val="1"/>
    <w:link w:val="217"/>
    <w:qFormat/>
    <w:uiPriority w:val="0"/>
    <w:pPr>
      <w:spacing w:line="500" w:lineRule="exact"/>
      <w:ind w:firstLine="200" w:firstLineChars="200"/>
    </w:pPr>
    <w:rPr>
      <w:rFonts w:ascii="Times New Roman" w:hAnsi="Times New Roman" w:eastAsia="宋体"/>
      <w:sz w:val="24"/>
      <w:szCs w:val="22"/>
    </w:rPr>
  </w:style>
  <w:style w:type="character" w:customStyle="1" w:styleId="217">
    <w:name w:val="正文版式 Char"/>
    <w:basedOn w:val="56"/>
    <w:link w:val="216"/>
    <w:qFormat/>
    <w:uiPriority w:val="0"/>
    <w:rPr>
      <w:rFonts w:ascii="Times New Roman" w:hAnsi="Times New Roman" w:eastAsia="宋体"/>
      <w:kern w:val="2"/>
      <w:sz w:val="24"/>
      <w:szCs w:val="22"/>
    </w:rPr>
  </w:style>
  <w:style w:type="paragraph" w:customStyle="1" w:styleId="218">
    <w:name w:val="表名图名"/>
    <w:basedOn w:val="7"/>
    <w:link w:val="219"/>
    <w:qFormat/>
    <w:uiPriority w:val="0"/>
    <w:pPr>
      <w:keepNext w:val="0"/>
      <w:keepLines w:val="0"/>
      <w:tabs>
        <w:tab w:val="clear" w:pos="964"/>
        <w:tab w:val="clear" w:pos="1152"/>
      </w:tabs>
      <w:spacing w:before="0" w:after="0" w:line="320" w:lineRule="exact"/>
      <w:ind w:left="0" w:firstLine="0"/>
      <w:jc w:val="center"/>
    </w:pPr>
    <w:rPr>
      <w:rFonts w:ascii="Times New Roman" w:hAnsi="Times New Roman" w:eastAsia="宋体"/>
      <w:sz w:val="21"/>
      <w:szCs w:val="24"/>
    </w:rPr>
  </w:style>
  <w:style w:type="character" w:customStyle="1" w:styleId="219">
    <w:name w:val="表名图名 Char"/>
    <w:basedOn w:val="130"/>
    <w:link w:val="218"/>
    <w:qFormat/>
    <w:uiPriority w:val="0"/>
    <w:rPr>
      <w:rFonts w:ascii="Times New Roman" w:hAnsi="Times New Roman" w:eastAsia="宋体" w:cs="Times New Roman"/>
      <w:kern w:val="2"/>
      <w:sz w:val="21"/>
      <w:szCs w:val="24"/>
    </w:rPr>
  </w:style>
  <w:style w:type="paragraph" w:customStyle="1" w:styleId="220">
    <w:name w:val="样式6"/>
    <w:basedOn w:val="175"/>
    <w:qFormat/>
    <w:uiPriority w:val="0"/>
    <w:pPr>
      <w:spacing w:line="460" w:lineRule="exact"/>
      <w:ind w:firstLine="1200" w:firstLineChars="500"/>
    </w:pPr>
    <w:rPr>
      <w:rFonts w:ascii="Arial" w:hAnsi="Arial" w:eastAsia="宋体" w:cs="Arial"/>
      <w:color w:val="auto"/>
      <w:kern w:val="2"/>
      <w:szCs w:val="24"/>
    </w:rPr>
  </w:style>
  <w:style w:type="character" w:customStyle="1" w:styleId="221">
    <w:name w:val="样式17 Char Char"/>
    <w:link w:val="222"/>
    <w:qFormat/>
    <w:uiPriority w:val="0"/>
    <w:rPr>
      <w:kern w:val="2"/>
      <w:sz w:val="21"/>
      <w:szCs w:val="21"/>
    </w:rPr>
  </w:style>
  <w:style w:type="paragraph" w:customStyle="1" w:styleId="222">
    <w:name w:val="样式17"/>
    <w:basedOn w:val="1"/>
    <w:link w:val="221"/>
    <w:qFormat/>
    <w:uiPriority w:val="0"/>
    <w:pPr>
      <w:spacing w:line="320" w:lineRule="exact"/>
      <w:jc w:val="center"/>
    </w:pPr>
    <w:rPr>
      <w:szCs w:val="21"/>
    </w:rPr>
  </w:style>
  <w:style w:type="character" w:customStyle="1" w:styleId="223">
    <w:name w:val="热电厂正文 Char"/>
    <w:link w:val="224"/>
    <w:qFormat/>
    <w:uiPriority w:val="0"/>
    <w:rPr>
      <w:kern w:val="2"/>
      <w:sz w:val="24"/>
    </w:rPr>
  </w:style>
  <w:style w:type="paragraph" w:customStyle="1" w:styleId="224">
    <w:name w:val="热电厂正文"/>
    <w:basedOn w:val="1"/>
    <w:link w:val="223"/>
    <w:qFormat/>
    <w:uiPriority w:val="0"/>
    <w:pPr>
      <w:spacing w:line="440" w:lineRule="exact"/>
      <w:ind w:firstLine="480" w:firstLineChars="200"/>
    </w:pPr>
    <w:rPr>
      <w:sz w:val="24"/>
      <w:szCs w:val="20"/>
    </w:rPr>
  </w:style>
  <w:style w:type="paragraph" w:customStyle="1" w:styleId="225">
    <w:name w:val="4"/>
    <w:basedOn w:val="1"/>
    <w:next w:val="22"/>
    <w:qFormat/>
    <w:uiPriority w:val="0"/>
    <w:pPr>
      <w:ind w:firstLine="540"/>
    </w:pPr>
    <w:rPr>
      <w:rFonts w:ascii="宋体" w:hAnsi="Times New Roman" w:eastAsia="宋体" w:cs="Times New Roman"/>
      <w:sz w:val="28"/>
      <w:szCs w:val="20"/>
    </w:rPr>
  </w:style>
  <w:style w:type="paragraph" w:customStyle="1" w:styleId="226">
    <w:name w:val="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227">
    <w:name w:val="ca-111"/>
    <w:qFormat/>
    <w:uiPriority w:val="0"/>
    <w:rPr>
      <w:rFonts w:hint="eastAsia" w:ascii="宋体" w:hAnsi="宋体" w:eastAsia="宋体"/>
      <w:sz w:val="24"/>
      <w:szCs w:val="24"/>
    </w:rPr>
  </w:style>
  <w:style w:type="character" w:customStyle="1" w:styleId="228">
    <w:name w:val="Char Char Char Char11"/>
    <w:qFormat/>
    <w:uiPriority w:val="0"/>
    <w:rPr>
      <w:rFonts w:ascii="宋体" w:eastAsia="宋体"/>
      <w:kern w:val="2"/>
      <w:sz w:val="24"/>
      <w:lang w:val="en-US" w:eastAsia="zh-CN"/>
    </w:rPr>
  </w:style>
  <w:style w:type="character" w:customStyle="1" w:styleId="229">
    <w:name w:val="viewthreadtxt"/>
    <w:basedOn w:val="56"/>
    <w:qFormat/>
    <w:uiPriority w:val="0"/>
  </w:style>
  <w:style w:type="character" w:customStyle="1" w:styleId="230">
    <w:name w:val="px14"/>
    <w:basedOn w:val="56"/>
    <w:qFormat/>
    <w:uiPriority w:val="0"/>
  </w:style>
  <w:style w:type="character" w:customStyle="1" w:styleId="231">
    <w:name w:val="style101"/>
    <w:qFormat/>
    <w:uiPriority w:val="0"/>
    <w:rPr>
      <w:color w:val="000000"/>
    </w:rPr>
  </w:style>
  <w:style w:type="character" w:customStyle="1" w:styleId="232">
    <w:name w:val="style4"/>
    <w:basedOn w:val="56"/>
    <w:qFormat/>
    <w:uiPriority w:val="0"/>
  </w:style>
  <w:style w:type="character" w:customStyle="1" w:styleId="233">
    <w:name w:val="style211"/>
    <w:qFormat/>
    <w:uiPriority w:val="0"/>
    <w:rPr>
      <w:color w:val="000000"/>
    </w:rPr>
  </w:style>
  <w:style w:type="character" w:customStyle="1" w:styleId="234">
    <w:name w:val="正文首行缩进 2 Char"/>
    <w:link w:val="50"/>
    <w:qFormat/>
    <w:uiPriority w:val="0"/>
    <w:rPr>
      <w:rFonts w:eastAsia="宋体"/>
      <w:kern w:val="2"/>
      <w:sz w:val="21"/>
      <w:szCs w:val="24"/>
    </w:rPr>
  </w:style>
  <w:style w:type="character" w:customStyle="1" w:styleId="235">
    <w:name w:val="3zw1"/>
    <w:qFormat/>
    <w:uiPriority w:val="0"/>
    <w:rPr>
      <w:color w:val="000000"/>
      <w:sz w:val="21"/>
      <w:szCs w:val="21"/>
    </w:rPr>
  </w:style>
  <w:style w:type="character" w:customStyle="1" w:styleId="236">
    <w:name w:val="unnamed2"/>
    <w:basedOn w:val="56"/>
    <w:qFormat/>
    <w:uiPriority w:val="0"/>
  </w:style>
  <w:style w:type="character" w:customStyle="1" w:styleId="237">
    <w:name w:val="正文(首行缩进)宋旭峰 Char Char"/>
    <w:link w:val="238"/>
    <w:qFormat/>
    <w:uiPriority w:val="0"/>
    <w:rPr>
      <w:rFonts w:ascii="宋体" w:hAnsi="宋体" w:cs="宋体"/>
      <w:snapToGrid w:val="0"/>
      <w:color w:val="0000FF"/>
      <w:sz w:val="24"/>
      <w:szCs w:val="24"/>
    </w:rPr>
  </w:style>
  <w:style w:type="paragraph" w:customStyle="1" w:styleId="238">
    <w:name w:val="正文(首行缩进)宋旭峰"/>
    <w:basedOn w:val="13"/>
    <w:link w:val="237"/>
    <w:qFormat/>
    <w:uiPriority w:val="0"/>
    <w:pPr>
      <w:widowControl w:val="0"/>
      <w:spacing w:line="360" w:lineRule="auto"/>
      <w:ind w:firstLine="480" w:firstLineChars="200"/>
      <w:contextualSpacing/>
      <w:jc w:val="both"/>
    </w:pPr>
    <w:rPr>
      <w:rFonts w:ascii="宋体" w:hAnsi="宋体" w:cs="宋体" w:eastAsiaTheme="minorEastAsia"/>
      <w:snapToGrid w:val="0"/>
      <w:color w:val="0000FF"/>
      <w:kern w:val="0"/>
    </w:rPr>
  </w:style>
  <w:style w:type="character" w:customStyle="1" w:styleId="239">
    <w:name w:val="称呼 Char"/>
    <w:basedOn w:val="56"/>
    <w:link w:val="19"/>
    <w:qFormat/>
    <w:uiPriority w:val="0"/>
    <w:rPr>
      <w:rFonts w:ascii="Times New Roman" w:hAnsi="Times New Roman" w:eastAsia="宋体" w:cs="Times New Roman"/>
      <w:kern w:val="2"/>
      <w:sz w:val="21"/>
    </w:rPr>
  </w:style>
  <w:style w:type="character" w:customStyle="1" w:styleId="240">
    <w:name w:val="正文首行缩进 2 Char1"/>
    <w:basedOn w:val="171"/>
    <w:semiHidden/>
    <w:qFormat/>
    <w:uiPriority w:val="0"/>
    <w:rPr>
      <w:kern w:val="2"/>
      <w:sz w:val="21"/>
      <w:szCs w:val="24"/>
    </w:rPr>
  </w:style>
  <w:style w:type="paragraph" w:customStyle="1" w:styleId="241">
    <w:name w:val="表格 32"/>
    <w:basedOn w:val="1"/>
    <w:qFormat/>
    <w:uiPriority w:val="0"/>
    <w:pPr>
      <w:autoSpaceDE w:val="0"/>
      <w:autoSpaceDN w:val="0"/>
      <w:adjustRightInd w:val="0"/>
      <w:jc w:val="center"/>
      <w:textAlignment w:val="baseline"/>
    </w:pPr>
    <w:rPr>
      <w:rFonts w:ascii="Times New Roman" w:hAnsi="Times New Roman" w:eastAsia="楷体_GB2312" w:cs="Times New Roman"/>
      <w:kern w:val="0"/>
      <w:sz w:val="24"/>
      <w:szCs w:val="20"/>
    </w:rPr>
  </w:style>
  <w:style w:type="paragraph" w:customStyle="1" w:styleId="242">
    <w:name w:val="正文1"/>
    <w:basedOn w:val="26"/>
    <w:qFormat/>
    <w:uiPriority w:val="0"/>
    <w:pPr>
      <w:adjustRightInd w:val="0"/>
      <w:snapToGrid w:val="0"/>
      <w:jc w:val="center"/>
    </w:pPr>
    <w:rPr>
      <w:rFonts w:ascii="Times New Roman" w:hAnsi="Times New Roman" w:cs="Times New Roman"/>
      <w:sz w:val="18"/>
      <w:szCs w:val="20"/>
    </w:rPr>
  </w:style>
  <w:style w:type="paragraph" w:customStyle="1" w:styleId="243">
    <w:name w:val="8--"/>
    <w:basedOn w:val="1"/>
    <w:qFormat/>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244">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245">
    <w:name w:val="正文标准样式"/>
    <w:basedOn w:val="1"/>
    <w:qFormat/>
    <w:uiPriority w:val="0"/>
    <w:pPr>
      <w:adjustRightInd w:val="0"/>
      <w:spacing w:line="300" w:lineRule="auto"/>
      <w:ind w:firstLine="482"/>
      <w:textAlignment w:val="baseline"/>
    </w:pPr>
    <w:rPr>
      <w:rFonts w:ascii="Times New Roman" w:hAnsi="Times New Roman" w:eastAsia="宋体" w:cs="Times New Roman"/>
      <w:kern w:val="0"/>
      <w:sz w:val="24"/>
      <w:szCs w:val="20"/>
    </w:rPr>
  </w:style>
  <w:style w:type="paragraph" w:customStyle="1" w:styleId="246">
    <w:name w:val="样式1正文 Char Char"/>
    <w:basedOn w:val="1"/>
    <w:qFormat/>
    <w:uiPriority w:val="0"/>
    <w:pPr>
      <w:spacing w:line="640" w:lineRule="exact"/>
      <w:ind w:firstLine="520" w:firstLineChars="200"/>
      <w:jc w:val="left"/>
    </w:pPr>
    <w:rPr>
      <w:rFonts w:ascii="宋体" w:hAnsi="宋体" w:eastAsia="宋体" w:cs="Times New Roman"/>
      <w:spacing w:val="-10"/>
      <w:sz w:val="28"/>
      <w:szCs w:val="20"/>
      <w:lang w:val="en-GB"/>
    </w:rPr>
  </w:style>
  <w:style w:type="paragraph" w:customStyle="1" w:styleId="247">
    <w:name w:val="Char3 Char Char Char"/>
    <w:basedOn w:val="1"/>
    <w:qFormat/>
    <w:uiPriority w:val="0"/>
    <w:rPr>
      <w:rFonts w:ascii="Times New Roman" w:hAnsi="Times New Roman" w:eastAsia="宋体" w:cs="Times New Roman"/>
      <w:szCs w:val="20"/>
    </w:rPr>
  </w:style>
  <w:style w:type="paragraph" w:customStyle="1" w:styleId="248">
    <w:name w:val="1.1"/>
    <w:basedOn w:val="1"/>
    <w:qFormat/>
    <w:uiPriority w:val="0"/>
    <w:pPr>
      <w:spacing w:beforeLines="50" w:after="120" w:line="360" w:lineRule="auto"/>
      <w:outlineLvl w:val="0"/>
    </w:pPr>
    <w:rPr>
      <w:rFonts w:ascii="Times New Roman" w:hAnsi="Times New Roman" w:eastAsia="华文中宋" w:cs="Times New Roman"/>
      <w:sz w:val="24"/>
    </w:rPr>
  </w:style>
  <w:style w:type="paragraph" w:customStyle="1" w:styleId="249">
    <w:name w:val="正文123"/>
    <w:basedOn w:val="50"/>
    <w:qFormat/>
    <w:uiPriority w:val="0"/>
    <w:pPr>
      <w:ind w:left="0" w:leftChars="0" w:firstLine="200"/>
    </w:pPr>
    <w:rPr>
      <w:sz w:val="28"/>
    </w:rPr>
  </w:style>
  <w:style w:type="paragraph" w:customStyle="1" w:styleId="250">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251">
    <w:name w:val="样式9"/>
    <w:basedOn w:val="1"/>
    <w:qFormat/>
    <w:uiPriority w:val="0"/>
    <w:pPr>
      <w:spacing w:beforeLines="50" w:afterLines="50" w:line="460" w:lineRule="exact"/>
      <w:ind w:firstLine="480" w:firstLineChars="200"/>
    </w:pPr>
    <w:rPr>
      <w:rFonts w:ascii="宋体" w:hAnsi="Times New Roman" w:eastAsia="宋体" w:cs="Times New Roman"/>
      <w:sz w:val="24"/>
      <w:szCs w:val="20"/>
    </w:rPr>
  </w:style>
  <w:style w:type="paragraph" w:customStyle="1" w:styleId="252">
    <w:name w:val="样式 表头 + 自动设置 Char"/>
    <w:basedOn w:val="182"/>
    <w:qFormat/>
    <w:uiPriority w:val="0"/>
    <w:pPr>
      <w:widowControl w:val="0"/>
      <w:tabs>
        <w:tab w:val="left" w:pos="2520"/>
        <w:tab w:val="clear" w:pos="5520"/>
      </w:tabs>
      <w:snapToGrid/>
      <w:spacing w:beforeLines="100" w:afterLines="50" w:line="240" w:lineRule="exact"/>
      <w:outlineLvl w:val="4"/>
    </w:pPr>
    <w:rPr>
      <w:rFonts w:ascii="黑体" w:hAnsi="宋体" w:eastAsia="黑体" w:cs="Times New Roman"/>
      <w:color w:val="000000"/>
      <w:kern w:val="2"/>
      <w:position w:val="10"/>
      <w:sz w:val="21"/>
      <w:szCs w:val="24"/>
    </w:rPr>
  </w:style>
  <w:style w:type="paragraph" w:customStyle="1" w:styleId="253">
    <w:name w:val="样式 正文文本缩进正文文字缩进正文文字缩进1 + 首行缩进:  0.98 厘米 Char"/>
    <w:basedOn w:val="22"/>
    <w:qFormat/>
    <w:uiPriority w:val="0"/>
    <w:pPr>
      <w:snapToGrid w:val="0"/>
      <w:spacing w:line="360" w:lineRule="auto"/>
      <w:ind w:left="0" w:leftChars="0"/>
    </w:pPr>
    <w:rPr>
      <w:rFonts w:ascii="宋体" w:hAnsi="宋体" w:eastAsia="宋体" w:cs="Times New Roman"/>
      <w:b/>
      <w:kern w:val="0"/>
      <w:sz w:val="24"/>
    </w:rPr>
  </w:style>
  <w:style w:type="paragraph" w:customStyle="1" w:styleId="254">
    <w:name w:val="1表格"/>
    <w:basedOn w:val="1"/>
    <w:qFormat/>
    <w:uiPriority w:val="0"/>
    <w:pPr>
      <w:snapToGrid w:val="0"/>
      <w:spacing w:line="160" w:lineRule="atLeast"/>
      <w:jc w:val="center"/>
    </w:pPr>
    <w:rPr>
      <w:rFonts w:ascii="Times New Roman" w:hAnsi="Times New Roman" w:eastAsia="仿宋_GB2312" w:cs="Times New Roman"/>
      <w:szCs w:val="20"/>
    </w:rPr>
  </w:style>
  <w:style w:type="paragraph" w:customStyle="1" w:styleId="255">
    <w:name w:val="Char Char Char Char5"/>
    <w:basedOn w:val="1"/>
    <w:semiHidden/>
    <w:qFormat/>
    <w:uiPriority w:val="0"/>
    <w:pPr>
      <w:spacing w:line="540" w:lineRule="exact"/>
    </w:pPr>
    <w:rPr>
      <w:rFonts w:ascii="楷体_GB2312" w:hAnsi="Times New Roman" w:eastAsia="楷体_GB2312" w:cs="Times New Roman"/>
      <w:kern w:val="0"/>
      <w:sz w:val="28"/>
    </w:rPr>
  </w:style>
  <w:style w:type="paragraph" w:customStyle="1" w:styleId="256">
    <w:name w:val="Char Char3"/>
    <w:basedOn w:val="1"/>
    <w:qFormat/>
    <w:uiPriority w:val="0"/>
    <w:pPr>
      <w:widowControl/>
      <w:spacing w:after="160" w:line="240" w:lineRule="exact"/>
      <w:jc w:val="left"/>
    </w:pPr>
    <w:rPr>
      <w:rFonts w:ascii="Times New Roman" w:hAnsi="Times New Roman" w:eastAsia="宋体" w:cs="Times New Roman"/>
      <w:szCs w:val="20"/>
    </w:rPr>
  </w:style>
  <w:style w:type="paragraph" w:customStyle="1" w:styleId="257">
    <w:name w:val="表格 23"/>
    <w:basedOn w:val="1"/>
    <w:qFormat/>
    <w:uiPriority w:val="0"/>
    <w:pPr>
      <w:spacing w:beforeLines="50" w:line="300" w:lineRule="auto"/>
      <w:jc w:val="center"/>
    </w:pPr>
    <w:rPr>
      <w:rFonts w:ascii="Times New Roman" w:hAnsi="Times New Roman" w:eastAsia="宋体" w:cs="Times New Roman"/>
      <w:szCs w:val="21"/>
    </w:rPr>
  </w:style>
  <w:style w:type="paragraph" w:customStyle="1" w:styleId="258">
    <w:name w:val="1文章"/>
    <w:basedOn w:val="1"/>
    <w:qFormat/>
    <w:uiPriority w:val="0"/>
    <w:pPr>
      <w:snapToGrid w:val="0"/>
      <w:spacing w:line="360" w:lineRule="auto"/>
      <w:ind w:firstLine="573"/>
    </w:pPr>
    <w:rPr>
      <w:rFonts w:ascii="Times New Roman" w:hAnsi="Times New Roman" w:eastAsia="仿宋_GB2312" w:cs="Times New Roman"/>
      <w:sz w:val="28"/>
      <w:szCs w:val="20"/>
    </w:rPr>
  </w:style>
  <w:style w:type="paragraph" w:customStyle="1" w:styleId="259">
    <w:name w:val="Char Char Char3 Char Char Char Char Char Char Char Char Char Char"/>
    <w:basedOn w:val="1"/>
    <w:qFormat/>
    <w:uiPriority w:val="0"/>
    <w:rPr>
      <w:rFonts w:ascii="Times New Roman" w:hAnsi="Times New Roman" w:eastAsia="宋体" w:cs="Times New Roman"/>
      <w:szCs w:val="20"/>
    </w:rPr>
  </w:style>
  <w:style w:type="paragraph" w:customStyle="1" w:styleId="260">
    <w:name w:val="表格正文"/>
    <w:basedOn w:val="1"/>
    <w:qFormat/>
    <w:uiPriority w:val="0"/>
    <w:pPr>
      <w:adjustRightInd w:val="0"/>
      <w:spacing w:line="0" w:lineRule="atLeast"/>
      <w:textAlignment w:val="baseline"/>
    </w:pPr>
    <w:rPr>
      <w:rFonts w:ascii="Times New Roman" w:hAnsi="Times New Roman" w:eastAsia="宋体" w:cs="Times New Roman"/>
      <w:szCs w:val="20"/>
    </w:rPr>
  </w:style>
  <w:style w:type="paragraph" w:customStyle="1" w:styleId="261">
    <w:name w:val="报告书表格"/>
    <w:basedOn w:val="1"/>
    <w:qFormat/>
    <w:uiPriority w:val="0"/>
    <w:pPr>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262">
    <w:name w:val="1表格头"/>
    <w:basedOn w:val="254"/>
    <w:qFormat/>
    <w:uiPriority w:val="0"/>
    <w:rPr>
      <w:sz w:val="24"/>
    </w:rPr>
  </w:style>
  <w:style w:type="paragraph" w:customStyle="1" w:styleId="263">
    <w:name w:val="xl30"/>
    <w:basedOn w:val="1"/>
    <w:qFormat/>
    <w:uiPriority w:val="0"/>
    <w:pPr>
      <w:widowControl/>
      <w:pBdr>
        <w:left w:val="single" w:color="auto" w:sz="12" w:space="0"/>
        <w:right w:val="single" w:color="auto" w:sz="4" w:space="0"/>
      </w:pBdr>
      <w:spacing w:before="100" w:after="100"/>
      <w:jc w:val="center"/>
    </w:pPr>
    <w:rPr>
      <w:rFonts w:ascii="宋体" w:hAnsi="宋体" w:eastAsia="宋体" w:cs="Times New Roman"/>
      <w:kern w:val="0"/>
      <w:sz w:val="24"/>
      <w:szCs w:val="20"/>
    </w:rPr>
  </w:style>
  <w:style w:type="paragraph" w:customStyle="1" w:styleId="264">
    <w:name w:val="Char11"/>
    <w:basedOn w:val="1"/>
    <w:qFormat/>
    <w:uiPriority w:val="0"/>
    <w:rPr>
      <w:rFonts w:ascii="Times New Roman" w:hAnsi="Times New Roman" w:eastAsia="宋体" w:cs="Times New Roman"/>
      <w:sz w:val="24"/>
    </w:rPr>
  </w:style>
  <w:style w:type="paragraph" w:customStyle="1" w:styleId="265">
    <w:name w:val="xl25"/>
    <w:basedOn w:val="1"/>
    <w:qFormat/>
    <w:uiPriority w:val="0"/>
    <w:pPr>
      <w:widowControl/>
      <w:spacing w:before="100" w:beforeAutospacing="1" w:after="100" w:afterAutospacing="1"/>
      <w:jc w:val="center"/>
    </w:pPr>
    <w:rPr>
      <w:rFonts w:ascii="宋体" w:hAnsi="宋体" w:eastAsia="宋体" w:cs="Times New Roman"/>
      <w:kern w:val="0"/>
      <w:szCs w:val="21"/>
    </w:rPr>
  </w:style>
  <w:style w:type="paragraph" w:customStyle="1" w:styleId="266">
    <w:name w:val="Char3"/>
    <w:basedOn w:val="1"/>
    <w:qFormat/>
    <w:uiPriority w:val="0"/>
    <w:rPr>
      <w:rFonts w:ascii="Times New Roman" w:hAnsi="Times New Roman" w:eastAsia="宋体" w:cs="Times New Roman"/>
    </w:rPr>
  </w:style>
  <w:style w:type="paragraph" w:customStyle="1" w:styleId="267">
    <w:name w:val="xl39"/>
    <w:basedOn w:val="1"/>
    <w:qFormat/>
    <w:uiPriority w:val="0"/>
    <w:pPr>
      <w:widowControl/>
      <w:pBdr>
        <w:top w:val="single" w:color="auto" w:sz="12" w:space="0"/>
        <w:left w:val="single" w:color="auto" w:sz="12" w:space="0"/>
        <w:bottom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268">
    <w:name w:val="Char Char Char Char Char Char Char Char Char Char Char Char Char"/>
    <w:basedOn w:val="1"/>
    <w:qFormat/>
    <w:uiPriority w:val="0"/>
    <w:rPr>
      <w:rFonts w:ascii="Times New Roman" w:hAnsi="Times New Roman" w:eastAsia="宋体" w:cs="Times New Roman"/>
      <w:sz w:val="24"/>
    </w:rPr>
  </w:style>
  <w:style w:type="paragraph" w:customStyle="1" w:styleId="269">
    <w:name w:val="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70">
    <w:name w:val="表1表2"/>
    <w:basedOn w:val="1"/>
    <w:qFormat/>
    <w:uiPriority w:val="0"/>
    <w:pPr>
      <w:autoSpaceDE w:val="0"/>
      <w:autoSpaceDN w:val="0"/>
      <w:adjustRightInd w:val="0"/>
      <w:jc w:val="center"/>
      <w:textAlignment w:val="center"/>
    </w:pPr>
    <w:rPr>
      <w:rFonts w:ascii="Times New Roman" w:hAnsi="Times New Roman" w:eastAsia="仿宋_GB2312" w:cs="Times New Roman"/>
      <w:kern w:val="0"/>
    </w:rPr>
  </w:style>
  <w:style w:type="paragraph" w:customStyle="1" w:styleId="271">
    <w:name w:val="中文报告书"/>
    <w:basedOn w:val="1"/>
    <w:qFormat/>
    <w:uiPriority w:val="0"/>
    <w:pPr>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272">
    <w:name w:val="xl4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Times New Roman"/>
      <w:kern w:val="0"/>
      <w:szCs w:val="21"/>
    </w:rPr>
  </w:style>
  <w:style w:type="paragraph" w:customStyle="1" w:styleId="273">
    <w:name w:val="流程图"/>
    <w:basedOn w:val="1"/>
    <w:qFormat/>
    <w:uiPriority w:val="0"/>
    <w:pPr>
      <w:tabs>
        <w:tab w:val="center" w:pos="0"/>
      </w:tabs>
    </w:pPr>
    <w:rPr>
      <w:rFonts w:ascii="Times New Roman" w:hAnsi="Times New Roman" w:eastAsia="楷体_GB2312" w:cs="Times New Roman"/>
      <w:sz w:val="24"/>
      <w:szCs w:val="20"/>
    </w:rPr>
  </w:style>
  <w:style w:type="paragraph" w:customStyle="1" w:styleId="274">
    <w:name w:val="Char1 Char Char Char"/>
    <w:basedOn w:val="1"/>
    <w:qFormat/>
    <w:uiPriority w:val="0"/>
    <w:rPr>
      <w:rFonts w:ascii="Times New Roman" w:hAnsi="Times New Roman" w:eastAsia="宋体" w:cs="Times New Roman"/>
    </w:rPr>
  </w:style>
  <w:style w:type="paragraph" w:customStyle="1" w:styleId="275">
    <w:name w:val="报告正文"/>
    <w:basedOn w:val="1"/>
    <w:qFormat/>
    <w:uiPriority w:val="0"/>
    <w:pPr>
      <w:ind w:firstLine="200"/>
    </w:pPr>
    <w:rPr>
      <w:rFonts w:ascii="Times New Roman" w:hAnsi="Times New Roman" w:eastAsia="仿宋_GB2312" w:cs="Times New Roman"/>
      <w:sz w:val="28"/>
      <w:szCs w:val="20"/>
    </w:rPr>
  </w:style>
  <w:style w:type="paragraph" w:customStyle="1" w:styleId="276">
    <w:name w:val="0"/>
    <w:basedOn w:val="1"/>
    <w:qFormat/>
    <w:uiPriority w:val="0"/>
    <w:pPr>
      <w:widowControl/>
      <w:snapToGrid w:val="0"/>
      <w:jc w:val="left"/>
    </w:pPr>
    <w:rPr>
      <w:rFonts w:ascii="Times New Roman" w:hAnsi="Times New Roman" w:eastAsia="宋体" w:cs="Times New Roman"/>
      <w:kern w:val="0"/>
      <w:sz w:val="20"/>
      <w:szCs w:val="20"/>
    </w:rPr>
  </w:style>
  <w:style w:type="paragraph" w:customStyle="1" w:styleId="277">
    <w:name w:val="Char4 Char Char Char Char Char Char12"/>
    <w:basedOn w:val="1"/>
    <w:qFormat/>
    <w:uiPriority w:val="0"/>
    <w:pPr>
      <w:spacing w:line="360" w:lineRule="auto"/>
      <w:ind w:firstLine="200" w:firstLineChars="200"/>
    </w:pPr>
    <w:rPr>
      <w:rFonts w:ascii="宋体" w:hAnsi="宋体" w:eastAsia="宋体" w:cs="宋体"/>
      <w:sz w:val="24"/>
    </w:rPr>
  </w:style>
  <w:style w:type="paragraph" w:customStyle="1" w:styleId="278">
    <w:name w:val="表号"/>
    <w:basedOn w:val="18"/>
    <w:qFormat/>
    <w:uiPriority w:val="0"/>
    <w:pPr>
      <w:spacing w:line="400" w:lineRule="exact"/>
      <w:ind w:left="0" w:leftChars="0"/>
      <w:jc w:val="center"/>
    </w:pPr>
    <w:rPr>
      <w:rFonts w:ascii="黑体" w:hAnsi="宋体" w:eastAsia="黑体"/>
      <w:bCs/>
      <w:color w:val="000000"/>
      <w:szCs w:val="21"/>
    </w:rPr>
  </w:style>
  <w:style w:type="paragraph" w:customStyle="1" w:styleId="279">
    <w:name w:val="xyb自建正文"/>
    <w:basedOn w:val="1"/>
    <w:qFormat/>
    <w:uiPriority w:val="0"/>
    <w:pPr>
      <w:spacing w:line="360" w:lineRule="auto"/>
      <w:ind w:firstLine="480" w:firstLineChars="200"/>
      <w:textAlignment w:val="baseline"/>
    </w:pPr>
    <w:rPr>
      <w:rFonts w:ascii="Times New Roman" w:hAnsi="Times New Roman" w:eastAsia="宋体" w:cs="Times New Roman"/>
      <w:snapToGrid w:val="0"/>
      <w:color w:val="0000FF"/>
      <w:kern w:val="0"/>
      <w:sz w:val="24"/>
      <w:szCs w:val="20"/>
    </w:rPr>
  </w:style>
  <w:style w:type="paragraph" w:customStyle="1" w:styleId="280">
    <w:name w:val="Char Char Char1 Char"/>
    <w:basedOn w:val="1"/>
    <w:qFormat/>
    <w:uiPriority w:val="0"/>
    <w:rPr>
      <w:rFonts w:ascii="Times New Roman" w:hAnsi="Times New Roman" w:eastAsia="宋体" w:cs="Times New Roman"/>
      <w:sz w:val="24"/>
    </w:rPr>
  </w:style>
  <w:style w:type="paragraph" w:customStyle="1" w:styleId="281">
    <w:name w:val="用户1"/>
    <w:basedOn w:val="1"/>
    <w:qFormat/>
    <w:uiPriority w:val="0"/>
    <w:pPr>
      <w:spacing w:line="500" w:lineRule="exact"/>
      <w:ind w:firstLine="635"/>
    </w:pPr>
    <w:rPr>
      <w:rFonts w:ascii="Times New Roman" w:hAnsi="Times New Roman" w:eastAsia="楷体_GB2312" w:cs="Times New Roman"/>
      <w:sz w:val="32"/>
      <w:szCs w:val="20"/>
    </w:rPr>
  </w:style>
  <w:style w:type="character" w:customStyle="1" w:styleId="282">
    <w:name w:val="font31"/>
    <w:qFormat/>
    <w:uiPriority w:val="0"/>
    <w:rPr>
      <w:rFonts w:hint="eastAsia" w:ascii="宋体" w:hAnsi="宋体" w:eastAsia="宋体" w:cs="宋体"/>
      <w:b/>
      <w:color w:val="000000"/>
      <w:sz w:val="21"/>
      <w:szCs w:val="21"/>
      <w:u w:val="none"/>
    </w:rPr>
  </w:style>
  <w:style w:type="character" w:customStyle="1" w:styleId="283">
    <w:name w:val="font21"/>
    <w:qFormat/>
    <w:uiPriority w:val="0"/>
    <w:rPr>
      <w:rFonts w:hint="default" w:ascii="Times New Roman" w:hAnsi="Times New Roman" w:cs="Times New Roman"/>
      <w:b/>
      <w:color w:val="000000"/>
      <w:sz w:val="21"/>
      <w:szCs w:val="21"/>
      <w:u w:val="none"/>
    </w:rPr>
  </w:style>
  <w:style w:type="character" w:customStyle="1" w:styleId="284">
    <w:name w:val="font11"/>
    <w:qFormat/>
    <w:uiPriority w:val="0"/>
    <w:rPr>
      <w:rFonts w:hint="default" w:ascii="Times New Roman" w:hAnsi="Times New Roman" w:cs="Times New Roman"/>
      <w:color w:val="000000"/>
      <w:sz w:val="22"/>
      <w:szCs w:val="22"/>
      <w:u w:val="none"/>
    </w:rPr>
  </w:style>
  <w:style w:type="paragraph" w:customStyle="1" w:styleId="285">
    <w:name w:val="正文正文"/>
    <w:basedOn w:val="1"/>
    <w:next w:val="252"/>
    <w:qFormat/>
    <w:uiPriority w:val="0"/>
    <w:pPr>
      <w:spacing w:line="360" w:lineRule="auto"/>
      <w:ind w:firstLine="200" w:firstLineChars="200"/>
    </w:pPr>
    <w:rPr>
      <w:rFonts w:ascii="Times New Roman" w:hAnsi="Times New Roman" w:eastAsia="宋体" w:cs="Times New Roman"/>
      <w:kern w:val="0"/>
      <w:sz w:val="24"/>
      <w:szCs w:val="20"/>
    </w:rPr>
  </w:style>
  <w:style w:type="paragraph" w:customStyle="1" w:styleId="286">
    <w:name w:val="ZW"/>
    <w:basedOn w:val="22"/>
    <w:qFormat/>
    <w:uiPriority w:val="0"/>
    <w:pPr>
      <w:spacing w:line="360" w:lineRule="auto"/>
      <w:ind w:left="-88" w:leftChars="0" w:firstLine="480" w:firstLineChars="200"/>
    </w:pPr>
    <w:rPr>
      <w:rFonts w:ascii="Times New Roman" w:hAnsi="Times New Roman" w:eastAsia="宋体" w:cs="Times New Roman"/>
      <w:bCs/>
      <w:sz w:val="24"/>
    </w:rPr>
  </w:style>
  <w:style w:type="paragraph" w:customStyle="1" w:styleId="287">
    <w:name w:val="BIAOTI"/>
    <w:basedOn w:val="1"/>
    <w:qFormat/>
    <w:uiPriority w:val="99"/>
    <w:pPr>
      <w:ind w:firstLine="422" w:firstLineChars="200"/>
      <w:jc w:val="center"/>
    </w:pPr>
    <w:rPr>
      <w:rFonts w:ascii="Times New Roman" w:hAnsi="Times New Roman" w:eastAsia="宋体" w:cs="Times New Roman"/>
      <w:b/>
      <w:bCs/>
      <w:szCs w:val="21"/>
    </w:rPr>
  </w:style>
  <w:style w:type="paragraph" w:customStyle="1" w:styleId="288">
    <w:name w:val="BIAOGE"/>
    <w:basedOn w:val="287"/>
    <w:qFormat/>
    <w:uiPriority w:val="0"/>
    <w:pPr>
      <w:ind w:firstLine="0" w:firstLineChars="0"/>
    </w:pPr>
    <w:rPr>
      <w:b w:val="0"/>
    </w:rPr>
  </w:style>
  <w:style w:type="character" w:customStyle="1" w:styleId="289">
    <w:name w:val="zz正文 Char Char"/>
    <w:link w:val="290"/>
    <w:qFormat/>
    <w:locked/>
    <w:uiPriority w:val="0"/>
    <w:rPr>
      <w:rFonts w:ascii="宋体"/>
      <w:sz w:val="24"/>
      <w:szCs w:val="24"/>
    </w:rPr>
  </w:style>
  <w:style w:type="paragraph" w:customStyle="1" w:styleId="290">
    <w:name w:val="zz正文"/>
    <w:basedOn w:val="1"/>
    <w:link w:val="289"/>
    <w:qFormat/>
    <w:uiPriority w:val="0"/>
    <w:pPr>
      <w:spacing w:line="360" w:lineRule="auto"/>
    </w:pPr>
    <w:rPr>
      <w:rFonts w:ascii="宋体"/>
      <w:kern w:val="0"/>
      <w:sz w:val="24"/>
    </w:rPr>
  </w:style>
  <w:style w:type="paragraph" w:customStyle="1" w:styleId="291">
    <w:name w:val="Normal Indent1"/>
    <w:basedOn w:val="1"/>
    <w:qFormat/>
    <w:uiPriority w:val="0"/>
    <w:pPr>
      <w:ind w:firstLine="420" w:firstLineChars="200"/>
    </w:pPr>
    <w:rPr>
      <w:rFonts w:ascii="Times New Roman" w:hAnsi="Times New Roman" w:eastAsia="宋体" w:cs="Times New Roman"/>
      <w:sz w:val="24"/>
      <w:szCs w:val="20"/>
    </w:rPr>
  </w:style>
  <w:style w:type="paragraph" w:customStyle="1" w:styleId="292">
    <w:name w:val="正文首行缩进1"/>
    <w:basedOn w:val="21"/>
    <w:qFormat/>
    <w:uiPriority w:val="0"/>
    <w:pPr>
      <w:adjustRightInd w:val="0"/>
      <w:spacing w:line="312" w:lineRule="atLeast"/>
      <w:ind w:firstLine="420"/>
      <w:textAlignment w:val="baseline"/>
    </w:pPr>
    <w:rPr>
      <w:rFonts w:ascii="Calibri" w:hAnsi="Calibri" w:eastAsia="宋体" w:cs="Times New Roman"/>
      <w:szCs w:val="22"/>
    </w:rPr>
  </w:style>
  <w:style w:type="paragraph" w:customStyle="1" w:styleId="293">
    <w:name w:val="乐山-正文 Char"/>
    <w:basedOn w:val="1"/>
    <w:next w:val="1"/>
    <w:link w:val="294"/>
    <w:qFormat/>
    <w:uiPriority w:val="0"/>
    <w:pPr>
      <w:spacing w:line="440" w:lineRule="exact"/>
      <w:ind w:firstLine="200" w:firstLineChars="200"/>
    </w:pPr>
    <w:rPr>
      <w:rFonts w:ascii="Arial" w:hAnsi="Arial" w:eastAsia="华文细黑" w:cs="Times New Roman"/>
      <w:szCs w:val="20"/>
    </w:rPr>
  </w:style>
  <w:style w:type="character" w:customStyle="1" w:styleId="294">
    <w:name w:val="乐山-正文 Char Char"/>
    <w:link w:val="293"/>
    <w:qFormat/>
    <w:uiPriority w:val="0"/>
    <w:rPr>
      <w:rFonts w:ascii="Arial" w:hAnsi="Arial" w:eastAsia="华文细黑" w:cs="Times New Roman"/>
      <w:kern w:val="2"/>
      <w:sz w:val="21"/>
    </w:rPr>
  </w:style>
  <w:style w:type="paragraph" w:customStyle="1" w:styleId="295">
    <w:name w:val="KK正文"/>
    <w:basedOn w:val="46"/>
    <w:link w:val="296"/>
    <w:qFormat/>
    <w:uiPriority w:val="0"/>
    <w:pPr>
      <w:spacing w:before="0" w:beforeAutospacing="0" w:after="0" w:afterAutospacing="0" w:line="360" w:lineRule="exact"/>
      <w:ind w:firstLine="200" w:firstLineChars="200"/>
      <w:jc w:val="both"/>
    </w:pPr>
    <w:rPr>
      <w:rFonts w:ascii="Times New Roman" w:hAnsi="Times New Roman" w:cs="Times New Roman"/>
    </w:rPr>
  </w:style>
  <w:style w:type="character" w:customStyle="1" w:styleId="296">
    <w:name w:val="KK正文 Char"/>
    <w:link w:val="295"/>
    <w:qFormat/>
    <w:uiPriority w:val="0"/>
    <w:rPr>
      <w:rFonts w:ascii="Times New Roman" w:hAnsi="Times New Roman" w:eastAsia="宋体" w:cs="Times New Roman"/>
      <w:sz w:val="24"/>
      <w:szCs w:val="24"/>
    </w:rPr>
  </w:style>
  <w:style w:type="paragraph" w:customStyle="1" w:styleId="297">
    <w:name w:val="列出段落1"/>
    <w:basedOn w:val="1"/>
    <w:qFormat/>
    <w:uiPriority w:val="34"/>
    <w:pPr>
      <w:adjustRightInd w:val="0"/>
      <w:ind w:firstLine="420" w:firstLineChars="200"/>
      <w:jc w:val="left"/>
      <w:textAlignment w:val="baseline"/>
    </w:pPr>
    <w:rPr>
      <w:rFonts w:ascii="Times New Roman" w:hAnsi="Times New Roman" w:eastAsia="宋体" w:cs="Times New Roman"/>
      <w:kern w:val="0"/>
      <w:szCs w:val="20"/>
    </w:rPr>
  </w:style>
  <w:style w:type="character" w:customStyle="1" w:styleId="298">
    <w:name w:val="宜渝路正文 Char Char"/>
    <w:basedOn w:val="56"/>
    <w:link w:val="299"/>
    <w:qFormat/>
    <w:uiPriority w:val="0"/>
    <w:rPr>
      <w:rFonts w:ascii="宋体" w:hAnsi="宋体"/>
      <w:sz w:val="24"/>
      <w:szCs w:val="24"/>
    </w:rPr>
  </w:style>
  <w:style w:type="paragraph" w:customStyle="1" w:styleId="299">
    <w:name w:val="宜渝路正文"/>
    <w:basedOn w:val="1"/>
    <w:link w:val="298"/>
    <w:qFormat/>
    <w:uiPriority w:val="0"/>
    <w:pPr>
      <w:spacing w:line="360" w:lineRule="auto"/>
      <w:ind w:firstLine="480" w:firstLineChars="200"/>
    </w:pPr>
    <w:rPr>
      <w:rFonts w:ascii="宋体" w:hAnsi="宋体"/>
      <w:kern w:val="0"/>
      <w:sz w:val="24"/>
    </w:rPr>
  </w:style>
  <w:style w:type="paragraph" w:customStyle="1" w:styleId="300">
    <w:name w:val="纯文本1"/>
    <w:basedOn w:val="1"/>
    <w:qFormat/>
    <w:uiPriority w:val="0"/>
    <w:rPr>
      <w:rFonts w:ascii="宋体" w:hAnsi="Courier New"/>
      <w:szCs w:val="22"/>
    </w:rPr>
  </w:style>
  <w:style w:type="paragraph" w:customStyle="1" w:styleId="301">
    <w:name w:val="二章表格标题"/>
    <w:basedOn w:val="1"/>
    <w:qFormat/>
    <w:uiPriority w:val="0"/>
    <w:pPr>
      <w:spacing w:beforeLines="20" w:line="360" w:lineRule="auto"/>
      <w:jc w:val="center"/>
    </w:pPr>
    <w:rPr>
      <w:rFonts w:ascii="Times New Roman" w:hAnsi="Times New Roman" w:eastAsia="黑体" w:cs="Times New Roman"/>
      <w:sz w:val="24"/>
    </w:rPr>
  </w:style>
  <w:style w:type="paragraph" w:customStyle="1" w:styleId="302">
    <w:name w:val="正文缩进1"/>
    <w:basedOn w:val="1"/>
    <w:qFormat/>
    <w:uiPriority w:val="0"/>
    <w:pPr>
      <w:adjustRightInd w:val="0"/>
      <w:spacing w:line="312" w:lineRule="atLeast"/>
      <w:ind w:firstLine="420"/>
      <w:textAlignment w:val="baseline"/>
    </w:pPr>
    <w:rPr>
      <w:rFonts w:ascii="Times New Roman" w:hAnsi="Times New Roman" w:eastAsia="宋体" w:cs="Times New Roman"/>
      <w:kern w:val="0"/>
      <w:sz w:val="28"/>
      <w:szCs w:val="20"/>
    </w:rPr>
  </w:style>
  <w:style w:type="paragraph" w:customStyle="1" w:styleId="303">
    <w:name w:val="KK表图标题"/>
    <w:qFormat/>
    <w:uiPriority w:val="0"/>
    <w:pPr>
      <w:spacing w:beforeLines="50" w:afterLines="50"/>
      <w:jc w:val="center"/>
    </w:pPr>
    <w:rPr>
      <w:rFonts w:ascii="Times New Roman" w:hAnsi="Times New Roman" w:eastAsia="宋体" w:cs="Times New Roman"/>
      <w:b/>
      <w:sz w:val="21"/>
      <w:szCs w:val="24"/>
      <w:lang w:val="en-US" w:eastAsia="zh-CN" w:bidi="ar-SA"/>
    </w:rPr>
  </w:style>
  <w:style w:type="paragraph" w:customStyle="1" w:styleId="304">
    <w:name w:val="使用"/>
    <w:basedOn w:val="29"/>
    <w:qFormat/>
    <w:uiPriority w:val="0"/>
    <w:pPr>
      <w:spacing w:after="0" w:line="360" w:lineRule="auto"/>
      <w:ind w:left="0" w:leftChars="0" w:firstLine="560" w:firstLineChars="200"/>
    </w:pPr>
    <w:rPr>
      <w:rFonts w:ascii="宋体" w:hAnsi="宋体" w:eastAsia="宋体" w:cs="Times New Roman"/>
      <w:color w:val="000000"/>
      <w:kern w:val="0"/>
      <w:sz w:val="28"/>
    </w:rPr>
  </w:style>
  <w:style w:type="paragraph" w:customStyle="1" w:styleId="305">
    <w:name w:val="1、表内字"/>
    <w:basedOn w:val="1"/>
    <w:qFormat/>
    <w:uiPriority w:val="0"/>
    <w:pPr>
      <w:jc w:val="center"/>
    </w:pPr>
    <w:rPr>
      <w:rFonts w:ascii="Times New Roman" w:hAnsi="Times New Roman" w:eastAsia="宋体" w:cs="Times New Roman"/>
      <w:szCs w:val="21"/>
    </w:rPr>
  </w:style>
  <w:style w:type="paragraph" w:customStyle="1" w:styleId="306">
    <w:name w:val="1、图名"/>
    <w:basedOn w:val="13"/>
    <w:qFormat/>
    <w:uiPriority w:val="0"/>
    <w:pPr>
      <w:widowControl w:val="0"/>
      <w:ind w:firstLine="0"/>
      <w:jc w:val="center"/>
    </w:pPr>
    <w:rPr>
      <w:rFonts w:ascii="Times New Roman" w:hAnsi="Times New Roman" w:eastAsia="宋体" w:cs="Times New Roman"/>
      <w:b/>
      <w:sz w:val="21"/>
      <w:szCs w:val="21"/>
    </w:rPr>
  </w:style>
  <w:style w:type="paragraph" w:customStyle="1" w:styleId="307">
    <w:name w:val="真·表头"/>
    <w:basedOn w:val="1"/>
    <w:qFormat/>
    <w:uiPriority w:val="0"/>
    <w:pPr>
      <w:adjustRightInd w:val="0"/>
      <w:snapToGrid w:val="0"/>
      <w:spacing w:beforeLines="50" w:line="360" w:lineRule="auto"/>
      <w:jc w:val="center"/>
    </w:pPr>
    <w:rPr>
      <w:rFonts w:ascii="Times New Roman" w:hAnsi="Times New Roman" w:eastAsia="黑体" w:cs="Times New Roman"/>
      <w:sz w:val="24"/>
      <w:szCs w:val="30"/>
    </w:rPr>
  </w:style>
  <w:style w:type="character" w:customStyle="1" w:styleId="308">
    <w:name w:val="表格内容 Char Char Char Char Char"/>
    <w:qFormat/>
    <w:uiPriority w:val="0"/>
    <w:rPr>
      <w:rFonts w:ascii="Times New Roman" w:hAnsi="Times New Roman" w:eastAsia="宋体" w:cs="Times New Roman"/>
      <w:bCs/>
      <w:sz w:val="21"/>
      <w:szCs w:val="20"/>
    </w:rPr>
  </w:style>
  <w:style w:type="paragraph" w:customStyle="1" w:styleId="309">
    <w:name w:val="真·正文"/>
    <w:basedOn w:val="1"/>
    <w:next w:val="254"/>
    <w:qFormat/>
    <w:uiPriority w:val="0"/>
    <w:pPr>
      <w:adjustRightInd w:val="0"/>
      <w:snapToGrid w:val="0"/>
      <w:spacing w:line="360" w:lineRule="auto"/>
      <w:ind w:firstLine="200" w:firstLineChars="200"/>
      <w:jc w:val="left"/>
    </w:pPr>
    <w:rPr>
      <w:rFonts w:ascii="Times New Roman" w:hAnsi="Times New Roman" w:eastAsia="宋体" w:cs="Times New Roman"/>
      <w:sz w:val="24"/>
      <w:szCs w:val="21"/>
    </w:rPr>
  </w:style>
  <w:style w:type="table" w:customStyle="1" w:styleId="310">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311">
    <w:name w:val="Table Paragraph"/>
    <w:basedOn w:val="1"/>
    <w:qFormat/>
    <w:uiPriority w:val="1"/>
    <w:pPr>
      <w:jc w:val="left"/>
    </w:pPr>
    <w:rPr>
      <w:kern w:val="0"/>
      <w:sz w:val="22"/>
      <w:szCs w:val="22"/>
      <w:lang w:eastAsia="en-US"/>
    </w:rPr>
  </w:style>
  <w:style w:type="character" w:customStyle="1" w:styleId="312">
    <w:name w:val="表文 Char2"/>
    <w:basedOn w:val="56"/>
    <w:link w:val="313"/>
    <w:qFormat/>
    <w:uiPriority w:val="0"/>
    <w:rPr>
      <w:rFonts w:ascii="华文中宋" w:hAnsi="华文中宋" w:eastAsia="华文中宋" w:cs="Times New Roman"/>
      <w:szCs w:val="24"/>
    </w:rPr>
  </w:style>
  <w:style w:type="paragraph" w:customStyle="1" w:styleId="313">
    <w:name w:val="表文"/>
    <w:basedOn w:val="1"/>
    <w:link w:val="312"/>
    <w:qFormat/>
    <w:uiPriority w:val="0"/>
    <w:pPr>
      <w:spacing w:line="400" w:lineRule="exact"/>
      <w:jc w:val="center"/>
    </w:pPr>
    <w:rPr>
      <w:rFonts w:ascii="华文中宋" w:hAnsi="华文中宋" w:eastAsia="华文中宋" w:cs="Times New Roman"/>
      <w:kern w:val="0"/>
      <w:sz w:val="20"/>
    </w:rPr>
  </w:style>
  <w:style w:type="paragraph" w:customStyle="1" w:styleId="314">
    <w:name w:val="样式 段后: 15.6 磅"/>
    <w:basedOn w:val="1"/>
    <w:qFormat/>
    <w:uiPriority w:val="0"/>
    <w:pPr>
      <w:widowControl/>
      <w:adjustRightInd w:val="0"/>
      <w:snapToGrid w:val="0"/>
      <w:spacing w:line="300" w:lineRule="auto"/>
      <w:ind w:firstLine="480" w:firstLineChars="200"/>
      <w:jc w:val="left"/>
    </w:pPr>
    <w:rPr>
      <w:rFonts w:ascii="Times New Roman" w:hAnsi="Times New Roman" w:eastAsia="宋体" w:cs="宋体"/>
      <w:kern w:val="0"/>
      <w:sz w:val="24"/>
      <w:szCs w:val="20"/>
    </w:rPr>
  </w:style>
  <w:style w:type="paragraph" w:customStyle="1" w:styleId="315">
    <w:name w:val="样式5"/>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316">
    <w:name w:val="标题003"/>
    <w:basedOn w:val="1"/>
    <w:qFormat/>
    <w:uiPriority w:val="0"/>
    <w:pPr>
      <w:spacing w:before="120" w:line="440" w:lineRule="exact"/>
      <w:outlineLvl w:val="2"/>
    </w:pPr>
    <w:rPr>
      <w:rFonts w:ascii="Times New Roman" w:hAnsi="Times New Roman" w:eastAsia="宋体" w:cs="Times New Roman"/>
      <w:b/>
      <w:sz w:val="27"/>
      <w:szCs w:val="20"/>
    </w:rPr>
  </w:style>
  <w:style w:type="paragraph" w:customStyle="1" w:styleId="317">
    <w:name w:val="1标题3级"/>
    <w:basedOn w:val="1"/>
    <w:qFormat/>
    <w:uiPriority w:val="0"/>
    <w:pPr>
      <w:snapToGrid w:val="0"/>
      <w:spacing w:line="360" w:lineRule="auto"/>
    </w:pPr>
    <w:rPr>
      <w:rFonts w:ascii="Times New Roman" w:hAnsi="Times New Roman" w:eastAsia="仿宋_GB2312" w:cs="Times New Roman"/>
      <w:sz w:val="28"/>
      <w:szCs w:val="20"/>
    </w:rPr>
  </w:style>
  <w:style w:type="paragraph" w:customStyle="1" w:styleId="318">
    <w:name w:val="!正文"/>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319">
    <w:name w:val="Body Text Indent"/>
    <w:basedOn w:val="1"/>
    <w:qFormat/>
    <w:uiPriority w:val="0"/>
    <w:pPr>
      <w:ind w:firstLine="434"/>
    </w:pPr>
    <w:rPr>
      <w:sz w:val="28"/>
    </w:rPr>
  </w:style>
  <w:style w:type="character" w:customStyle="1" w:styleId="320">
    <w:name w:val="font41"/>
    <w:basedOn w:val="56"/>
    <w:qFormat/>
    <w:uiPriority w:val="0"/>
    <w:rPr>
      <w:rFonts w:hint="default" w:ascii="Calibri" w:hAnsi="Calibri" w:cs="Calibri"/>
      <w:color w:val="000000"/>
      <w:sz w:val="18"/>
      <w:szCs w:val="18"/>
      <w:u w:val="none"/>
    </w:rPr>
  </w:style>
  <w:style w:type="paragraph" w:customStyle="1" w:styleId="321">
    <w:name w:val="正文文字"/>
    <w:basedOn w:val="1"/>
    <w:semiHidden/>
    <w:qFormat/>
    <w:uiPriority w:val="0"/>
    <w:pPr>
      <w:adjustRightInd w:val="0"/>
      <w:snapToGrid w:val="0"/>
      <w:ind w:firstLine="560"/>
      <w:jc w:val="left"/>
    </w:pPr>
    <w:rPr>
      <w:rFonts w:ascii="宋体" w:hAnsi="宋体" w:cs="Arial"/>
      <w:bCs/>
      <w:kern w:val="0"/>
      <w:szCs w:val="28"/>
    </w:rPr>
  </w:style>
  <w:style w:type="paragraph" w:customStyle="1" w:styleId="322">
    <w:name w:val="样式 样式 正文文本 + 首行缩进:  2 字符 + 首行缩进:  2 字符1"/>
    <w:basedOn w:val="1"/>
    <w:qFormat/>
    <w:uiPriority w:val="0"/>
    <w:pPr>
      <w:spacing w:line="360" w:lineRule="auto"/>
      <w:ind w:firstLine="480" w:firstLineChars="200"/>
      <w:jc w:val="left"/>
    </w:pPr>
    <w:rPr>
      <w:rFonts w:cs="宋体"/>
      <w:sz w:val="24"/>
    </w:rPr>
  </w:style>
  <w:style w:type="paragraph" w:customStyle="1" w:styleId="323">
    <w:name w:val="真·标题"/>
    <w:qFormat/>
    <w:uiPriority w:val="0"/>
    <w:pPr>
      <w:adjustRightInd w:val="0"/>
      <w:snapToGrid w:val="0"/>
      <w:spacing w:line="360" w:lineRule="auto"/>
      <w:ind w:firstLine="200" w:firstLineChars="200"/>
      <w:jc w:val="both"/>
    </w:pPr>
    <w:rPr>
      <w:rFonts w:ascii="Times New Roman" w:hAnsi="Times New Roman" w:eastAsia="黑体" w:cs="Times New Roman"/>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28.wmf"/><Relationship Id="rId82" Type="http://schemas.openxmlformats.org/officeDocument/2006/relationships/image" Target="media/image27.wmf"/><Relationship Id="rId81" Type="http://schemas.openxmlformats.org/officeDocument/2006/relationships/oleObject" Target="embeddings/oleObject49.bin"/><Relationship Id="rId80" Type="http://schemas.openxmlformats.org/officeDocument/2006/relationships/image" Target="media/image26.png"/><Relationship Id="rId8" Type="http://schemas.openxmlformats.org/officeDocument/2006/relationships/oleObject" Target="embeddings/oleObject1.bin"/><Relationship Id="rId79" Type="http://schemas.openxmlformats.org/officeDocument/2006/relationships/image" Target="media/image25.png"/><Relationship Id="rId78" Type="http://schemas.openxmlformats.org/officeDocument/2006/relationships/image" Target="media/image24.png"/><Relationship Id="rId77" Type="http://schemas.openxmlformats.org/officeDocument/2006/relationships/image" Target="media/image23.emf"/><Relationship Id="rId76" Type="http://schemas.openxmlformats.org/officeDocument/2006/relationships/image" Target="media/image22.png"/><Relationship Id="rId75" Type="http://schemas.openxmlformats.org/officeDocument/2006/relationships/image" Target="media/image21.png"/><Relationship Id="rId74" Type="http://schemas.openxmlformats.org/officeDocument/2006/relationships/image" Target="media/image20.jpeg"/><Relationship Id="rId73" Type="http://schemas.openxmlformats.org/officeDocument/2006/relationships/image" Target="media/image19.wmf"/><Relationship Id="rId72" Type="http://schemas.openxmlformats.org/officeDocument/2006/relationships/image" Target="media/image18.wmf"/><Relationship Id="rId71" Type="http://schemas.openxmlformats.org/officeDocument/2006/relationships/image" Target="media/image17.wmf"/><Relationship Id="rId70" Type="http://schemas.openxmlformats.org/officeDocument/2006/relationships/image" Target="media/image16.wmf"/><Relationship Id="rId7" Type="http://schemas.openxmlformats.org/officeDocument/2006/relationships/image" Target="media/image1.jpeg"/><Relationship Id="rId69" Type="http://schemas.openxmlformats.org/officeDocument/2006/relationships/image" Target="media/image15.wmf"/><Relationship Id="rId68" Type="http://schemas.openxmlformats.org/officeDocument/2006/relationships/oleObject" Target="embeddings/oleObject48.bin"/><Relationship Id="rId67" Type="http://schemas.openxmlformats.org/officeDocument/2006/relationships/image" Target="media/image14.wmf"/><Relationship Id="rId66" Type="http://schemas.openxmlformats.org/officeDocument/2006/relationships/oleObject" Target="embeddings/oleObject47.bin"/><Relationship Id="rId65" Type="http://schemas.openxmlformats.org/officeDocument/2006/relationships/image" Target="media/image13.wmf"/><Relationship Id="rId64" Type="http://schemas.openxmlformats.org/officeDocument/2006/relationships/oleObject" Target="embeddings/oleObject46.bin"/><Relationship Id="rId63" Type="http://schemas.openxmlformats.org/officeDocument/2006/relationships/image" Target="media/image12.jpeg"/><Relationship Id="rId62" Type="http://schemas.openxmlformats.org/officeDocument/2006/relationships/oleObject" Target="embeddings/oleObject45.bin"/><Relationship Id="rId61" Type="http://schemas.openxmlformats.org/officeDocument/2006/relationships/oleObject" Target="embeddings/oleObject44.bin"/><Relationship Id="rId60" Type="http://schemas.openxmlformats.org/officeDocument/2006/relationships/oleObject" Target="embeddings/oleObject43.bin"/><Relationship Id="rId6" Type="http://schemas.openxmlformats.org/officeDocument/2006/relationships/theme" Target="theme/theme1.xml"/><Relationship Id="rId59" Type="http://schemas.openxmlformats.org/officeDocument/2006/relationships/oleObject" Target="embeddings/oleObject42.bin"/><Relationship Id="rId58" Type="http://schemas.openxmlformats.org/officeDocument/2006/relationships/oleObject" Target="embeddings/oleObject41.bin"/><Relationship Id="rId57" Type="http://schemas.openxmlformats.org/officeDocument/2006/relationships/oleObject" Target="embeddings/oleObject40.bin"/><Relationship Id="rId56" Type="http://schemas.openxmlformats.org/officeDocument/2006/relationships/oleObject" Target="embeddings/oleObject39.bin"/><Relationship Id="rId55" Type="http://schemas.openxmlformats.org/officeDocument/2006/relationships/oleObject" Target="embeddings/oleObject38.bin"/><Relationship Id="rId54" Type="http://schemas.openxmlformats.org/officeDocument/2006/relationships/oleObject" Target="embeddings/oleObject37.bin"/><Relationship Id="rId53" Type="http://schemas.openxmlformats.org/officeDocument/2006/relationships/oleObject" Target="embeddings/oleObject36.bin"/><Relationship Id="rId52" Type="http://schemas.openxmlformats.org/officeDocument/2006/relationships/oleObject" Target="embeddings/oleObject35.bin"/><Relationship Id="rId51" Type="http://schemas.openxmlformats.org/officeDocument/2006/relationships/oleObject" Target="embeddings/oleObject34.bin"/><Relationship Id="rId50" Type="http://schemas.openxmlformats.org/officeDocument/2006/relationships/oleObject" Target="embeddings/oleObject33.bin"/><Relationship Id="rId5" Type="http://schemas.openxmlformats.org/officeDocument/2006/relationships/footer" Target="footer3.xml"/><Relationship Id="rId49" Type="http://schemas.openxmlformats.org/officeDocument/2006/relationships/oleObject" Target="embeddings/oleObject32.bin"/><Relationship Id="rId48" Type="http://schemas.openxmlformats.org/officeDocument/2006/relationships/oleObject" Target="embeddings/oleObject31.bin"/><Relationship Id="rId47" Type="http://schemas.openxmlformats.org/officeDocument/2006/relationships/oleObject" Target="embeddings/oleObject30.bin"/><Relationship Id="rId46" Type="http://schemas.openxmlformats.org/officeDocument/2006/relationships/oleObject" Target="embeddings/oleObject29.bin"/><Relationship Id="rId45" Type="http://schemas.openxmlformats.org/officeDocument/2006/relationships/oleObject" Target="embeddings/oleObject28.bin"/><Relationship Id="rId44" Type="http://schemas.openxmlformats.org/officeDocument/2006/relationships/oleObject" Target="embeddings/oleObject27.bin"/><Relationship Id="rId43" Type="http://schemas.openxmlformats.org/officeDocument/2006/relationships/oleObject" Target="embeddings/oleObject26.bin"/><Relationship Id="rId42" Type="http://schemas.openxmlformats.org/officeDocument/2006/relationships/oleObject" Target="embeddings/oleObject25.bin"/><Relationship Id="rId41" Type="http://schemas.openxmlformats.org/officeDocument/2006/relationships/oleObject" Target="embeddings/oleObject24.bin"/><Relationship Id="rId40" Type="http://schemas.openxmlformats.org/officeDocument/2006/relationships/oleObject" Target="embeddings/oleObject23.bin"/><Relationship Id="rId4" Type="http://schemas.openxmlformats.org/officeDocument/2006/relationships/footer" Target="footer2.xml"/><Relationship Id="rId39" Type="http://schemas.openxmlformats.org/officeDocument/2006/relationships/oleObject" Target="embeddings/oleObject22.bin"/><Relationship Id="rId38" Type="http://schemas.openxmlformats.org/officeDocument/2006/relationships/oleObject" Target="embeddings/oleObject21.bin"/><Relationship Id="rId37" Type="http://schemas.openxmlformats.org/officeDocument/2006/relationships/image" Target="media/image11.wmf"/><Relationship Id="rId36" Type="http://schemas.openxmlformats.org/officeDocument/2006/relationships/oleObject" Target="embeddings/oleObject20.bin"/><Relationship Id="rId35" Type="http://schemas.openxmlformats.org/officeDocument/2006/relationships/oleObject" Target="embeddings/oleObject19.bin"/><Relationship Id="rId34" Type="http://schemas.openxmlformats.org/officeDocument/2006/relationships/image" Target="media/image10.wmf"/><Relationship Id="rId33" Type="http://schemas.openxmlformats.org/officeDocument/2006/relationships/oleObject" Target="embeddings/oleObject18.bin"/><Relationship Id="rId32" Type="http://schemas.openxmlformats.org/officeDocument/2006/relationships/image" Target="media/image9.wmf"/><Relationship Id="rId31" Type="http://schemas.openxmlformats.org/officeDocument/2006/relationships/oleObject" Target="embeddings/oleObject17.bin"/><Relationship Id="rId30" Type="http://schemas.openxmlformats.org/officeDocument/2006/relationships/image" Target="media/image8.wmf"/><Relationship Id="rId3" Type="http://schemas.openxmlformats.org/officeDocument/2006/relationships/footer" Target="footer1.xml"/><Relationship Id="rId29" Type="http://schemas.openxmlformats.org/officeDocument/2006/relationships/oleObject" Target="embeddings/oleObject16.bin"/><Relationship Id="rId28" Type="http://schemas.openxmlformats.org/officeDocument/2006/relationships/oleObject" Target="embeddings/oleObject15.bin"/><Relationship Id="rId27" Type="http://schemas.openxmlformats.org/officeDocument/2006/relationships/oleObject" Target="embeddings/oleObject14.bin"/><Relationship Id="rId26" Type="http://schemas.openxmlformats.org/officeDocument/2006/relationships/oleObject" Target="embeddings/oleObject13.bin"/><Relationship Id="rId25" Type="http://schemas.openxmlformats.org/officeDocument/2006/relationships/oleObject" Target="embeddings/oleObject12.bin"/><Relationship Id="rId24" Type="http://schemas.openxmlformats.org/officeDocument/2006/relationships/image" Target="media/image7.wmf"/><Relationship Id="rId23" Type="http://schemas.openxmlformats.org/officeDocument/2006/relationships/oleObject" Target="embeddings/oleObject11.bin"/><Relationship Id="rId22" Type="http://schemas.openxmlformats.org/officeDocument/2006/relationships/oleObject" Target="embeddings/oleObject10.bin"/><Relationship Id="rId21" Type="http://schemas.openxmlformats.org/officeDocument/2006/relationships/oleObject" Target="embeddings/oleObject9.bin"/><Relationship Id="rId20" Type="http://schemas.openxmlformats.org/officeDocument/2006/relationships/oleObject" Target="embeddings/oleObject8.bin"/><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oleObject" Target="embeddings/oleObject6.bin"/><Relationship Id="rId17" Type="http://schemas.openxmlformats.org/officeDocument/2006/relationships/image" Target="media/image6.wmf"/><Relationship Id="rId16" Type="http://schemas.openxmlformats.org/officeDocument/2006/relationships/oleObject" Target="embeddings/oleObject5.bin"/><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0B346E-14F0-4936-84DE-9131538DD9B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77</Pages>
  <Words>26634</Words>
  <Characters>27967</Characters>
  <Lines>1997</Lines>
  <Paragraphs>1516</Paragraphs>
  <TotalTime>7</TotalTime>
  <ScaleCrop>false</ScaleCrop>
  <LinksUpToDate>false</LinksUpToDate>
  <CharactersWithSpaces>53085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2018-09-19T04:17:00Z</dcterms:created>
  <dc:creator>Administrator</dc:creator>
  <cp:lastModifiedBy>YJHuang</cp:lastModifiedBy>
  <cp:lastPrinted>2018-02-07T11:13:00Z</cp:lastPrinted>
  <dcterms:modified xsi:type="dcterms:W3CDTF">2020-08-07T06:53:52Z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